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F83AD">
      <w:pPr>
        <w:pageBreakBefore w:val="0"/>
        <w:kinsoku/>
        <w:overflowPunct/>
        <w:topLinePunct w:val="0"/>
        <w:bidi w:val="0"/>
        <w:snapToGrid/>
        <w:spacing w:line="360" w:lineRule="auto"/>
        <w:ind w:firstLine="560" w:firstLineChars="200"/>
        <w:jc w:val="center"/>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p>
    <w:p w14:paraId="4F00C7C2">
      <w:pPr>
        <w:pageBreakBefore w:val="0"/>
        <w:kinsoku/>
        <w:overflowPunct/>
        <w:topLinePunct w:val="0"/>
        <w:bidi w:val="0"/>
        <w:snapToGrid/>
        <w:spacing w:line="360" w:lineRule="auto"/>
        <w:ind w:right="1120"/>
        <w:jc w:val="right"/>
        <w:rPr>
          <w:rFonts w:hint="default" w:ascii="仿宋" w:hAnsi="仿宋" w:eastAsia="仿宋" w:cs="仿宋"/>
          <w:color w:val="auto"/>
          <w:sz w:val="28"/>
          <w:szCs w:val="28"/>
          <w:highlight w:val="none"/>
          <w:lang w:val="en-US" w:eastAsia="zh-CN"/>
        </w:rPr>
      </w:pPr>
      <w:bookmarkStart w:id="0" w:name="_Toc325731733"/>
      <w:bookmarkStart w:id="1" w:name="_Toc326783408"/>
      <w:bookmarkStart w:id="2" w:name="_Toc325446794"/>
      <w:r>
        <w:rPr>
          <w:rFonts w:hint="eastAsia" w:ascii="仿宋" w:hAnsi="仿宋" w:eastAsia="仿宋" w:cs="仿宋"/>
          <w:color w:val="auto"/>
          <w:sz w:val="28"/>
          <w:szCs w:val="28"/>
          <w:highlight w:val="none"/>
        </w:rPr>
        <w:t>项目编号：</w:t>
      </w:r>
      <w:bookmarkEnd w:id="0"/>
      <w:bookmarkEnd w:id="1"/>
      <w:bookmarkEnd w:id="2"/>
      <w:r>
        <w:rPr>
          <w:rFonts w:hint="eastAsia" w:ascii="仿宋" w:hAnsi="仿宋" w:eastAsia="仿宋" w:cs="仿宋"/>
          <w:color w:val="auto"/>
          <w:sz w:val="28"/>
          <w:szCs w:val="28"/>
          <w:highlight w:val="none"/>
          <w:lang w:val="en-US" w:eastAsia="zh-CN"/>
        </w:rPr>
        <w:t>SHZB2025-006</w:t>
      </w:r>
    </w:p>
    <w:p w14:paraId="705DBC91">
      <w:pPr>
        <w:pageBreakBefore w:val="0"/>
        <w:kinsoku/>
        <w:overflowPunct/>
        <w:topLinePunct w:val="0"/>
        <w:bidi w:val="0"/>
        <w:snapToGrid/>
        <w:spacing w:line="360" w:lineRule="auto"/>
        <w:rPr>
          <w:rFonts w:hint="eastAsia" w:ascii="仿宋" w:hAnsi="仿宋" w:eastAsia="仿宋" w:cs="仿宋"/>
          <w:color w:val="auto"/>
          <w:sz w:val="28"/>
          <w:szCs w:val="28"/>
          <w:highlight w:val="none"/>
        </w:rPr>
      </w:pPr>
    </w:p>
    <w:p w14:paraId="755DC928">
      <w:pPr>
        <w:pageBreakBefore w:val="0"/>
        <w:kinsoku/>
        <w:overflowPunct/>
        <w:topLinePunct w:val="0"/>
        <w:bidi w:val="0"/>
        <w:snapToGrid/>
        <w:spacing w:line="360" w:lineRule="auto"/>
        <w:ind w:right="240"/>
        <w:jc w:val="left"/>
        <w:rPr>
          <w:rFonts w:hint="eastAsia" w:ascii="仿宋" w:hAnsi="仿宋" w:eastAsia="仿宋" w:cs="仿宋"/>
          <w:color w:val="auto"/>
          <w:sz w:val="48"/>
          <w:szCs w:val="48"/>
          <w:highlight w:val="none"/>
          <w:u w:val="single"/>
        </w:rPr>
      </w:pPr>
    </w:p>
    <w:p w14:paraId="690D553E">
      <w:pPr>
        <w:pageBreakBefore w:val="0"/>
        <w:kinsoku/>
        <w:overflowPunct/>
        <w:topLinePunct w:val="0"/>
        <w:bidi w:val="0"/>
        <w:snapToGrid/>
        <w:spacing w:line="360" w:lineRule="auto"/>
        <w:jc w:val="center"/>
        <w:rPr>
          <w:rFonts w:hint="eastAsia" w:ascii="仿宋" w:hAnsi="仿宋" w:eastAsia="仿宋" w:cs="仿宋"/>
          <w:b/>
          <w:color w:val="auto"/>
          <w:sz w:val="48"/>
          <w:szCs w:val="48"/>
          <w:highlight w:val="none"/>
          <w:lang w:eastAsia="zh-CN"/>
        </w:rPr>
      </w:pPr>
      <w:bookmarkStart w:id="3" w:name="_Toc519840552"/>
      <w:bookmarkEnd w:id="3"/>
      <w:bookmarkStart w:id="4" w:name="_Toc519840754"/>
      <w:bookmarkEnd w:id="4"/>
      <w:bookmarkStart w:id="5" w:name="_Toc375561633"/>
      <w:r>
        <w:rPr>
          <w:rFonts w:hint="eastAsia" w:ascii="仿宋" w:hAnsi="仿宋" w:eastAsia="仿宋" w:cs="仿宋"/>
          <w:b/>
          <w:color w:val="auto"/>
          <w:sz w:val="48"/>
          <w:szCs w:val="48"/>
          <w:highlight w:val="none"/>
          <w:lang w:eastAsia="zh-CN"/>
        </w:rPr>
        <w:t>山东大学第二医院历史病案扫描数字化加工服务项目</w:t>
      </w:r>
    </w:p>
    <w:p w14:paraId="290C57B7">
      <w:pPr>
        <w:pageBreakBefore w:val="0"/>
        <w:kinsoku/>
        <w:overflowPunct/>
        <w:topLinePunct w:val="0"/>
        <w:bidi w:val="0"/>
        <w:snapToGrid/>
        <w:spacing w:line="360" w:lineRule="auto"/>
        <w:jc w:val="center"/>
        <w:rPr>
          <w:rFonts w:hint="eastAsia" w:ascii="仿宋" w:hAnsi="仿宋" w:eastAsia="仿宋" w:cs="仿宋"/>
          <w:b/>
          <w:color w:val="auto"/>
          <w:sz w:val="48"/>
          <w:szCs w:val="48"/>
          <w:highlight w:val="none"/>
        </w:rPr>
      </w:pPr>
      <w:bookmarkStart w:id="6" w:name="_Toc7337024"/>
      <w:bookmarkStart w:id="7" w:name="_Toc11323381"/>
      <w:r>
        <w:rPr>
          <w:rFonts w:hint="eastAsia" w:ascii="仿宋" w:hAnsi="仿宋" w:eastAsia="仿宋" w:cs="仿宋"/>
          <w:b/>
          <w:color w:val="auto"/>
          <w:sz w:val="48"/>
          <w:szCs w:val="48"/>
          <w:highlight w:val="none"/>
        </w:rPr>
        <w:t>招标文件</w:t>
      </w:r>
      <w:bookmarkEnd w:id="6"/>
      <w:bookmarkEnd w:id="7"/>
    </w:p>
    <w:p w14:paraId="2E0C41C3">
      <w:pPr>
        <w:pageBreakBefore w:val="0"/>
        <w:kinsoku/>
        <w:overflowPunct/>
        <w:topLinePunct w:val="0"/>
        <w:bidi w:val="0"/>
        <w:snapToGrid/>
        <w:spacing w:line="360" w:lineRule="auto"/>
        <w:jc w:val="center"/>
        <w:rPr>
          <w:rFonts w:hint="eastAsia" w:ascii="仿宋" w:hAnsi="仿宋" w:eastAsia="仿宋" w:cs="仿宋"/>
          <w:b/>
          <w:color w:val="auto"/>
          <w:sz w:val="28"/>
          <w:szCs w:val="28"/>
          <w:highlight w:val="none"/>
        </w:rPr>
      </w:pPr>
    </w:p>
    <w:p w14:paraId="5721AA7B">
      <w:pPr>
        <w:pageBreakBefore w:val="0"/>
        <w:kinsoku/>
        <w:overflowPunct/>
        <w:topLinePunct w:val="0"/>
        <w:bidi w:val="0"/>
        <w:snapToGrid/>
        <w:spacing w:line="360" w:lineRule="auto"/>
        <w:jc w:val="center"/>
        <w:rPr>
          <w:rFonts w:hint="eastAsia" w:ascii="仿宋" w:hAnsi="仿宋" w:eastAsia="仿宋" w:cs="仿宋"/>
          <w:b/>
          <w:color w:val="auto"/>
          <w:sz w:val="28"/>
          <w:szCs w:val="28"/>
          <w:highlight w:val="none"/>
        </w:rPr>
      </w:pPr>
    </w:p>
    <w:bookmarkEnd w:id="5"/>
    <w:p w14:paraId="175D95E4">
      <w:pPr>
        <w:pageBreakBefore w:val="0"/>
        <w:kinsoku/>
        <w:overflowPunct/>
        <w:topLinePunct w:val="0"/>
        <w:bidi w:val="0"/>
        <w:snapToGrid/>
        <w:spacing w:line="360" w:lineRule="auto"/>
        <w:jc w:val="center"/>
        <w:rPr>
          <w:rFonts w:hint="eastAsia" w:ascii="仿宋" w:hAnsi="仿宋" w:eastAsia="仿宋" w:cs="仿宋"/>
          <w:b/>
          <w:color w:val="auto"/>
          <w:sz w:val="28"/>
          <w:szCs w:val="28"/>
          <w:highlight w:val="none"/>
        </w:rPr>
      </w:pPr>
      <w:bookmarkStart w:id="8" w:name="_Toc11323382"/>
      <w:bookmarkStart w:id="9" w:name="_Toc415058576"/>
      <w:bookmarkStart w:id="10" w:name="_Toc22573"/>
      <w:bookmarkStart w:id="11" w:name="_Toc415058500"/>
      <w:bookmarkStart w:id="12" w:name="_Toc7337025"/>
      <w:r>
        <w:rPr>
          <w:rFonts w:hint="eastAsia" w:ascii="仿宋" w:hAnsi="仿宋" w:eastAsia="仿宋" w:cs="仿宋"/>
          <w:color w:val="auto"/>
          <w:kern w:val="0"/>
          <w:sz w:val="28"/>
          <w:szCs w:val="28"/>
          <w:highlight w:val="none"/>
        </w:rPr>
        <w:drawing>
          <wp:inline distT="0" distB="0" distL="0" distR="0">
            <wp:extent cx="2314575" cy="2314575"/>
            <wp:effectExtent l="0" t="0" r="9525" b="9525"/>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6" cstate="print"/>
                    <a:srcRect/>
                    <a:stretch>
                      <a:fillRect/>
                    </a:stretch>
                  </pic:blipFill>
                  <pic:spPr>
                    <a:xfrm>
                      <a:off x="0" y="0"/>
                      <a:ext cx="2314575" cy="2314575"/>
                    </a:xfrm>
                    <a:prstGeom prst="rect">
                      <a:avLst/>
                    </a:prstGeom>
                    <a:ln>
                      <a:noFill/>
                    </a:ln>
                  </pic:spPr>
                </pic:pic>
              </a:graphicData>
            </a:graphic>
          </wp:inline>
        </w:drawing>
      </w:r>
      <w:bookmarkEnd w:id="8"/>
      <w:bookmarkEnd w:id="9"/>
      <w:bookmarkEnd w:id="10"/>
      <w:bookmarkEnd w:id="11"/>
      <w:bookmarkEnd w:id="12"/>
    </w:p>
    <w:p w14:paraId="16757C69">
      <w:pPr>
        <w:pageBreakBefore w:val="0"/>
        <w:kinsoku/>
        <w:overflowPunct/>
        <w:topLinePunct w:val="0"/>
        <w:bidi w:val="0"/>
        <w:snapToGrid/>
        <w:spacing w:line="360" w:lineRule="auto"/>
        <w:jc w:val="left"/>
        <w:rPr>
          <w:rFonts w:hint="eastAsia" w:ascii="仿宋" w:hAnsi="仿宋" w:eastAsia="仿宋" w:cs="仿宋"/>
          <w:bCs w:val="0"/>
          <w:color w:val="auto"/>
          <w:sz w:val="28"/>
          <w:szCs w:val="28"/>
          <w:highlight w:val="none"/>
        </w:rPr>
      </w:pPr>
    </w:p>
    <w:p w14:paraId="423CC9BD">
      <w:pPr>
        <w:pageBreakBefore w:val="0"/>
        <w:kinsoku/>
        <w:overflowPunct/>
        <w:topLinePunct w:val="0"/>
        <w:bidi w:val="0"/>
        <w:snapToGrid/>
        <w:spacing w:line="360" w:lineRule="auto"/>
        <w:jc w:val="left"/>
        <w:rPr>
          <w:rFonts w:hint="eastAsia" w:ascii="仿宋" w:hAnsi="仿宋" w:eastAsia="仿宋" w:cs="仿宋"/>
          <w:bCs w:val="0"/>
          <w:color w:val="auto"/>
          <w:sz w:val="28"/>
          <w:szCs w:val="28"/>
          <w:highlight w:val="none"/>
          <w:u w:val="single"/>
        </w:rPr>
      </w:pPr>
      <w:r>
        <w:rPr>
          <w:rFonts w:hint="eastAsia" w:ascii="仿宋" w:hAnsi="仿宋" w:eastAsia="仿宋" w:cs="仿宋"/>
          <w:bCs w:val="0"/>
          <w:color w:val="auto"/>
          <w:sz w:val="28"/>
          <w:szCs w:val="28"/>
          <w:highlight w:val="none"/>
        </w:rPr>
        <mc:AlternateContent>
          <mc:Choice Requires="wps">
            <w:drawing>
              <wp:anchor distT="0" distB="0" distL="0" distR="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0" r="0" b="0"/>
                <wp:wrapNone/>
                <wp:docPr id="1027" name="10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1027"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s505tUAAAAJAQAADwAAAAAAAAABACAAAAAi&#10;AAAAZHJzL2Rvd25yZXYueG1sUEsBAhQAFAAAAAgAh07iQJZMD8HUAQAA1AMAAA4AAAAAAAAAAQAg&#10;AAAAJAEAAGRycy9lMm9Eb2MueG1sUEsFBgAAAAAGAAYAWQEAAGoFAAAAAA==&#10;">
                <v:fill on="f" focussize="0,0"/>
                <v:stroke color="#000000" joinstyle="round"/>
                <v:imagedata o:title=""/>
                <o:lock v:ext="edit" aspectratio="f"/>
              </v:line>
            </w:pict>
          </mc:Fallback>
        </mc:AlternateContent>
      </w:r>
      <w:r>
        <w:rPr>
          <w:rFonts w:hint="eastAsia" w:ascii="仿宋" w:hAnsi="仿宋" w:eastAsia="仿宋" w:cs="仿宋"/>
          <w:bCs w:val="0"/>
          <w:color w:val="auto"/>
          <w:sz w:val="28"/>
          <w:szCs w:val="28"/>
          <w:highlight w:val="none"/>
        </w:rPr>
        <w:t>项 目 名 称：</w:t>
      </w:r>
      <w:r>
        <w:rPr>
          <w:rFonts w:hint="eastAsia" w:ascii="仿宋" w:hAnsi="仿宋" w:eastAsia="仿宋" w:cs="仿宋"/>
          <w:bCs w:val="0"/>
          <w:color w:val="auto"/>
          <w:sz w:val="28"/>
          <w:szCs w:val="28"/>
          <w:highlight w:val="none"/>
          <w:u w:val="single"/>
          <w:lang w:eastAsia="zh-CN"/>
        </w:rPr>
        <w:t>山东大学第二医院历史病案扫描数字化加工服务项目</w:t>
      </w:r>
    </w:p>
    <w:p w14:paraId="734EB890">
      <w:pPr>
        <w:pageBreakBefore w:val="0"/>
        <w:kinsoku/>
        <w:overflowPunct/>
        <w:topLinePunct w:val="0"/>
        <w:bidi w:val="0"/>
        <w:snapToGrid/>
        <w:spacing w:line="360" w:lineRule="auto"/>
        <w:jc w:val="left"/>
        <w:rPr>
          <w:rFonts w:hint="eastAsia" w:ascii="仿宋" w:hAnsi="仿宋" w:eastAsia="仿宋" w:cs="仿宋"/>
          <w:color w:val="auto"/>
          <w:sz w:val="28"/>
          <w:szCs w:val="28"/>
          <w:highlight w:val="none"/>
          <w:u w:val="single"/>
          <w:lang w:val="en-US" w:eastAsia="zh-CN"/>
        </w:rPr>
      </w:pPr>
      <w:r>
        <w:rPr>
          <w:rFonts w:hint="eastAsia" w:ascii="仿宋" w:hAnsi="仿宋" w:eastAsia="仿宋" w:cs="仿宋"/>
          <w:bCs w:val="0"/>
          <w:color w:val="auto"/>
          <w:sz w:val="28"/>
          <w:szCs w:val="28"/>
          <w:highlight w:val="none"/>
        </w:rPr>
        <w:t>采   购  人：</w:t>
      </w:r>
      <w:r>
        <w:rPr>
          <w:rFonts w:hint="eastAsia" w:ascii="仿宋" w:hAnsi="仿宋" w:eastAsia="仿宋" w:cs="仿宋"/>
          <w:bCs w:val="0"/>
          <w:color w:val="auto"/>
          <w:sz w:val="28"/>
          <w:szCs w:val="28"/>
          <w:highlight w:val="none"/>
          <w:u w:val="single"/>
        </w:rPr>
        <w:t>山东</w:t>
      </w:r>
      <w:r>
        <w:rPr>
          <w:rFonts w:hint="eastAsia" w:ascii="仿宋" w:hAnsi="仿宋" w:eastAsia="仿宋" w:cs="仿宋"/>
          <w:bCs w:val="0"/>
          <w:color w:val="auto"/>
          <w:sz w:val="28"/>
          <w:szCs w:val="28"/>
          <w:highlight w:val="none"/>
          <w:u w:val="single"/>
          <w:lang w:val="en-US" w:eastAsia="zh-CN"/>
        </w:rPr>
        <w:t>大学第二医院</w:t>
      </w:r>
    </w:p>
    <w:p w14:paraId="5760E4B8">
      <w:pPr>
        <w:pageBreakBefore w:val="0"/>
        <w:kinsoku/>
        <w:overflowPunct/>
        <w:topLinePunct w:val="0"/>
        <w:bidi w:val="0"/>
        <w:snapToGrid/>
        <w:spacing w:line="360" w:lineRule="auto"/>
        <w:jc w:val="left"/>
        <w:rPr>
          <w:rFonts w:hint="eastAsia" w:ascii="仿宋" w:hAnsi="仿宋" w:eastAsia="仿宋" w:cs="仿宋"/>
          <w:bCs w:val="0"/>
          <w:color w:val="auto"/>
          <w:sz w:val="28"/>
          <w:szCs w:val="28"/>
          <w:highlight w:val="none"/>
          <w:lang w:eastAsia="zh-CN"/>
        </w:rPr>
      </w:pPr>
      <w:r>
        <w:rPr>
          <w:rFonts w:hint="eastAsia" w:ascii="仿宋" w:hAnsi="仿宋" w:eastAsia="仿宋" w:cs="仿宋"/>
          <w:bCs w:val="0"/>
          <w:color w:val="auto"/>
          <w:sz w:val="28"/>
          <w:szCs w:val="28"/>
          <w:highlight w:val="none"/>
        </w:rPr>
        <w:t>采购代理机构：</w:t>
      </w:r>
      <w:r>
        <w:rPr>
          <w:rFonts w:hint="eastAsia" w:ascii="仿宋" w:hAnsi="仿宋" w:eastAsia="仿宋" w:cs="仿宋"/>
          <w:color w:val="auto"/>
          <w:sz w:val="28"/>
          <w:szCs w:val="28"/>
          <w:highlight w:val="none"/>
          <w:u w:val="single"/>
          <w:lang w:eastAsia="zh-CN"/>
        </w:rPr>
        <w:t>盛和招标代理有限公司</w:t>
      </w:r>
    </w:p>
    <w:p w14:paraId="0EB01D4B">
      <w:pPr>
        <w:pageBreakBefore w:val="0"/>
        <w:kinsoku/>
        <w:overflowPunct/>
        <w:topLinePunct w:val="0"/>
        <w:bidi w:val="0"/>
        <w:snapToGrid/>
        <w:spacing w:line="360" w:lineRule="auto"/>
        <w:rPr>
          <w:rFonts w:hint="eastAsia" w:ascii="仿宋" w:hAnsi="仿宋" w:eastAsia="仿宋" w:cs="仿宋"/>
          <w:color w:val="auto"/>
          <w:sz w:val="28"/>
          <w:szCs w:val="28"/>
          <w:highlight w:val="none"/>
          <w:u w:val="single"/>
        </w:rPr>
      </w:pPr>
      <w:bookmarkStart w:id="13" w:name="_Toc326783409"/>
      <w:bookmarkStart w:id="14" w:name="_Toc325446795"/>
      <w:bookmarkStart w:id="15" w:name="_Toc325731734"/>
      <w:r>
        <w:rPr>
          <w:rFonts w:hint="eastAsia" w:ascii="仿宋" w:hAnsi="仿宋" w:eastAsia="仿宋" w:cs="仿宋"/>
          <w:color w:val="auto"/>
          <w:sz w:val="28"/>
          <w:szCs w:val="28"/>
          <w:highlight w:val="none"/>
        </w:rPr>
        <w:t>日       期 ：</w:t>
      </w:r>
      <w:r>
        <w:rPr>
          <w:rFonts w:hint="eastAsia" w:ascii="仿宋" w:hAnsi="仿宋" w:eastAsia="仿宋" w:cs="仿宋"/>
          <w:iCs/>
          <w:color w:val="auto"/>
          <w:sz w:val="28"/>
          <w:szCs w:val="28"/>
          <w:highlight w:val="none"/>
          <w:u w:val="single"/>
          <w:lang w:eastAsia="zh-CN"/>
        </w:rPr>
        <w:t>2025年</w:t>
      </w:r>
      <w:r>
        <w:rPr>
          <w:rFonts w:hint="eastAsia" w:ascii="仿宋" w:hAnsi="仿宋" w:eastAsia="仿宋" w:cs="仿宋"/>
          <w:iCs/>
          <w:color w:val="auto"/>
          <w:sz w:val="28"/>
          <w:szCs w:val="28"/>
          <w:highlight w:val="none"/>
          <w:u w:val="single"/>
          <w:lang w:val="en-US" w:eastAsia="zh-CN"/>
        </w:rPr>
        <w:t>2</w:t>
      </w:r>
      <w:r>
        <w:rPr>
          <w:rFonts w:hint="eastAsia" w:ascii="仿宋" w:hAnsi="仿宋" w:eastAsia="仿宋" w:cs="仿宋"/>
          <w:iCs/>
          <w:color w:val="auto"/>
          <w:sz w:val="28"/>
          <w:szCs w:val="28"/>
          <w:highlight w:val="none"/>
          <w:u w:val="single"/>
        </w:rPr>
        <w:t>月</w:t>
      </w:r>
      <w:r>
        <w:rPr>
          <w:rFonts w:hint="eastAsia" w:ascii="仿宋" w:hAnsi="仿宋" w:eastAsia="仿宋" w:cs="仿宋"/>
          <w:iCs/>
          <w:color w:val="auto"/>
          <w:sz w:val="28"/>
          <w:szCs w:val="28"/>
          <w:highlight w:val="none"/>
          <w:u w:val="single"/>
          <w:lang w:val="en-US" w:eastAsia="zh-CN"/>
        </w:rPr>
        <w:t>10</w:t>
      </w:r>
      <w:r>
        <w:rPr>
          <w:rFonts w:hint="eastAsia" w:ascii="仿宋" w:hAnsi="仿宋" w:eastAsia="仿宋" w:cs="仿宋"/>
          <w:iCs/>
          <w:color w:val="auto"/>
          <w:sz w:val="28"/>
          <w:szCs w:val="28"/>
          <w:highlight w:val="none"/>
          <w:u w:val="single"/>
        </w:rPr>
        <w:t>日</w:t>
      </w:r>
      <w:bookmarkEnd w:id="13"/>
      <w:bookmarkEnd w:id="14"/>
      <w:bookmarkEnd w:id="15"/>
    </w:p>
    <w:p w14:paraId="41BB9817">
      <w:pPr>
        <w:pageBreakBefore w:val="0"/>
        <w:kinsoku/>
        <w:overflowPunct/>
        <w:topLinePunct w:val="0"/>
        <w:bidi w:val="0"/>
        <w:snapToGrid/>
        <w:spacing w:line="360" w:lineRule="auto"/>
        <w:jc w:val="center"/>
        <w:rPr>
          <w:rFonts w:hint="eastAsia" w:ascii="仿宋" w:hAnsi="仿宋" w:eastAsia="仿宋" w:cs="仿宋"/>
          <w:b/>
          <w:bCs w:val="0"/>
          <w:color w:val="auto"/>
          <w:sz w:val="28"/>
          <w:szCs w:val="28"/>
          <w:highlight w:val="none"/>
        </w:rPr>
      </w:pPr>
      <w:r>
        <w:rPr>
          <w:rFonts w:hint="eastAsia" w:ascii="仿宋" w:hAnsi="仿宋" w:eastAsia="仿宋" w:cs="仿宋"/>
          <w:color w:val="auto"/>
          <w:sz w:val="28"/>
          <w:szCs w:val="28"/>
          <w:highlight w:val="none"/>
        </w:rPr>
        <w:br w:type="page"/>
      </w:r>
      <w:bookmarkStart w:id="16" w:name="_Toc357793028"/>
      <w:bookmarkStart w:id="17" w:name="_Toc375561634"/>
      <w:bookmarkStart w:id="18" w:name="_Toc362625917"/>
      <w:bookmarkStart w:id="19" w:name="_Toc415058577"/>
      <w:r>
        <w:rPr>
          <w:rFonts w:hint="eastAsia" w:ascii="仿宋" w:hAnsi="仿宋" w:eastAsia="仿宋" w:cs="仿宋"/>
          <w:b/>
          <w:bCs w:val="0"/>
          <w:color w:val="auto"/>
          <w:sz w:val="28"/>
          <w:szCs w:val="28"/>
          <w:highlight w:val="none"/>
        </w:rPr>
        <w:t>目录</w:t>
      </w:r>
      <w:bookmarkEnd w:id="16"/>
      <w:bookmarkEnd w:id="17"/>
      <w:bookmarkEnd w:id="18"/>
      <w:bookmarkEnd w:id="19"/>
    </w:p>
    <w:p w14:paraId="020A94D4">
      <w:pPr>
        <w:pStyle w:val="28"/>
        <w:tabs>
          <w:tab w:val="right" w:leader="dot" w:pos="8869"/>
        </w:tabs>
        <w:spacing w:line="240" w:lineRule="auto"/>
        <w:rPr>
          <w:color w:val="auto"/>
          <w:sz w:val="24"/>
          <w:szCs w:val="24"/>
          <w:highlight w:val="none"/>
        </w:rPr>
      </w:pPr>
      <w:bookmarkStart w:id="20" w:name="_Toc14684"/>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TOC \o "1-3" \h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_Toc10454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rPr>
        <w:t>第一部分 招标</w:t>
      </w:r>
      <w:r>
        <w:rPr>
          <w:rFonts w:hint="eastAsia" w:ascii="仿宋" w:hAnsi="仿宋" w:eastAsia="仿宋" w:cs="仿宋"/>
          <w:bCs w:val="0"/>
          <w:color w:val="auto"/>
          <w:sz w:val="24"/>
          <w:szCs w:val="24"/>
          <w:highlight w:val="none"/>
          <w:lang w:val="en-US" w:eastAsia="zh-CN"/>
        </w:rPr>
        <w:t>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_Toc10454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A589F6B">
      <w:pPr>
        <w:pStyle w:val="28"/>
        <w:tabs>
          <w:tab w:val="right" w:leader="dot" w:pos="8869"/>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_Toc5359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lang w:val="en-US" w:eastAsia="zh-CN"/>
        </w:rPr>
        <w:t xml:space="preserve">第二部分 </w:t>
      </w:r>
      <w:r>
        <w:rPr>
          <w:rFonts w:hint="eastAsia" w:ascii="仿宋" w:hAnsi="仿宋" w:eastAsia="仿宋" w:cs="仿宋"/>
          <w:bCs w:val="0"/>
          <w:color w:val="auto"/>
          <w:sz w:val="24"/>
          <w:szCs w:val="24"/>
          <w:highlight w:val="none"/>
        </w:rPr>
        <w:t>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_Toc5359 \h </w:instrText>
      </w:r>
      <w:r>
        <w:rPr>
          <w:color w:val="auto"/>
          <w:sz w:val="24"/>
          <w:szCs w:val="24"/>
          <w:highlight w:val="none"/>
        </w:rPr>
        <w:fldChar w:fldCharType="separate"/>
      </w:r>
      <w:r>
        <w:rPr>
          <w:color w:val="auto"/>
          <w:sz w:val="24"/>
          <w:szCs w:val="24"/>
          <w:highlight w:val="none"/>
        </w:rPr>
        <w:t>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4503CF8">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_Toc15718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一、适用范围</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_Toc15718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20028E3">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_Toc14829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二、定义</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_Toc14829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7502843">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_Toc28163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三、投标人具备的条件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_Toc28163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99A3AC4">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_Toc29294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四、招标文件的澄清或修改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_Toc29294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47377A2">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_Toc27158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五、投标文件的编写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_Toc27158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9E8A043">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_Toc32660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六、</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_Toc32660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850E939">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_Toc26666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七、投标费用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_Toc26666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ED5C738">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_Toc6115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八、保证金</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_Toc6115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FCCE787">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_Toc24118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九、无效投标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_Toc24118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B4BC1F9">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_Toc5368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十、质疑的提出与答复</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_Toc5368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1D4BFA0">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_Toc29941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、解释权</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_Toc29941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1FEFC71">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_Toc9188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、其他未尽问题参考依据</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_Toc9188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A053F22">
      <w:pPr>
        <w:pStyle w:val="28"/>
        <w:tabs>
          <w:tab w:val="right" w:leader="dot" w:pos="8869"/>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_Toc22356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第三部分 开标、评审、中标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_Toc22356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EB8C986">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_Toc13695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一、开标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_Toc13695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7E45234">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_Toc17918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评标委员会</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_Toc17918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799FF91">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_Toc5677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三、评审原则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_Toc5677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C4B9C2F">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_Toc22666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四、评审办法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_Toc22666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BB1824F">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_Toc4328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五、废标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_Toc4328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E373ADE">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_Toc24794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六、中标通知书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_Toc24794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B287C61">
      <w:pPr>
        <w:pStyle w:val="28"/>
        <w:tabs>
          <w:tab w:val="right" w:leader="dot" w:pos="8869"/>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_Toc24468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第四部分 授予合同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_Toc24468 \h </w:instrText>
      </w:r>
      <w:r>
        <w:rPr>
          <w:color w:val="auto"/>
          <w:sz w:val="24"/>
          <w:szCs w:val="24"/>
          <w:highlight w:val="none"/>
        </w:rPr>
        <w:fldChar w:fldCharType="separate"/>
      </w:r>
      <w:r>
        <w:rPr>
          <w:color w:val="auto"/>
          <w:sz w:val="24"/>
          <w:szCs w:val="24"/>
          <w:highlight w:val="none"/>
        </w:rPr>
        <w:t>28</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F987FD9">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_Toc19110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lang w:val="en-US" w:eastAsia="zh-CN" w:bidi="ar-SA"/>
        </w:rPr>
        <w:t>一、签订合同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_Toc19110 \h </w:instrText>
      </w:r>
      <w:r>
        <w:rPr>
          <w:color w:val="auto"/>
          <w:sz w:val="24"/>
          <w:szCs w:val="24"/>
          <w:highlight w:val="none"/>
        </w:rPr>
        <w:fldChar w:fldCharType="separate"/>
      </w:r>
      <w:r>
        <w:rPr>
          <w:color w:val="auto"/>
          <w:sz w:val="24"/>
          <w:szCs w:val="24"/>
          <w:highlight w:val="none"/>
        </w:rPr>
        <w:t>28</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DA70370">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_Toc31455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kern w:val="0"/>
          <w:sz w:val="24"/>
          <w:szCs w:val="24"/>
          <w:highlight w:val="none"/>
          <w:lang w:val="en-US" w:eastAsia="zh-CN" w:bidi="ar-SA"/>
        </w:rPr>
        <w:t>二、</w:t>
      </w:r>
      <w:r>
        <w:rPr>
          <w:rFonts w:hint="eastAsia" w:ascii="仿宋" w:hAnsi="仿宋" w:eastAsia="仿宋" w:cs="仿宋"/>
          <w:color w:val="auto"/>
          <w:sz w:val="24"/>
          <w:szCs w:val="24"/>
          <w:highlight w:val="none"/>
        </w:rPr>
        <w:t>合同格式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_Toc31455 \h </w:instrText>
      </w:r>
      <w:r>
        <w:rPr>
          <w:color w:val="auto"/>
          <w:sz w:val="24"/>
          <w:szCs w:val="24"/>
          <w:highlight w:val="none"/>
        </w:rPr>
        <w:fldChar w:fldCharType="separate"/>
      </w:r>
      <w:r>
        <w:rPr>
          <w:color w:val="auto"/>
          <w:sz w:val="24"/>
          <w:szCs w:val="24"/>
          <w:highlight w:val="none"/>
        </w:rPr>
        <w:t>28</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DBA2A5B">
      <w:pPr>
        <w:pStyle w:val="28"/>
        <w:tabs>
          <w:tab w:val="right" w:leader="dot" w:pos="8869"/>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_Toc24662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rPr>
        <w:t>第五部分 项目说明及要求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_Toc24662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742F781">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_Toc11839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一、项目名称</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_Toc11839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EEDF285">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_Toc26505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二、项目说明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_Toc26505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0CCA29E">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_Toc14542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、商务条件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_Toc14542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3CEA809">
      <w:pPr>
        <w:pStyle w:val="28"/>
        <w:tabs>
          <w:tab w:val="right" w:leader="dot" w:pos="8869"/>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_Toc23296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rPr>
        <w:t>第六部分  附件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_Toc23296 \h </w:instrText>
      </w:r>
      <w:r>
        <w:rPr>
          <w:color w:val="auto"/>
          <w:sz w:val="24"/>
          <w:szCs w:val="24"/>
          <w:highlight w:val="none"/>
        </w:rPr>
        <w:fldChar w:fldCharType="separate"/>
      </w:r>
      <w:r>
        <w:rPr>
          <w:color w:val="auto"/>
          <w:sz w:val="24"/>
          <w:szCs w:val="24"/>
          <w:highlight w:val="none"/>
        </w:rPr>
        <w:t>46</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2A81B3E">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_Toc18964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附件一：</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_Toc18964 \h </w:instrText>
      </w:r>
      <w:r>
        <w:rPr>
          <w:color w:val="auto"/>
          <w:sz w:val="24"/>
          <w:szCs w:val="24"/>
          <w:highlight w:val="none"/>
        </w:rPr>
        <w:fldChar w:fldCharType="separate"/>
      </w:r>
      <w:r>
        <w:rPr>
          <w:color w:val="auto"/>
          <w:sz w:val="24"/>
          <w:szCs w:val="24"/>
          <w:highlight w:val="none"/>
        </w:rPr>
        <w:t>46</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52AC496">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_Toc29901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附件二：法定代表人授权委托书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_Toc29901 \h </w:instrText>
      </w:r>
      <w:r>
        <w:rPr>
          <w:color w:val="auto"/>
          <w:sz w:val="24"/>
          <w:szCs w:val="24"/>
          <w:highlight w:val="none"/>
        </w:rPr>
        <w:fldChar w:fldCharType="separate"/>
      </w:r>
      <w:r>
        <w:rPr>
          <w:color w:val="auto"/>
          <w:sz w:val="24"/>
          <w:szCs w:val="24"/>
          <w:highlight w:val="none"/>
        </w:rPr>
        <w:t>47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9433EEE">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_Toc25079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kern w:val="0"/>
          <w:sz w:val="24"/>
          <w:szCs w:val="24"/>
          <w:highlight w:val="none"/>
          <w:lang w:val="en-US" w:eastAsia="zh-CN" w:bidi="ar-SA"/>
        </w:rPr>
        <w:t>附件三：在经营活动中没有重大违法记录的书面声明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_Toc25079 \h </w:instrText>
      </w:r>
      <w:r>
        <w:rPr>
          <w:color w:val="auto"/>
          <w:sz w:val="24"/>
          <w:szCs w:val="24"/>
          <w:highlight w:val="none"/>
        </w:rPr>
        <w:fldChar w:fldCharType="separate"/>
      </w:r>
      <w:r>
        <w:rPr>
          <w:color w:val="auto"/>
          <w:sz w:val="24"/>
          <w:szCs w:val="24"/>
          <w:highlight w:val="none"/>
        </w:rPr>
        <w:t>48</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D39FCE8">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_Toc4842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kern w:val="2"/>
          <w:sz w:val="24"/>
          <w:szCs w:val="24"/>
          <w:highlight w:val="none"/>
        </w:rPr>
        <w:t>附件四</w:t>
      </w:r>
      <w:r>
        <w:rPr>
          <w:rFonts w:hint="eastAsia" w:ascii="仿宋" w:hAnsi="仿宋" w:eastAsia="仿宋" w:cs="仿宋"/>
          <w:bCs/>
          <w:color w:val="auto"/>
          <w:kern w:val="2"/>
          <w:sz w:val="24"/>
          <w:szCs w:val="24"/>
          <w:highlight w:val="none"/>
          <w:lang w:eastAsia="zh-CN"/>
        </w:rPr>
        <w:t>：</w:t>
      </w:r>
      <w:r>
        <w:rPr>
          <w:rFonts w:hint="eastAsia" w:ascii="仿宋" w:hAnsi="仿宋" w:eastAsia="仿宋" w:cs="仿宋"/>
          <w:bCs/>
          <w:color w:val="auto"/>
          <w:kern w:val="2"/>
          <w:sz w:val="24"/>
          <w:szCs w:val="24"/>
          <w:highlight w:val="none"/>
          <w:lang w:val="en-US" w:eastAsia="zh-CN"/>
        </w:rPr>
        <w:t>供应商无控股、管理关系的书面声明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_Toc4842 \h </w:instrText>
      </w:r>
      <w:r>
        <w:rPr>
          <w:color w:val="auto"/>
          <w:sz w:val="24"/>
          <w:szCs w:val="24"/>
          <w:highlight w:val="none"/>
        </w:rPr>
        <w:fldChar w:fldCharType="separate"/>
      </w:r>
      <w:r>
        <w:rPr>
          <w:color w:val="auto"/>
          <w:sz w:val="24"/>
          <w:szCs w:val="24"/>
          <w:highlight w:val="none"/>
        </w:rPr>
        <w:t>49</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53FC5B4">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_Toc5489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：报  价 一 览 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_Toc5489 \h </w:instrText>
      </w:r>
      <w:r>
        <w:rPr>
          <w:color w:val="auto"/>
          <w:sz w:val="24"/>
          <w:szCs w:val="24"/>
          <w:highlight w:val="none"/>
        </w:rPr>
        <w:fldChar w:fldCharType="separate"/>
      </w:r>
      <w:r>
        <w:rPr>
          <w:color w:val="auto"/>
          <w:sz w:val="24"/>
          <w:szCs w:val="24"/>
          <w:highlight w:val="none"/>
        </w:rPr>
        <w:t>50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EBF4AC4">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_Toc4523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w:t>
      </w:r>
      <w:r>
        <w:rPr>
          <w:rFonts w:hint="eastAsia" w:ascii="仿宋" w:hAnsi="仿宋" w:eastAsia="仿宋" w:cs="仿宋"/>
          <w:bCs/>
          <w:color w:val="auto"/>
          <w:kern w:val="0"/>
          <w:sz w:val="24"/>
          <w:szCs w:val="24"/>
          <w:highlight w:val="none"/>
          <w:lang w:val="en-US" w:eastAsia="zh-CN" w:bidi="ar-SA"/>
        </w:rPr>
        <w:t>拟投入人员及其技术资格一览表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_Toc4523 \h </w:instrText>
      </w:r>
      <w:r>
        <w:rPr>
          <w:color w:val="auto"/>
          <w:sz w:val="24"/>
          <w:szCs w:val="24"/>
          <w:highlight w:val="none"/>
        </w:rPr>
        <w:fldChar w:fldCharType="separate"/>
      </w:r>
      <w:r>
        <w:rPr>
          <w:color w:val="auto"/>
          <w:sz w:val="24"/>
          <w:szCs w:val="24"/>
          <w:highlight w:val="none"/>
        </w:rPr>
        <w:t>51</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A239E41">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_Toc1472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kern w:val="0"/>
          <w:sz w:val="24"/>
          <w:szCs w:val="24"/>
          <w:highlight w:val="none"/>
          <w:lang w:val="en-US" w:eastAsia="zh-CN" w:bidi="ar-SA"/>
        </w:rPr>
        <w:t>附件七：技术指标响应表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_Toc1472 \h </w:instrText>
      </w:r>
      <w:r>
        <w:rPr>
          <w:color w:val="auto"/>
          <w:sz w:val="24"/>
          <w:szCs w:val="24"/>
          <w:highlight w:val="none"/>
        </w:rPr>
        <w:fldChar w:fldCharType="separate"/>
      </w:r>
      <w:r>
        <w:rPr>
          <w:color w:val="auto"/>
          <w:sz w:val="24"/>
          <w:szCs w:val="24"/>
          <w:highlight w:val="none"/>
        </w:rPr>
        <w:t>52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1311891">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_Toc21162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kern w:val="0"/>
          <w:sz w:val="24"/>
          <w:szCs w:val="24"/>
          <w:highlight w:val="none"/>
          <w:lang w:val="en-US" w:eastAsia="zh-CN" w:bidi="ar-SA"/>
        </w:rPr>
        <w:t>附件八：拟投入本项目设备情况一览表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_Toc21162 \h </w:instrText>
      </w:r>
      <w:r>
        <w:rPr>
          <w:color w:val="auto"/>
          <w:sz w:val="24"/>
          <w:szCs w:val="24"/>
          <w:highlight w:val="none"/>
        </w:rPr>
        <w:fldChar w:fldCharType="separate"/>
      </w:r>
      <w:r>
        <w:rPr>
          <w:color w:val="auto"/>
          <w:sz w:val="24"/>
          <w:szCs w:val="24"/>
          <w:highlight w:val="none"/>
        </w:rPr>
        <w:t>53</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829336A">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_Toc1565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eastAsia="zh-CN"/>
        </w:rPr>
        <w:t>3月4日</w:t>
      </w:r>
      <w:r>
        <w:rPr>
          <w:rFonts w:hint="eastAsia" w:ascii="仿宋" w:hAnsi="仿宋" w:eastAsia="仿宋" w:cs="仿宋"/>
          <w:color w:val="auto"/>
          <w:sz w:val="24"/>
          <w:szCs w:val="24"/>
          <w:highlight w:val="none"/>
        </w:rPr>
        <w:t>至今以来签订的同类业绩一览表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_Toc1565 \h </w:instrText>
      </w:r>
      <w:r>
        <w:rPr>
          <w:color w:val="auto"/>
          <w:sz w:val="24"/>
          <w:szCs w:val="24"/>
          <w:highlight w:val="none"/>
        </w:rPr>
        <w:fldChar w:fldCharType="separate"/>
      </w:r>
      <w:r>
        <w:rPr>
          <w:color w:val="auto"/>
          <w:sz w:val="24"/>
          <w:szCs w:val="24"/>
          <w:highlight w:val="none"/>
        </w:rPr>
        <w:t>54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132F0E6">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_Toc7195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十</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政策功能体现</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_Toc7195 \h </w:instrText>
      </w:r>
      <w:r>
        <w:rPr>
          <w:color w:val="auto"/>
          <w:sz w:val="24"/>
          <w:szCs w:val="24"/>
          <w:highlight w:val="none"/>
        </w:rPr>
        <w:fldChar w:fldCharType="separate"/>
      </w:r>
      <w:r>
        <w:rPr>
          <w:color w:val="auto"/>
          <w:sz w:val="24"/>
          <w:szCs w:val="24"/>
          <w:highlight w:val="none"/>
        </w:rPr>
        <w:t>55</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D7A148F">
      <w:pPr>
        <w:pStyle w:val="32"/>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_Toc3149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en-US" w:eastAsia="zh-CN"/>
        </w:rPr>
        <w:t>附件十一：</w:t>
      </w:r>
      <w:r>
        <w:rPr>
          <w:rFonts w:hint="eastAsia" w:ascii="仿宋" w:hAnsi="仿宋" w:eastAsia="仿宋" w:cs="仿宋"/>
          <w:color w:val="auto"/>
          <w:sz w:val="24"/>
          <w:szCs w:val="24"/>
          <w:highlight w:val="none"/>
        </w:rPr>
        <w:t>封面格式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_Toc3149 \h </w:instrText>
      </w:r>
      <w:r>
        <w:rPr>
          <w:color w:val="auto"/>
          <w:sz w:val="24"/>
          <w:szCs w:val="24"/>
          <w:highlight w:val="none"/>
        </w:rPr>
        <w:fldChar w:fldCharType="separate"/>
      </w:r>
      <w:r>
        <w:rPr>
          <w:color w:val="auto"/>
          <w:sz w:val="24"/>
          <w:szCs w:val="24"/>
          <w:highlight w:val="none"/>
        </w:rPr>
        <w:t>57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AFF0B60">
      <w:pPr>
        <w:spacing w:line="240" w:lineRule="auto"/>
        <w:jc w:val="center"/>
        <w:rPr>
          <w:rFonts w:hint="eastAsia" w:ascii="仿宋" w:hAnsi="仿宋" w:eastAsia="仿宋" w:cs="仿宋"/>
          <w:color w:val="auto"/>
          <w:kern w:val="2"/>
          <w:sz w:val="32"/>
          <w:highlight w:val="none"/>
        </w:rPr>
      </w:pP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8"/>
          <w:szCs w:val="28"/>
          <w:highlight w:val="none"/>
        </w:rPr>
        <w:br w:type="page"/>
      </w:r>
      <w:bookmarkStart w:id="21" w:name="_Toc30324796"/>
      <w:bookmarkStart w:id="22" w:name="_Toc356491305"/>
      <w:bookmarkStart w:id="23" w:name="_Toc5365"/>
      <w:r>
        <w:rPr>
          <w:rFonts w:hint="eastAsia" w:ascii="仿宋" w:hAnsi="仿宋" w:eastAsia="仿宋" w:cs="仿宋"/>
          <w:color w:val="auto"/>
          <w:kern w:val="2"/>
          <w:sz w:val="32"/>
          <w:highlight w:val="none"/>
        </w:rPr>
        <w:t>诚信廉政承诺书</w:t>
      </w:r>
      <w:bookmarkEnd w:id="21"/>
    </w:p>
    <w:p w14:paraId="7FF21977">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为充分体现公开、公平、公正、诚信原则，共同维护招投标市场秩序，本单位在参与招投标过程中特作以下承诺： </w:t>
      </w:r>
    </w:p>
    <w:p w14:paraId="076E6FD2">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1．严格遵守国家及山东大学第二医院招标采购管理规定，保证在招投标活动中无任何违规、违纪、违法行为。</w:t>
      </w:r>
    </w:p>
    <w:p w14:paraId="62F7AAF1">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2．不以各种名目向采购人、工作人员及其相关人员请客、送礼、赠送有价证券、提供回扣和行贿等。</w:t>
      </w:r>
    </w:p>
    <w:p w14:paraId="5EE31B90">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3.在与山东大学第二医院业务往来过程中无山东大学第二医院职工及其直系亲属参与或做出其他影响正常市场竞争秩序的行为。</w:t>
      </w:r>
    </w:p>
    <w:p w14:paraId="0C362D6E">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4．不以不正当手段向采购人谋取资格预审及投标的照顾。</w:t>
      </w:r>
    </w:p>
    <w:p w14:paraId="34FC33B2">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5．不以提供不正当利益等方式向标底编制、审查人员打听标底编制情况。</w:t>
      </w:r>
    </w:p>
    <w:p w14:paraId="6CDB9311">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6．在确定</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供应商前，不向评审专家打招呼谋求照顾，不与采购人就投标价格、投标方案等实质内容进行谈判。</w:t>
      </w:r>
    </w:p>
    <w:p w14:paraId="0FF7A5C4">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7．不与采购人或采购代理机构或其他供应商串通投标，损害国家利益、社会公共利益或者他人的合法权益。</w:t>
      </w:r>
    </w:p>
    <w:p w14:paraId="56499BBE">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8．中标后，不向采购人及工作人员赠送感谢费、好处费等。</w:t>
      </w:r>
    </w:p>
    <w:p w14:paraId="2D989337">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9．合同履行过程中不以任何形式及手段进行违规、违纪、违法活动。</w:t>
      </w:r>
    </w:p>
    <w:p w14:paraId="48AF6EF1">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10．所提供的一切材料都是真实、有效、合法的。</w:t>
      </w:r>
    </w:p>
    <w:p w14:paraId="719E183D">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11．不在开标后进行虚假恶意投诉。</w:t>
      </w:r>
    </w:p>
    <w:p w14:paraId="32FD33F9">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12．主动接受、配合山东大学第二医院招标办公室及纪检监察部门的监督检查。</w:t>
      </w:r>
    </w:p>
    <w:p w14:paraId="50402209">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4BB2B016">
      <w:pPr>
        <w:spacing w:line="440" w:lineRule="exact"/>
        <w:rPr>
          <w:rFonts w:hint="eastAsia" w:ascii="仿宋" w:hAnsi="仿宋" w:eastAsia="仿宋" w:cs="仿宋"/>
          <w:color w:val="auto"/>
          <w:highlight w:val="none"/>
        </w:rPr>
      </w:pPr>
    </w:p>
    <w:p w14:paraId="7880B8C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承诺单位（盖章）：                      法人代表</w:t>
      </w:r>
      <w:r>
        <w:rPr>
          <w:rFonts w:hint="eastAsia" w:ascii="仿宋" w:hAnsi="仿宋" w:eastAsia="仿宋" w:cs="仿宋"/>
          <w:color w:val="auto"/>
          <w:sz w:val="24"/>
          <w:highlight w:val="none"/>
          <w:lang w:val="en-US" w:eastAsia="zh-CN"/>
        </w:rPr>
        <w:t>或授权代理人</w:t>
      </w:r>
      <w:r>
        <w:rPr>
          <w:rFonts w:hint="eastAsia" w:ascii="仿宋" w:hAnsi="仿宋" w:eastAsia="仿宋" w:cs="仿宋"/>
          <w:color w:val="auto"/>
          <w:sz w:val="24"/>
          <w:highlight w:val="none"/>
        </w:rPr>
        <w:t>（签字或盖章）：</w:t>
      </w:r>
    </w:p>
    <w:p w14:paraId="36BA3751">
      <w:pPr>
        <w:spacing w:line="440" w:lineRule="exact"/>
        <w:rPr>
          <w:rFonts w:hint="eastAsia" w:ascii="仿宋" w:hAnsi="仿宋" w:eastAsia="仿宋" w:cs="仿宋"/>
          <w:color w:val="auto"/>
          <w:sz w:val="24"/>
          <w:highlight w:val="none"/>
        </w:rPr>
      </w:pPr>
    </w:p>
    <w:p w14:paraId="684E9D0C">
      <w:pPr>
        <w:spacing w:line="440" w:lineRule="exact"/>
        <w:rPr>
          <w:rFonts w:hint="eastAsia" w:ascii="仿宋" w:hAnsi="仿宋" w:eastAsia="仿宋" w:cs="仿宋"/>
          <w:color w:val="auto"/>
          <w:highlight w:val="none"/>
        </w:rPr>
      </w:pPr>
    </w:p>
    <w:p w14:paraId="04FF754D">
      <w:pPr>
        <w:spacing w:line="440" w:lineRule="exact"/>
        <w:ind w:firstLine="6240" w:firstLineChars="26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年    月    日</w:t>
      </w:r>
    </w:p>
    <w:p w14:paraId="344233F5">
      <w:pPr>
        <w:pStyle w:val="22"/>
        <w:spacing w:line="440" w:lineRule="exact"/>
        <w:ind w:firstLine="2007" w:firstLineChars="833"/>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投标人</w:t>
      </w:r>
      <w:r>
        <w:rPr>
          <w:rFonts w:hint="eastAsia" w:ascii="仿宋" w:hAnsi="仿宋" w:eastAsia="仿宋" w:cs="仿宋"/>
          <w:b/>
          <w:color w:val="auto"/>
          <w:sz w:val="24"/>
          <w:highlight w:val="none"/>
        </w:rPr>
        <w:t>签章后作为</w:t>
      </w:r>
      <w:r>
        <w:rPr>
          <w:rFonts w:hint="eastAsia" w:ascii="仿宋" w:hAnsi="仿宋" w:eastAsia="仿宋" w:cs="仿宋"/>
          <w:b/>
          <w:color w:val="auto"/>
          <w:sz w:val="24"/>
          <w:highlight w:val="none"/>
          <w:lang w:val="en-US" w:eastAsia="zh-CN"/>
        </w:rPr>
        <w:t>投标</w:t>
      </w:r>
      <w:r>
        <w:rPr>
          <w:rFonts w:hint="eastAsia" w:ascii="仿宋" w:hAnsi="仿宋" w:eastAsia="仿宋" w:cs="仿宋"/>
          <w:b/>
          <w:color w:val="auto"/>
          <w:sz w:val="24"/>
          <w:highlight w:val="none"/>
          <w:lang w:eastAsia="zh-CN"/>
        </w:rPr>
        <w:t>文件</w:t>
      </w:r>
      <w:r>
        <w:rPr>
          <w:rFonts w:hint="eastAsia" w:ascii="仿宋" w:hAnsi="仿宋" w:eastAsia="仿宋" w:cs="仿宋"/>
          <w:b/>
          <w:color w:val="auto"/>
          <w:sz w:val="24"/>
          <w:highlight w:val="none"/>
        </w:rPr>
        <w:t>的一部分）</w:t>
      </w:r>
    </w:p>
    <w:p w14:paraId="41D37B59">
      <w:pPr>
        <w:rPr>
          <w:rFonts w:hint="eastAsia" w:ascii="仿宋" w:hAnsi="仿宋" w:eastAsia="仿宋" w:cs="仿宋"/>
          <w:color w:val="auto"/>
          <w:highlight w:val="none"/>
        </w:rPr>
      </w:pPr>
    </w:p>
    <w:p w14:paraId="14D36F13">
      <w:pPr>
        <w:keepLines/>
        <w:pageBreakBefore w:val="0"/>
        <w:shd w:val="solid" w:color="FFFFFF" w:fill="auto"/>
        <w:kinsoku/>
        <w:overflowPunct/>
        <w:topLinePunct w:val="0"/>
        <w:autoSpaceDN w:val="0"/>
        <w:bidi w:val="0"/>
        <w:snapToGrid w:val="0"/>
        <w:spacing w:line="500" w:lineRule="exact"/>
        <w:jc w:val="center"/>
        <w:rPr>
          <w:rFonts w:hint="eastAsia" w:ascii="仿宋" w:hAnsi="仿宋" w:eastAsia="仿宋" w:cs="仿宋"/>
          <w:color w:val="auto"/>
          <w:sz w:val="36"/>
          <w:szCs w:val="36"/>
          <w:highlight w:val="none"/>
        </w:rPr>
      </w:pPr>
    </w:p>
    <w:p w14:paraId="43E79774">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br w:type="page"/>
      </w:r>
    </w:p>
    <w:p w14:paraId="515ADD04">
      <w:pPr>
        <w:pageBreakBefore w:val="0"/>
        <w:kinsoku/>
        <w:overflowPunct/>
        <w:topLinePunct w:val="0"/>
        <w:bidi w:val="0"/>
        <w:snapToGrid/>
        <w:spacing w:line="360" w:lineRule="auto"/>
        <w:ind w:firstLine="562" w:firstLineChars="200"/>
        <w:jc w:val="center"/>
        <w:outlineLvl w:val="0"/>
        <w:rPr>
          <w:rFonts w:hint="eastAsia" w:ascii="仿宋" w:hAnsi="仿宋" w:eastAsia="仿宋" w:cs="仿宋"/>
          <w:color w:val="auto"/>
          <w:kern w:val="0"/>
          <w:sz w:val="24"/>
          <w:szCs w:val="24"/>
          <w:highlight w:val="none"/>
        </w:rPr>
      </w:pPr>
      <w:bookmarkStart w:id="24" w:name="_Toc10454"/>
      <w:r>
        <w:rPr>
          <w:rFonts w:hint="eastAsia" w:ascii="仿宋" w:hAnsi="仿宋" w:eastAsia="仿宋" w:cs="仿宋"/>
          <w:b/>
          <w:bCs w:val="0"/>
          <w:color w:val="auto"/>
          <w:sz w:val="28"/>
          <w:szCs w:val="28"/>
          <w:highlight w:val="none"/>
        </w:rPr>
        <w:t xml:space="preserve">第一部分 </w:t>
      </w:r>
      <w:r>
        <w:rPr>
          <w:rFonts w:hint="eastAsia" w:ascii="仿宋" w:hAnsi="仿宋" w:eastAsia="仿宋" w:cs="仿宋"/>
          <w:b/>
          <w:bCs w:val="0"/>
          <w:color w:val="auto"/>
          <w:sz w:val="24"/>
          <w:szCs w:val="24"/>
          <w:highlight w:val="none"/>
        </w:rPr>
        <w:t>招标</w:t>
      </w:r>
      <w:bookmarkEnd w:id="22"/>
      <w:bookmarkEnd w:id="23"/>
      <w:r>
        <w:rPr>
          <w:rFonts w:hint="eastAsia" w:ascii="仿宋" w:hAnsi="仿宋" w:eastAsia="仿宋" w:cs="仿宋"/>
          <w:b/>
          <w:bCs w:val="0"/>
          <w:color w:val="auto"/>
          <w:sz w:val="24"/>
          <w:szCs w:val="24"/>
          <w:highlight w:val="none"/>
          <w:lang w:val="en-US" w:eastAsia="zh-CN"/>
        </w:rPr>
        <w:t>公告</w:t>
      </w:r>
      <w:bookmarkEnd w:id="20"/>
      <w:bookmarkEnd w:id="24"/>
      <w:bookmarkStart w:id="25" w:name="_Toc325582066"/>
      <w:bookmarkStart w:id="26" w:name="_Toc325620702"/>
      <w:bookmarkStart w:id="27" w:name="_Toc325582571"/>
    </w:p>
    <w:p w14:paraId="44FF357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5C7DE82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山东大学第二医院历史病案扫描数字化加工服务项目</w:t>
      </w:r>
      <w:r>
        <w:rPr>
          <w:rFonts w:hint="eastAsia" w:ascii="仿宋" w:hAnsi="仿宋" w:eastAsia="仿宋" w:cs="仿宋"/>
          <w:color w:val="auto"/>
          <w:sz w:val="24"/>
          <w:szCs w:val="24"/>
          <w:highlight w:val="none"/>
        </w:rPr>
        <w:t>的潜在投标人应在山东济南唐冶西路868号山东设计创意产业园南区B1楼获取招标文件，并于</w:t>
      </w:r>
      <w:r>
        <w:rPr>
          <w:rFonts w:hint="eastAsia" w:ascii="仿宋" w:hAnsi="仿宋" w:eastAsia="仿宋" w:cs="仿宋"/>
          <w:bCs/>
          <w:color w:val="auto"/>
          <w:sz w:val="24"/>
          <w:szCs w:val="24"/>
          <w:highlight w:val="none"/>
          <w:u w:val="single"/>
          <w:lang w:val="en-US" w:eastAsia="zh-CN"/>
        </w:rPr>
        <w:t>2025年3月4日</w:t>
      </w:r>
      <w:r>
        <w:rPr>
          <w:rFonts w:hint="eastAsia" w:ascii="仿宋" w:hAnsi="仿宋" w:eastAsia="仿宋" w:cs="仿宋"/>
          <w:color w:val="auto"/>
          <w:sz w:val="24"/>
          <w:szCs w:val="24"/>
          <w:highlight w:val="none"/>
          <w:u w:val="single"/>
          <w:lang w:val="en-US" w:eastAsia="zh-CN"/>
        </w:rPr>
        <w:t>08</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rPr>
        <w:t>北京时间）前递交投标文件</w:t>
      </w:r>
      <w:r>
        <w:rPr>
          <w:rFonts w:hint="eastAsia" w:ascii="仿宋" w:hAnsi="仿宋" w:eastAsia="仿宋" w:cs="仿宋"/>
          <w:color w:val="auto"/>
          <w:sz w:val="24"/>
          <w:szCs w:val="24"/>
          <w:highlight w:val="none"/>
        </w:rPr>
        <w:t>。</w:t>
      </w:r>
    </w:p>
    <w:p w14:paraId="57F486EF">
      <w:pPr>
        <w:rPr>
          <w:rFonts w:hint="eastAsia" w:ascii="仿宋" w:hAnsi="仿宋" w:eastAsia="仿宋" w:cs="仿宋"/>
          <w:color w:val="auto"/>
          <w:sz w:val="24"/>
          <w:szCs w:val="24"/>
          <w:highlight w:val="none"/>
        </w:rPr>
      </w:pPr>
    </w:p>
    <w:p w14:paraId="0F2282CA">
      <w:pPr>
        <w:spacing w:line="360" w:lineRule="auto"/>
        <w:outlineLvl w:val="9"/>
        <w:rPr>
          <w:rFonts w:hint="eastAsia" w:ascii="仿宋" w:hAnsi="仿宋" w:eastAsia="仿宋" w:cs="仿宋"/>
          <w:b/>
          <w:bCs w:val="0"/>
          <w:color w:val="auto"/>
          <w:sz w:val="24"/>
          <w:szCs w:val="24"/>
          <w:highlight w:val="none"/>
        </w:rPr>
      </w:pPr>
      <w:bookmarkStart w:id="28" w:name="_Toc28359002"/>
      <w:bookmarkStart w:id="29" w:name="_Toc28359079"/>
      <w:bookmarkStart w:id="30" w:name="_Toc35393790"/>
      <w:bookmarkStart w:id="31" w:name="_Toc35393621"/>
      <w:bookmarkStart w:id="32" w:name="_Hlk24379207"/>
      <w:r>
        <w:rPr>
          <w:rFonts w:hint="eastAsia" w:ascii="仿宋" w:hAnsi="仿宋" w:eastAsia="仿宋" w:cs="仿宋"/>
          <w:b/>
          <w:bCs w:val="0"/>
          <w:color w:val="auto"/>
          <w:sz w:val="24"/>
          <w:szCs w:val="24"/>
          <w:highlight w:val="none"/>
        </w:rPr>
        <w:t>一、项目基本情况</w:t>
      </w:r>
      <w:bookmarkEnd w:id="28"/>
      <w:bookmarkEnd w:id="29"/>
      <w:bookmarkEnd w:id="30"/>
      <w:bookmarkEnd w:id="31"/>
    </w:p>
    <w:p w14:paraId="37CCEEB7">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SHZB2025-006</w:t>
      </w:r>
    </w:p>
    <w:p w14:paraId="526028A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山东大学第二医院历史病案扫描数字化加工服务项目</w:t>
      </w:r>
    </w:p>
    <w:bookmarkEnd w:id="32"/>
    <w:p w14:paraId="10A85D9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81.31万元/年,243.93万元/3年。</w:t>
      </w:r>
    </w:p>
    <w:p w14:paraId="05C0F060">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最高限价（如有）：</w:t>
      </w:r>
      <w:r>
        <w:rPr>
          <w:rFonts w:hint="eastAsia" w:ascii="仿宋" w:hAnsi="仿宋" w:eastAsia="仿宋" w:cs="仿宋"/>
          <w:color w:val="auto"/>
          <w:sz w:val="24"/>
          <w:szCs w:val="24"/>
          <w:highlight w:val="none"/>
          <w:lang w:eastAsia="zh-CN"/>
        </w:rPr>
        <w:t>0.085元/页</w:t>
      </w:r>
      <w:r>
        <w:rPr>
          <w:rFonts w:hint="eastAsia" w:ascii="仿宋" w:hAnsi="仿宋" w:eastAsia="仿宋" w:cs="仿宋"/>
          <w:color w:val="auto"/>
          <w:sz w:val="24"/>
          <w:szCs w:val="24"/>
          <w:highlight w:val="none"/>
          <w:lang w:val="en-US" w:eastAsia="zh-CN"/>
        </w:rPr>
        <w:t>。</w:t>
      </w:r>
    </w:p>
    <w:p w14:paraId="3B25DEFE">
      <w:pPr>
        <w:spacing w:line="360" w:lineRule="auto"/>
        <w:ind w:firstLine="480" w:firstLineChars="200"/>
        <w:rPr>
          <w:rFonts w:hint="eastAsia" w:ascii="仿宋" w:hAnsi="仿宋" w:eastAsia="仿宋" w:cs="仿宋"/>
          <w:color w:val="auto"/>
          <w:sz w:val="22"/>
          <w:szCs w:val="22"/>
          <w:highlight w:val="none"/>
        </w:rPr>
      </w:pPr>
      <w:r>
        <w:rPr>
          <w:rFonts w:hint="eastAsia" w:ascii="仿宋" w:hAnsi="仿宋" w:eastAsia="仿宋" w:cs="仿宋"/>
          <w:color w:val="auto"/>
          <w:sz w:val="24"/>
          <w:szCs w:val="24"/>
          <w:highlight w:val="none"/>
        </w:rPr>
        <w:t>采购需求：本项目为</w:t>
      </w:r>
      <w:r>
        <w:rPr>
          <w:rFonts w:hint="eastAsia" w:ascii="仿宋" w:hAnsi="仿宋" w:eastAsia="仿宋" w:cs="仿宋"/>
          <w:color w:val="auto"/>
          <w:sz w:val="24"/>
          <w:szCs w:val="24"/>
          <w:highlight w:val="none"/>
          <w:lang w:eastAsia="zh-CN"/>
        </w:rPr>
        <w:t>山东大学第二医院历史病案扫描数字化加工服务项目</w:t>
      </w:r>
      <w:r>
        <w:rPr>
          <w:rFonts w:hint="eastAsia" w:ascii="仿宋" w:hAnsi="仿宋" w:eastAsia="仿宋" w:cs="仿宋"/>
          <w:color w:val="auto"/>
          <w:sz w:val="24"/>
          <w:szCs w:val="24"/>
          <w:highlight w:val="none"/>
        </w:rPr>
        <w:t>，具体技术要求详见</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w:t>
      </w:r>
    </w:p>
    <w:p w14:paraId="6BA1CCF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合同履行期限：三年。</w:t>
      </w:r>
    </w:p>
    <w:p w14:paraId="392EFFA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接受联合体投标。</w:t>
      </w:r>
    </w:p>
    <w:p w14:paraId="400CC75F">
      <w:pPr>
        <w:spacing w:line="360" w:lineRule="auto"/>
        <w:outlineLvl w:val="9"/>
        <w:rPr>
          <w:rFonts w:hint="eastAsia" w:ascii="仿宋" w:hAnsi="仿宋" w:eastAsia="仿宋" w:cs="仿宋"/>
          <w:b/>
          <w:bCs w:val="0"/>
          <w:color w:val="auto"/>
          <w:sz w:val="24"/>
          <w:szCs w:val="24"/>
          <w:highlight w:val="none"/>
        </w:rPr>
      </w:pPr>
      <w:bookmarkStart w:id="33" w:name="_Toc28359080"/>
      <w:bookmarkStart w:id="34" w:name="_Toc28359003"/>
      <w:bookmarkStart w:id="35" w:name="_Toc35393791"/>
      <w:bookmarkStart w:id="36" w:name="_Toc35393622"/>
      <w:r>
        <w:rPr>
          <w:rFonts w:hint="eastAsia" w:ascii="仿宋" w:hAnsi="仿宋" w:eastAsia="仿宋" w:cs="仿宋"/>
          <w:b/>
          <w:bCs w:val="0"/>
          <w:color w:val="auto"/>
          <w:sz w:val="24"/>
          <w:szCs w:val="24"/>
          <w:highlight w:val="none"/>
        </w:rPr>
        <w:t>二、申请人的资格要求：</w:t>
      </w:r>
      <w:bookmarkEnd w:id="33"/>
      <w:bookmarkEnd w:id="34"/>
      <w:bookmarkEnd w:id="35"/>
      <w:bookmarkEnd w:id="36"/>
    </w:p>
    <w:p w14:paraId="436068A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0252D926">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2.落实政府采购政策需满足的资格要求：本项目不属于专门面向中小企业采购的项目；</w:t>
      </w:r>
    </w:p>
    <w:p w14:paraId="70E1BF50">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3.本项目的特定资格要求：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bookmarkStart w:id="37" w:name="_Toc28359004"/>
      <w:bookmarkStart w:id="38" w:name="_Toc28359081"/>
      <w:bookmarkStart w:id="39" w:name="_Toc35393792"/>
      <w:bookmarkStart w:id="40" w:name="_Toc35393623"/>
      <w:r>
        <w:rPr>
          <w:rFonts w:hint="eastAsia" w:ascii="仿宋" w:hAnsi="仿宋" w:eastAsia="仿宋" w:cs="仿宋"/>
          <w:color w:val="auto"/>
          <w:sz w:val="24"/>
          <w:szCs w:val="24"/>
          <w:highlight w:val="none"/>
          <w:lang w:val="en-US" w:eastAsia="zh-CN"/>
        </w:rPr>
        <w:t>必须为未列入“信用中国”、“中国政府采购网”失信被执行人、重大税收违法失信主体、政府采购严重违法失信名单的企业。（2）单位负责人为同一人或者存在直接控股、管理关系的不同供应商，不得参加同一包的投标或者未划分包的同一招标项目的投标。</w:t>
      </w:r>
    </w:p>
    <w:p w14:paraId="7CA92605">
      <w:pPr>
        <w:spacing w:line="360" w:lineRule="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rPr>
        <w:t>三、获取招标文件</w:t>
      </w:r>
      <w:bookmarkEnd w:id="37"/>
      <w:bookmarkEnd w:id="38"/>
      <w:bookmarkEnd w:id="39"/>
      <w:bookmarkEnd w:id="40"/>
    </w:p>
    <w:p w14:paraId="7BF3CC69">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2月10</w:t>
      </w:r>
      <w:r>
        <w:rPr>
          <w:rFonts w:hint="eastAsia" w:ascii="仿宋" w:hAnsi="仿宋" w:eastAsia="仿宋" w:cs="仿宋"/>
          <w:color w:val="auto"/>
          <w:sz w:val="24"/>
          <w:szCs w:val="24"/>
          <w:highlight w:val="none"/>
        </w:rPr>
        <w:t xml:space="preserve">日至 </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2月17</w:t>
      </w:r>
      <w:r>
        <w:rPr>
          <w:rFonts w:hint="eastAsia" w:ascii="仿宋" w:hAnsi="仿宋" w:eastAsia="仿宋" w:cs="仿宋"/>
          <w:color w:val="auto"/>
          <w:sz w:val="24"/>
          <w:szCs w:val="24"/>
          <w:highlight w:val="none"/>
        </w:rPr>
        <w:t>日，每天上午8:30至12:00，下午12:00至17:30（北京时间，法定节假日除外）</w:t>
      </w:r>
      <w:r>
        <w:rPr>
          <w:rFonts w:hint="eastAsia" w:ascii="仿宋" w:hAnsi="仿宋" w:eastAsia="仿宋" w:cs="仿宋"/>
          <w:color w:val="auto"/>
          <w:sz w:val="24"/>
          <w:szCs w:val="24"/>
          <w:highlight w:val="none"/>
          <w:lang w:eastAsia="zh-CN"/>
        </w:rPr>
        <w:t>。</w:t>
      </w:r>
    </w:p>
    <w:p w14:paraId="13EE6D6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地点：山东济南唐冶西路868号山东设计创意产业园南区B1楼</w:t>
      </w:r>
    </w:p>
    <w:p w14:paraId="5339C5C8">
      <w:pPr>
        <w:spacing w:line="360" w:lineRule="auto"/>
        <w:ind w:firstLine="54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4"/>
          <w:highlight w:val="none"/>
        </w:rPr>
        <w:t>方式：现场获取、电汇获取（二选一）。（1）现场获取</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相关事宜：供应商现场填写标书购买交款单并根据交款单注意事项在中招联合招标采购平台完成注册。（2）电汇形式购买：有意参加本次采购活动的供应商汇款底单备注填写项目名称、项目编号、公司名称、联系人、联系电话。汇款完成后，供应商登录中招联合招标采购平台（www.365trade.com.cn）搜索对应项目，点击立即购标-选择“电汇”方式，上传交款凭证，等待审核。开户单位全称：盛和招标代理有限公司。开户行：兴业银行济南燕山支行。账号：376060100100168341。如需在线缴纳保证金，审核通过后可在线获取保证金虚拟账号进行缴纳。（注：首次登录前需完成免费注册，平台将对供应商注册信息与其提供的附件信息进行一致性检查；注册为一次性工作，生成账号后可长期使用，后续若有需要只需变更及完善相关信息；注册成功后，该账号可用于参与平台上发布的其他招标项目。平台注册成功后，需真实准确完善用户信息，特别是财务信息。平台统一服务热线：010-86397110，(工作日9:00-12:00，13:30-17:00)。）注：1、本项目实行资格后审，获取</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成功不代表资格后审的通过。2、本采购项目的变更、修改、澄清等内容均在“中国政府采购网”发布。相关内容一经在“中国政府采购网”发布，视作已发放给所有潜在供应商。各潜在供应商应随时关注并及时自行查阅网站信息，未按要求查阅者自行承担相应后果。公告、公示时间以中国政府采购网发布时间为准</w:t>
      </w:r>
      <w:r>
        <w:rPr>
          <w:rFonts w:hint="eastAsia" w:ascii="仿宋" w:hAnsi="仿宋" w:eastAsia="仿宋" w:cs="仿宋"/>
          <w:color w:val="auto"/>
          <w:sz w:val="24"/>
          <w:szCs w:val="24"/>
          <w:highlight w:val="none"/>
          <w:lang w:val="en-US" w:eastAsia="zh-CN"/>
        </w:rPr>
        <w:t>。</w:t>
      </w:r>
    </w:p>
    <w:p w14:paraId="2B9B0725">
      <w:pPr>
        <w:spacing w:line="360" w:lineRule="auto"/>
        <w:ind w:firstLine="480" w:firstLineChars="200"/>
        <w:outlineLvl w:val="9"/>
        <w:rPr>
          <w:rFonts w:hint="eastAsia" w:ascii="仿宋" w:hAnsi="仿宋" w:eastAsia="仿宋" w:cs="仿宋"/>
          <w:b w:val="0"/>
          <w:color w:val="auto"/>
          <w:sz w:val="24"/>
          <w:szCs w:val="24"/>
          <w:highlight w:val="none"/>
        </w:rPr>
      </w:pPr>
      <w:bookmarkStart w:id="41" w:name="_Toc28359082"/>
      <w:bookmarkStart w:id="42" w:name="_Toc28359005"/>
      <w:bookmarkStart w:id="43" w:name="_Toc35393624"/>
      <w:bookmarkStart w:id="44" w:name="_Toc35393793"/>
      <w:r>
        <w:rPr>
          <w:rFonts w:hint="eastAsia" w:ascii="仿宋" w:hAnsi="仿宋" w:eastAsia="仿宋" w:cs="仿宋"/>
          <w:color w:val="auto"/>
          <w:sz w:val="24"/>
          <w:szCs w:val="24"/>
          <w:highlight w:val="none"/>
        </w:rPr>
        <w:t>售价：￥300.0 元（人民币）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售后不退。</w:t>
      </w:r>
    </w:p>
    <w:p w14:paraId="709A1AE7">
      <w:pPr>
        <w:spacing w:line="360" w:lineRule="auto"/>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四、提交投标文件</w:t>
      </w:r>
      <w:bookmarkEnd w:id="41"/>
      <w:bookmarkEnd w:id="42"/>
      <w:r>
        <w:rPr>
          <w:rFonts w:hint="eastAsia" w:ascii="仿宋" w:hAnsi="仿宋" w:eastAsia="仿宋" w:cs="仿宋"/>
          <w:b w:val="0"/>
          <w:color w:val="auto"/>
          <w:sz w:val="24"/>
          <w:szCs w:val="24"/>
          <w:highlight w:val="none"/>
        </w:rPr>
        <w:t>截止时间、开标时间和地点</w:t>
      </w:r>
      <w:bookmarkEnd w:id="43"/>
      <w:bookmarkEnd w:id="44"/>
    </w:p>
    <w:p w14:paraId="3113215E">
      <w:pPr>
        <w:spacing w:line="360" w:lineRule="auto"/>
        <w:ind w:firstLine="480" w:firstLineChars="200"/>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lang w:val="en-US" w:eastAsia="zh-CN"/>
        </w:rPr>
        <w:t>时间：2025年3月4日08</w:t>
      </w:r>
      <w:r>
        <w:rPr>
          <w:rFonts w:hint="eastAsia" w:ascii="仿宋" w:hAnsi="仿宋" w:eastAsia="仿宋" w:cs="仿宋"/>
          <w:bCs/>
          <w:color w:val="auto"/>
          <w:sz w:val="24"/>
          <w:szCs w:val="24"/>
          <w:highlight w:val="none"/>
          <w:u w:val="none"/>
        </w:rPr>
        <w:t>点</w:t>
      </w:r>
      <w:r>
        <w:rPr>
          <w:rFonts w:hint="eastAsia" w:ascii="仿宋" w:hAnsi="仿宋" w:eastAsia="仿宋" w:cs="仿宋"/>
          <w:bCs/>
          <w:color w:val="auto"/>
          <w:sz w:val="24"/>
          <w:szCs w:val="24"/>
          <w:highlight w:val="none"/>
          <w:u w:val="none"/>
          <w:lang w:val="en-US" w:eastAsia="zh-CN"/>
        </w:rPr>
        <w:t>30</w:t>
      </w:r>
      <w:r>
        <w:rPr>
          <w:rFonts w:hint="eastAsia" w:ascii="仿宋" w:hAnsi="仿宋" w:eastAsia="仿宋" w:cs="仿宋"/>
          <w:bCs/>
          <w:color w:val="auto"/>
          <w:sz w:val="24"/>
          <w:szCs w:val="24"/>
          <w:highlight w:val="none"/>
          <w:u w:val="none"/>
        </w:rPr>
        <w:t>分（北京时间）</w:t>
      </w:r>
    </w:p>
    <w:p w14:paraId="45AA8742">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山东大学第二医院文会学堂</w:t>
      </w:r>
      <w:r>
        <w:rPr>
          <w:rFonts w:hint="eastAsia" w:ascii="仿宋" w:hAnsi="仿宋" w:eastAsia="仿宋" w:cs="仿宋"/>
          <w:color w:val="auto"/>
          <w:sz w:val="24"/>
          <w:szCs w:val="24"/>
          <w:highlight w:val="none"/>
        </w:rPr>
        <w:t>（地址：济南市天桥区北园大街247号）。</w:t>
      </w:r>
    </w:p>
    <w:p w14:paraId="260C1CB8">
      <w:pPr>
        <w:spacing w:line="360" w:lineRule="auto"/>
        <w:outlineLvl w:val="9"/>
        <w:rPr>
          <w:rFonts w:hint="eastAsia" w:ascii="仿宋" w:hAnsi="仿宋" w:eastAsia="仿宋" w:cs="仿宋"/>
          <w:b/>
          <w:bCs w:val="0"/>
          <w:color w:val="auto"/>
          <w:sz w:val="24"/>
          <w:szCs w:val="24"/>
          <w:highlight w:val="none"/>
        </w:rPr>
      </w:pPr>
      <w:bookmarkStart w:id="45" w:name="_Toc28359084"/>
      <w:bookmarkStart w:id="46" w:name="_Toc35393625"/>
      <w:bookmarkStart w:id="47" w:name="_Toc35393794"/>
      <w:bookmarkStart w:id="48" w:name="_Toc28359007"/>
      <w:r>
        <w:rPr>
          <w:rFonts w:hint="eastAsia" w:ascii="仿宋" w:hAnsi="仿宋" w:eastAsia="仿宋" w:cs="仿宋"/>
          <w:b/>
          <w:bCs w:val="0"/>
          <w:color w:val="auto"/>
          <w:sz w:val="24"/>
          <w:szCs w:val="24"/>
          <w:highlight w:val="none"/>
        </w:rPr>
        <w:t>五、公告期限</w:t>
      </w:r>
      <w:bookmarkEnd w:id="45"/>
      <w:bookmarkEnd w:id="46"/>
      <w:bookmarkEnd w:id="47"/>
      <w:bookmarkEnd w:id="48"/>
    </w:p>
    <w:p w14:paraId="538E3EAC">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53F7A079">
      <w:pPr>
        <w:spacing w:line="360" w:lineRule="auto"/>
        <w:outlineLvl w:val="9"/>
        <w:rPr>
          <w:rFonts w:hint="eastAsia" w:ascii="仿宋" w:hAnsi="仿宋" w:eastAsia="仿宋" w:cs="仿宋"/>
          <w:b/>
          <w:bCs w:val="0"/>
          <w:color w:val="auto"/>
          <w:sz w:val="24"/>
          <w:szCs w:val="24"/>
          <w:highlight w:val="none"/>
        </w:rPr>
      </w:pPr>
      <w:bookmarkStart w:id="49" w:name="_Toc35393795"/>
      <w:bookmarkStart w:id="50" w:name="_Toc35393626"/>
      <w:r>
        <w:rPr>
          <w:rFonts w:hint="eastAsia" w:ascii="仿宋" w:hAnsi="仿宋" w:eastAsia="仿宋" w:cs="仿宋"/>
          <w:b/>
          <w:bCs w:val="0"/>
          <w:color w:val="auto"/>
          <w:sz w:val="24"/>
          <w:szCs w:val="24"/>
          <w:highlight w:val="none"/>
        </w:rPr>
        <w:t>六、其他补充事宜</w:t>
      </w:r>
      <w:bookmarkEnd w:id="49"/>
      <w:bookmarkEnd w:id="50"/>
    </w:p>
    <w:p w14:paraId="6A7CE821">
      <w:pPr>
        <w:spacing w:line="360" w:lineRule="auto"/>
        <w:ind w:firstLine="480" w:firstLineChars="200"/>
        <w:rPr>
          <w:rFonts w:hint="eastAsia" w:ascii="仿宋" w:hAnsi="仿宋" w:eastAsia="仿宋" w:cs="仿宋"/>
          <w:color w:val="auto"/>
          <w:kern w:val="0"/>
          <w:sz w:val="24"/>
          <w:szCs w:val="24"/>
          <w:highlight w:val="none"/>
        </w:rPr>
      </w:pPr>
      <w:bookmarkStart w:id="51" w:name="_Toc9359"/>
      <w:bookmarkStart w:id="52" w:name="_Toc27143"/>
      <w:bookmarkStart w:id="53" w:name="_Toc8523"/>
      <w:bookmarkStart w:id="54" w:name="_Toc27247"/>
      <w:bookmarkStart w:id="55" w:name="_Toc13738"/>
      <w:bookmarkStart w:id="56" w:name="_Toc11380"/>
      <w:bookmarkStart w:id="57" w:name="_Toc35393627"/>
      <w:bookmarkStart w:id="58" w:name="_Toc28359008"/>
      <w:bookmarkStart w:id="59" w:name="_Toc35393796"/>
      <w:bookmarkStart w:id="60" w:name="_Toc28359085"/>
      <w:r>
        <w:rPr>
          <w:rFonts w:hint="eastAsia" w:ascii="仿宋" w:hAnsi="仿宋" w:eastAsia="仿宋" w:cs="仿宋"/>
          <w:color w:val="auto"/>
          <w:kern w:val="0"/>
          <w:sz w:val="24"/>
          <w:szCs w:val="24"/>
          <w:highlight w:val="none"/>
        </w:rPr>
        <w:t>采购项目需要落实的政府采购政策</w:t>
      </w:r>
      <w:bookmarkEnd w:id="51"/>
      <w:bookmarkEnd w:id="52"/>
      <w:bookmarkEnd w:id="53"/>
      <w:bookmarkEnd w:id="54"/>
      <w:bookmarkEnd w:id="55"/>
      <w:bookmarkEnd w:id="56"/>
    </w:p>
    <w:p w14:paraId="6836EFF7">
      <w:pPr>
        <w:spacing w:line="360" w:lineRule="auto"/>
        <w:ind w:firstLine="480" w:firstLineChars="200"/>
        <w:rPr>
          <w:rFonts w:hint="eastAsia" w:ascii="仿宋" w:hAnsi="仿宋" w:eastAsia="仿宋" w:cs="仿宋"/>
          <w:color w:val="auto"/>
          <w:kern w:val="0"/>
          <w:sz w:val="24"/>
          <w:szCs w:val="24"/>
          <w:highlight w:val="none"/>
        </w:rPr>
      </w:pPr>
      <w:bookmarkStart w:id="61" w:name="_Toc21415"/>
      <w:bookmarkStart w:id="62" w:name="_Toc4986"/>
      <w:bookmarkStart w:id="63" w:name="_Toc32511"/>
      <w:bookmarkStart w:id="64" w:name="_Toc5740"/>
      <w:bookmarkStart w:id="65" w:name="_Toc13114"/>
      <w:bookmarkStart w:id="66" w:name="_Toc25231"/>
      <w:r>
        <w:rPr>
          <w:rFonts w:hint="eastAsia" w:ascii="仿宋" w:hAnsi="仿宋" w:eastAsia="仿宋" w:cs="仿宋"/>
          <w:color w:val="auto"/>
          <w:kern w:val="0"/>
          <w:sz w:val="24"/>
          <w:szCs w:val="24"/>
          <w:highlight w:val="none"/>
        </w:rPr>
        <w:t>（一）中小微型企业政府采购政策</w:t>
      </w:r>
      <w:bookmarkEnd w:id="61"/>
      <w:bookmarkEnd w:id="62"/>
      <w:bookmarkEnd w:id="63"/>
      <w:bookmarkEnd w:id="64"/>
      <w:bookmarkEnd w:id="65"/>
      <w:bookmarkEnd w:id="66"/>
    </w:p>
    <w:p w14:paraId="678DDDEA">
      <w:pPr>
        <w:spacing w:line="360" w:lineRule="auto"/>
        <w:ind w:firstLine="480" w:firstLineChars="200"/>
        <w:rPr>
          <w:rFonts w:hint="eastAsia" w:ascii="仿宋" w:hAnsi="仿宋" w:eastAsia="仿宋" w:cs="仿宋"/>
          <w:color w:val="auto"/>
          <w:kern w:val="0"/>
          <w:sz w:val="24"/>
          <w:szCs w:val="24"/>
          <w:highlight w:val="none"/>
        </w:rPr>
      </w:pPr>
      <w:bookmarkStart w:id="67" w:name="_Toc27124"/>
      <w:bookmarkStart w:id="68" w:name="_Toc2425"/>
      <w:bookmarkStart w:id="69" w:name="_Toc18856"/>
      <w:bookmarkStart w:id="70" w:name="_Toc6934"/>
      <w:bookmarkStart w:id="71" w:name="_Toc24918"/>
      <w:bookmarkStart w:id="72" w:name="_Toc16973"/>
      <w:r>
        <w:rPr>
          <w:rFonts w:hint="eastAsia" w:ascii="仿宋" w:hAnsi="仿宋" w:eastAsia="仿宋" w:cs="仿宋"/>
          <w:color w:val="auto"/>
          <w:kern w:val="0"/>
          <w:sz w:val="24"/>
          <w:szCs w:val="24"/>
          <w:highlight w:val="none"/>
        </w:rPr>
        <w:t>（二）监狱企业政府采购政策</w:t>
      </w:r>
      <w:bookmarkEnd w:id="67"/>
      <w:bookmarkEnd w:id="68"/>
      <w:bookmarkEnd w:id="69"/>
      <w:bookmarkEnd w:id="70"/>
      <w:bookmarkEnd w:id="71"/>
      <w:bookmarkEnd w:id="72"/>
    </w:p>
    <w:p w14:paraId="3E3BCFE1">
      <w:pPr>
        <w:spacing w:line="360" w:lineRule="auto"/>
        <w:ind w:firstLine="480" w:firstLineChars="200"/>
        <w:rPr>
          <w:rFonts w:hint="eastAsia" w:ascii="仿宋" w:hAnsi="仿宋" w:eastAsia="仿宋" w:cs="仿宋"/>
          <w:color w:val="auto"/>
          <w:kern w:val="0"/>
          <w:sz w:val="24"/>
          <w:szCs w:val="24"/>
          <w:highlight w:val="none"/>
        </w:rPr>
      </w:pPr>
      <w:bookmarkStart w:id="73" w:name="_Toc18488"/>
      <w:bookmarkStart w:id="74" w:name="_Toc19604"/>
      <w:bookmarkStart w:id="75" w:name="_Toc19142"/>
      <w:bookmarkStart w:id="76" w:name="_Toc32242"/>
      <w:bookmarkStart w:id="77" w:name="_Toc28309"/>
      <w:bookmarkStart w:id="78" w:name="_Toc25943"/>
      <w:r>
        <w:rPr>
          <w:rFonts w:hint="eastAsia" w:ascii="仿宋" w:hAnsi="仿宋" w:eastAsia="仿宋" w:cs="仿宋"/>
          <w:color w:val="auto"/>
          <w:kern w:val="0"/>
          <w:sz w:val="24"/>
          <w:szCs w:val="24"/>
          <w:highlight w:val="none"/>
        </w:rPr>
        <w:t>（三）促进</w:t>
      </w:r>
      <w:bookmarkStart w:id="334" w:name="_GoBack"/>
      <w:bookmarkEnd w:id="334"/>
      <w:r>
        <w:rPr>
          <w:rFonts w:hint="eastAsia" w:ascii="仿宋" w:hAnsi="仿宋" w:eastAsia="仿宋" w:cs="仿宋"/>
          <w:color w:val="auto"/>
          <w:kern w:val="0"/>
          <w:sz w:val="24"/>
          <w:szCs w:val="24"/>
          <w:highlight w:val="none"/>
        </w:rPr>
        <w:t>残疾人就业政府采购政策</w:t>
      </w:r>
      <w:bookmarkEnd w:id="73"/>
      <w:bookmarkEnd w:id="74"/>
      <w:bookmarkEnd w:id="75"/>
      <w:bookmarkEnd w:id="76"/>
      <w:bookmarkEnd w:id="77"/>
      <w:bookmarkEnd w:id="78"/>
    </w:p>
    <w:p w14:paraId="68C2055F">
      <w:pPr>
        <w:spacing w:line="360" w:lineRule="auto"/>
        <w:ind w:firstLine="480" w:firstLineChars="200"/>
        <w:rPr>
          <w:rFonts w:hint="eastAsia" w:ascii="仿宋" w:hAnsi="仿宋" w:eastAsia="仿宋" w:cs="仿宋"/>
          <w:color w:val="auto"/>
          <w:kern w:val="0"/>
          <w:sz w:val="24"/>
          <w:szCs w:val="24"/>
          <w:highlight w:val="none"/>
        </w:rPr>
      </w:pPr>
      <w:bookmarkStart w:id="79" w:name="_Toc21956"/>
      <w:bookmarkStart w:id="80" w:name="_Toc24173"/>
      <w:bookmarkStart w:id="81" w:name="_Toc27218"/>
      <w:bookmarkStart w:id="82" w:name="_Toc26675"/>
      <w:bookmarkStart w:id="83" w:name="_Toc2163"/>
      <w:bookmarkStart w:id="84" w:name="_Toc31679"/>
      <w:r>
        <w:rPr>
          <w:rFonts w:hint="eastAsia" w:ascii="仿宋" w:hAnsi="仿宋" w:eastAsia="仿宋" w:cs="仿宋"/>
          <w:color w:val="auto"/>
          <w:kern w:val="0"/>
          <w:sz w:val="24"/>
          <w:szCs w:val="24"/>
          <w:highlight w:val="none"/>
        </w:rPr>
        <w:t>详见招标文件</w:t>
      </w:r>
      <w:bookmarkEnd w:id="79"/>
      <w:bookmarkEnd w:id="80"/>
      <w:bookmarkEnd w:id="81"/>
      <w:bookmarkEnd w:id="82"/>
      <w:bookmarkEnd w:id="83"/>
      <w:bookmarkEnd w:id="84"/>
    </w:p>
    <w:p w14:paraId="045271B9">
      <w:pPr>
        <w:spacing w:line="360" w:lineRule="auto"/>
        <w:outlineLvl w:val="9"/>
        <w:rPr>
          <w:rFonts w:hint="eastAsia" w:ascii="仿宋" w:hAnsi="仿宋" w:eastAsia="仿宋" w:cs="仿宋"/>
          <w:b w:val="0"/>
          <w:color w:val="auto"/>
          <w:sz w:val="24"/>
          <w:szCs w:val="24"/>
          <w:highlight w:val="none"/>
        </w:rPr>
      </w:pPr>
      <w:r>
        <w:rPr>
          <w:rFonts w:hint="eastAsia" w:ascii="仿宋" w:hAnsi="仿宋" w:eastAsia="仿宋" w:cs="仿宋"/>
          <w:b/>
          <w:bCs w:val="0"/>
          <w:color w:val="auto"/>
          <w:sz w:val="24"/>
          <w:szCs w:val="24"/>
          <w:highlight w:val="none"/>
        </w:rPr>
        <w:t>七、对本次招标提出询问，请按以下方式联系</w:t>
      </w:r>
      <w:bookmarkEnd w:id="57"/>
      <w:bookmarkEnd w:id="58"/>
      <w:bookmarkEnd w:id="59"/>
      <w:bookmarkEnd w:id="60"/>
    </w:p>
    <w:p w14:paraId="730A304B">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1.采购人信息</w:t>
      </w:r>
    </w:p>
    <w:p w14:paraId="2593EF9B">
      <w:pPr>
        <w:spacing w:line="360" w:lineRule="auto"/>
        <w:ind w:firstLine="480" w:firstLineChars="200"/>
        <w:rPr>
          <w:rFonts w:hint="eastAsia" w:ascii="仿宋" w:hAnsi="仿宋" w:eastAsia="仿宋" w:cs="仿宋"/>
          <w:color w:val="auto"/>
          <w:kern w:val="0"/>
          <w:sz w:val="24"/>
          <w:szCs w:val="24"/>
          <w:highlight w:val="none"/>
        </w:rPr>
      </w:pPr>
      <w:bookmarkStart w:id="85" w:name="_Toc28359086"/>
      <w:bookmarkStart w:id="86" w:name="_Toc28359009"/>
      <w:r>
        <w:rPr>
          <w:rFonts w:hint="eastAsia" w:ascii="仿宋" w:hAnsi="仿宋" w:eastAsia="仿宋" w:cs="仿宋"/>
          <w:color w:val="auto"/>
          <w:kern w:val="0"/>
          <w:sz w:val="24"/>
          <w:szCs w:val="24"/>
          <w:highlight w:val="none"/>
        </w:rPr>
        <w:t>名称：山东大学</w:t>
      </w:r>
      <w:r>
        <w:rPr>
          <w:rFonts w:hint="eastAsia" w:ascii="仿宋" w:hAnsi="仿宋" w:eastAsia="仿宋" w:cs="仿宋"/>
          <w:color w:val="auto"/>
          <w:kern w:val="0"/>
          <w:sz w:val="24"/>
          <w:szCs w:val="24"/>
          <w:highlight w:val="none"/>
          <w:lang w:val="en-US" w:eastAsia="zh-CN"/>
        </w:rPr>
        <w:t>第二医院</w:t>
      </w:r>
      <w:r>
        <w:rPr>
          <w:rFonts w:hint="eastAsia" w:ascii="仿宋" w:hAnsi="仿宋" w:eastAsia="仿宋" w:cs="仿宋"/>
          <w:color w:val="auto"/>
          <w:kern w:val="0"/>
          <w:sz w:val="24"/>
          <w:szCs w:val="24"/>
          <w:highlight w:val="none"/>
        </w:rPr>
        <w:t>　　　　　</w:t>
      </w:r>
    </w:p>
    <w:p w14:paraId="6DFB6AE0">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kern w:val="0"/>
          <w:sz w:val="24"/>
          <w:szCs w:val="24"/>
          <w:highlight w:val="none"/>
          <w:lang w:val="en-US" w:eastAsia="zh-CN"/>
        </w:rPr>
        <w:t>山东省济南市天桥区北园大街247号</w:t>
      </w:r>
      <w:r>
        <w:rPr>
          <w:rFonts w:hint="eastAsia" w:ascii="仿宋" w:hAnsi="仿宋" w:eastAsia="仿宋" w:cs="仿宋"/>
          <w:color w:val="auto"/>
          <w:kern w:val="0"/>
          <w:sz w:val="24"/>
          <w:szCs w:val="24"/>
          <w:highlight w:val="none"/>
        </w:rPr>
        <w:t>　　　　　　　　</w:t>
      </w:r>
    </w:p>
    <w:p w14:paraId="1FC74756">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联系方式：0531-</w:t>
      </w:r>
      <w:r>
        <w:rPr>
          <w:rFonts w:hint="eastAsia" w:ascii="仿宋" w:hAnsi="仿宋" w:eastAsia="仿宋" w:cs="仿宋"/>
          <w:color w:val="auto"/>
          <w:kern w:val="0"/>
          <w:sz w:val="24"/>
          <w:szCs w:val="24"/>
          <w:highlight w:val="none"/>
          <w:lang w:val="en-US" w:eastAsia="zh-CN"/>
        </w:rPr>
        <w:t>85875076</w:t>
      </w:r>
      <w:r>
        <w:rPr>
          <w:rFonts w:hint="eastAsia" w:ascii="仿宋" w:hAnsi="仿宋" w:eastAsia="仿宋" w:cs="仿宋"/>
          <w:color w:val="auto"/>
          <w:kern w:val="0"/>
          <w:sz w:val="24"/>
          <w:szCs w:val="24"/>
          <w:highlight w:val="none"/>
        </w:rPr>
        <w:t>　　</w:t>
      </w:r>
    </w:p>
    <w:p w14:paraId="6D901720">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2.采购代理机构信息</w:t>
      </w:r>
      <w:bookmarkEnd w:id="85"/>
      <w:bookmarkEnd w:id="86"/>
    </w:p>
    <w:p w14:paraId="04087203">
      <w:pPr>
        <w:spacing w:line="360" w:lineRule="auto"/>
        <w:ind w:firstLine="480" w:firstLineChars="200"/>
        <w:rPr>
          <w:rFonts w:hint="eastAsia" w:ascii="仿宋" w:hAnsi="仿宋" w:eastAsia="仿宋" w:cs="仿宋"/>
          <w:color w:val="auto"/>
          <w:kern w:val="0"/>
          <w:sz w:val="24"/>
          <w:szCs w:val="24"/>
          <w:highlight w:val="none"/>
        </w:rPr>
      </w:pPr>
      <w:bookmarkStart w:id="87" w:name="_Toc28359010"/>
      <w:bookmarkStart w:id="88" w:name="_Toc28359087"/>
      <w:r>
        <w:rPr>
          <w:rFonts w:hint="eastAsia" w:ascii="仿宋" w:hAnsi="仿宋" w:eastAsia="仿宋" w:cs="仿宋"/>
          <w:color w:val="auto"/>
          <w:kern w:val="0"/>
          <w:sz w:val="24"/>
          <w:szCs w:val="24"/>
          <w:highlight w:val="none"/>
        </w:rPr>
        <w:t>名 称：</w:t>
      </w:r>
      <w:r>
        <w:rPr>
          <w:rFonts w:hint="eastAsia" w:ascii="仿宋" w:hAnsi="仿宋" w:eastAsia="仿宋" w:cs="仿宋"/>
          <w:color w:val="auto"/>
          <w:kern w:val="0"/>
          <w:sz w:val="24"/>
          <w:szCs w:val="24"/>
          <w:highlight w:val="none"/>
          <w:lang w:eastAsia="zh-CN"/>
        </w:rPr>
        <w:t>盛和招标代理有限公司</w:t>
      </w:r>
      <w:r>
        <w:rPr>
          <w:rFonts w:hint="eastAsia" w:ascii="仿宋" w:hAnsi="仿宋" w:eastAsia="仿宋" w:cs="仿宋"/>
          <w:color w:val="auto"/>
          <w:kern w:val="0"/>
          <w:sz w:val="24"/>
          <w:szCs w:val="24"/>
          <w:highlight w:val="none"/>
        </w:rPr>
        <w:t>　　　　　　　　　　　　</w:t>
      </w:r>
    </w:p>
    <w:p w14:paraId="236935D7">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址：山东济南唐冶西路868号山东设计创意产业园南区B1楼　　　　　　　　　　　　</w:t>
      </w:r>
    </w:p>
    <w:p w14:paraId="70C269EE">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联系方式：0531-</w:t>
      </w:r>
      <w:r>
        <w:rPr>
          <w:rFonts w:hint="eastAsia" w:ascii="仿宋" w:hAnsi="仿宋" w:eastAsia="仿宋" w:cs="仿宋"/>
          <w:color w:val="auto"/>
          <w:kern w:val="0"/>
          <w:sz w:val="24"/>
          <w:szCs w:val="24"/>
          <w:highlight w:val="none"/>
          <w:lang w:eastAsia="zh-CN"/>
        </w:rPr>
        <w:t>88260568</w:t>
      </w:r>
      <w:r>
        <w:rPr>
          <w:rFonts w:hint="eastAsia" w:ascii="仿宋" w:hAnsi="仿宋" w:eastAsia="仿宋" w:cs="仿宋"/>
          <w:color w:val="auto"/>
          <w:kern w:val="0"/>
          <w:sz w:val="24"/>
          <w:szCs w:val="24"/>
          <w:highlight w:val="none"/>
        </w:rPr>
        <w:t>　　　</w:t>
      </w:r>
    </w:p>
    <w:p w14:paraId="525E8312">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3.项目联系方式</w:t>
      </w:r>
      <w:bookmarkEnd w:id="87"/>
      <w:bookmarkEnd w:id="88"/>
    </w:p>
    <w:p w14:paraId="4E05E436">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项目联系人：</w:t>
      </w:r>
      <w:r>
        <w:rPr>
          <w:rFonts w:hint="eastAsia" w:ascii="仿宋" w:hAnsi="仿宋" w:eastAsia="仿宋" w:cs="仿宋"/>
          <w:color w:val="auto"/>
          <w:kern w:val="0"/>
          <w:sz w:val="24"/>
          <w:szCs w:val="24"/>
          <w:highlight w:val="none"/>
          <w:lang w:val="en-US" w:eastAsia="zh-CN"/>
        </w:rPr>
        <w:t>许铖铖、</w:t>
      </w:r>
      <w:r>
        <w:rPr>
          <w:rFonts w:hint="eastAsia" w:ascii="仿宋" w:hAnsi="仿宋" w:eastAsia="仿宋" w:cs="仿宋"/>
          <w:color w:val="auto"/>
          <w:kern w:val="0"/>
          <w:sz w:val="24"/>
          <w:szCs w:val="24"/>
          <w:highlight w:val="none"/>
        </w:rPr>
        <w:t>王凯</w:t>
      </w:r>
    </w:p>
    <w:p w14:paraId="797DE099">
      <w:pPr>
        <w:spacing w:line="360" w:lineRule="auto"/>
        <w:ind w:firstLine="48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4"/>
          <w:szCs w:val="24"/>
          <w:highlight w:val="none"/>
        </w:rPr>
        <w:t>电　话：</w:t>
      </w:r>
      <w:r>
        <w:rPr>
          <w:rFonts w:hint="eastAsia" w:ascii="仿宋" w:hAnsi="仿宋" w:eastAsia="仿宋" w:cs="仿宋"/>
          <w:color w:val="auto"/>
          <w:kern w:val="0"/>
          <w:sz w:val="24"/>
          <w:szCs w:val="24"/>
          <w:highlight w:val="none"/>
          <w:lang w:val="en-US" w:eastAsia="zh-CN"/>
        </w:rPr>
        <w:t>05</w:t>
      </w:r>
      <w:r>
        <w:rPr>
          <w:rFonts w:hint="eastAsia" w:ascii="仿宋" w:hAnsi="仿宋" w:eastAsia="仿宋" w:cs="仿宋"/>
          <w:color w:val="auto"/>
          <w:sz w:val="24"/>
          <w:szCs w:val="24"/>
          <w:highlight w:val="none"/>
          <w:lang w:val="en-US" w:eastAsia="zh-CN"/>
        </w:rPr>
        <w:t>31-88260568、</w:t>
      </w:r>
      <w:r>
        <w:rPr>
          <w:rFonts w:hint="eastAsia" w:ascii="仿宋" w:hAnsi="仿宋" w:eastAsia="仿宋" w:cs="仿宋"/>
          <w:color w:val="auto"/>
          <w:sz w:val="24"/>
          <w:szCs w:val="24"/>
          <w:highlight w:val="none"/>
        </w:rPr>
        <w:t>15153117917</w:t>
      </w:r>
      <w:r>
        <w:rPr>
          <w:rFonts w:hint="eastAsia" w:ascii="仿宋" w:hAnsi="仿宋" w:eastAsia="仿宋" w:cs="仿宋"/>
          <w:color w:val="auto"/>
          <w:sz w:val="24"/>
          <w:szCs w:val="24"/>
          <w:highlight w:val="none"/>
          <w:lang w:val="en-US" w:eastAsia="zh-CN"/>
        </w:rPr>
        <w:t>、15264153233</w:t>
      </w:r>
    </w:p>
    <w:p w14:paraId="324EA335">
      <w:pPr>
        <w:spacing w:line="360" w:lineRule="auto"/>
        <w:ind w:firstLine="840" w:firstLineChars="300"/>
        <w:jc w:val="center"/>
        <w:outlineLvl w:val="0"/>
        <w:rPr>
          <w:rFonts w:hint="eastAsia" w:ascii="仿宋" w:hAnsi="仿宋" w:eastAsia="仿宋" w:cs="仿宋"/>
          <w:color w:val="auto"/>
          <w:highlight w:val="none"/>
        </w:rPr>
      </w:pPr>
      <w:r>
        <w:rPr>
          <w:rFonts w:hint="eastAsia" w:ascii="仿宋" w:hAnsi="仿宋" w:eastAsia="仿宋" w:cs="仿宋"/>
          <w:color w:val="auto"/>
          <w:sz w:val="28"/>
          <w:szCs w:val="28"/>
          <w:highlight w:val="none"/>
        </w:rPr>
        <w:br w:type="page"/>
      </w:r>
      <w:bookmarkStart w:id="89" w:name="_Toc13436"/>
      <w:bookmarkStart w:id="90" w:name="_Toc5359"/>
      <w:bookmarkStart w:id="91" w:name="_Toc356491306"/>
      <w:bookmarkStart w:id="92" w:name="_Toc6660"/>
      <w:r>
        <w:rPr>
          <w:rFonts w:hint="eastAsia" w:ascii="仿宋" w:hAnsi="仿宋" w:eastAsia="仿宋" w:cs="仿宋"/>
          <w:b/>
          <w:bCs w:val="0"/>
          <w:color w:val="auto"/>
          <w:sz w:val="28"/>
          <w:szCs w:val="28"/>
          <w:highlight w:val="none"/>
          <w:lang w:val="en-US" w:eastAsia="zh-CN"/>
        </w:rPr>
        <w:t xml:space="preserve">第二部分 </w:t>
      </w:r>
      <w:r>
        <w:rPr>
          <w:rFonts w:hint="eastAsia" w:ascii="仿宋" w:hAnsi="仿宋" w:eastAsia="仿宋" w:cs="仿宋"/>
          <w:b/>
          <w:bCs w:val="0"/>
          <w:color w:val="auto"/>
          <w:sz w:val="28"/>
          <w:szCs w:val="28"/>
          <w:highlight w:val="none"/>
        </w:rPr>
        <w:t>投标人须知</w:t>
      </w:r>
      <w:bookmarkEnd w:id="25"/>
      <w:bookmarkEnd w:id="26"/>
      <w:bookmarkEnd w:id="27"/>
      <w:bookmarkEnd w:id="89"/>
      <w:bookmarkEnd w:id="90"/>
      <w:bookmarkEnd w:id="91"/>
      <w:bookmarkEnd w:id="92"/>
    </w:p>
    <w:p w14:paraId="08E59B52">
      <w:pPr>
        <w:jc w:val="center"/>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供应商须知前附表</w:t>
      </w:r>
    </w:p>
    <w:p w14:paraId="71AF4E96">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本表是对“供应商须知”正文的具体补充和修改，如有不一致，以“前附表”为准。</w:t>
      </w:r>
    </w:p>
    <w:tbl>
      <w:tblPr>
        <w:tblStyle w:val="39"/>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840"/>
        <w:gridCol w:w="7559"/>
      </w:tblGrid>
      <w:tr w14:paraId="7C9CA1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19" w:type="dxa"/>
            <w:vAlign w:val="center"/>
          </w:tcPr>
          <w:p w14:paraId="5C42FC2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40" w:type="dxa"/>
            <w:vAlign w:val="center"/>
          </w:tcPr>
          <w:p w14:paraId="685E80FE">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c>
          <w:tcPr>
            <w:tcW w:w="7559" w:type="dxa"/>
            <w:vAlign w:val="center"/>
          </w:tcPr>
          <w:p w14:paraId="6650DDB6">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说明或要求</w:t>
            </w:r>
          </w:p>
        </w:tc>
      </w:tr>
      <w:tr w14:paraId="4A6EC7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84" w:hRule="atLeast"/>
          <w:jc w:val="center"/>
        </w:trPr>
        <w:tc>
          <w:tcPr>
            <w:tcW w:w="619" w:type="dxa"/>
            <w:vAlign w:val="center"/>
          </w:tcPr>
          <w:p w14:paraId="42DF283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0" w:type="dxa"/>
            <w:vAlign w:val="center"/>
          </w:tcPr>
          <w:p w14:paraId="60BB765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项目信息</w:t>
            </w:r>
          </w:p>
        </w:tc>
        <w:tc>
          <w:tcPr>
            <w:tcW w:w="7559" w:type="dxa"/>
            <w:vAlign w:val="center"/>
          </w:tcPr>
          <w:p w14:paraId="170687DF">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山东大学第二医院历史病案扫描数字化加工服务项目</w:t>
            </w:r>
          </w:p>
          <w:p w14:paraId="7B7536B3">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SHZB2025-006</w:t>
            </w:r>
            <w:r>
              <w:rPr>
                <w:rFonts w:hint="eastAsia" w:ascii="仿宋" w:hAnsi="仿宋" w:eastAsia="仿宋" w:cs="仿宋"/>
                <w:color w:val="auto"/>
                <w:sz w:val="24"/>
                <w:szCs w:val="24"/>
                <w:highlight w:val="none"/>
              </w:rPr>
              <w:t xml:space="preserve"> </w:t>
            </w:r>
          </w:p>
        </w:tc>
      </w:tr>
      <w:tr w14:paraId="01FB25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619" w:type="dxa"/>
            <w:vAlign w:val="center"/>
          </w:tcPr>
          <w:p w14:paraId="74448FC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0" w:type="dxa"/>
            <w:vAlign w:val="center"/>
          </w:tcPr>
          <w:p w14:paraId="1E631AC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7559" w:type="dxa"/>
            <w:vAlign w:val="center"/>
          </w:tcPr>
          <w:p w14:paraId="23A79604">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采购人：山东大学第二医院</w:t>
            </w:r>
          </w:p>
          <w:p w14:paraId="3AEBAF23">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联系方式：0531-85875076 </w:t>
            </w:r>
          </w:p>
        </w:tc>
      </w:tr>
      <w:tr w14:paraId="5FC101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8" w:hRule="atLeast"/>
          <w:jc w:val="center"/>
        </w:trPr>
        <w:tc>
          <w:tcPr>
            <w:tcW w:w="619" w:type="dxa"/>
            <w:vAlign w:val="center"/>
          </w:tcPr>
          <w:p w14:paraId="45F4DE0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0" w:type="dxa"/>
            <w:vAlign w:val="center"/>
          </w:tcPr>
          <w:p w14:paraId="6256A81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代理机构</w:t>
            </w:r>
          </w:p>
        </w:tc>
        <w:tc>
          <w:tcPr>
            <w:tcW w:w="7559" w:type="dxa"/>
            <w:vAlign w:val="center"/>
          </w:tcPr>
          <w:p w14:paraId="1F5624B9">
            <w:pPr>
              <w:spacing w:line="360" w:lineRule="auto"/>
              <w:ind w:firstLine="523" w:firstLineChars="21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代理机构：</w:t>
            </w:r>
            <w:r>
              <w:rPr>
                <w:rFonts w:hint="eastAsia" w:ascii="仿宋" w:hAnsi="仿宋" w:eastAsia="仿宋" w:cs="仿宋"/>
                <w:color w:val="auto"/>
                <w:sz w:val="24"/>
                <w:szCs w:val="24"/>
                <w:highlight w:val="none"/>
                <w:lang w:eastAsia="zh-CN"/>
              </w:rPr>
              <w:t>盛和招标代理有限公司</w:t>
            </w:r>
          </w:p>
          <w:p w14:paraId="35102559">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人：许铖铖、王凯；</w:t>
            </w:r>
          </w:p>
          <w:p w14:paraId="5B014290">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联系电话：0531-</w:t>
            </w:r>
            <w:r>
              <w:rPr>
                <w:rFonts w:hint="eastAsia" w:ascii="仿宋" w:hAnsi="仿宋" w:eastAsia="仿宋" w:cs="仿宋"/>
                <w:color w:val="auto"/>
                <w:sz w:val="24"/>
                <w:szCs w:val="24"/>
                <w:highlight w:val="none"/>
                <w:lang w:eastAsia="zh-CN"/>
              </w:rPr>
              <w:t>88260568</w:t>
            </w:r>
            <w:r>
              <w:rPr>
                <w:rFonts w:hint="eastAsia" w:ascii="仿宋" w:hAnsi="仿宋" w:eastAsia="仿宋" w:cs="仿宋"/>
                <w:color w:val="auto"/>
                <w:sz w:val="24"/>
                <w:szCs w:val="24"/>
                <w:highlight w:val="none"/>
              </w:rPr>
              <w:t>,15153117917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15264153233。</w:t>
            </w:r>
          </w:p>
        </w:tc>
      </w:tr>
      <w:tr w14:paraId="37BECC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6" w:hRule="atLeast"/>
          <w:jc w:val="center"/>
        </w:trPr>
        <w:tc>
          <w:tcPr>
            <w:tcW w:w="619" w:type="dxa"/>
            <w:vAlign w:val="center"/>
          </w:tcPr>
          <w:p w14:paraId="7238912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0" w:type="dxa"/>
            <w:vAlign w:val="center"/>
          </w:tcPr>
          <w:p w14:paraId="6787B48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资金来源与采购预算</w:t>
            </w:r>
          </w:p>
        </w:tc>
        <w:tc>
          <w:tcPr>
            <w:tcW w:w="7559" w:type="dxa"/>
          </w:tcPr>
          <w:p w14:paraId="7D2A965C">
            <w:pPr>
              <w:pStyle w:val="16"/>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资金来源：已落实</w:t>
            </w:r>
          </w:p>
          <w:p w14:paraId="117BF49B">
            <w:pPr>
              <w:pStyle w:val="16"/>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预算金额：</w:t>
            </w:r>
            <w:r>
              <w:rPr>
                <w:rFonts w:hint="eastAsia" w:ascii="仿宋" w:hAnsi="仿宋" w:eastAsia="仿宋" w:cs="仿宋"/>
                <w:bCs/>
                <w:color w:val="auto"/>
                <w:sz w:val="24"/>
                <w:szCs w:val="24"/>
                <w:highlight w:val="none"/>
                <w:lang w:val="en-US" w:eastAsia="zh-CN"/>
              </w:rPr>
              <w:t>81.31万元/年,243.93万元/3年。</w:t>
            </w:r>
          </w:p>
          <w:p w14:paraId="218BA2EA">
            <w:pPr>
              <w:pStyle w:val="16"/>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最高限价：</w:t>
            </w:r>
            <w:r>
              <w:rPr>
                <w:rFonts w:hint="eastAsia" w:ascii="仿宋" w:hAnsi="仿宋" w:eastAsia="仿宋" w:cs="仿宋"/>
                <w:bCs/>
                <w:color w:val="auto"/>
                <w:sz w:val="24"/>
                <w:szCs w:val="24"/>
                <w:highlight w:val="none"/>
                <w:lang w:eastAsia="zh-CN"/>
              </w:rPr>
              <w:t>0.085元/页</w:t>
            </w:r>
            <w:r>
              <w:rPr>
                <w:rFonts w:hint="eastAsia" w:ascii="仿宋" w:hAnsi="仿宋" w:eastAsia="仿宋" w:cs="仿宋"/>
                <w:bCs/>
                <w:color w:val="auto"/>
                <w:sz w:val="24"/>
                <w:szCs w:val="24"/>
                <w:highlight w:val="none"/>
                <w:lang w:val="en-US" w:eastAsia="zh-CN"/>
              </w:rPr>
              <w:t>。</w:t>
            </w:r>
          </w:p>
          <w:p w14:paraId="641181E6">
            <w:pPr>
              <w:pStyle w:val="16"/>
              <w:spacing w:line="360" w:lineRule="auto"/>
              <w:ind w:firstLine="241" w:firstLineChars="1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投标报价超过预算金额或最高限价的</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按无效投标处理。</w:t>
            </w:r>
          </w:p>
        </w:tc>
      </w:tr>
      <w:tr w14:paraId="5848BC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277168B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0" w:type="dxa"/>
            <w:vAlign w:val="center"/>
          </w:tcPr>
          <w:p w14:paraId="65798A2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供应商应提供的资格证明材料</w:t>
            </w:r>
          </w:p>
        </w:tc>
        <w:tc>
          <w:tcPr>
            <w:tcW w:w="7559" w:type="dxa"/>
            <w:vAlign w:val="center"/>
          </w:tcPr>
          <w:p w14:paraId="643ABBC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供应商资格要求：</w:t>
            </w:r>
          </w:p>
          <w:p w14:paraId="0AE999F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详见第一章招标公告。</w:t>
            </w:r>
          </w:p>
          <w:p w14:paraId="44944EA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供应商应提供能够证明符合资格条件的下列材料：</w:t>
            </w:r>
          </w:p>
          <w:p w14:paraId="5AA9DC8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（1）供应商须具有独立承担民事责任的能力，向采购人提供服务的法人、其他组织或自然人，须提供相关证明材料，其中：</w:t>
            </w:r>
          </w:p>
          <w:p w14:paraId="7E448F6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供应商是企业（包括合伙企业）的，应提供其在工商部门注册的有效“企业法人营业执照”或“营业执照”的复印件；</w:t>
            </w:r>
          </w:p>
          <w:p w14:paraId="09DF898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供应商是事业单位的，应提供其有效的“事业单位法人证书”复印件；</w:t>
            </w:r>
          </w:p>
          <w:p w14:paraId="4B22389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供应商是非企业专业服务机构的，应提供其有效的执业许可证复印件；</w:t>
            </w:r>
          </w:p>
          <w:p w14:paraId="23B2D4E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供应商是个体工商户的，应提供其有效的“个体工商户营业执照”复印件；</w:t>
            </w:r>
          </w:p>
          <w:p w14:paraId="7B61716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供应商是自然人的，应提供其有效的自然人身份证明。</w:t>
            </w:r>
          </w:p>
          <w:p w14:paraId="0B1634B8">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kern w:val="1"/>
                <w:sz w:val="24"/>
                <w:highlight w:val="none"/>
                <w:lang w:val="en-US" w:eastAsia="zh-CN"/>
              </w:rPr>
              <w:t>法定代表人参加的提供《</w:t>
            </w:r>
            <w:r>
              <w:rPr>
                <w:rFonts w:hint="eastAsia" w:ascii="仿宋" w:hAnsi="仿宋" w:eastAsia="仿宋" w:cs="仿宋"/>
                <w:color w:val="auto"/>
                <w:kern w:val="1"/>
                <w:sz w:val="24"/>
                <w:highlight w:val="none"/>
              </w:rPr>
              <w:t>法定代表人身份证明</w:t>
            </w:r>
            <w:r>
              <w:rPr>
                <w:rFonts w:hint="eastAsia" w:ascii="仿宋" w:hAnsi="仿宋" w:eastAsia="仿宋" w:cs="仿宋"/>
                <w:color w:val="auto"/>
                <w:kern w:val="1"/>
                <w:sz w:val="24"/>
                <w:highlight w:val="none"/>
                <w:lang w:val="en-US" w:eastAsia="zh-CN"/>
              </w:rPr>
              <w:t>》</w:t>
            </w:r>
            <w:r>
              <w:rPr>
                <w:rFonts w:hint="eastAsia" w:ascii="仿宋" w:hAnsi="仿宋" w:eastAsia="仿宋" w:cs="仿宋"/>
                <w:color w:val="auto"/>
                <w:kern w:val="1"/>
                <w:sz w:val="24"/>
                <w:highlight w:val="none"/>
              </w:rPr>
              <w:t>；</w:t>
            </w:r>
            <w:r>
              <w:rPr>
                <w:rFonts w:hint="eastAsia" w:ascii="仿宋" w:hAnsi="仿宋" w:eastAsia="仿宋" w:cs="仿宋"/>
                <w:color w:val="auto"/>
                <w:sz w:val="24"/>
                <w:highlight w:val="none"/>
              </w:rPr>
              <w:t>授权</w:t>
            </w:r>
            <w:r>
              <w:rPr>
                <w:rFonts w:hint="eastAsia" w:ascii="仿宋" w:hAnsi="仿宋" w:eastAsia="仿宋" w:cs="仿宋"/>
                <w:color w:val="auto"/>
                <w:sz w:val="24"/>
                <w:highlight w:val="none"/>
                <w:lang w:val="en-US" w:eastAsia="zh-CN"/>
              </w:rPr>
              <w:t>代表参加的提供《</w:t>
            </w:r>
            <w:r>
              <w:rPr>
                <w:rFonts w:hint="eastAsia" w:ascii="仿宋" w:hAnsi="仿宋" w:eastAsia="仿宋" w:cs="仿宋"/>
                <w:color w:val="auto"/>
                <w:sz w:val="24"/>
                <w:highlight w:val="none"/>
              </w:rPr>
              <w:t>法定代表人授权委托书</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w:t>
            </w:r>
          </w:p>
          <w:p w14:paraId="0168896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）供应商须具有良好的商业信誉和健全的财务会计制度，须提供相关证明材料，其中：</w:t>
            </w:r>
          </w:p>
          <w:p w14:paraId="29A0C44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供应商是法人的，应提供</w:t>
            </w:r>
            <w:r>
              <w:rPr>
                <w:rFonts w:hint="eastAsia" w:ascii="仿宋" w:hAnsi="仿宋" w:eastAsia="仿宋" w:cs="仿宋"/>
                <w:color w:val="auto"/>
                <w:sz w:val="24"/>
                <w:szCs w:val="24"/>
                <w:highlight w:val="none"/>
                <w:lang w:eastAsia="zh-CN"/>
              </w:rPr>
              <w:t>2023年经审计的财务报告</w:t>
            </w:r>
            <w:r>
              <w:rPr>
                <w:rFonts w:hint="eastAsia" w:ascii="仿宋" w:hAnsi="仿宋" w:eastAsia="仿宋" w:cs="仿宋"/>
                <w:color w:val="auto"/>
                <w:sz w:val="24"/>
                <w:szCs w:val="24"/>
                <w:highlight w:val="none"/>
              </w:rPr>
              <w:t>复印件，或其基本开户银行出具的资信证明原件；</w:t>
            </w:r>
          </w:p>
          <w:p w14:paraId="479420B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供应商是其他组织或自然人的，应提供银行出具的资信证明原件。</w:t>
            </w:r>
          </w:p>
          <w:p w14:paraId="035B0FE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）供应商须具有履行合同所必需的设备和专业技术能力，须附相关证明材料或</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 xml:space="preserve">。 </w:t>
            </w:r>
          </w:p>
          <w:p w14:paraId="65D6AC3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）供应商须具有依法缴纳税收和社会保障资金的良好记录，须提供相关证明材料，其中：</w:t>
            </w:r>
          </w:p>
          <w:p w14:paraId="3D15FE9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供应商是法人的，缴纳税收的证明材料，应提供开标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内任意一个月的依法缴税凭据复印件；</w:t>
            </w:r>
          </w:p>
          <w:p w14:paraId="64C5091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供应商是法人的，缴纳社会保障资金的证明材料，应提供开标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内任意一个月的缴纳社会保险的凭据（专用收据或社会保险缴纳清单）复印件；</w:t>
            </w:r>
          </w:p>
          <w:p w14:paraId="43795F8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供应商是其他组织和自然人的，需要提供开标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内任意一个月的缴纳税收和社会保险的凭据。</w:t>
            </w:r>
          </w:p>
          <w:p w14:paraId="096EC9C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注：依法免税或不需要缴纳社会保障资金的供应商，须提供</w:t>
            </w:r>
            <w:r>
              <w:rPr>
                <w:rFonts w:hint="eastAsia" w:ascii="仿宋" w:hAnsi="仿宋" w:eastAsia="仿宋" w:cs="仿宋"/>
                <w:color w:val="auto"/>
                <w:sz w:val="24"/>
                <w:szCs w:val="24"/>
                <w:highlight w:val="none"/>
                <w:lang w:val="en-US" w:eastAsia="zh-CN"/>
              </w:rPr>
              <w:t>第三方出具的</w:t>
            </w:r>
            <w:r>
              <w:rPr>
                <w:rFonts w:hint="eastAsia" w:ascii="仿宋" w:hAnsi="仿宋" w:eastAsia="仿宋" w:cs="仿宋"/>
                <w:color w:val="auto"/>
                <w:sz w:val="24"/>
                <w:szCs w:val="24"/>
                <w:highlight w:val="none"/>
              </w:rPr>
              <w:t>相应文件证明其依法免税或不需要缴纳社会保障资金。</w:t>
            </w:r>
          </w:p>
          <w:p w14:paraId="3F07733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）近三年内（本项目投标截止日前）供应商在经营活动中没有重大违法记录，其中：</w:t>
            </w:r>
          </w:p>
          <w:p w14:paraId="2654FB76">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重大违法记录是指供应商因违法经营受到刑事处罚或者责令停产停业、吊销许可证或者执照、较大数额罚款等行政处罚；</w:t>
            </w:r>
          </w:p>
          <w:p w14:paraId="014604DF">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供应商须提供参与本采购活动前三年内在经营活动中没有重大违法记录的</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w:t>
            </w:r>
          </w:p>
          <w:p w14:paraId="600DE00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）供应商在“信用中国”网站（www.creditchina.gov.cn）、“中国政府采购网”网站（www.ccgp.gov.cn）被列入失信被执行人、重大税收违法</w:t>
            </w:r>
            <w:r>
              <w:rPr>
                <w:rFonts w:hint="eastAsia" w:ascii="仿宋" w:hAnsi="仿宋" w:eastAsia="仿宋" w:cs="仿宋"/>
                <w:color w:val="auto"/>
                <w:sz w:val="24"/>
                <w:szCs w:val="24"/>
                <w:highlight w:val="none"/>
                <w:lang w:eastAsia="zh-CN"/>
              </w:rPr>
              <w:t>失信主体</w:t>
            </w:r>
            <w:r>
              <w:rPr>
                <w:rFonts w:hint="eastAsia" w:ascii="仿宋" w:hAnsi="仿宋" w:eastAsia="仿宋" w:cs="仿宋"/>
                <w:color w:val="auto"/>
                <w:sz w:val="24"/>
                <w:szCs w:val="24"/>
                <w:highlight w:val="none"/>
              </w:rPr>
              <w:t>、政府采购严重违法失信行为记录名单（处罚期限尚未届满的）的，不得参与本项目的政府采购活动。</w:t>
            </w:r>
          </w:p>
          <w:p w14:paraId="447AA216">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w:t>
            </w:r>
            <w:r>
              <w:rPr>
                <w:rFonts w:hint="eastAsia" w:ascii="仿宋" w:hAnsi="仿宋" w:eastAsia="仿宋" w:cs="仿宋"/>
                <w:color w:val="auto"/>
                <w:sz w:val="24"/>
                <w:szCs w:val="24"/>
                <w:highlight w:val="none"/>
                <w:lang w:eastAsia="zh-CN"/>
              </w:rPr>
              <w:t>失信主体</w:t>
            </w:r>
            <w:r>
              <w:rPr>
                <w:rFonts w:hint="eastAsia" w:ascii="仿宋" w:hAnsi="仿宋" w:eastAsia="仿宋" w:cs="仿宋"/>
                <w:color w:val="auto"/>
                <w:sz w:val="24"/>
                <w:szCs w:val="24"/>
                <w:highlight w:val="none"/>
              </w:rPr>
              <w:t>、政府采购严重违法失信行为记录名单（处罚期限尚未届满的）的供应商，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14:paraId="587BCA94">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采购人或采购代理机构对于查询到的供应商失信行为事由、处理机关名称及处理日期、处理有效期间等，以屏幕截图的方式保存，并承诺查询记录仅用于本次采购活动过程中，不用于其他目的。</w:t>
            </w:r>
          </w:p>
          <w:p w14:paraId="0514DF4A">
            <w:pPr>
              <w:numPr>
                <w:ilvl w:val="0"/>
                <w:numId w:val="0"/>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（8）</w:t>
            </w:r>
            <w:r>
              <w:rPr>
                <w:rFonts w:hint="eastAsia" w:ascii="仿宋" w:hAnsi="仿宋" w:eastAsia="仿宋" w:cs="仿宋"/>
                <w:b/>
                <w:bCs/>
                <w:color w:val="auto"/>
                <w:sz w:val="24"/>
                <w:szCs w:val="24"/>
                <w:highlight w:val="none"/>
              </w:rPr>
              <w:t>书面声明</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单位负责人为同一人或者存在直接控股、管理关系的不同供应商，不得参加同一包的投标或者未划分包的同一招标项目的投标。</w:t>
            </w:r>
          </w:p>
          <w:p w14:paraId="41FD760D">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供应商符合法律、行政法规规定的其它要求。</w:t>
            </w:r>
          </w:p>
        </w:tc>
      </w:tr>
      <w:tr w14:paraId="048258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55AA867A">
            <w:pPr>
              <w:keepLines/>
              <w:pageBreakBefore w:val="0"/>
              <w:kinsoku/>
              <w:overflowPunct/>
              <w:topLinePunct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1840" w:type="dxa"/>
            <w:vAlign w:val="center"/>
          </w:tcPr>
          <w:p w14:paraId="28E2C058">
            <w:pPr>
              <w:keepLines/>
              <w:pageBreakBefore w:val="0"/>
              <w:kinsoku/>
              <w:overflowPunct/>
              <w:topLinePunct w:val="0"/>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其他须提供材料</w:t>
            </w:r>
          </w:p>
        </w:tc>
        <w:tc>
          <w:tcPr>
            <w:tcW w:w="7559" w:type="dxa"/>
            <w:vAlign w:val="center"/>
          </w:tcPr>
          <w:p w14:paraId="5E45396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szCs w:val="24"/>
                <w:highlight w:val="none"/>
                <w:lang w:eastAsia="zh-CN"/>
              </w:rPr>
              <w:t>近两年内被国内</w:t>
            </w:r>
            <w:r>
              <w:rPr>
                <w:rFonts w:hint="eastAsia" w:ascii="仿宋" w:hAnsi="仿宋" w:eastAsia="仿宋" w:cs="仿宋"/>
                <w:color w:val="auto"/>
                <w:sz w:val="24"/>
                <w:szCs w:val="24"/>
                <w:highlight w:val="none"/>
                <w:lang w:val="en-US" w:eastAsia="zh-CN"/>
              </w:rPr>
              <w:t>省</w:t>
            </w:r>
            <w:r>
              <w:rPr>
                <w:rFonts w:hint="eastAsia" w:ascii="仿宋" w:hAnsi="仿宋" w:eastAsia="仿宋" w:cs="仿宋"/>
                <w:color w:val="auto"/>
                <w:sz w:val="24"/>
                <w:szCs w:val="24"/>
                <w:highlight w:val="none"/>
                <w:lang w:eastAsia="zh-CN"/>
              </w:rPr>
              <w:t>级及以上政务网站列入“医疗卫生机构医药购销领域商业贿赂不良记录名单”的投标人”不得参与本项目报价。</w:t>
            </w:r>
            <w:r>
              <w:rPr>
                <w:rFonts w:hint="eastAsia" w:ascii="仿宋" w:hAnsi="仿宋" w:eastAsia="仿宋" w:cs="仿宋"/>
                <w:b/>
                <w:bCs/>
                <w:color w:val="auto"/>
                <w:sz w:val="24"/>
                <w:szCs w:val="24"/>
                <w:highlight w:val="none"/>
                <w:lang w:val="en-US" w:eastAsia="zh-CN"/>
              </w:rPr>
              <w:t>供应商须提供近两年内未被国内地市级及以上政务网站列入“医疗卫生机构医药购销领域商业贿赂不良记录名单”的声明。</w:t>
            </w:r>
          </w:p>
        </w:tc>
      </w:tr>
      <w:tr w14:paraId="3708D5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6507970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0" w:type="dxa"/>
            <w:vAlign w:val="center"/>
          </w:tcPr>
          <w:p w14:paraId="783A71F9">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对招标文件的疑问</w:t>
            </w:r>
          </w:p>
        </w:tc>
        <w:tc>
          <w:tcPr>
            <w:tcW w:w="7559" w:type="dxa"/>
            <w:vAlign w:val="center"/>
          </w:tcPr>
          <w:p w14:paraId="409DA31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提交疑问时间：</w:t>
            </w:r>
            <w:r>
              <w:rPr>
                <w:rFonts w:hint="eastAsia" w:ascii="仿宋" w:hAnsi="仿宋" w:eastAsia="仿宋" w:cs="仿宋"/>
                <w:color w:val="auto"/>
                <w:sz w:val="24"/>
                <w:szCs w:val="24"/>
                <w:highlight w:val="none"/>
                <w:lang w:val="en-US" w:eastAsia="zh-CN"/>
              </w:rPr>
              <w:t>2025年2月18日17:00</w:t>
            </w:r>
            <w:r>
              <w:rPr>
                <w:rFonts w:hint="eastAsia" w:ascii="仿宋" w:hAnsi="仿宋" w:eastAsia="仿宋" w:cs="仿宋"/>
                <w:color w:val="auto"/>
                <w:sz w:val="24"/>
                <w:szCs w:val="24"/>
                <w:highlight w:val="none"/>
              </w:rPr>
              <w:t>前。</w:t>
            </w:r>
          </w:p>
          <w:p w14:paraId="3F52034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提交疑问方式：发电子邮件至</w:t>
            </w:r>
            <w:r>
              <w:rPr>
                <w:rFonts w:hint="eastAsia" w:ascii="仿宋" w:hAnsi="仿宋" w:eastAsia="仿宋" w:cs="仿宋"/>
                <w:color w:val="auto"/>
                <w:sz w:val="24"/>
                <w:szCs w:val="24"/>
                <w:highlight w:val="none"/>
                <w:u w:val="single"/>
              </w:rPr>
              <w:t>cnshzb</w:t>
            </w:r>
            <w:r>
              <w:rPr>
                <w:rFonts w:hint="eastAsia" w:ascii="仿宋" w:hAnsi="仿宋" w:eastAsia="仿宋" w:cs="仿宋"/>
                <w:color w:val="auto"/>
                <w:sz w:val="24"/>
                <w:szCs w:val="24"/>
                <w:highlight w:val="none"/>
                <w:u w:val="single"/>
                <w:lang w:val="en-US" w:eastAsia="zh-CN"/>
              </w:rPr>
              <w:t>egs</w:t>
            </w:r>
            <w:r>
              <w:rPr>
                <w:rFonts w:hint="eastAsia" w:ascii="仿宋" w:hAnsi="仿宋" w:eastAsia="仿宋" w:cs="仿宋"/>
                <w:color w:val="auto"/>
                <w:sz w:val="24"/>
                <w:szCs w:val="24"/>
                <w:highlight w:val="none"/>
                <w:u w:val="single"/>
              </w:rPr>
              <w:t>@163.com</w:t>
            </w:r>
            <w:r>
              <w:rPr>
                <w:rFonts w:hint="eastAsia" w:ascii="仿宋" w:hAnsi="仿宋" w:eastAsia="仿宋" w:cs="仿宋"/>
                <w:color w:val="auto"/>
                <w:sz w:val="24"/>
                <w:szCs w:val="24"/>
                <w:highlight w:val="none"/>
              </w:rPr>
              <w:t>（word文档及加盖公章的扫描件各一份），邮件主题为“ XX公司关于XX项目的疑问”</w:t>
            </w:r>
            <w:r>
              <w:rPr>
                <w:rFonts w:hint="eastAsia" w:ascii="仿宋" w:hAnsi="仿宋" w:eastAsia="仿宋" w:cs="仿宋"/>
                <w:color w:val="auto"/>
                <w:sz w:val="24"/>
                <w:szCs w:val="24"/>
                <w:highlight w:val="none"/>
                <w:lang w:eastAsia="zh-CN"/>
              </w:rPr>
              <w:t>。</w:t>
            </w:r>
          </w:p>
        </w:tc>
      </w:tr>
      <w:tr w14:paraId="24A370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54B9620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0" w:type="dxa"/>
            <w:vAlign w:val="center"/>
          </w:tcPr>
          <w:p w14:paraId="1A8F6EB6">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招标文件澄清</w:t>
            </w:r>
          </w:p>
        </w:tc>
        <w:tc>
          <w:tcPr>
            <w:tcW w:w="7559" w:type="dxa"/>
            <w:vAlign w:val="center"/>
          </w:tcPr>
          <w:p w14:paraId="4CE51D0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澄清和修改文件发送时间（如有）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2025年2月19日17:30</w:t>
            </w:r>
            <w:r>
              <w:rPr>
                <w:rFonts w:hint="eastAsia" w:ascii="仿宋" w:hAnsi="仿宋" w:eastAsia="仿宋" w:cs="仿宋"/>
                <w:color w:val="auto"/>
                <w:sz w:val="24"/>
                <w:szCs w:val="24"/>
                <w:highlight w:val="none"/>
              </w:rPr>
              <w:t>前。</w:t>
            </w:r>
          </w:p>
          <w:p w14:paraId="54D3E7F5">
            <w:pPr>
              <w:pStyle w:val="1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澄清和修改文件发送方式：</w:t>
            </w:r>
            <w:r>
              <w:rPr>
                <w:rFonts w:hint="eastAsia" w:ascii="仿宋" w:hAnsi="仿宋" w:eastAsia="仿宋" w:cs="仿宋"/>
                <w:color w:val="auto"/>
                <w:sz w:val="24"/>
                <w:szCs w:val="24"/>
                <w:highlight w:val="none"/>
              </w:rPr>
              <w:t>招标代理机构将澄清或修改文件同时发送邮件至各供应商购买招标文件时登记的邮箱，但不标明问题的来源。</w:t>
            </w:r>
          </w:p>
        </w:tc>
      </w:tr>
      <w:tr w14:paraId="3A76B2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7DF09D0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0" w:type="dxa"/>
            <w:vAlign w:val="center"/>
          </w:tcPr>
          <w:p w14:paraId="2D496701">
            <w:pPr>
              <w:pStyle w:val="16"/>
              <w:spacing w:after="0" w:line="360" w:lineRule="auto"/>
              <w:ind w:firstLine="240" w:firstLineChars="1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投标文件份数</w:t>
            </w:r>
          </w:p>
        </w:tc>
        <w:tc>
          <w:tcPr>
            <w:tcW w:w="7559" w:type="dxa"/>
            <w:vAlign w:val="center"/>
          </w:tcPr>
          <w:p w14:paraId="284CA3BC">
            <w:pPr>
              <w:pStyle w:val="16"/>
              <w:adjustRightInd w:val="0"/>
              <w:snapToGrid w:val="0"/>
              <w:spacing w:after="0"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纸质投标文件</w:t>
            </w:r>
            <w:r>
              <w:rPr>
                <w:rFonts w:hint="eastAsia" w:ascii="仿宋" w:hAnsi="仿宋" w:eastAsia="仿宋" w:cs="仿宋"/>
                <w:snapToGrid w:val="0"/>
                <w:color w:val="auto"/>
                <w:sz w:val="24"/>
                <w:szCs w:val="24"/>
                <w:highlight w:val="none"/>
                <w:lang w:val="en-US" w:eastAsia="zh-CN"/>
              </w:rPr>
              <w:t>6</w:t>
            </w:r>
            <w:r>
              <w:rPr>
                <w:rFonts w:hint="eastAsia" w:ascii="仿宋" w:hAnsi="仿宋" w:eastAsia="仿宋" w:cs="仿宋"/>
                <w:snapToGrid w:val="0"/>
                <w:color w:val="auto"/>
                <w:sz w:val="24"/>
                <w:szCs w:val="24"/>
                <w:highlight w:val="none"/>
              </w:rPr>
              <w:t>份，其中正本</w:t>
            </w:r>
            <w:r>
              <w:rPr>
                <w:rFonts w:hint="eastAsia" w:ascii="仿宋" w:hAnsi="仿宋" w:eastAsia="仿宋" w:cs="仿宋"/>
                <w:snapToGrid w:val="0"/>
                <w:color w:val="auto"/>
                <w:sz w:val="24"/>
                <w:szCs w:val="24"/>
                <w:highlight w:val="none"/>
                <w:u w:val="single"/>
              </w:rPr>
              <w:t>1</w:t>
            </w:r>
            <w:r>
              <w:rPr>
                <w:rFonts w:hint="eastAsia" w:ascii="仿宋" w:hAnsi="仿宋" w:eastAsia="仿宋" w:cs="仿宋"/>
                <w:snapToGrid w:val="0"/>
                <w:color w:val="auto"/>
                <w:sz w:val="24"/>
                <w:szCs w:val="24"/>
                <w:highlight w:val="none"/>
              </w:rPr>
              <w:t>份和副本</w:t>
            </w:r>
            <w:r>
              <w:rPr>
                <w:rFonts w:hint="eastAsia" w:ascii="仿宋" w:hAnsi="仿宋" w:eastAsia="仿宋" w:cs="仿宋"/>
                <w:snapToGrid w:val="0"/>
                <w:color w:val="auto"/>
                <w:sz w:val="24"/>
                <w:szCs w:val="24"/>
                <w:highlight w:val="none"/>
                <w:lang w:val="en-US" w:eastAsia="zh-CN"/>
              </w:rPr>
              <w:t>5</w:t>
            </w:r>
            <w:r>
              <w:rPr>
                <w:rFonts w:hint="eastAsia" w:ascii="仿宋" w:hAnsi="仿宋" w:eastAsia="仿宋" w:cs="仿宋"/>
                <w:snapToGrid w:val="0"/>
                <w:color w:val="auto"/>
                <w:sz w:val="24"/>
                <w:szCs w:val="24"/>
                <w:highlight w:val="none"/>
              </w:rPr>
              <w:t>份；</w:t>
            </w:r>
          </w:p>
          <w:p w14:paraId="553957F1">
            <w:pPr>
              <w:pStyle w:val="16"/>
              <w:adjustRightInd w:val="0"/>
              <w:snapToGrid w:val="0"/>
              <w:spacing w:after="0"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USB接口设备存储的电子版</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盖章后的PDF扫描件</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投标文件1份；开标一览表一式</w:t>
            </w:r>
            <w:r>
              <w:rPr>
                <w:rFonts w:hint="eastAsia" w:ascii="仿宋" w:hAnsi="仿宋" w:eastAsia="仿宋" w:cs="仿宋"/>
                <w:snapToGrid w:val="0"/>
                <w:color w:val="auto"/>
                <w:sz w:val="24"/>
                <w:szCs w:val="24"/>
                <w:highlight w:val="none"/>
                <w:u w:val="single"/>
                <w:lang w:val="en-US" w:eastAsia="zh-CN"/>
              </w:rPr>
              <w:t>1</w:t>
            </w:r>
            <w:r>
              <w:rPr>
                <w:rFonts w:hint="eastAsia" w:ascii="仿宋" w:hAnsi="仿宋" w:eastAsia="仿宋" w:cs="仿宋"/>
                <w:snapToGrid w:val="0"/>
                <w:color w:val="auto"/>
                <w:sz w:val="24"/>
                <w:szCs w:val="24"/>
                <w:highlight w:val="none"/>
              </w:rPr>
              <w:t>份。电子版内容应包含</w:t>
            </w:r>
            <w:r>
              <w:rPr>
                <w:rFonts w:hint="eastAsia" w:ascii="仿宋" w:hAnsi="仿宋" w:eastAsia="仿宋" w:cs="仿宋"/>
                <w:snapToGrid w:val="0"/>
                <w:color w:val="auto"/>
                <w:sz w:val="24"/>
                <w:szCs w:val="24"/>
                <w:highlight w:val="none"/>
                <w:lang w:eastAsia="zh-CN"/>
              </w:rPr>
              <w:t>投标文件</w:t>
            </w:r>
            <w:r>
              <w:rPr>
                <w:rFonts w:hint="eastAsia" w:ascii="仿宋" w:hAnsi="仿宋" w:eastAsia="仿宋" w:cs="仿宋"/>
                <w:snapToGrid w:val="0"/>
                <w:color w:val="auto"/>
                <w:sz w:val="24"/>
                <w:szCs w:val="24"/>
                <w:highlight w:val="none"/>
              </w:rPr>
              <w:t>的全部商务、报价、技术内容及技术资料，其中有英文资料的还应提供中、英文对照文本。</w:t>
            </w:r>
          </w:p>
          <w:p w14:paraId="09B99C23">
            <w:pPr>
              <w:pStyle w:val="16"/>
              <w:adjustRightInd w:val="0"/>
              <w:snapToGrid w:val="0"/>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注：</w:t>
            </w:r>
          </w:p>
          <w:p w14:paraId="40D0C107">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纸质投标文件的装订：供应商须将投标文件（正本、副本）按照</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文件组成的顺序胶装成册，并在首页编制“目录”，正反双面打印，每页均应标注页码，装订应牢固、不易拆散和换页。装订要求：</w:t>
            </w:r>
          </w:p>
          <w:p w14:paraId="3E0B598B">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①每份</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文件的厚度不超过4.5cm，若超过4.5cm，可分册装订，每页标准页码；</w:t>
            </w:r>
          </w:p>
          <w:p w14:paraId="64A7DD84">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②为节约成本，</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文件封皮请勿使用硬版纸；</w:t>
            </w:r>
          </w:p>
          <w:p w14:paraId="5E412749">
            <w:pPr>
              <w:pStyle w:val="16"/>
              <w:adjustRightInd w:val="0"/>
              <w:snapToGrid w:val="0"/>
              <w:spacing w:after="0" w:line="360" w:lineRule="auto"/>
              <w:ind w:firstLine="482" w:firstLineChars="200"/>
              <w:rPr>
                <w:rFonts w:hint="eastAsia" w:ascii="仿宋" w:hAnsi="仿宋" w:eastAsia="仿宋" w:cs="仿宋"/>
                <w:color w:val="auto"/>
                <w:kern w:val="2"/>
                <w:sz w:val="24"/>
                <w:szCs w:val="24"/>
                <w:highlight w:val="none"/>
              </w:rPr>
            </w:pPr>
            <w:r>
              <w:rPr>
                <w:rFonts w:hint="eastAsia" w:ascii="仿宋" w:hAnsi="仿宋" w:eastAsia="仿宋" w:cs="仿宋"/>
                <w:b/>
                <w:bCs/>
                <w:snapToGrid w:val="0"/>
                <w:color w:val="auto"/>
                <w:sz w:val="24"/>
                <w:szCs w:val="24"/>
                <w:highlight w:val="none"/>
              </w:rPr>
              <w:t>③</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文件封装背脊须打印：（XXX单位）投标文件。</w:t>
            </w:r>
          </w:p>
        </w:tc>
      </w:tr>
      <w:tr w14:paraId="24327E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3DC9B12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0" w:type="dxa"/>
            <w:vAlign w:val="center"/>
          </w:tcPr>
          <w:p w14:paraId="25113C5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投标文件密封和标记</w:t>
            </w:r>
          </w:p>
        </w:tc>
        <w:tc>
          <w:tcPr>
            <w:tcW w:w="7559" w:type="dxa"/>
            <w:vAlign w:val="center"/>
          </w:tcPr>
          <w:p w14:paraId="419B140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供应商应将投标文件正本、副本、电子版及开标一览表密封，并在封套明显处注明以下内容：</w:t>
            </w:r>
          </w:p>
          <w:p w14:paraId="3D2D34F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项目编号、项目名称、包号 </w:t>
            </w:r>
          </w:p>
          <w:p w14:paraId="4D77832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正本或副本或电子版或开标一览表</w:t>
            </w:r>
          </w:p>
          <w:p w14:paraId="75287B0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供应商名称</w:t>
            </w:r>
            <w:r>
              <w:rPr>
                <w:rFonts w:hint="eastAsia" w:ascii="仿宋" w:hAnsi="仿宋" w:eastAsia="仿宋" w:cs="仿宋"/>
                <w:b/>
                <w:color w:val="auto"/>
                <w:sz w:val="24"/>
                <w:szCs w:val="24"/>
                <w:highlight w:val="none"/>
              </w:rPr>
              <w:t>（加盖公章）</w:t>
            </w:r>
            <w:r>
              <w:rPr>
                <w:rFonts w:hint="eastAsia" w:ascii="仿宋" w:hAnsi="仿宋" w:eastAsia="仿宋" w:cs="仿宋"/>
                <w:color w:val="auto"/>
                <w:sz w:val="24"/>
                <w:szCs w:val="24"/>
                <w:highlight w:val="none"/>
              </w:rPr>
              <w:t>、地址、电话</w:t>
            </w:r>
          </w:p>
          <w:p w14:paraId="1AE9704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4）每一密封件在封口处注明“于__年__月__日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时__分之前不准启封”字样。</w:t>
            </w:r>
          </w:p>
          <w:p w14:paraId="50AF0A7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注：单包所有副本密封在一个包封内即可。</w:t>
            </w:r>
          </w:p>
        </w:tc>
      </w:tr>
      <w:tr w14:paraId="3B9452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06F82A7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0" w:type="dxa"/>
            <w:vAlign w:val="center"/>
          </w:tcPr>
          <w:p w14:paraId="3FB32B68">
            <w:pPr>
              <w:pStyle w:val="16"/>
              <w:spacing w:after="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投标文件的签署</w:t>
            </w:r>
          </w:p>
        </w:tc>
        <w:tc>
          <w:tcPr>
            <w:tcW w:w="7559" w:type="dxa"/>
            <w:vAlign w:val="center"/>
          </w:tcPr>
          <w:p w14:paraId="06DDE3B9">
            <w:pPr>
              <w:pStyle w:val="16"/>
              <w:spacing w:after="0" w:line="360" w:lineRule="auto"/>
              <w:ind w:firstLine="602" w:firstLineChars="250"/>
              <w:rPr>
                <w:rFonts w:hint="eastAsia" w:ascii="仿宋" w:hAnsi="仿宋" w:eastAsia="仿宋" w:cs="仿宋"/>
                <w:color w:val="auto"/>
                <w:kern w:val="2"/>
                <w:sz w:val="24"/>
                <w:szCs w:val="24"/>
                <w:highlight w:val="none"/>
              </w:rPr>
            </w:pPr>
            <w:r>
              <w:rPr>
                <w:rFonts w:hint="eastAsia" w:ascii="仿宋" w:hAnsi="仿宋" w:eastAsia="仿宋" w:cs="仿宋"/>
                <w:b/>
                <w:bCs/>
                <w:color w:val="auto"/>
                <w:sz w:val="24"/>
                <w:szCs w:val="24"/>
                <w:highlight w:val="none"/>
              </w:rPr>
              <w:t>投标函、开标一览表以及招标文件格式要求中注明需盖章的资料均应按要求签署。</w:t>
            </w:r>
          </w:p>
        </w:tc>
      </w:tr>
      <w:tr w14:paraId="1D5353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14:paraId="11A46B9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0" w:type="dxa"/>
            <w:vAlign w:val="center"/>
          </w:tcPr>
          <w:p w14:paraId="453853F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7559" w:type="dxa"/>
            <w:vAlign w:val="center"/>
          </w:tcPr>
          <w:p w14:paraId="55F4FF97">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保证金金额：</w:t>
            </w:r>
            <w:r>
              <w:rPr>
                <w:rFonts w:hint="eastAsia" w:ascii="仿宋" w:hAnsi="仿宋" w:eastAsia="仿宋" w:cs="仿宋"/>
                <w:color w:val="auto"/>
                <w:sz w:val="24"/>
                <w:szCs w:val="24"/>
                <w:highlight w:val="none"/>
                <w:lang w:val="en-US" w:eastAsia="zh-CN"/>
              </w:rPr>
              <w:t>肆万</w:t>
            </w:r>
            <w:r>
              <w:rPr>
                <w:rFonts w:hint="eastAsia" w:ascii="仿宋" w:hAnsi="仿宋" w:eastAsia="仿宋" w:cs="仿宋"/>
                <w:color w:val="auto"/>
                <w:sz w:val="24"/>
                <w:szCs w:val="24"/>
                <w:highlight w:val="none"/>
                <w:lang w:val="zh-CN"/>
              </w:rPr>
              <w:t>元整；</w:t>
            </w:r>
          </w:p>
          <w:p w14:paraId="6BF34675">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2.递交投标文件截止时间前交纳；</w:t>
            </w:r>
          </w:p>
          <w:p w14:paraId="4258AE71">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3.保证金的交纳单位必须与投标人名称一致；</w:t>
            </w:r>
          </w:p>
          <w:p w14:paraId="3FAEA8CE">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4.以支票、汇票、本票或者金融机构、担保机构出具的保函等非现金形式提交</w:t>
            </w:r>
            <w:r>
              <w:rPr>
                <w:rFonts w:hint="eastAsia" w:ascii="仿宋" w:hAnsi="仿宋" w:eastAsia="仿宋" w:cs="仿宋"/>
                <w:color w:val="auto"/>
                <w:sz w:val="24"/>
                <w:szCs w:val="24"/>
                <w:highlight w:val="none"/>
              </w:rPr>
              <w:t>保证金</w:t>
            </w:r>
            <w:r>
              <w:rPr>
                <w:rFonts w:hint="eastAsia" w:ascii="仿宋" w:hAnsi="仿宋" w:eastAsia="仿宋" w:cs="仿宋"/>
                <w:color w:val="auto"/>
                <w:sz w:val="24"/>
                <w:szCs w:val="24"/>
                <w:highlight w:val="none"/>
                <w:lang w:val="zh-CN"/>
              </w:rPr>
              <w:t>；</w:t>
            </w:r>
          </w:p>
          <w:p w14:paraId="4652DAA5">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5.电汇缴纳保证金具体操作：</w:t>
            </w:r>
          </w:p>
          <w:p w14:paraId="1EA1AF06">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凡有意参加本项目的潜在投标人，请访问中招联合招标采购平台（www.365trade.com.cn）购标成功后，在平台内点击“我参与的标包”——“缴纳保证金”—— “下一步”——“导出账号信息”，获取对应标包的保证金账号，请从投标人单位银行账户以网上银行支付形式向此保证金账号缴纳保证金，应在</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lang w:val="zh-CN"/>
              </w:rPr>
              <w:t xml:space="preserve">提交截止时间前到账。 </w:t>
            </w:r>
          </w:p>
          <w:p w14:paraId="5D402F67">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意事项：（1）上述保证金账号，为本项目标包专属一次性虚拟账号，对于同一投标人、同一项目的不同标包，保证金虚拟账号各不相同。对应的保证金虚拟账号只接受本投标人本项目对应标包的保证金，其他项目、标包的保证金请勿支付至本标包的账号。请勿泄露或从他人处获取账号信息。投标人注册、保证金账号获取等系统操作问题可咨询（010-86397110）。（</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）在采购活动结束后，保证金将按照投标人单位交款账户原路退还。 </w:t>
            </w:r>
          </w:p>
          <w:p w14:paraId="76A090B6">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保函缴纳保证金具体操作：</w:t>
            </w:r>
          </w:p>
          <w:p w14:paraId="6F9EF857">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如提供保函，建议优先考虑电子保函。投标人提供电子保函的，电子保函应注明适用范围(所响应项目的名称)。投标人人可自行选择具有电子投标保函资质的机构开具电子投标保函，另提供线上查验方法《如提供验证保函真伪说明、查询网页链接地址、查询结果截图等)。</w:t>
            </w:r>
          </w:p>
          <w:p w14:paraId="55B65C80">
            <w:pPr>
              <w:spacing w:line="360" w:lineRule="auto"/>
              <w:ind w:firstLine="523" w:firstLineChars="218"/>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办理方式: 请访问中招联合招标采购平台（www.365trade.com.cn）购标成功后，在平台内点击“我参与的标包”——“缴纳保证金”，保证金缴纳选择电子保函，进入保函申请页面，获取保函信息，选择支付电子保函服务，完成后约 10 分钟完成电子保函开具。</w:t>
            </w:r>
          </w:p>
          <w:p w14:paraId="60426EC1">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备注：</w:t>
            </w:r>
          </w:p>
          <w:p w14:paraId="419A7663">
            <w:pPr>
              <w:spacing w:line="360" w:lineRule="auto"/>
              <w:ind w:firstLine="525" w:firstLineChars="218"/>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1）保证金到账截止时间为投标截止时间，逾期到账的，被视为“未按规定交纳投标保证金”，其</w:t>
            </w:r>
            <w:r>
              <w:rPr>
                <w:rFonts w:hint="eastAsia" w:ascii="仿宋" w:hAnsi="仿宋" w:eastAsia="仿宋" w:cs="仿宋"/>
                <w:b/>
                <w:snapToGrid w:val="0"/>
                <w:color w:val="auto"/>
                <w:kern w:val="0"/>
                <w:sz w:val="24"/>
                <w:szCs w:val="24"/>
                <w:highlight w:val="none"/>
                <w:lang w:eastAsia="zh-CN"/>
              </w:rPr>
              <w:t>投标文件</w:t>
            </w:r>
            <w:r>
              <w:rPr>
                <w:rFonts w:hint="eastAsia" w:ascii="仿宋" w:hAnsi="仿宋" w:eastAsia="仿宋" w:cs="仿宋"/>
                <w:b/>
                <w:snapToGrid w:val="0"/>
                <w:color w:val="auto"/>
                <w:kern w:val="0"/>
                <w:sz w:val="24"/>
                <w:szCs w:val="24"/>
                <w:highlight w:val="none"/>
              </w:rPr>
              <w:t>将按无效投标处理；</w:t>
            </w:r>
          </w:p>
          <w:p w14:paraId="70D9EDB1">
            <w:pPr>
              <w:spacing w:line="360" w:lineRule="auto"/>
              <w:ind w:firstLine="525" w:firstLineChars="218"/>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2）保证金必须从</w:t>
            </w:r>
            <w:r>
              <w:rPr>
                <w:rFonts w:hint="eastAsia" w:ascii="仿宋" w:hAnsi="仿宋" w:eastAsia="仿宋" w:cs="仿宋"/>
                <w:b/>
                <w:snapToGrid w:val="0"/>
                <w:color w:val="auto"/>
                <w:kern w:val="0"/>
                <w:sz w:val="24"/>
                <w:szCs w:val="24"/>
                <w:highlight w:val="none"/>
                <w:lang w:val="en-US" w:eastAsia="zh-CN"/>
              </w:rPr>
              <w:t>投标人</w:t>
            </w:r>
            <w:r>
              <w:rPr>
                <w:rFonts w:hint="eastAsia" w:ascii="仿宋" w:hAnsi="仿宋" w:eastAsia="仿宋" w:cs="仿宋"/>
                <w:b/>
                <w:snapToGrid w:val="0"/>
                <w:color w:val="auto"/>
                <w:kern w:val="0"/>
                <w:sz w:val="24"/>
                <w:szCs w:val="24"/>
                <w:highlight w:val="none"/>
              </w:rPr>
              <w:t>账户转出，否则无效；未按上述规定递交投标保证金的</w:t>
            </w:r>
            <w:r>
              <w:rPr>
                <w:rFonts w:hint="eastAsia" w:ascii="仿宋" w:hAnsi="仿宋" w:eastAsia="仿宋" w:cs="仿宋"/>
                <w:b/>
                <w:snapToGrid w:val="0"/>
                <w:color w:val="auto"/>
                <w:kern w:val="0"/>
                <w:sz w:val="24"/>
                <w:szCs w:val="24"/>
                <w:highlight w:val="none"/>
                <w:lang w:eastAsia="zh-CN"/>
              </w:rPr>
              <w:t>投标人</w:t>
            </w:r>
            <w:r>
              <w:rPr>
                <w:rFonts w:hint="eastAsia" w:ascii="仿宋" w:hAnsi="仿宋" w:eastAsia="仿宋" w:cs="仿宋"/>
                <w:b/>
                <w:snapToGrid w:val="0"/>
                <w:color w:val="auto"/>
                <w:kern w:val="0"/>
                <w:sz w:val="24"/>
                <w:szCs w:val="24"/>
                <w:highlight w:val="none"/>
              </w:rPr>
              <w:t>，其</w:t>
            </w:r>
            <w:r>
              <w:rPr>
                <w:rFonts w:hint="eastAsia" w:ascii="仿宋" w:hAnsi="仿宋" w:eastAsia="仿宋" w:cs="仿宋"/>
                <w:b/>
                <w:snapToGrid w:val="0"/>
                <w:color w:val="auto"/>
                <w:kern w:val="0"/>
                <w:sz w:val="24"/>
                <w:szCs w:val="24"/>
                <w:highlight w:val="none"/>
                <w:lang w:eastAsia="zh-CN"/>
              </w:rPr>
              <w:t>投标文件</w:t>
            </w:r>
            <w:r>
              <w:rPr>
                <w:rFonts w:hint="eastAsia" w:ascii="仿宋" w:hAnsi="仿宋" w:eastAsia="仿宋" w:cs="仿宋"/>
                <w:b/>
                <w:snapToGrid w:val="0"/>
                <w:color w:val="auto"/>
                <w:kern w:val="0"/>
                <w:sz w:val="24"/>
                <w:szCs w:val="24"/>
                <w:highlight w:val="none"/>
              </w:rPr>
              <w:t>将按无效投标处理；</w:t>
            </w:r>
          </w:p>
          <w:p w14:paraId="59990F38">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r>
              <w:rPr>
                <w:rFonts w:hint="eastAsia" w:ascii="仿宋" w:hAnsi="仿宋" w:eastAsia="仿宋" w:cs="仿宋"/>
                <w:snapToGrid w:val="0"/>
                <w:color w:val="auto"/>
                <w:kern w:val="0"/>
                <w:sz w:val="24"/>
                <w:szCs w:val="24"/>
                <w:highlight w:val="none"/>
                <w:lang w:eastAsia="zh-CN"/>
              </w:rPr>
              <w:t>投标人</w:t>
            </w:r>
            <w:r>
              <w:rPr>
                <w:rFonts w:hint="eastAsia" w:ascii="仿宋" w:hAnsi="仿宋" w:eastAsia="仿宋" w:cs="仿宋"/>
                <w:snapToGrid w:val="0"/>
                <w:color w:val="auto"/>
                <w:kern w:val="0"/>
                <w:sz w:val="24"/>
                <w:szCs w:val="24"/>
                <w:highlight w:val="none"/>
              </w:rPr>
              <w:t>应充分考虑银行信息交换时间，由此带来的保证金不能按时到帐的责任由</w:t>
            </w:r>
            <w:r>
              <w:rPr>
                <w:rFonts w:hint="eastAsia" w:ascii="仿宋" w:hAnsi="仿宋" w:eastAsia="仿宋" w:cs="仿宋"/>
                <w:snapToGrid w:val="0"/>
                <w:color w:val="auto"/>
                <w:kern w:val="0"/>
                <w:sz w:val="24"/>
                <w:szCs w:val="24"/>
                <w:highlight w:val="none"/>
                <w:lang w:eastAsia="zh-CN"/>
              </w:rPr>
              <w:t>投标人</w:t>
            </w:r>
            <w:r>
              <w:rPr>
                <w:rFonts w:hint="eastAsia" w:ascii="仿宋" w:hAnsi="仿宋" w:eastAsia="仿宋" w:cs="仿宋"/>
                <w:snapToGrid w:val="0"/>
                <w:color w:val="auto"/>
                <w:kern w:val="0"/>
                <w:sz w:val="24"/>
                <w:szCs w:val="24"/>
                <w:highlight w:val="none"/>
              </w:rPr>
              <w:t>自行承担。</w:t>
            </w:r>
          </w:p>
          <w:p w14:paraId="71FC9D14">
            <w:pPr>
              <w:spacing w:line="360" w:lineRule="auto"/>
              <w:ind w:firstLine="523" w:firstLineChars="218"/>
              <w:rPr>
                <w:rFonts w:hint="eastAsia" w:ascii="仿宋" w:hAnsi="仿宋" w:eastAsia="仿宋" w:cs="仿宋"/>
                <w:b/>
                <w:color w:val="auto"/>
                <w:sz w:val="24"/>
                <w:szCs w:val="24"/>
                <w:highlight w:val="none"/>
              </w:rPr>
            </w:pPr>
            <w:r>
              <w:rPr>
                <w:rFonts w:hint="eastAsia" w:ascii="仿宋" w:hAnsi="仿宋" w:eastAsia="仿宋" w:cs="仿宋"/>
                <w:snapToGrid w:val="0"/>
                <w:color w:val="auto"/>
                <w:kern w:val="0"/>
                <w:sz w:val="24"/>
                <w:szCs w:val="24"/>
                <w:highlight w:val="none"/>
              </w:rPr>
              <w:t>采用银行保函或第三方担保的，银行保函或第三方担保函应附在</w:t>
            </w:r>
            <w:r>
              <w:rPr>
                <w:rFonts w:hint="eastAsia" w:ascii="仿宋" w:hAnsi="仿宋" w:eastAsia="仿宋" w:cs="仿宋"/>
                <w:snapToGrid w:val="0"/>
                <w:color w:val="auto"/>
                <w:kern w:val="0"/>
                <w:sz w:val="24"/>
                <w:szCs w:val="24"/>
                <w:highlight w:val="none"/>
                <w:lang w:eastAsia="zh-CN"/>
              </w:rPr>
              <w:t>投标文件</w:t>
            </w:r>
            <w:r>
              <w:rPr>
                <w:rFonts w:hint="eastAsia" w:ascii="仿宋" w:hAnsi="仿宋" w:eastAsia="仿宋" w:cs="仿宋"/>
                <w:snapToGrid w:val="0"/>
                <w:color w:val="auto"/>
                <w:kern w:val="0"/>
                <w:sz w:val="24"/>
                <w:szCs w:val="24"/>
                <w:highlight w:val="none"/>
              </w:rPr>
              <w:t>中，原件需到期退还的，可以单独密封在包封中。</w:t>
            </w:r>
          </w:p>
        </w:tc>
      </w:tr>
      <w:tr w14:paraId="24B139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jc w:val="center"/>
        </w:trPr>
        <w:tc>
          <w:tcPr>
            <w:tcW w:w="619" w:type="dxa"/>
            <w:vAlign w:val="center"/>
          </w:tcPr>
          <w:p w14:paraId="6292BDE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0" w:type="dxa"/>
            <w:vAlign w:val="center"/>
          </w:tcPr>
          <w:p w14:paraId="444B807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7559" w:type="dxa"/>
            <w:vAlign w:val="center"/>
          </w:tcPr>
          <w:p w14:paraId="14D51B21">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自投标截止之日起</w:t>
            </w:r>
            <w:r>
              <w:rPr>
                <w:rFonts w:hint="eastAsia" w:ascii="仿宋" w:hAnsi="仿宋" w:eastAsia="仿宋" w:cs="仿宋"/>
                <w:color w:val="auto"/>
                <w:sz w:val="24"/>
                <w:szCs w:val="24"/>
                <w:highlight w:val="none"/>
                <w:u w:val="single"/>
              </w:rPr>
              <w:t>90</w:t>
            </w:r>
            <w:r>
              <w:rPr>
                <w:rFonts w:hint="eastAsia" w:ascii="仿宋" w:hAnsi="仿宋" w:eastAsia="仿宋" w:cs="仿宋"/>
                <w:color w:val="auto"/>
                <w:sz w:val="24"/>
                <w:szCs w:val="24"/>
                <w:highlight w:val="none"/>
              </w:rPr>
              <w:t>日历天</w:t>
            </w:r>
          </w:p>
        </w:tc>
      </w:tr>
      <w:tr w14:paraId="311AF0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49" w:hRule="atLeast"/>
          <w:jc w:val="center"/>
        </w:trPr>
        <w:tc>
          <w:tcPr>
            <w:tcW w:w="619" w:type="dxa"/>
            <w:vAlign w:val="center"/>
          </w:tcPr>
          <w:p w14:paraId="13116AC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840" w:type="dxa"/>
            <w:vAlign w:val="center"/>
          </w:tcPr>
          <w:p w14:paraId="5CB9E91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w:t>
            </w:r>
          </w:p>
        </w:tc>
        <w:tc>
          <w:tcPr>
            <w:tcW w:w="7559" w:type="dxa"/>
            <w:vAlign w:val="center"/>
          </w:tcPr>
          <w:p w14:paraId="5D792142">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投标文件递交时间：详见招标公告；</w:t>
            </w:r>
          </w:p>
          <w:p w14:paraId="0CFF091E">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投标文件递交截止时间：详见招标公告；</w:t>
            </w:r>
          </w:p>
          <w:p w14:paraId="2FBEEBD2">
            <w:pPr>
              <w:spacing w:line="360" w:lineRule="auto"/>
              <w:ind w:firstLine="523" w:firstLineChars="218"/>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投标文件递交地点：详见招标公告</w:t>
            </w:r>
            <w:r>
              <w:rPr>
                <w:rFonts w:hint="eastAsia" w:ascii="仿宋" w:hAnsi="仿宋" w:eastAsia="仿宋" w:cs="仿宋"/>
                <w:color w:val="auto"/>
                <w:sz w:val="24"/>
                <w:szCs w:val="24"/>
                <w:highlight w:val="none"/>
                <w:lang w:eastAsia="zh-CN"/>
              </w:rPr>
              <w:t>。</w:t>
            </w:r>
          </w:p>
        </w:tc>
      </w:tr>
      <w:tr w14:paraId="6FBB5E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8" w:hRule="atLeast"/>
          <w:jc w:val="center"/>
        </w:trPr>
        <w:tc>
          <w:tcPr>
            <w:tcW w:w="619" w:type="dxa"/>
            <w:vAlign w:val="center"/>
          </w:tcPr>
          <w:p w14:paraId="5AC4BAB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40" w:type="dxa"/>
            <w:vAlign w:val="center"/>
          </w:tcPr>
          <w:p w14:paraId="30FC7DA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开标时间、开标地点</w:t>
            </w:r>
          </w:p>
        </w:tc>
        <w:tc>
          <w:tcPr>
            <w:tcW w:w="7559" w:type="dxa"/>
            <w:vAlign w:val="center"/>
          </w:tcPr>
          <w:p w14:paraId="76F9AA2E">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开标时间：同投标文件递交截止时间；</w:t>
            </w:r>
          </w:p>
          <w:p w14:paraId="62FFDD6B">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地点：同投标文件递交地点。</w:t>
            </w:r>
          </w:p>
        </w:tc>
      </w:tr>
      <w:tr w14:paraId="2C7659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9" w:hRule="atLeast"/>
          <w:jc w:val="center"/>
        </w:trPr>
        <w:tc>
          <w:tcPr>
            <w:tcW w:w="619" w:type="dxa"/>
            <w:vAlign w:val="center"/>
          </w:tcPr>
          <w:p w14:paraId="3E930BC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840" w:type="dxa"/>
            <w:vAlign w:val="center"/>
          </w:tcPr>
          <w:p w14:paraId="32149E3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用于评分的证明材料</w:t>
            </w:r>
          </w:p>
        </w:tc>
        <w:tc>
          <w:tcPr>
            <w:tcW w:w="7559" w:type="dxa"/>
            <w:vAlign w:val="center"/>
          </w:tcPr>
          <w:p w14:paraId="40A7768B">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1)提供评分办法涉及的业绩合同、信誉或荣誉证书、获奖证书等证明材料（详见评分办法）。</w:t>
            </w:r>
          </w:p>
        </w:tc>
      </w:tr>
      <w:tr w14:paraId="1763A8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42" w:hRule="atLeast"/>
          <w:jc w:val="center"/>
        </w:trPr>
        <w:tc>
          <w:tcPr>
            <w:tcW w:w="619" w:type="dxa"/>
            <w:vAlign w:val="center"/>
          </w:tcPr>
          <w:p w14:paraId="28FEDFB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840" w:type="dxa"/>
            <w:vAlign w:val="center"/>
          </w:tcPr>
          <w:p w14:paraId="4EB7D90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年份要求</w:t>
            </w:r>
          </w:p>
        </w:tc>
        <w:tc>
          <w:tcPr>
            <w:tcW w:w="7559" w:type="dxa"/>
            <w:vAlign w:val="center"/>
          </w:tcPr>
          <w:p w14:paraId="47EE3ABD">
            <w:pPr>
              <w:spacing w:line="360" w:lineRule="auto"/>
              <w:ind w:firstLine="523" w:firstLineChars="21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财务状况年份要求：202</w:t>
            </w:r>
            <w:r>
              <w:rPr>
                <w:rFonts w:hint="eastAsia" w:ascii="仿宋" w:hAnsi="仿宋" w:eastAsia="仿宋" w:cs="仿宋"/>
                <w:color w:val="auto"/>
                <w:sz w:val="24"/>
                <w:szCs w:val="24"/>
                <w:highlight w:val="none"/>
                <w:lang w:val="en-US" w:eastAsia="zh-CN"/>
              </w:rPr>
              <w:t>3年</w:t>
            </w:r>
            <w:r>
              <w:rPr>
                <w:rFonts w:hint="eastAsia" w:ascii="仿宋" w:hAnsi="仿宋" w:eastAsia="仿宋" w:cs="仿宋"/>
                <w:color w:val="auto"/>
                <w:sz w:val="24"/>
                <w:szCs w:val="24"/>
                <w:highlight w:val="none"/>
              </w:rPr>
              <w:t xml:space="preserve">； </w:t>
            </w:r>
          </w:p>
          <w:p w14:paraId="08FAB25F">
            <w:pPr>
              <w:pStyle w:val="16"/>
              <w:spacing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近三年：</w:t>
            </w:r>
            <w:r>
              <w:rPr>
                <w:rFonts w:hint="eastAsia" w:ascii="仿宋" w:hAnsi="仿宋" w:eastAsia="仿宋" w:cs="仿宋"/>
                <w:color w:val="auto"/>
                <w:kern w:val="2"/>
                <w:sz w:val="24"/>
                <w:szCs w:val="24"/>
                <w:highlight w:val="none"/>
                <w:lang w:val="en-US" w:eastAsia="zh-CN"/>
              </w:rPr>
              <w:t>2022</w:t>
            </w:r>
            <w:r>
              <w:rPr>
                <w:rFonts w:hint="eastAsia" w:ascii="仿宋" w:hAnsi="仿宋" w:eastAsia="仿宋" w:cs="仿宋"/>
                <w:color w:val="auto"/>
                <w:kern w:val="2"/>
                <w:sz w:val="24"/>
                <w:szCs w:val="24"/>
                <w:highlight w:val="none"/>
              </w:rPr>
              <w:t>年</w:t>
            </w:r>
            <w:r>
              <w:rPr>
                <w:rFonts w:hint="eastAsia" w:ascii="仿宋" w:hAnsi="仿宋" w:eastAsia="仿宋" w:cs="仿宋"/>
                <w:color w:val="auto"/>
                <w:kern w:val="2"/>
                <w:sz w:val="24"/>
                <w:szCs w:val="24"/>
                <w:highlight w:val="none"/>
                <w:lang w:eastAsia="zh-CN"/>
              </w:rPr>
              <w:t>3月4日</w:t>
            </w:r>
            <w:r>
              <w:rPr>
                <w:rFonts w:hint="eastAsia" w:ascii="仿宋" w:hAnsi="仿宋" w:eastAsia="仿宋" w:cs="仿宋"/>
                <w:color w:val="auto"/>
                <w:kern w:val="2"/>
                <w:sz w:val="24"/>
                <w:szCs w:val="24"/>
                <w:highlight w:val="none"/>
              </w:rPr>
              <w:t>至今；</w:t>
            </w:r>
          </w:p>
          <w:p w14:paraId="44854AE7">
            <w:pPr>
              <w:pStyle w:val="16"/>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如成立时间较短的供应商，可提供成立至今的相关证明材料。</w:t>
            </w:r>
          </w:p>
        </w:tc>
      </w:tr>
      <w:tr w14:paraId="26D514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619" w:type="dxa"/>
            <w:vAlign w:val="center"/>
          </w:tcPr>
          <w:p w14:paraId="29830A9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1840" w:type="dxa"/>
            <w:vAlign w:val="center"/>
          </w:tcPr>
          <w:p w14:paraId="2478A549">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工期</w:t>
            </w:r>
          </w:p>
        </w:tc>
        <w:tc>
          <w:tcPr>
            <w:tcW w:w="7559" w:type="dxa"/>
            <w:vAlign w:val="center"/>
          </w:tcPr>
          <w:p w14:paraId="7D9CB801">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三年，合同签订之日至2028年3月1日</w:t>
            </w:r>
            <w:r>
              <w:rPr>
                <w:rFonts w:hint="eastAsia" w:ascii="仿宋" w:hAnsi="仿宋" w:eastAsia="仿宋" w:cs="仿宋"/>
                <w:bCs/>
                <w:color w:val="auto"/>
                <w:kern w:val="2"/>
                <w:sz w:val="24"/>
                <w:szCs w:val="24"/>
                <w:highlight w:val="none"/>
                <w:lang w:val="en-US" w:eastAsia="zh-CN" w:bidi="ar-SA"/>
              </w:rPr>
              <w:t>之前，完成院方提供历史病案的数字化加工服务，并提交成品数据。</w:t>
            </w:r>
          </w:p>
        </w:tc>
      </w:tr>
      <w:tr w14:paraId="26B22C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619" w:type="dxa"/>
            <w:vAlign w:val="center"/>
          </w:tcPr>
          <w:p w14:paraId="3988EAAA">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1840" w:type="dxa"/>
            <w:vAlign w:val="center"/>
          </w:tcPr>
          <w:p w14:paraId="25975FA9">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w:t>
            </w:r>
          </w:p>
        </w:tc>
        <w:tc>
          <w:tcPr>
            <w:tcW w:w="7559" w:type="dxa"/>
            <w:vAlign w:val="center"/>
          </w:tcPr>
          <w:p w14:paraId="66A6D6DE">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最后一次项目验收合格之日起，病案扫描数据一年数据维护服务。</w:t>
            </w:r>
          </w:p>
        </w:tc>
      </w:tr>
      <w:tr w14:paraId="1F4C46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14:paraId="2B56EBD2">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840" w:type="dxa"/>
            <w:vAlign w:val="center"/>
          </w:tcPr>
          <w:p w14:paraId="523214DF">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w:t>
            </w:r>
          </w:p>
        </w:tc>
        <w:tc>
          <w:tcPr>
            <w:tcW w:w="7559" w:type="dxa"/>
            <w:vAlign w:val="center"/>
          </w:tcPr>
          <w:p w14:paraId="344D9D95">
            <w:pPr>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半年验收一次，验收合格后，乙方根据实际的扫描页数依据单页价格核算数字化加工服务费，并依此开具发票，甲方在收到发票后30日历日内将金额的90%支付给乙方，剩余10%质量保证金在数字化扫描无质量问题后30日历日内无息支付给乙方。</w:t>
            </w:r>
          </w:p>
        </w:tc>
      </w:tr>
      <w:tr w14:paraId="6BCC56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46" w:hRule="atLeast"/>
          <w:jc w:val="center"/>
        </w:trPr>
        <w:tc>
          <w:tcPr>
            <w:tcW w:w="619" w:type="dxa"/>
            <w:vAlign w:val="center"/>
          </w:tcPr>
          <w:p w14:paraId="75135958">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1</w:t>
            </w:r>
          </w:p>
        </w:tc>
        <w:tc>
          <w:tcPr>
            <w:tcW w:w="1840" w:type="dxa"/>
            <w:vAlign w:val="center"/>
          </w:tcPr>
          <w:p w14:paraId="20F6569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评标委员会组成</w:t>
            </w:r>
          </w:p>
        </w:tc>
        <w:tc>
          <w:tcPr>
            <w:tcW w:w="7559" w:type="dxa"/>
            <w:vAlign w:val="center"/>
          </w:tcPr>
          <w:p w14:paraId="38C56062">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根据本项目的特点组建评标委员会，其成员由有关评审专家和采购人代表等五人或以上单数组成，其中评审专家不得少于成员总数的三分之二。</w:t>
            </w:r>
          </w:p>
        </w:tc>
      </w:tr>
      <w:tr w14:paraId="45496E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72" w:hRule="atLeast"/>
          <w:jc w:val="center"/>
        </w:trPr>
        <w:tc>
          <w:tcPr>
            <w:tcW w:w="619" w:type="dxa"/>
            <w:vAlign w:val="center"/>
          </w:tcPr>
          <w:p w14:paraId="046224E1">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2</w:t>
            </w:r>
          </w:p>
        </w:tc>
        <w:tc>
          <w:tcPr>
            <w:tcW w:w="1840" w:type="dxa"/>
            <w:vAlign w:val="center"/>
          </w:tcPr>
          <w:p w14:paraId="0AC505B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评标方法</w:t>
            </w:r>
          </w:p>
        </w:tc>
        <w:tc>
          <w:tcPr>
            <w:tcW w:w="7559" w:type="dxa"/>
            <w:vAlign w:val="center"/>
          </w:tcPr>
          <w:p w14:paraId="51094F2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本次评标采用综合评分法，评标委员会成员根据第三章“评分办法”进行打分，按照得分由高到低顺序对各供应商进行排序，提出书面评标报告，推荐中标候选人。</w:t>
            </w:r>
          </w:p>
        </w:tc>
      </w:tr>
      <w:tr w14:paraId="022B29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18" w:hRule="atLeast"/>
          <w:jc w:val="center"/>
        </w:trPr>
        <w:tc>
          <w:tcPr>
            <w:tcW w:w="619" w:type="dxa"/>
            <w:vAlign w:val="center"/>
          </w:tcPr>
          <w:p w14:paraId="25F07FE1">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3</w:t>
            </w:r>
          </w:p>
        </w:tc>
        <w:tc>
          <w:tcPr>
            <w:tcW w:w="1840" w:type="dxa"/>
            <w:vAlign w:val="center"/>
          </w:tcPr>
          <w:p w14:paraId="5AFD973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是否授权评标委员会确定中标人</w:t>
            </w:r>
          </w:p>
        </w:tc>
        <w:tc>
          <w:tcPr>
            <w:tcW w:w="7559" w:type="dxa"/>
            <w:vAlign w:val="center"/>
          </w:tcPr>
          <w:p w14:paraId="39AFD89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否，评标委员会推荐</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rPr>
              <w:t>名中标候选人，由采购人依法确定中标人；</w:t>
            </w:r>
          </w:p>
          <w:p w14:paraId="75E10F6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是，评标委员会推荐</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名中标候选人，并直接确定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名中标人。</w:t>
            </w:r>
          </w:p>
        </w:tc>
      </w:tr>
      <w:tr w14:paraId="19D168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86" w:hRule="atLeast"/>
          <w:jc w:val="center"/>
        </w:trPr>
        <w:tc>
          <w:tcPr>
            <w:tcW w:w="619" w:type="dxa"/>
            <w:vAlign w:val="center"/>
          </w:tcPr>
          <w:p w14:paraId="2BC41478">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p>
        </w:tc>
        <w:tc>
          <w:tcPr>
            <w:tcW w:w="1840" w:type="dxa"/>
            <w:vAlign w:val="center"/>
          </w:tcPr>
          <w:p w14:paraId="1132314E">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相关费用</w:t>
            </w:r>
          </w:p>
        </w:tc>
        <w:tc>
          <w:tcPr>
            <w:tcW w:w="7559" w:type="dxa"/>
            <w:vAlign w:val="center"/>
          </w:tcPr>
          <w:p w14:paraId="43006FD3">
            <w:pPr>
              <w:spacing w:line="360" w:lineRule="auto"/>
              <w:ind w:firstLine="523" w:firstLineChars="218"/>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中标服务费：</w:t>
            </w:r>
          </w:p>
          <w:p w14:paraId="7DDF9826">
            <w:pPr>
              <w:spacing w:line="360" w:lineRule="auto"/>
              <w:ind w:firstLine="523" w:firstLineChars="218"/>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本项目中标服务费按差额累进法计算下浮</w:t>
            </w:r>
            <w:r>
              <w:rPr>
                <w:rFonts w:hint="eastAsia" w:ascii="仿宋" w:hAnsi="仿宋" w:eastAsia="仿宋" w:cs="仿宋"/>
                <w:color w:val="auto"/>
                <w:kern w:val="0"/>
                <w:sz w:val="24"/>
                <w:szCs w:val="24"/>
                <w:highlight w:val="none"/>
                <w:u w:val="single"/>
              </w:rPr>
              <w:t>40</w:t>
            </w:r>
            <w:r>
              <w:rPr>
                <w:rFonts w:hint="eastAsia" w:ascii="仿宋" w:hAnsi="仿宋" w:eastAsia="仿宋" w:cs="仿宋"/>
                <w:color w:val="auto"/>
                <w:kern w:val="0"/>
                <w:sz w:val="24"/>
                <w:szCs w:val="24"/>
                <w:highlight w:val="none"/>
              </w:rPr>
              <w:t>%计取。中标服务费</w:t>
            </w:r>
            <w:r>
              <w:rPr>
                <w:rFonts w:hint="eastAsia" w:ascii="仿宋" w:hAnsi="仿宋" w:eastAsia="仿宋" w:cs="仿宋"/>
                <w:color w:val="auto"/>
                <w:sz w:val="24"/>
                <w:szCs w:val="24"/>
                <w:highlight w:val="none"/>
              </w:rPr>
              <w:t>由中标人支付。</w:t>
            </w:r>
          </w:p>
          <w:p w14:paraId="5EF907CB">
            <w:pPr>
              <w:pStyle w:val="1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□中标服务费按中标金额的__%计取，由中标人支付。</w:t>
            </w:r>
          </w:p>
        </w:tc>
      </w:tr>
      <w:tr w14:paraId="7FC155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3" w:hRule="atLeast"/>
          <w:jc w:val="center"/>
        </w:trPr>
        <w:tc>
          <w:tcPr>
            <w:tcW w:w="619" w:type="dxa"/>
            <w:tcBorders>
              <w:right w:val="single" w:color="auto" w:sz="4" w:space="0"/>
            </w:tcBorders>
            <w:vAlign w:val="center"/>
          </w:tcPr>
          <w:p w14:paraId="7E01B846">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p>
        </w:tc>
        <w:tc>
          <w:tcPr>
            <w:tcW w:w="1840" w:type="dxa"/>
            <w:tcBorders>
              <w:right w:val="single" w:color="auto" w:sz="4" w:space="0"/>
            </w:tcBorders>
            <w:vAlign w:val="center"/>
          </w:tcPr>
          <w:p w14:paraId="3C59310E">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Cs/>
                <w:snapToGrid w:val="0"/>
                <w:color w:val="auto"/>
                <w:kern w:val="0"/>
                <w:sz w:val="24"/>
                <w:szCs w:val="24"/>
                <w:highlight w:val="none"/>
              </w:rPr>
              <w:t>履约保证金</w:t>
            </w:r>
          </w:p>
        </w:tc>
        <w:tc>
          <w:tcPr>
            <w:tcW w:w="7559" w:type="dxa"/>
            <w:tcBorders>
              <w:left w:val="single" w:color="auto" w:sz="4" w:space="0"/>
            </w:tcBorders>
            <w:vAlign w:val="center"/>
          </w:tcPr>
          <w:p w14:paraId="67D1ECEC">
            <w:pPr>
              <w:pStyle w:val="1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2661CB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6C2C913C">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p>
        </w:tc>
        <w:tc>
          <w:tcPr>
            <w:tcW w:w="1840" w:type="dxa"/>
            <w:tcBorders>
              <w:right w:val="single" w:color="auto" w:sz="4" w:space="0"/>
            </w:tcBorders>
            <w:vAlign w:val="center"/>
          </w:tcPr>
          <w:p w14:paraId="097493B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zh-CN"/>
              </w:rPr>
              <w:t>踏勘现场</w:t>
            </w:r>
          </w:p>
        </w:tc>
        <w:tc>
          <w:tcPr>
            <w:tcW w:w="7559" w:type="dxa"/>
            <w:tcBorders>
              <w:left w:val="single" w:color="auto" w:sz="4" w:space="0"/>
            </w:tcBorders>
            <w:vAlign w:val="center"/>
          </w:tcPr>
          <w:p w14:paraId="130EC5E2">
            <w:pPr>
              <w:tabs>
                <w:tab w:val="left" w:pos="7665"/>
              </w:tabs>
              <w:spacing w:line="360" w:lineRule="auto"/>
              <w:rPr>
                <w:rFonts w:hint="eastAsia" w:ascii="仿宋" w:hAnsi="仿宋" w:eastAsia="仿宋" w:cs="仿宋"/>
                <w:color w:val="auto"/>
                <w:sz w:val="24"/>
                <w:highlight w:val="none"/>
                <w:lang w:val="zh-CN"/>
              </w:rPr>
            </w:pPr>
            <w:r>
              <w:rPr>
                <w:rFonts w:hint="eastAsia" w:ascii="MS Gothic" w:hAnsi="MS Gothic" w:eastAsia="MS Gothic" w:cs="MS Gothic"/>
                <w:color w:val="auto"/>
                <w:sz w:val="24"/>
                <w:highlight w:val="none"/>
                <w:lang w:val="zh-CN"/>
              </w:rPr>
              <w:t>□</w:t>
            </w:r>
            <w:r>
              <w:rPr>
                <w:rFonts w:hint="eastAsia" w:ascii="仿宋" w:hAnsi="仿宋" w:eastAsia="仿宋" w:cs="仿宋"/>
                <w:color w:val="auto"/>
                <w:sz w:val="24"/>
                <w:highlight w:val="none"/>
                <w:lang w:val="zh-CN"/>
              </w:rPr>
              <w:t>不组织，自行踏勘</w:t>
            </w:r>
          </w:p>
          <w:p w14:paraId="1133BEFC">
            <w:pPr>
              <w:tabs>
                <w:tab w:val="left" w:pos="7665"/>
              </w:tabs>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☑组织，踏勘时间：</w:t>
            </w:r>
            <w:r>
              <w:rPr>
                <w:rFonts w:hint="eastAsia" w:ascii="仿宋" w:hAnsi="仿宋" w:eastAsia="仿宋" w:cs="仿宋"/>
                <w:color w:val="auto"/>
                <w:sz w:val="24"/>
                <w:highlight w:val="none"/>
                <w:lang w:val="en-US" w:eastAsia="zh-CN"/>
              </w:rPr>
              <w:t>2025年2月18日上午9：30</w:t>
            </w:r>
            <w:r>
              <w:rPr>
                <w:rFonts w:hint="eastAsia" w:ascii="仿宋" w:hAnsi="仿宋" w:eastAsia="仿宋" w:cs="仿宋"/>
                <w:color w:val="auto"/>
                <w:sz w:val="24"/>
                <w:highlight w:val="none"/>
                <w:lang w:val="zh-CN"/>
              </w:rPr>
              <w:t xml:space="preserve"> </w:t>
            </w:r>
          </w:p>
          <w:p w14:paraId="2156585C">
            <w:pPr>
              <w:tabs>
                <w:tab w:val="left" w:pos="7665"/>
              </w:tabs>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集合地点：</w:t>
            </w:r>
            <w:r>
              <w:rPr>
                <w:rFonts w:hint="eastAsia" w:ascii="仿宋" w:hAnsi="仿宋" w:eastAsia="仿宋" w:cs="仿宋"/>
                <w:bCs w:val="0"/>
                <w:color w:val="auto"/>
                <w:sz w:val="24"/>
                <w:szCs w:val="24"/>
                <w:highlight w:val="none"/>
                <w:lang w:val="en-US" w:eastAsia="zh-CN"/>
              </w:rPr>
              <w:t>山东大学第二医院病案室</w:t>
            </w:r>
          </w:p>
          <w:p w14:paraId="77DD0E0A">
            <w:pPr>
              <w:tabs>
                <w:tab w:val="left" w:pos="7665"/>
              </w:tabs>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rPr>
              <w:t>联系人：</w:t>
            </w:r>
            <w:r>
              <w:rPr>
                <w:rFonts w:hint="eastAsia" w:ascii="仿宋" w:hAnsi="仿宋" w:eastAsia="仿宋" w:cs="仿宋"/>
                <w:color w:val="auto"/>
                <w:sz w:val="24"/>
                <w:highlight w:val="none"/>
                <w:lang w:val="en-US" w:eastAsia="zh-CN"/>
              </w:rPr>
              <w:t>张老师</w:t>
            </w:r>
          </w:p>
          <w:p w14:paraId="1ADE5475">
            <w:pPr>
              <w:tabs>
                <w:tab w:val="left" w:pos="7665"/>
              </w:tabs>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zh-CN"/>
              </w:rPr>
              <w:t>联系电话：</w:t>
            </w:r>
            <w:r>
              <w:rPr>
                <w:rFonts w:hint="eastAsia" w:ascii="仿宋" w:hAnsi="仿宋" w:eastAsia="仿宋" w:cs="仿宋"/>
                <w:color w:val="auto"/>
                <w:sz w:val="24"/>
                <w:highlight w:val="none"/>
                <w:lang w:val="en-US" w:eastAsia="zh-CN"/>
              </w:rPr>
              <w:t>17660085085</w:t>
            </w:r>
          </w:p>
        </w:tc>
      </w:tr>
      <w:tr w14:paraId="737943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03A717E5">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snapToGrid w:val="0"/>
                <w:color w:val="auto"/>
                <w:kern w:val="0"/>
                <w:sz w:val="24"/>
                <w:szCs w:val="24"/>
                <w:highlight w:val="none"/>
              </w:rPr>
              <w:t>2</w:t>
            </w:r>
            <w:r>
              <w:rPr>
                <w:rFonts w:hint="eastAsia" w:ascii="仿宋" w:hAnsi="仿宋" w:eastAsia="仿宋" w:cs="仿宋"/>
                <w:snapToGrid w:val="0"/>
                <w:color w:val="auto"/>
                <w:kern w:val="0"/>
                <w:sz w:val="24"/>
                <w:szCs w:val="24"/>
                <w:highlight w:val="none"/>
                <w:lang w:val="en-US" w:eastAsia="zh-CN"/>
              </w:rPr>
              <w:t>7</w:t>
            </w:r>
          </w:p>
        </w:tc>
        <w:tc>
          <w:tcPr>
            <w:tcW w:w="1840" w:type="dxa"/>
            <w:tcBorders>
              <w:right w:val="single" w:color="auto" w:sz="4" w:space="0"/>
            </w:tcBorders>
            <w:vAlign w:val="center"/>
          </w:tcPr>
          <w:p w14:paraId="79D5779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采购标的对应的中小企业划分标准所属行业</w:t>
            </w:r>
          </w:p>
        </w:tc>
        <w:tc>
          <w:tcPr>
            <w:tcW w:w="7559" w:type="dxa"/>
            <w:tcBorders>
              <w:left w:val="single" w:color="auto" w:sz="4" w:space="0"/>
            </w:tcBorders>
            <w:vAlign w:val="center"/>
          </w:tcPr>
          <w:p w14:paraId="3A6292EF">
            <w:pPr>
              <w:pStyle w:val="51"/>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其他未列明行业</w:t>
            </w:r>
            <w:r>
              <w:rPr>
                <w:rFonts w:hint="eastAsia" w:ascii="仿宋" w:hAnsi="仿宋" w:eastAsia="仿宋" w:cs="仿宋"/>
                <w:color w:val="auto"/>
                <w:sz w:val="24"/>
                <w:szCs w:val="24"/>
                <w:highlight w:val="none"/>
              </w:rPr>
              <w:t>。</w:t>
            </w:r>
          </w:p>
        </w:tc>
      </w:tr>
      <w:tr w14:paraId="5A64CD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7A78DF06">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28</w:t>
            </w:r>
          </w:p>
        </w:tc>
        <w:tc>
          <w:tcPr>
            <w:tcW w:w="1840" w:type="dxa"/>
            <w:tcBorders>
              <w:right w:val="single" w:color="auto" w:sz="4" w:space="0"/>
            </w:tcBorders>
            <w:vAlign w:val="center"/>
          </w:tcPr>
          <w:p w14:paraId="6A14F53A">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核心产品</w:t>
            </w:r>
          </w:p>
        </w:tc>
        <w:tc>
          <w:tcPr>
            <w:tcW w:w="7559" w:type="dxa"/>
            <w:tcBorders>
              <w:left w:val="single" w:color="auto" w:sz="4" w:space="0"/>
            </w:tcBorders>
            <w:vAlign w:val="center"/>
          </w:tcPr>
          <w:p w14:paraId="07895B70">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多家供应商提供的核心产品品牌均相同的，属投报相同品牌产品，按下列规定处理：</w:t>
            </w:r>
          </w:p>
          <w:p w14:paraId="28F7C013">
            <w:pPr>
              <w:pStyle w:val="51"/>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highlight w:val="none"/>
              </w:rPr>
              <w:t>提供相同品牌产品且通过资格审查、符合性审查的不同供应商参加同一合同项下投标的，按一家供应商计算，评审后得分最高的同品牌供应商获得中标人推荐资格；评审得分相同的，由采购人或者采购人委托评标委员会依次按投标报价低、技术条款响应得分高、售后服务得分高的顺序确定一个供应商获得中标人推荐资格，其他同品牌供应商不作为中标候选人。</w:t>
            </w:r>
          </w:p>
        </w:tc>
      </w:tr>
      <w:tr w14:paraId="0F99D7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3E0A3169">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9</w:t>
            </w:r>
          </w:p>
        </w:tc>
        <w:tc>
          <w:tcPr>
            <w:tcW w:w="1840" w:type="dxa"/>
            <w:tcBorders>
              <w:right w:val="single" w:color="auto" w:sz="4" w:space="0"/>
            </w:tcBorders>
            <w:vAlign w:val="center"/>
          </w:tcPr>
          <w:p w14:paraId="2A40D9C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说明</w:t>
            </w:r>
          </w:p>
        </w:tc>
        <w:tc>
          <w:tcPr>
            <w:tcW w:w="7559" w:type="dxa"/>
            <w:tcBorders>
              <w:left w:val="single" w:color="auto" w:sz="4" w:space="0"/>
            </w:tcBorders>
            <w:vAlign w:val="center"/>
          </w:tcPr>
          <w:p w14:paraId="521C2E4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1）招标文件标有★号条款要求的内容是实质性要求，不允许有负偏离，否则，该投标文件有可能因未响应招标文件规定的实质性要求而被否决； </w:t>
            </w:r>
          </w:p>
          <w:p w14:paraId="0359409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2）招标文件各章节中，有加粗的文字，表示是重要的内容，应引起供应商的注意。</w:t>
            </w:r>
          </w:p>
          <w:p w14:paraId="052A6DAA">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3）采购人认为具备相关条件的，将在签订合同时对中小企业在资金支付期限、预付款比例等方面提供明确的优惠措施。</w:t>
            </w:r>
          </w:p>
        </w:tc>
      </w:tr>
    </w:tbl>
    <w:p w14:paraId="571814DF">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164767B5">
      <w:pPr>
        <w:ind w:firstLine="560" w:firstLineChars="20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供应商须知正文</w:t>
      </w:r>
    </w:p>
    <w:p w14:paraId="79DC6FE6">
      <w:pPr>
        <w:rPr>
          <w:rFonts w:hint="eastAsia" w:ascii="仿宋" w:hAnsi="仿宋" w:eastAsia="仿宋" w:cs="仿宋"/>
          <w:color w:val="auto"/>
          <w:highlight w:val="none"/>
        </w:rPr>
      </w:pPr>
    </w:p>
    <w:p w14:paraId="2118005C">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93" w:name="_Toc325620703"/>
      <w:bookmarkStart w:id="94" w:name="_Toc26394"/>
      <w:bookmarkStart w:id="95" w:name="_Toc24644"/>
      <w:bookmarkStart w:id="96" w:name="_Toc15718"/>
      <w:bookmarkStart w:id="97" w:name="_Toc356490368"/>
      <w:bookmarkStart w:id="98" w:name="_Toc356491307"/>
      <w:bookmarkStart w:id="99" w:name="_Toc407632769"/>
      <w:r>
        <w:rPr>
          <w:rFonts w:hint="eastAsia" w:ascii="仿宋" w:hAnsi="仿宋" w:eastAsia="仿宋" w:cs="仿宋"/>
          <w:color w:val="auto"/>
          <w:sz w:val="24"/>
          <w:szCs w:val="24"/>
          <w:highlight w:val="none"/>
        </w:rPr>
        <w:t>一、适用范围</w:t>
      </w:r>
      <w:bookmarkEnd w:id="93"/>
      <w:bookmarkEnd w:id="94"/>
      <w:bookmarkEnd w:id="95"/>
      <w:bookmarkEnd w:id="96"/>
      <w:bookmarkEnd w:id="97"/>
      <w:bookmarkEnd w:id="98"/>
      <w:bookmarkEnd w:id="99"/>
    </w:p>
    <w:p w14:paraId="69FDD557">
      <w:pPr>
        <w:pStyle w:val="76"/>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本招标文件仅适用于本次招标公告中所叙述的项目。</w:t>
      </w:r>
    </w:p>
    <w:p w14:paraId="1E248BD3">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00" w:name="_Toc325620704"/>
      <w:bookmarkStart w:id="101" w:name="_Toc356491308"/>
      <w:bookmarkStart w:id="102" w:name="_Toc356490369"/>
      <w:bookmarkStart w:id="103" w:name="_Toc20395"/>
      <w:bookmarkStart w:id="104" w:name="_Toc14829"/>
      <w:bookmarkStart w:id="105" w:name="_Toc407632770"/>
      <w:bookmarkStart w:id="106" w:name="_Toc1696"/>
      <w:r>
        <w:rPr>
          <w:rFonts w:hint="eastAsia" w:ascii="仿宋" w:hAnsi="仿宋" w:eastAsia="仿宋" w:cs="仿宋"/>
          <w:color w:val="auto"/>
          <w:sz w:val="24"/>
          <w:szCs w:val="24"/>
          <w:highlight w:val="none"/>
        </w:rPr>
        <w:t>二、定义</w:t>
      </w:r>
      <w:bookmarkEnd w:id="100"/>
      <w:bookmarkEnd w:id="101"/>
      <w:bookmarkEnd w:id="102"/>
      <w:bookmarkEnd w:id="103"/>
      <w:bookmarkEnd w:id="104"/>
      <w:bookmarkEnd w:id="105"/>
      <w:bookmarkEnd w:id="106"/>
    </w:p>
    <w:p w14:paraId="695E2FAE">
      <w:pPr>
        <w:pStyle w:val="76"/>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bookmarkStart w:id="107" w:name="_Toc325620705"/>
      <w:r>
        <w:rPr>
          <w:rFonts w:hint="eastAsia" w:ascii="仿宋" w:hAnsi="仿宋" w:eastAsia="仿宋" w:cs="仿宋"/>
          <w:b w:val="0"/>
          <w:color w:val="auto"/>
          <w:sz w:val="24"/>
          <w:szCs w:val="24"/>
          <w:highlight w:val="none"/>
        </w:rPr>
        <w:t>1．</w:t>
      </w:r>
      <w:r>
        <w:rPr>
          <w:rFonts w:hint="eastAsia" w:ascii="仿宋" w:hAnsi="仿宋" w:eastAsia="仿宋" w:cs="仿宋"/>
          <w:b w:val="0"/>
          <w:color w:val="auto"/>
          <w:sz w:val="24"/>
          <w:szCs w:val="24"/>
          <w:highlight w:val="none"/>
          <w:lang w:eastAsia="zh-CN"/>
        </w:rPr>
        <w:t>采购人</w:t>
      </w:r>
    </w:p>
    <w:p w14:paraId="5DB6AF22">
      <w:pPr>
        <w:pStyle w:val="76"/>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详见供应商须知前附表。</w:t>
      </w:r>
    </w:p>
    <w:p w14:paraId="6682A598">
      <w:pPr>
        <w:pStyle w:val="76"/>
        <w:pageBreakBefore w:val="0"/>
        <w:numPr>
          <w:ilvl w:val="0"/>
          <w:numId w:val="4"/>
        </w:numPr>
        <w:kinsoku/>
        <w:overflowPunct/>
        <w:topLinePunct w:val="0"/>
        <w:bidi w:val="0"/>
        <w:snapToGrid/>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采购代理机构</w:t>
      </w:r>
    </w:p>
    <w:p w14:paraId="1FA7DFDA">
      <w:pPr>
        <w:pStyle w:val="76"/>
        <w:pageBreakBefore w:val="0"/>
        <w:numPr>
          <w:ilvl w:val="0"/>
          <w:numId w:val="0"/>
        </w:numPr>
        <w:kinsoku/>
        <w:overflowPunct/>
        <w:topLinePunct w:val="0"/>
        <w:bidi w:val="0"/>
        <w:snapToGrid/>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详见供应商须知前附表。</w:t>
      </w:r>
    </w:p>
    <w:p w14:paraId="088B1D3E">
      <w:pPr>
        <w:pStyle w:val="76"/>
        <w:pageBreakBefore w:val="0"/>
        <w:numPr>
          <w:ilvl w:val="0"/>
          <w:numId w:val="4"/>
        </w:numPr>
        <w:kinsoku/>
        <w:overflowPunct/>
        <w:topLinePunct w:val="0"/>
        <w:bidi w:val="0"/>
        <w:snapToGrid/>
        <w:spacing w:line="360" w:lineRule="auto"/>
        <w:ind w:left="0" w:leftChars="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合格</w:t>
      </w:r>
      <w:r>
        <w:rPr>
          <w:rFonts w:hint="eastAsia" w:ascii="仿宋" w:hAnsi="仿宋" w:eastAsia="仿宋" w:cs="仿宋"/>
          <w:b w:val="0"/>
          <w:color w:val="auto"/>
          <w:sz w:val="24"/>
          <w:szCs w:val="24"/>
          <w:highlight w:val="none"/>
          <w:lang w:eastAsia="zh-CN"/>
        </w:rPr>
        <w:t>供应商</w:t>
      </w:r>
    </w:p>
    <w:p w14:paraId="1CB23240">
      <w:pPr>
        <w:pStyle w:val="76"/>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详见供应商须知前附表。</w:t>
      </w:r>
    </w:p>
    <w:p w14:paraId="0840C8FC">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08" w:name="_Toc28163"/>
      <w:bookmarkStart w:id="109" w:name="_Toc13233"/>
      <w:bookmarkStart w:id="110" w:name="_Toc356490370"/>
      <w:bookmarkStart w:id="111" w:name="_Toc356491309"/>
      <w:bookmarkStart w:id="112" w:name="_Toc478"/>
      <w:bookmarkStart w:id="113" w:name="_Toc407632771"/>
      <w:r>
        <w:rPr>
          <w:rFonts w:hint="eastAsia" w:ascii="仿宋" w:hAnsi="仿宋" w:eastAsia="仿宋" w:cs="仿宋"/>
          <w:color w:val="auto"/>
          <w:sz w:val="24"/>
          <w:szCs w:val="24"/>
          <w:highlight w:val="none"/>
        </w:rPr>
        <w:t>三、投标人具备的条件</w:t>
      </w:r>
      <w:bookmarkEnd w:id="107"/>
      <w:bookmarkEnd w:id="108"/>
      <w:bookmarkEnd w:id="109"/>
      <w:bookmarkEnd w:id="110"/>
      <w:bookmarkEnd w:id="111"/>
      <w:bookmarkEnd w:id="112"/>
      <w:bookmarkEnd w:id="113"/>
    </w:p>
    <w:p w14:paraId="77D2EED1">
      <w:pPr>
        <w:pStyle w:val="76"/>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4"/>
          <w:szCs w:val="24"/>
          <w:highlight w:val="none"/>
        </w:rPr>
      </w:pPr>
      <w:bookmarkStart w:id="114" w:name="_Toc356491310"/>
      <w:bookmarkStart w:id="115" w:name="_Toc18137"/>
      <w:bookmarkStart w:id="116" w:name="_Toc407632772"/>
      <w:bookmarkStart w:id="117" w:name="_Toc356490371"/>
      <w:bookmarkStart w:id="118" w:name="_Toc325620706"/>
      <w:r>
        <w:rPr>
          <w:rFonts w:hint="eastAsia" w:ascii="仿宋" w:hAnsi="仿宋" w:eastAsia="仿宋" w:cs="仿宋"/>
          <w:b w:val="0"/>
          <w:color w:val="auto"/>
          <w:sz w:val="24"/>
          <w:szCs w:val="24"/>
          <w:highlight w:val="none"/>
        </w:rPr>
        <w:t>详见供应商须知前附表。</w:t>
      </w:r>
    </w:p>
    <w:p w14:paraId="22202BF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19" w:name="_Toc29294"/>
      <w:bookmarkStart w:id="120" w:name="_Toc17118"/>
      <w:r>
        <w:rPr>
          <w:rFonts w:hint="eastAsia" w:ascii="仿宋" w:hAnsi="仿宋" w:eastAsia="仿宋" w:cs="仿宋"/>
          <w:color w:val="auto"/>
          <w:sz w:val="24"/>
          <w:szCs w:val="24"/>
          <w:highlight w:val="none"/>
        </w:rPr>
        <w:t>四、招标文件的澄清或修改</w:t>
      </w:r>
      <w:bookmarkEnd w:id="114"/>
      <w:bookmarkEnd w:id="115"/>
      <w:bookmarkEnd w:id="116"/>
      <w:bookmarkEnd w:id="117"/>
      <w:bookmarkEnd w:id="118"/>
      <w:bookmarkEnd w:id="119"/>
      <w:bookmarkEnd w:id="120"/>
    </w:p>
    <w:p w14:paraId="5CAD19A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本次项目有澄清（或答疑等）的内容，澄清（或答疑等）作为招标文件的一部分；招标文件的内容与澄清（或答疑等）的内容不一致，以澄清（或答疑等）的内容为准；多次澄清（或答疑等）的内容不一致，以最后一次澄清（或答疑等）的内容为准。采购代理机构对招标文件必要的澄清或修改的内容须在提交投标文件的截止时间前，采购代理机构将视情况确定将不标明问题来源的书面答复发给所有购买招标文件的投标人。供应商须在收到代理机构的澄清、修改或变更后24小时内书面签章回复。</w:t>
      </w:r>
    </w:p>
    <w:p w14:paraId="6E0956C0">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1" w:name="_Toc27158"/>
      <w:bookmarkStart w:id="122" w:name="_Toc356490372"/>
      <w:bookmarkStart w:id="123" w:name="_Toc26403"/>
      <w:bookmarkStart w:id="124" w:name="_Toc356491311"/>
      <w:bookmarkStart w:id="125" w:name="_Toc407632773"/>
      <w:bookmarkStart w:id="126" w:name="_Toc325620707"/>
      <w:bookmarkStart w:id="127" w:name="_Toc3557"/>
      <w:r>
        <w:rPr>
          <w:rFonts w:hint="eastAsia" w:ascii="仿宋" w:hAnsi="仿宋" w:eastAsia="仿宋" w:cs="仿宋"/>
          <w:color w:val="auto"/>
          <w:sz w:val="24"/>
          <w:szCs w:val="24"/>
          <w:highlight w:val="none"/>
        </w:rPr>
        <w:t>五、投标文件的编写</w:t>
      </w:r>
      <w:bookmarkEnd w:id="121"/>
      <w:bookmarkEnd w:id="122"/>
      <w:bookmarkEnd w:id="123"/>
      <w:bookmarkEnd w:id="124"/>
      <w:bookmarkEnd w:id="125"/>
      <w:bookmarkEnd w:id="126"/>
      <w:bookmarkEnd w:id="127"/>
    </w:p>
    <w:p w14:paraId="2908151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投标人应按招标文件的要求准备投标文件，并保证所提供的全部资料的真实性、准确性及完整性，以使其报价对招标文件做出实质性呼应，否则参与投标的资格有可能被</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否决。</w:t>
      </w:r>
    </w:p>
    <w:p w14:paraId="55E03697">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1.投标文件的语言及计量单位</w:t>
      </w:r>
    </w:p>
    <w:p w14:paraId="1C45D8E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投标人和采购代理机构就本项目交换的文件和来往信函使用中文。除招标文件的技术规格中另有规定外，投标文件中所使用的计量单位应使用中华人民共和国法定计量单位。</w:t>
      </w:r>
    </w:p>
    <w:p w14:paraId="33501277">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2.投标文件的编写及装订</w:t>
      </w:r>
    </w:p>
    <w:p w14:paraId="5C993FB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2.1按包分别编制投标文件，每包</w:t>
      </w:r>
      <w:r>
        <w:rPr>
          <w:rFonts w:hint="eastAsia" w:ascii="仿宋" w:hAnsi="仿宋" w:eastAsia="仿宋" w:cs="仿宋"/>
          <w:bCs w:val="0"/>
          <w:color w:val="auto"/>
          <w:kern w:val="0"/>
          <w:sz w:val="24"/>
          <w:szCs w:val="24"/>
          <w:highlight w:val="none"/>
        </w:rPr>
        <w:t>一份正本</w:t>
      </w:r>
      <w:r>
        <w:rPr>
          <w:rFonts w:hint="eastAsia" w:ascii="仿宋" w:hAnsi="仿宋" w:eastAsia="仿宋" w:cs="仿宋"/>
          <w:bCs w:val="0"/>
          <w:color w:val="auto"/>
          <w:kern w:val="0"/>
          <w:sz w:val="24"/>
          <w:szCs w:val="24"/>
          <w:highlight w:val="none"/>
          <w:lang w:val="en-US" w:eastAsia="zh-CN"/>
        </w:rPr>
        <w:t>六</w:t>
      </w:r>
      <w:r>
        <w:rPr>
          <w:rFonts w:hint="eastAsia" w:ascii="仿宋" w:hAnsi="仿宋" w:eastAsia="仿宋" w:cs="仿宋"/>
          <w:bCs w:val="0"/>
          <w:color w:val="auto"/>
          <w:kern w:val="0"/>
          <w:sz w:val="24"/>
          <w:szCs w:val="24"/>
          <w:highlight w:val="none"/>
        </w:rPr>
        <w:t>份副本；</w:t>
      </w:r>
    </w:p>
    <w:p w14:paraId="45B7D95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2.2投标文件正本和副本用A4幅面的纸张打印；</w:t>
      </w:r>
    </w:p>
    <w:p w14:paraId="29E13E3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lang w:eastAsia="zh-CN"/>
        </w:rPr>
        <w:t>开标一览表</w:t>
      </w:r>
      <w:r>
        <w:rPr>
          <w:rFonts w:hint="eastAsia" w:ascii="仿宋" w:hAnsi="仿宋" w:eastAsia="仿宋" w:cs="仿宋"/>
          <w:color w:val="auto"/>
          <w:sz w:val="24"/>
          <w:szCs w:val="24"/>
          <w:highlight w:val="none"/>
        </w:rPr>
        <w:t>”用A4幅面的纸张打印，四号字体，要求按格式统一填写，不得自行增减内容；</w:t>
      </w:r>
    </w:p>
    <w:p w14:paraId="1574FAB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2.4投标文件以及相关书面文件中的单位盖章（包括印章、公章等）均指与投标人名称全称相一致的标准公章，不得使用其他形式（如带有“专用章”、“合同章”、“财务章”、“业务章”等）的印章；</w:t>
      </w:r>
    </w:p>
    <w:p w14:paraId="32E1809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2.5投标文件以及相关书面文件内容一律用计算机打印（签名除外），不得加行、涂改、插字或者删除；</w:t>
      </w:r>
    </w:p>
    <w:p w14:paraId="226B93C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2.6投标文件的装订须为胶装。</w:t>
      </w:r>
    </w:p>
    <w:p w14:paraId="7F9029D7">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3.投标文件的组成</w:t>
      </w:r>
    </w:p>
    <w:p w14:paraId="0819A08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3.1投标文件封面；</w:t>
      </w:r>
    </w:p>
    <w:p w14:paraId="36E14D7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3.2投标文件目录；</w:t>
      </w:r>
    </w:p>
    <w:p w14:paraId="1ED1565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3.3法定代表人或授权代理人签署的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函（附件）</w:t>
      </w:r>
    </w:p>
    <w:p w14:paraId="6DFD24B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3.4诚信廉政承诺书</w:t>
      </w:r>
      <w:r>
        <w:rPr>
          <w:rFonts w:hint="eastAsia" w:ascii="仿宋" w:hAnsi="仿宋" w:eastAsia="仿宋" w:cs="仿宋"/>
          <w:color w:val="auto"/>
          <w:sz w:val="24"/>
          <w:szCs w:val="24"/>
          <w:highlight w:val="none"/>
        </w:rPr>
        <w:t>；</w:t>
      </w:r>
    </w:p>
    <w:p w14:paraId="5F655F8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3.5</w:t>
      </w:r>
      <w:r>
        <w:rPr>
          <w:rFonts w:hint="eastAsia" w:ascii="仿宋" w:hAnsi="仿宋" w:eastAsia="仿宋" w:cs="仿宋"/>
          <w:color w:val="auto"/>
          <w:sz w:val="24"/>
          <w:szCs w:val="24"/>
          <w:highlight w:val="none"/>
        </w:rPr>
        <w:t>资格、资质证明文件；</w:t>
      </w:r>
    </w:p>
    <w:p w14:paraId="4E89E95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3.5.1</w:t>
      </w:r>
      <w:r>
        <w:rPr>
          <w:rFonts w:hint="eastAsia" w:ascii="仿宋" w:hAnsi="仿宋" w:eastAsia="仿宋" w:cs="仿宋"/>
          <w:color w:val="auto"/>
          <w:sz w:val="24"/>
          <w:szCs w:val="24"/>
          <w:highlight w:val="none"/>
        </w:rPr>
        <w:t>供应商须具有独立承担民事责任的能力，向采购人提供服务的法人、其他组织或自然人，须提供相关证明材料，其中：</w:t>
      </w:r>
    </w:p>
    <w:p w14:paraId="156A76F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供应商是企业（包括合伙企业）的，应提供其在工商部门注册的有效“企业法人营业执照”或“营业执照”的复印件；</w:t>
      </w:r>
    </w:p>
    <w:p w14:paraId="689759A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供应商是事业单位的，应提供其有效的“事业单位法人证书”复印件；</w:t>
      </w:r>
    </w:p>
    <w:p w14:paraId="49192C2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供应商是非企业专业服务机构的，应提供其有效的执业许可证复印件；</w:t>
      </w:r>
    </w:p>
    <w:p w14:paraId="4D0A741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供应商是个体工商户的，应提供其有效的“个体工商户营业执照”复印件；</w:t>
      </w:r>
    </w:p>
    <w:p w14:paraId="0979D67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供应商是自然人的，应提供其有效的自然人身份证明。</w:t>
      </w:r>
    </w:p>
    <w:p w14:paraId="4CD1F92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3.5</w:t>
      </w:r>
      <w:r>
        <w:rPr>
          <w:rFonts w:hint="eastAsia" w:ascii="仿宋" w:hAnsi="仿宋" w:eastAsia="仿宋" w:cs="仿宋"/>
          <w:color w:val="auto"/>
          <w:sz w:val="24"/>
          <w:szCs w:val="24"/>
          <w:highlight w:val="none"/>
        </w:rPr>
        <w:t>.2法定代表人参加的，提供法定代表人相关证明材料；法定代表人不能参加的，提供法定代表人授权委托书（附件二）、被授权代表人的身份证；</w:t>
      </w:r>
    </w:p>
    <w:p w14:paraId="738B7ED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3.5.3</w:t>
      </w:r>
      <w:r>
        <w:rPr>
          <w:rFonts w:hint="eastAsia" w:ascii="仿宋" w:hAnsi="仿宋" w:eastAsia="仿宋" w:cs="仿宋"/>
          <w:color w:val="auto"/>
          <w:sz w:val="24"/>
          <w:szCs w:val="24"/>
          <w:highlight w:val="none"/>
        </w:rPr>
        <w:t>供应商须具有良好的商业信誉和健全的财务会计制度，须提供相关证明材料，其中：</w:t>
      </w:r>
    </w:p>
    <w:p w14:paraId="4F81410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供应商是法人的，应提供</w:t>
      </w:r>
      <w:r>
        <w:rPr>
          <w:rFonts w:hint="eastAsia" w:ascii="仿宋" w:hAnsi="仿宋" w:eastAsia="仿宋" w:cs="仿宋"/>
          <w:color w:val="auto"/>
          <w:sz w:val="24"/>
          <w:szCs w:val="24"/>
          <w:highlight w:val="none"/>
          <w:lang w:eastAsia="zh-CN"/>
        </w:rPr>
        <w:t>2023年经审计的财务报告</w:t>
      </w:r>
      <w:r>
        <w:rPr>
          <w:rFonts w:hint="eastAsia" w:ascii="仿宋" w:hAnsi="仿宋" w:eastAsia="仿宋" w:cs="仿宋"/>
          <w:color w:val="auto"/>
          <w:sz w:val="24"/>
          <w:szCs w:val="24"/>
          <w:highlight w:val="none"/>
        </w:rPr>
        <w:t>复印件，或其基本开户银行出具的资信证明原件；</w:t>
      </w:r>
    </w:p>
    <w:p w14:paraId="230BB0A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供应商是其他组织或自然人的，应提供银行出具的资信证明原件。</w:t>
      </w:r>
    </w:p>
    <w:p w14:paraId="34F7722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3.5.4</w:t>
      </w:r>
      <w:r>
        <w:rPr>
          <w:rFonts w:hint="eastAsia" w:ascii="仿宋" w:hAnsi="仿宋" w:eastAsia="仿宋" w:cs="仿宋"/>
          <w:color w:val="auto"/>
          <w:sz w:val="24"/>
          <w:szCs w:val="24"/>
          <w:highlight w:val="none"/>
        </w:rPr>
        <w:t xml:space="preserve">供应商须具有履行合同所必需的设备和专业技术能力，须附相关证明材料或书面声明。 </w:t>
      </w:r>
    </w:p>
    <w:p w14:paraId="6712F81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3.5.5</w:t>
      </w:r>
      <w:r>
        <w:rPr>
          <w:rFonts w:hint="eastAsia" w:ascii="仿宋" w:hAnsi="仿宋" w:eastAsia="仿宋" w:cs="仿宋"/>
          <w:color w:val="auto"/>
          <w:sz w:val="24"/>
          <w:szCs w:val="24"/>
          <w:highlight w:val="none"/>
        </w:rPr>
        <w:t>供应商须具有依法缴纳税收和社会保障资金的良好记录，须提供相关证明材料，其中：</w:t>
      </w:r>
    </w:p>
    <w:p w14:paraId="32D0C06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供应商是法人的，缴纳税收的证明材料，应提供开标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内任意一个月的依法缴税凭据复印件；</w:t>
      </w:r>
    </w:p>
    <w:p w14:paraId="5A9488A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供应商是法人的，缴纳社会保障资金的证明材料，应提供开标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内任意一个月的缴纳社会保险的凭据（专用收据或社会保险缴纳清单）复印件；</w:t>
      </w:r>
    </w:p>
    <w:p w14:paraId="661E608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供应商是其他组织和自然人的，需要提供开标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内任意一个月的缴纳税收和社会保险的凭据。</w:t>
      </w:r>
    </w:p>
    <w:p w14:paraId="12282A0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注：依法免税或不需要缴纳社会保障资金的供应商，须提供</w:t>
      </w:r>
      <w:r>
        <w:rPr>
          <w:rFonts w:hint="eastAsia" w:ascii="仿宋" w:hAnsi="仿宋" w:eastAsia="仿宋" w:cs="仿宋"/>
          <w:color w:val="auto"/>
          <w:sz w:val="24"/>
          <w:szCs w:val="24"/>
          <w:highlight w:val="none"/>
          <w:lang w:val="en-US" w:eastAsia="zh-CN"/>
        </w:rPr>
        <w:t>第三方出具的</w:t>
      </w:r>
      <w:r>
        <w:rPr>
          <w:rFonts w:hint="eastAsia" w:ascii="仿宋" w:hAnsi="仿宋" w:eastAsia="仿宋" w:cs="仿宋"/>
          <w:color w:val="auto"/>
          <w:sz w:val="24"/>
          <w:szCs w:val="24"/>
          <w:highlight w:val="none"/>
        </w:rPr>
        <w:t>相应文件证明其依法免税或不需要缴纳社会保障资金。</w:t>
      </w:r>
    </w:p>
    <w:p w14:paraId="08909C2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3.5.6</w:t>
      </w:r>
      <w:r>
        <w:rPr>
          <w:rFonts w:hint="eastAsia" w:ascii="仿宋" w:hAnsi="仿宋" w:eastAsia="仿宋" w:cs="仿宋"/>
          <w:color w:val="auto"/>
          <w:sz w:val="24"/>
          <w:szCs w:val="24"/>
          <w:highlight w:val="none"/>
        </w:rPr>
        <w:t>近三年内（本项目投标截止日前）供应商在经营活动中没有重大违法记录，其中：</w:t>
      </w:r>
    </w:p>
    <w:p w14:paraId="79DE62F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重大违法记录是指供应商因违法经营受到刑事处罚或者责令停产停业、吊销许可证或者执照、较大数额罚款等行政处罚；</w:t>
      </w:r>
    </w:p>
    <w:p w14:paraId="7D3ED4B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供应商须提供参与本采购活动前三年内在经营活动中没有重大违法记录的书面声明（附件</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w:t>
      </w:r>
    </w:p>
    <w:p w14:paraId="573F2FE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3.5.7</w:t>
      </w:r>
      <w:r>
        <w:rPr>
          <w:rFonts w:hint="eastAsia" w:ascii="仿宋" w:hAnsi="仿宋" w:eastAsia="仿宋" w:cs="仿宋"/>
          <w:color w:val="auto"/>
          <w:sz w:val="24"/>
          <w:szCs w:val="24"/>
          <w:highlight w:val="none"/>
        </w:rPr>
        <w:t>供应商在“信用中国”网站（www.creditchina.gov.cn）、“中国政府采购网”网站（www.ccgp.gov.cn）被列入失信被执行人、重大税收违法</w:t>
      </w:r>
      <w:r>
        <w:rPr>
          <w:rFonts w:hint="eastAsia" w:ascii="仿宋" w:hAnsi="仿宋" w:eastAsia="仿宋" w:cs="仿宋"/>
          <w:color w:val="auto"/>
          <w:sz w:val="24"/>
          <w:szCs w:val="24"/>
          <w:highlight w:val="none"/>
          <w:lang w:eastAsia="zh-CN"/>
        </w:rPr>
        <w:t>失信主体</w:t>
      </w:r>
      <w:r>
        <w:rPr>
          <w:rFonts w:hint="eastAsia" w:ascii="仿宋" w:hAnsi="仿宋" w:eastAsia="仿宋" w:cs="仿宋"/>
          <w:color w:val="auto"/>
          <w:sz w:val="24"/>
          <w:szCs w:val="24"/>
          <w:highlight w:val="none"/>
        </w:rPr>
        <w:t>、政府采购严重违法失信行为记录名单（处罚期限尚未届满的）的，不得参与本项目的政府采购活动。</w:t>
      </w:r>
    </w:p>
    <w:p w14:paraId="2D28CC2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w:t>
      </w:r>
      <w:r>
        <w:rPr>
          <w:rFonts w:hint="eastAsia" w:ascii="仿宋" w:hAnsi="仿宋" w:eastAsia="仿宋" w:cs="仿宋"/>
          <w:color w:val="auto"/>
          <w:sz w:val="24"/>
          <w:szCs w:val="24"/>
          <w:highlight w:val="none"/>
          <w:lang w:eastAsia="zh-CN"/>
        </w:rPr>
        <w:t>失信主体</w:t>
      </w:r>
      <w:r>
        <w:rPr>
          <w:rFonts w:hint="eastAsia" w:ascii="仿宋" w:hAnsi="仿宋" w:eastAsia="仿宋" w:cs="仿宋"/>
          <w:color w:val="auto"/>
          <w:sz w:val="24"/>
          <w:szCs w:val="24"/>
          <w:highlight w:val="none"/>
        </w:rPr>
        <w:t>、政府采购严重违法失信行为记录名单（处罚期限尚未届满的）的供应商，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14:paraId="4D4FC51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采购人或采购代理机构对于查询到的供应商失信行为事由、处理机关名称及处理日期、处理有效期间等，以屏幕截图的方式保存，并承诺查询记录仅用于本次采购活动过程中，不用于其他目的。</w:t>
      </w:r>
    </w:p>
    <w:p w14:paraId="43AC085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3.5.8</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单位负责人为同一人或者存在直接控股、管理关系的不同供应商，不得参加同一包的投标或者未划分包的同一招标项目的投标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书面声明。</w:t>
      </w:r>
    </w:p>
    <w:p w14:paraId="669C47D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4"/>
          <w:highlight w:val="none"/>
          <w:lang w:val="en-US" w:eastAsia="zh-CN"/>
        </w:rPr>
        <w:t>3.5.9</w:t>
      </w:r>
      <w:r>
        <w:rPr>
          <w:rFonts w:hint="eastAsia" w:ascii="仿宋" w:hAnsi="仿宋" w:eastAsia="仿宋" w:cs="仿宋"/>
          <w:color w:val="auto"/>
          <w:sz w:val="24"/>
          <w:szCs w:val="24"/>
          <w:highlight w:val="none"/>
        </w:rPr>
        <w:t>供应商符合法律、行政法规规定的其它要求。</w:t>
      </w:r>
    </w:p>
    <w:p w14:paraId="509413D3">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6报价</w:t>
      </w:r>
      <w:r>
        <w:rPr>
          <w:rFonts w:hint="eastAsia" w:ascii="仿宋" w:hAnsi="仿宋" w:eastAsia="仿宋" w:cs="仿宋"/>
          <w:b/>
          <w:color w:val="auto"/>
          <w:sz w:val="24"/>
          <w:szCs w:val="24"/>
          <w:highlight w:val="none"/>
        </w:rPr>
        <w:t>文件</w:t>
      </w:r>
    </w:p>
    <w:p w14:paraId="31DAD7B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开标一览表</w:t>
      </w:r>
      <w:r>
        <w:rPr>
          <w:rFonts w:hint="eastAsia" w:ascii="仿宋" w:hAnsi="仿宋" w:eastAsia="仿宋" w:cs="仿宋"/>
          <w:color w:val="auto"/>
          <w:sz w:val="24"/>
          <w:szCs w:val="24"/>
          <w:highlight w:val="none"/>
        </w:rPr>
        <w:t>（附件）；</w:t>
      </w:r>
    </w:p>
    <w:p w14:paraId="04EBC51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.2报价明细表（附件）；</w:t>
      </w:r>
    </w:p>
    <w:p w14:paraId="16678AC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.3投标人认为需要说明的其他内容（格式自拟）。</w:t>
      </w:r>
    </w:p>
    <w:p w14:paraId="08CF9B6B">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技术文件</w:t>
      </w:r>
    </w:p>
    <w:p w14:paraId="1E08C5D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3.7.1技术响应；</w:t>
      </w:r>
    </w:p>
    <w:p w14:paraId="1315D76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3.7.2服务团队；</w:t>
      </w:r>
    </w:p>
    <w:p w14:paraId="2D2067A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3.7.3服务实施方案；</w:t>
      </w:r>
    </w:p>
    <w:p w14:paraId="650C3CE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3.7.4病案归档方案；</w:t>
      </w:r>
    </w:p>
    <w:p w14:paraId="048C9B9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3.7.5保密措施；</w:t>
      </w:r>
    </w:p>
    <w:p w14:paraId="348DC32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3.7.6售后服务方案；</w:t>
      </w:r>
    </w:p>
    <w:p w14:paraId="7AC5CE8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3.7.7供</w:t>
      </w:r>
      <w:r>
        <w:rPr>
          <w:rFonts w:hint="eastAsia" w:ascii="仿宋" w:hAnsi="仿宋" w:eastAsia="仿宋" w:cs="仿宋"/>
          <w:color w:val="auto"/>
          <w:sz w:val="24"/>
          <w:szCs w:val="22"/>
          <w:highlight w:val="none"/>
          <w:lang w:val="en-US" w:eastAsia="zh-CN"/>
        </w:rPr>
        <w:t>应商须知附表规定或供应商认为其它应介绍或提交的资料和文件。</w:t>
      </w:r>
    </w:p>
    <w:p w14:paraId="5133164E">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商务文件</w:t>
      </w:r>
    </w:p>
    <w:p w14:paraId="61F2585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 20</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eastAsia="zh-CN"/>
        </w:rPr>
        <w:t>3月4日</w:t>
      </w:r>
      <w:r>
        <w:rPr>
          <w:rFonts w:hint="eastAsia" w:ascii="仿宋" w:hAnsi="仿宋" w:eastAsia="仿宋" w:cs="仿宋"/>
          <w:color w:val="auto"/>
          <w:sz w:val="24"/>
          <w:szCs w:val="24"/>
          <w:highlight w:val="none"/>
        </w:rPr>
        <w:t>至今以来签订的同类业绩一览表 (附件)。</w:t>
      </w:r>
    </w:p>
    <w:p w14:paraId="25A3A74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 优势说明及优惠条款；</w:t>
      </w:r>
    </w:p>
    <w:p w14:paraId="75518B3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3.8.3投标人提供近两年内未被国内省级及以上政务网站列入“医疗卫生机构医药购销领域商业贿赂不良记录名单”的声明；</w:t>
      </w:r>
    </w:p>
    <w:p w14:paraId="4088C43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3.8.4投标人认为需说明的其他内容（格式</w:t>
      </w:r>
      <w:r>
        <w:rPr>
          <w:rFonts w:hint="eastAsia" w:ascii="仿宋" w:hAnsi="仿宋" w:eastAsia="仿宋" w:cs="仿宋"/>
          <w:color w:val="auto"/>
          <w:sz w:val="24"/>
          <w:szCs w:val="24"/>
          <w:highlight w:val="none"/>
        </w:rPr>
        <w:t>自拟）。</w:t>
      </w:r>
    </w:p>
    <w:p w14:paraId="01F57E46">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报价要求</w:t>
      </w:r>
    </w:p>
    <w:p w14:paraId="3EAF8F0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w:t>
      </w:r>
      <w:r>
        <w:rPr>
          <w:rFonts w:hint="eastAsia" w:ascii="仿宋" w:hAnsi="仿宋" w:eastAsia="仿宋" w:cs="仿宋"/>
          <w:b/>
          <w:color w:val="auto"/>
          <w:sz w:val="24"/>
          <w:szCs w:val="24"/>
          <w:highlight w:val="none"/>
        </w:rPr>
        <w:t>本次投标报价为一次性报价</w:t>
      </w:r>
      <w:r>
        <w:rPr>
          <w:rFonts w:hint="eastAsia" w:ascii="仿宋" w:hAnsi="仿宋" w:eastAsia="仿宋" w:cs="仿宋"/>
          <w:color w:val="auto"/>
          <w:sz w:val="24"/>
          <w:szCs w:val="24"/>
          <w:highlight w:val="none"/>
        </w:rPr>
        <w:t>；</w:t>
      </w:r>
    </w:p>
    <w:p w14:paraId="779FD6B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.2本项目报价不得超过最高</w:t>
      </w:r>
      <w:r>
        <w:rPr>
          <w:rFonts w:hint="eastAsia" w:ascii="仿宋" w:hAnsi="仿宋" w:eastAsia="仿宋" w:cs="仿宋"/>
          <w:color w:val="auto"/>
          <w:sz w:val="24"/>
          <w:szCs w:val="24"/>
          <w:highlight w:val="none"/>
          <w:lang w:val="en-US" w:eastAsia="zh-CN"/>
        </w:rPr>
        <w:t>限价</w:t>
      </w:r>
      <w:r>
        <w:rPr>
          <w:rFonts w:hint="eastAsia" w:ascii="仿宋" w:hAnsi="仿宋" w:eastAsia="仿宋" w:cs="仿宋"/>
          <w:color w:val="auto"/>
          <w:sz w:val="24"/>
          <w:szCs w:val="24"/>
          <w:highlight w:val="none"/>
        </w:rPr>
        <w:t>，否则作无效报价处理</w:t>
      </w:r>
      <w:r>
        <w:rPr>
          <w:rFonts w:hint="eastAsia" w:ascii="仿宋" w:hAnsi="仿宋" w:eastAsia="仿宋" w:cs="仿宋"/>
          <w:color w:val="auto"/>
          <w:sz w:val="24"/>
          <w:szCs w:val="24"/>
          <w:highlight w:val="none"/>
          <w:lang w:eastAsia="zh-CN"/>
        </w:rPr>
        <w:t>；</w:t>
      </w:r>
    </w:p>
    <w:p w14:paraId="6E0FC5D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.3供应商的报价</w:t>
      </w:r>
      <w:r>
        <w:rPr>
          <w:rFonts w:hint="eastAsia" w:ascii="仿宋" w:hAnsi="仿宋" w:eastAsia="仿宋" w:cs="仿宋"/>
          <w:color w:val="auto"/>
          <w:sz w:val="24"/>
          <w:szCs w:val="24"/>
          <w:highlight w:val="none"/>
          <w:lang w:val="en-US" w:eastAsia="zh-CN"/>
        </w:rPr>
        <w:t>为单价报价，报价</w:t>
      </w:r>
      <w:r>
        <w:rPr>
          <w:rFonts w:hint="eastAsia" w:ascii="仿宋" w:hAnsi="仿宋" w:eastAsia="仿宋" w:cs="仿宋"/>
          <w:color w:val="auto"/>
          <w:sz w:val="24"/>
          <w:szCs w:val="24"/>
          <w:highlight w:val="none"/>
        </w:rPr>
        <w:t>应包括但不限于完成本项目所需的全部费用。</w:t>
      </w:r>
    </w:p>
    <w:p w14:paraId="3587624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因投标人自身原因造成漏报、少报皆由其自行承担责任，采购人不再补偿</w:t>
      </w:r>
      <w:r>
        <w:rPr>
          <w:rFonts w:hint="eastAsia" w:ascii="仿宋" w:hAnsi="仿宋" w:eastAsia="仿宋" w:cs="仿宋"/>
          <w:color w:val="auto"/>
          <w:sz w:val="24"/>
          <w:szCs w:val="24"/>
          <w:highlight w:val="none"/>
          <w:lang w:eastAsia="zh-CN"/>
        </w:rPr>
        <w:t>。</w:t>
      </w:r>
    </w:p>
    <w:p w14:paraId="3491091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3.9.4</w:t>
      </w:r>
      <w:r>
        <w:rPr>
          <w:rFonts w:hint="eastAsia" w:ascii="仿宋" w:hAnsi="仿宋" w:eastAsia="仿宋" w:cs="仿宋"/>
          <w:color w:val="auto"/>
          <w:sz w:val="24"/>
          <w:szCs w:val="24"/>
          <w:highlight w:val="none"/>
        </w:rPr>
        <w:t>单独密封的</w:t>
      </w:r>
      <w:r>
        <w:rPr>
          <w:rFonts w:hint="eastAsia" w:ascii="仿宋" w:hAnsi="仿宋" w:eastAsia="仿宋" w:cs="仿宋"/>
          <w:color w:val="auto"/>
          <w:sz w:val="24"/>
          <w:szCs w:val="24"/>
          <w:highlight w:val="none"/>
          <w:lang w:eastAsia="zh-CN"/>
        </w:rPr>
        <w:t>开标一览表</w:t>
      </w:r>
      <w:r>
        <w:rPr>
          <w:rFonts w:hint="eastAsia" w:ascii="仿宋" w:hAnsi="仿宋" w:eastAsia="仿宋" w:cs="仿宋"/>
          <w:color w:val="auto"/>
          <w:sz w:val="24"/>
          <w:szCs w:val="24"/>
          <w:highlight w:val="none"/>
        </w:rPr>
        <w:t>与投标文件中的</w:t>
      </w:r>
      <w:r>
        <w:rPr>
          <w:rFonts w:hint="eastAsia" w:ascii="仿宋" w:hAnsi="仿宋" w:eastAsia="仿宋" w:cs="仿宋"/>
          <w:color w:val="auto"/>
          <w:sz w:val="24"/>
          <w:szCs w:val="24"/>
          <w:highlight w:val="none"/>
          <w:lang w:eastAsia="zh-CN"/>
        </w:rPr>
        <w:t>开标一览表</w:t>
      </w:r>
      <w:r>
        <w:rPr>
          <w:rFonts w:hint="eastAsia" w:ascii="仿宋" w:hAnsi="仿宋" w:eastAsia="仿宋" w:cs="仿宋"/>
          <w:color w:val="auto"/>
          <w:sz w:val="24"/>
          <w:szCs w:val="24"/>
          <w:highlight w:val="none"/>
        </w:rPr>
        <w:t>有差异，以投标文件中的</w:t>
      </w:r>
      <w:r>
        <w:rPr>
          <w:rFonts w:hint="eastAsia" w:ascii="仿宋" w:hAnsi="仿宋" w:eastAsia="仿宋" w:cs="仿宋"/>
          <w:color w:val="auto"/>
          <w:sz w:val="24"/>
          <w:szCs w:val="24"/>
          <w:highlight w:val="none"/>
          <w:lang w:eastAsia="zh-CN"/>
        </w:rPr>
        <w:t>开标一览表</w:t>
      </w:r>
      <w:r>
        <w:rPr>
          <w:rFonts w:hint="eastAsia" w:ascii="仿宋" w:hAnsi="仿宋" w:eastAsia="仿宋" w:cs="仿宋"/>
          <w:color w:val="auto"/>
          <w:sz w:val="24"/>
          <w:szCs w:val="24"/>
          <w:highlight w:val="none"/>
        </w:rPr>
        <w:t>为准；投标文件中的</w:t>
      </w:r>
      <w:r>
        <w:rPr>
          <w:rFonts w:hint="eastAsia" w:ascii="仿宋" w:hAnsi="仿宋" w:eastAsia="仿宋" w:cs="仿宋"/>
          <w:color w:val="auto"/>
          <w:sz w:val="24"/>
          <w:szCs w:val="24"/>
          <w:highlight w:val="none"/>
          <w:lang w:eastAsia="zh-CN"/>
        </w:rPr>
        <w:t>开标一览表</w:t>
      </w:r>
      <w:r>
        <w:rPr>
          <w:rFonts w:hint="eastAsia" w:ascii="仿宋" w:hAnsi="仿宋" w:eastAsia="仿宋" w:cs="仿宋"/>
          <w:color w:val="auto"/>
          <w:sz w:val="24"/>
          <w:szCs w:val="24"/>
          <w:highlight w:val="none"/>
        </w:rPr>
        <w:t>与报价明细表内容不一致的，以</w:t>
      </w:r>
      <w:r>
        <w:rPr>
          <w:rFonts w:hint="eastAsia" w:ascii="仿宋" w:hAnsi="仿宋" w:eastAsia="仿宋" w:cs="仿宋"/>
          <w:color w:val="auto"/>
          <w:sz w:val="24"/>
          <w:szCs w:val="24"/>
          <w:highlight w:val="none"/>
          <w:lang w:eastAsia="zh-CN"/>
        </w:rPr>
        <w:t>开标一览表</w:t>
      </w:r>
      <w:r>
        <w:rPr>
          <w:rFonts w:hint="eastAsia" w:ascii="仿宋" w:hAnsi="仿宋" w:eastAsia="仿宋" w:cs="仿宋"/>
          <w:color w:val="auto"/>
          <w:sz w:val="24"/>
          <w:szCs w:val="24"/>
          <w:highlight w:val="none"/>
        </w:rPr>
        <w:t>为准；</w:t>
      </w:r>
    </w:p>
    <w:p w14:paraId="3F083E9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如果大写的金额和小写的金额不一致时，以大写的金额为准；</w:t>
      </w:r>
    </w:p>
    <w:p w14:paraId="79F8BF6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投标人须提供分项</w:t>
      </w:r>
      <w:r>
        <w:rPr>
          <w:rFonts w:hint="eastAsia" w:ascii="仿宋" w:hAnsi="仿宋" w:eastAsia="仿宋" w:cs="仿宋"/>
          <w:color w:val="auto"/>
          <w:sz w:val="24"/>
          <w:szCs w:val="24"/>
          <w:highlight w:val="none"/>
          <w:lang w:val="en-US" w:eastAsia="zh-CN"/>
        </w:rPr>
        <w:t>报</w:t>
      </w:r>
      <w:r>
        <w:rPr>
          <w:rFonts w:hint="eastAsia" w:ascii="仿宋" w:hAnsi="仿宋" w:eastAsia="仿宋" w:cs="仿宋"/>
          <w:color w:val="auto"/>
          <w:sz w:val="24"/>
          <w:szCs w:val="24"/>
          <w:highlight w:val="none"/>
        </w:rPr>
        <w:t>价和报价总价，如果分项</w:t>
      </w:r>
      <w:r>
        <w:rPr>
          <w:rFonts w:hint="eastAsia" w:ascii="仿宋" w:hAnsi="仿宋" w:eastAsia="仿宋" w:cs="仿宋"/>
          <w:color w:val="auto"/>
          <w:sz w:val="24"/>
          <w:szCs w:val="24"/>
          <w:highlight w:val="none"/>
          <w:lang w:val="en-US" w:eastAsia="zh-CN"/>
        </w:rPr>
        <w:t>报</w:t>
      </w:r>
      <w:r>
        <w:rPr>
          <w:rFonts w:hint="eastAsia" w:ascii="仿宋" w:hAnsi="仿宋" w:eastAsia="仿宋" w:cs="仿宋"/>
          <w:color w:val="auto"/>
          <w:sz w:val="24"/>
          <w:szCs w:val="24"/>
          <w:highlight w:val="none"/>
        </w:rPr>
        <w:t>价</w:t>
      </w:r>
      <w:r>
        <w:rPr>
          <w:rFonts w:hint="eastAsia" w:ascii="仿宋" w:hAnsi="仿宋" w:eastAsia="仿宋" w:cs="仿宋"/>
          <w:color w:val="auto"/>
          <w:sz w:val="24"/>
          <w:szCs w:val="24"/>
          <w:highlight w:val="none"/>
          <w:lang w:eastAsia="zh-CN"/>
        </w:rPr>
        <w:t>汇总</w:t>
      </w:r>
      <w:r>
        <w:rPr>
          <w:rFonts w:hint="eastAsia" w:ascii="仿宋" w:hAnsi="仿宋" w:eastAsia="仿宋" w:cs="仿宋"/>
          <w:color w:val="auto"/>
          <w:sz w:val="24"/>
          <w:szCs w:val="24"/>
          <w:highlight w:val="none"/>
        </w:rPr>
        <w:t>和总价不符，以分项</w:t>
      </w:r>
      <w:r>
        <w:rPr>
          <w:rFonts w:hint="eastAsia" w:ascii="仿宋" w:hAnsi="仿宋" w:eastAsia="仿宋" w:cs="仿宋"/>
          <w:color w:val="auto"/>
          <w:sz w:val="24"/>
          <w:szCs w:val="24"/>
          <w:highlight w:val="none"/>
          <w:lang w:val="en-US" w:eastAsia="zh-CN"/>
        </w:rPr>
        <w:t>报</w:t>
      </w:r>
      <w:r>
        <w:rPr>
          <w:rFonts w:hint="eastAsia" w:ascii="仿宋" w:hAnsi="仿宋" w:eastAsia="仿宋" w:cs="仿宋"/>
          <w:color w:val="auto"/>
          <w:sz w:val="24"/>
          <w:szCs w:val="24"/>
          <w:highlight w:val="none"/>
        </w:rPr>
        <w:t>价</w:t>
      </w:r>
      <w:r>
        <w:rPr>
          <w:rFonts w:hint="eastAsia" w:ascii="仿宋" w:hAnsi="仿宋" w:eastAsia="仿宋" w:cs="仿宋"/>
          <w:color w:val="auto"/>
          <w:sz w:val="24"/>
          <w:szCs w:val="24"/>
          <w:highlight w:val="none"/>
          <w:lang w:val="en-US" w:eastAsia="zh-CN"/>
        </w:rPr>
        <w:t>合计</w:t>
      </w:r>
      <w:r>
        <w:rPr>
          <w:rFonts w:hint="eastAsia" w:ascii="仿宋" w:hAnsi="仿宋" w:eastAsia="仿宋" w:cs="仿宋"/>
          <w:color w:val="auto"/>
          <w:sz w:val="24"/>
          <w:szCs w:val="24"/>
          <w:highlight w:val="none"/>
        </w:rPr>
        <w:t>结果为准，分项报价小数点有明显错位的，应以总价为准，并修改分项</w:t>
      </w:r>
      <w:r>
        <w:rPr>
          <w:rFonts w:hint="eastAsia" w:ascii="仿宋" w:hAnsi="仿宋" w:eastAsia="仿宋" w:cs="仿宋"/>
          <w:color w:val="auto"/>
          <w:sz w:val="24"/>
          <w:szCs w:val="24"/>
          <w:highlight w:val="none"/>
          <w:lang w:val="en-US" w:eastAsia="zh-CN"/>
        </w:rPr>
        <w:t>报</w:t>
      </w:r>
      <w:r>
        <w:rPr>
          <w:rFonts w:hint="eastAsia" w:ascii="仿宋" w:hAnsi="仿宋" w:eastAsia="仿宋" w:cs="仿宋"/>
          <w:color w:val="auto"/>
          <w:sz w:val="24"/>
          <w:szCs w:val="24"/>
          <w:highlight w:val="none"/>
        </w:rPr>
        <w:t>价；</w:t>
      </w:r>
    </w:p>
    <w:p w14:paraId="59311E25">
      <w:pPr>
        <w:pageBreakBefore w:val="0"/>
        <w:kinsoku/>
        <w:overflowPunct/>
        <w:topLinePunct w:val="0"/>
        <w:bidi w:val="0"/>
        <w:snapToGrid/>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报价币种：人民币。</w:t>
      </w:r>
    </w:p>
    <w:p w14:paraId="3A3397D4">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4.投标文件的密封和标记 </w:t>
      </w:r>
    </w:p>
    <w:p w14:paraId="5458229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4.1投标人应准备</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份投标文件，每包一份正本和</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份副本。在每一份投标文件上要明确注明 “项目编号”、“项目名称”及“正本”或“副本”字样。一旦正本和副本有差异，以正本为准。</w:t>
      </w:r>
    </w:p>
    <w:p w14:paraId="21C0357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4.2投标人应将投标文件正本、副本分别密封，在封口处加盖单位公章并在封面明显处注明以下内容（密封件格式见附件）。</w:t>
      </w:r>
    </w:p>
    <w:p w14:paraId="12A7E5C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4.2.1项目编号、项目名称；</w:t>
      </w:r>
    </w:p>
    <w:p w14:paraId="711CCDE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4.2.2正本或副本；</w:t>
      </w:r>
    </w:p>
    <w:p w14:paraId="1444ACA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4.2.3投标人名称（加盖公章）、地址、邮编、电话、传真。</w:t>
      </w:r>
    </w:p>
    <w:p w14:paraId="416EFDB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4.3投标人必须另外单独密封一套 “</w:t>
      </w:r>
      <w:r>
        <w:rPr>
          <w:rFonts w:hint="eastAsia" w:ascii="仿宋" w:hAnsi="仿宋" w:eastAsia="仿宋" w:cs="仿宋"/>
          <w:color w:val="auto"/>
          <w:sz w:val="24"/>
          <w:szCs w:val="24"/>
          <w:highlight w:val="none"/>
          <w:lang w:eastAsia="zh-CN"/>
        </w:rPr>
        <w:t>开标一览表</w:t>
      </w: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eastAsia="zh-CN"/>
        </w:rPr>
        <w:t>开标一览表</w:t>
      </w:r>
      <w:r>
        <w:rPr>
          <w:rFonts w:hint="eastAsia" w:ascii="仿宋" w:hAnsi="仿宋" w:eastAsia="仿宋" w:cs="仿宋"/>
          <w:color w:val="auto"/>
          <w:sz w:val="24"/>
          <w:szCs w:val="24"/>
          <w:highlight w:val="none"/>
        </w:rPr>
        <w:t>”要求单独打印一份并盖章（提供原件），密封到信封里，现场与投标文件同时提交。</w:t>
      </w:r>
    </w:p>
    <w:p w14:paraId="4F708C4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4.4投标人必须另外单独密封一套 “电子版投标文件”，“电子版投标文件”要求每包投标文件电子版单独提供一份并以U盘为载体，WORD电子版及加盖鲜章的PDF电子版两种格式（PDF电子版</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纸质投标文件正本</w:t>
      </w:r>
      <w:r>
        <w:rPr>
          <w:rFonts w:hint="eastAsia" w:ascii="仿宋" w:hAnsi="仿宋" w:eastAsia="仿宋" w:cs="仿宋"/>
          <w:color w:val="auto"/>
          <w:sz w:val="24"/>
          <w:szCs w:val="24"/>
          <w:highlight w:val="none"/>
          <w:lang w:val="en-US" w:eastAsia="zh-CN"/>
        </w:rPr>
        <w:t>的扫描件</w:t>
      </w:r>
      <w:r>
        <w:rPr>
          <w:rFonts w:hint="eastAsia" w:ascii="仿宋" w:hAnsi="仿宋" w:eastAsia="仿宋" w:cs="仿宋"/>
          <w:color w:val="auto"/>
          <w:sz w:val="24"/>
          <w:szCs w:val="24"/>
          <w:highlight w:val="none"/>
        </w:rPr>
        <w:t>），现场与投标文件同时提交（密封件格式见附件）。</w:t>
      </w:r>
    </w:p>
    <w:p w14:paraId="210B37E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4.5每一密封件在封口处加盖投标人单位公章并注明“于    年  月  日   时 之前不准启封”字样。</w:t>
      </w:r>
    </w:p>
    <w:p w14:paraId="567E2C7E">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5.投标文件的递交</w:t>
      </w:r>
    </w:p>
    <w:p w14:paraId="3B310BC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5.1投标人法定代表人或授权代表必须在投标截止时间前将投标文件送达指定地点。如因特殊原因需推迟投标截止日期的，则按采购代理机构另行通知规定的时间递交；</w:t>
      </w:r>
    </w:p>
    <w:p w14:paraId="6973A91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5.2在截止时间后递交的投标文件概不接收；</w:t>
      </w:r>
    </w:p>
    <w:p w14:paraId="44490DA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5.3电报、电话、传真、电子邮件等方式的投标文件概不接收；</w:t>
      </w:r>
    </w:p>
    <w:p w14:paraId="0F805F8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5.4对投标人的投标文件等材料不予退还。</w:t>
      </w:r>
    </w:p>
    <w:p w14:paraId="13281C6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8" w:name="_Toc356491312"/>
      <w:bookmarkStart w:id="129" w:name="_Toc1590"/>
      <w:bookmarkStart w:id="130" w:name="_Toc32660"/>
      <w:bookmarkStart w:id="131" w:name="_Toc356490373"/>
      <w:bookmarkStart w:id="132" w:name="_Toc15530"/>
      <w:bookmarkStart w:id="133" w:name="_Toc325620708"/>
      <w:r>
        <w:rPr>
          <w:rFonts w:hint="eastAsia" w:ascii="仿宋" w:hAnsi="仿宋" w:eastAsia="仿宋" w:cs="仿宋"/>
          <w:color w:val="auto"/>
          <w:sz w:val="24"/>
          <w:szCs w:val="24"/>
          <w:highlight w:val="none"/>
        </w:rPr>
        <w:t>六、</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w:t>
      </w:r>
      <w:bookmarkEnd w:id="128"/>
      <w:bookmarkEnd w:id="129"/>
      <w:bookmarkEnd w:id="130"/>
      <w:bookmarkEnd w:id="131"/>
      <w:bookmarkEnd w:id="132"/>
      <w:bookmarkEnd w:id="133"/>
    </w:p>
    <w:p w14:paraId="0BA3C92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w:t>
      </w:r>
      <w:r>
        <w:rPr>
          <w:rFonts w:hint="eastAsia" w:ascii="仿宋" w:hAnsi="仿宋" w:eastAsia="仿宋" w:cs="仿宋"/>
          <w:color w:val="auto"/>
          <w:sz w:val="24"/>
          <w:szCs w:val="24"/>
          <w:highlight w:val="none"/>
          <w:lang w:eastAsia="zh-CN"/>
        </w:rPr>
        <w:t>投标截止</w:t>
      </w:r>
      <w:r>
        <w:rPr>
          <w:rFonts w:hint="eastAsia" w:ascii="仿宋" w:hAnsi="仿宋" w:eastAsia="仿宋" w:cs="仿宋"/>
          <w:color w:val="auto"/>
          <w:sz w:val="24"/>
          <w:szCs w:val="24"/>
          <w:highlight w:val="none"/>
        </w:rPr>
        <w:t>之日起，有效期为90日。报价函的有效期比本须知规定的有效期短的，将被称为无效投标，采购代理机构有权拒绝。</w:t>
      </w:r>
    </w:p>
    <w:p w14:paraId="1E58E49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特殊情况下，在</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有效期满之前，采购代理机构可以以书面形式要求投标人同意延长</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有效期。投标人可以书面形式拒绝或接受上述要求。</w:t>
      </w:r>
    </w:p>
    <w:p w14:paraId="291145F3">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34" w:name="_Toc26666"/>
      <w:bookmarkStart w:id="135" w:name="_Toc356490374"/>
      <w:bookmarkStart w:id="136" w:name="_Toc73"/>
      <w:bookmarkStart w:id="137" w:name="_Toc21586"/>
      <w:bookmarkStart w:id="138" w:name="_Toc356491313"/>
      <w:bookmarkStart w:id="139" w:name="_Toc325620709"/>
      <w:r>
        <w:rPr>
          <w:rFonts w:hint="eastAsia" w:ascii="仿宋" w:hAnsi="仿宋" w:eastAsia="仿宋" w:cs="仿宋"/>
          <w:color w:val="auto"/>
          <w:sz w:val="24"/>
          <w:szCs w:val="24"/>
          <w:highlight w:val="none"/>
        </w:rPr>
        <w:t>七、投标费用</w:t>
      </w:r>
      <w:bookmarkEnd w:id="134"/>
      <w:bookmarkEnd w:id="135"/>
      <w:bookmarkEnd w:id="136"/>
      <w:bookmarkEnd w:id="137"/>
      <w:bookmarkEnd w:id="138"/>
      <w:bookmarkEnd w:id="139"/>
    </w:p>
    <w:p w14:paraId="65BE901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40" w:name="_Toc325620710"/>
      <w:bookmarkStart w:id="141" w:name="_Toc445997425"/>
      <w:bookmarkStart w:id="142" w:name="_Toc529777140"/>
      <w:bookmarkStart w:id="143" w:name="_Toc325620711"/>
      <w:bookmarkStart w:id="144" w:name="_Toc356491315"/>
      <w:bookmarkStart w:id="145" w:name="_Toc356490376"/>
      <w:r>
        <w:rPr>
          <w:rFonts w:hint="eastAsia" w:ascii="仿宋" w:hAnsi="仿宋" w:eastAsia="仿宋" w:cs="仿宋"/>
          <w:color w:val="auto"/>
          <w:sz w:val="24"/>
          <w:szCs w:val="24"/>
          <w:highlight w:val="none"/>
        </w:rPr>
        <w:t>1.各供应商自行承担所有参与本次项目的有关费用；</w:t>
      </w:r>
    </w:p>
    <w:p w14:paraId="3A17DC7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eastAsia="zh-CN"/>
        </w:rPr>
        <w:t>中标结果</w:t>
      </w:r>
      <w:r>
        <w:rPr>
          <w:rFonts w:hint="eastAsia" w:ascii="仿宋" w:hAnsi="仿宋" w:eastAsia="仿宋" w:cs="仿宋"/>
          <w:color w:val="auto"/>
          <w:sz w:val="24"/>
          <w:szCs w:val="24"/>
          <w:highlight w:val="none"/>
        </w:rPr>
        <w:t>公告发布后5个工作日内，</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en-US" w:eastAsia="zh-CN"/>
        </w:rPr>
        <w:t>参照《国家发展改革委办公厅关于采购代理服务收费有关问题的通知》(发改办价格[2003]857号)和国家计委关于《采购代理服务收费管理暂行办法》（计价格[2002]1980号）规定的收费标准下浮40%</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交纳</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服务费。</w:t>
      </w:r>
    </w:p>
    <w:p w14:paraId="74CD0B0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开户单位全称：</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w:t>
      </w:r>
    </w:p>
    <w:p w14:paraId="553635F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开户行：兴业银行济南燕山支行；</w:t>
      </w:r>
    </w:p>
    <w:p w14:paraId="192F283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账号：376060100100168341。</w:t>
      </w:r>
    </w:p>
    <w:p w14:paraId="67361AB1">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46" w:name="_Toc6115"/>
      <w:bookmarkStart w:id="147" w:name="_Toc21092"/>
      <w:bookmarkStart w:id="148" w:name="_Toc23393"/>
      <w:r>
        <w:rPr>
          <w:rFonts w:hint="eastAsia" w:ascii="仿宋" w:hAnsi="仿宋" w:eastAsia="仿宋" w:cs="仿宋"/>
          <w:color w:val="auto"/>
          <w:sz w:val="24"/>
          <w:szCs w:val="24"/>
          <w:highlight w:val="none"/>
        </w:rPr>
        <w:t>八、保证金</w:t>
      </w:r>
      <w:bookmarkEnd w:id="140"/>
      <w:bookmarkEnd w:id="141"/>
      <w:bookmarkEnd w:id="142"/>
      <w:bookmarkEnd w:id="146"/>
      <w:bookmarkEnd w:id="147"/>
      <w:bookmarkEnd w:id="148"/>
    </w:p>
    <w:p w14:paraId="227E6D8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参与本项目供应商应于2025年3月4日上午8:30</w:t>
      </w:r>
      <w:r>
        <w:rPr>
          <w:rFonts w:hint="eastAsia" w:ascii="仿宋" w:hAnsi="仿宋" w:eastAsia="仿宋" w:cs="仿宋"/>
          <w:color w:val="auto"/>
          <w:sz w:val="24"/>
          <w:szCs w:val="24"/>
          <w:highlight w:val="none"/>
        </w:rPr>
        <w:t>前以电汇形式（电汇以到账时间为准）交纳</w:t>
      </w:r>
      <w:r>
        <w:rPr>
          <w:rFonts w:hint="eastAsia" w:ascii="仿宋" w:hAnsi="仿宋" w:eastAsia="仿宋" w:cs="仿宋"/>
          <w:color w:val="auto"/>
          <w:sz w:val="24"/>
          <w:szCs w:val="24"/>
          <w:highlight w:val="none"/>
          <w:lang w:val="en-US" w:eastAsia="zh-CN"/>
        </w:rPr>
        <w:t>40000元</w:t>
      </w:r>
      <w:r>
        <w:rPr>
          <w:rFonts w:hint="eastAsia" w:ascii="仿宋" w:hAnsi="仿宋" w:eastAsia="仿宋" w:cs="仿宋"/>
          <w:color w:val="auto"/>
          <w:sz w:val="24"/>
          <w:szCs w:val="24"/>
          <w:highlight w:val="none"/>
        </w:rPr>
        <w:t>投标保证金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并</w:t>
      </w:r>
      <w:r>
        <w:rPr>
          <w:rFonts w:hint="eastAsia" w:ascii="仿宋" w:hAnsi="仿宋" w:eastAsia="仿宋" w:cs="仿宋"/>
          <w:color w:val="auto"/>
          <w:sz w:val="24"/>
          <w:szCs w:val="24"/>
          <w:highlight w:val="none"/>
        </w:rPr>
        <w:t>将汇款凭证发送至cnshzb</w:t>
      </w:r>
      <w:r>
        <w:rPr>
          <w:rFonts w:hint="eastAsia" w:ascii="仿宋" w:hAnsi="仿宋" w:eastAsia="仿宋" w:cs="仿宋"/>
          <w:color w:val="auto"/>
          <w:sz w:val="24"/>
          <w:szCs w:val="24"/>
          <w:highlight w:val="none"/>
          <w:lang w:val="en-US" w:eastAsia="zh-CN"/>
        </w:rPr>
        <w:t>egs</w:t>
      </w:r>
      <w:r>
        <w:rPr>
          <w:rFonts w:hint="eastAsia" w:ascii="仿宋" w:hAnsi="仿宋" w:eastAsia="仿宋" w:cs="仿宋"/>
          <w:color w:val="auto"/>
          <w:sz w:val="24"/>
          <w:szCs w:val="24"/>
          <w:highlight w:val="none"/>
        </w:rPr>
        <w:t>@163.com，未办理上述手续的造成的后果由投标人自负。</w:t>
      </w:r>
    </w:p>
    <w:p w14:paraId="0E85C70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2.未中标人的投标保证金，自中标通知书发出之日起五个工作日内无息退还。</w:t>
      </w:r>
    </w:p>
    <w:p w14:paraId="56E5A4E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3.中标人的投标保证金,自采购合同签订之日起五个工作日内无息退还。</w:t>
      </w:r>
    </w:p>
    <w:p w14:paraId="4D735D4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4.未按规定交纳投标保证金的，视为无效投标。</w:t>
      </w:r>
    </w:p>
    <w:p w14:paraId="7BE521C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.有下列情形之一的，保证金不予退还：</w:t>
      </w:r>
    </w:p>
    <w:p w14:paraId="3F938570">
      <w:pPr>
        <w:pageBreakBefore w:val="0"/>
        <w:kinsoku/>
        <w:overflowPunct/>
        <w:topLinePunct w:val="0"/>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（一）投标人在提交投标文件截止时间后撤回投标文件的；</w:t>
      </w:r>
    </w:p>
    <w:p w14:paraId="53D35E1C">
      <w:pPr>
        <w:pageBreakBefore w:val="0"/>
        <w:kinsoku/>
        <w:overflowPunct/>
        <w:topLinePunct w:val="0"/>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（二）投标人在投标文件中提供虚假材料的；</w:t>
      </w:r>
    </w:p>
    <w:p w14:paraId="64F601B0">
      <w:pPr>
        <w:pageBreakBefore w:val="0"/>
        <w:kinsoku/>
        <w:overflowPunct/>
        <w:topLinePunct w:val="0"/>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（三）除因不可抗力或招标文件认可的情形以外，中标人不与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签订合同的；</w:t>
      </w:r>
    </w:p>
    <w:p w14:paraId="3CF91D14">
      <w:pPr>
        <w:pageBreakBefore w:val="0"/>
        <w:kinsoku/>
        <w:overflowPunct/>
        <w:topLinePunct w:val="0"/>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（四）投标人与招标人、其他投标人或者采购代理机构恶意串通的；</w:t>
      </w:r>
    </w:p>
    <w:p w14:paraId="117418EB">
      <w:pPr>
        <w:pageBreakBefore w:val="0"/>
        <w:kinsoku/>
        <w:overflowPunct/>
        <w:topLinePunct w:val="0"/>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（五）招标文件规定的其他情形。</w:t>
      </w:r>
    </w:p>
    <w:p w14:paraId="22620296">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49" w:name="_Toc24118"/>
      <w:bookmarkStart w:id="150" w:name="_Toc13888"/>
      <w:bookmarkStart w:id="151" w:name="_Toc16530"/>
      <w:r>
        <w:rPr>
          <w:rFonts w:hint="eastAsia" w:ascii="仿宋" w:hAnsi="仿宋" w:eastAsia="仿宋" w:cs="仿宋"/>
          <w:color w:val="auto"/>
          <w:sz w:val="24"/>
          <w:szCs w:val="24"/>
          <w:highlight w:val="none"/>
        </w:rPr>
        <w:t>九、无效</w:t>
      </w:r>
      <w:bookmarkEnd w:id="143"/>
      <w:bookmarkEnd w:id="144"/>
      <w:bookmarkEnd w:id="145"/>
      <w:r>
        <w:rPr>
          <w:rFonts w:hint="eastAsia" w:ascii="仿宋" w:hAnsi="仿宋" w:eastAsia="仿宋" w:cs="仿宋"/>
          <w:color w:val="auto"/>
          <w:sz w:val="24"/>
          <w:szCs w:val="24"/>
          <w:highlight w:val="none"/>
        </w:rPr>
        <w:t>投标</w:t>
      </w:r>
      <w:bookmarkEnd w:id="149"/>
      <w:bookmarkEnd w:id="150"/>
      <w:bookmarkEnd w:id="151"/>
    </w:p>
    <w:p w14:paraId="473B246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52" w:name="_Toc325620712"/>
      <w:bookmarkStart w:id="153" w:name="_Toc356490377"/>
      <w:bookmarkStart w:id="154" w:name="_Toc356491316"/>
      <w:r>
        <w:rPr>
          <w:rFonts w:hint="eastAsia" w:ascii="仿宋" w:hAnsi="仿宋" w:eastAsia="仿宋" w:cs="仿宋"/>
          <w:color w:val="auto"/>
          <w:sz w:val="24"/>
          <w:szCs w:val="24"/>
          <w:highlight w:val="none"/>
        </w:rPr>
        <w:t>投标人有下列情况之一,其报价视为投标无效。</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将严格按照《中华人民共和国</w:t>
      </w:r>
      <w:r>
        <w:rPr>
          <w:rFonts w:hint="eastAsia" w:ascii="仿宋" w:hAnsi="仿宋" w:eastAsia="仿宋" w:cs="仿宋"/>
          <w:color w:val="auto"/>
          <w:sz w:val="24"/>
          <w:szCs w:val="24"/>
          <w:highlight w:val="none"/>
          <w:lang w:eastAsia="zh-CN"/>
        </w:rPr>
        <w:t>政府采购法</w:t>
      </w:r>
      <w:r>
        <w:rPr>
          <w:rFonts w:hint="eastAsia" w:ascii="仿宋" w:hAnsi="仿宋" w:eastAsia="仿宋" w:cs="仿宋"/>
          <w:color w:val="auto"/>
          <w:sz w:val="24"/>
          <w:szCs w:val="24"/>
          <w:highlight w:val="none"/>
        </w:rPr>
        <w:t>》及相关法律、法规及规章制度的规定行使权利。投标人给采购代理机构及招标人造成损失的，采购代理机构及招标人有索赔的权利，投标人应予以赔偿。</w:t>
      </w:r>
    </w:p>
    <w:p w14:paraId="6E13DFD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1.报价超招标文件中规定的预算</w:t>
      </w:r>
      <w:r>
        <w:rPr>
          <w:rFonts w:hint="eastAsia" w:ascii="仿宋" w:hAnsi="仿宋" w:eastAsia="仿宋" w:cs="仿宋"/>
          <w:color w:val="auto"/>
          <w:sz w:val="24"/>
          <w:szCs w:val="24"/>
          <w:highlight w:val="none"/>
          <w:lang w:val="en-US" w:eastAsia="zh-CN"/>
        </w:rPr>
        <w:t>或最高限价</w:t>
      </w:r>
      <w:r>
        <w:rPr>
          <w:rFonts w:hint="eastAsia" w:ascii="仿宋" w:hAnsi="仿宋" w:eastAsia="仿宋" w:cs="仿宋"/>
          <w:color w:val="auto"/>
          <w:sz w:val="24"/>
          <w:szCs w:val="24"/>
          <w:highlight w:val="none"/>
        </w:rPr>
        <w:t>的；</w:t>
      </w:r>
    </w:p>
    <w:p w14:paraId="29C220A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2.不按照招标文件规定报价、没有分项报价、拒绝报价、有多个报价、有选择性报价、附有条件的报价或者拒绝修正报价的；</w:t>
      </w:r>
    </w:p>
    <w:p w14:paraId="058DE93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3.未按规定交纳投标保证金的；</w:t>
      </w:r>
    </w:p>
    <w:p w14:paraId="4B25E99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4.投标文件正副本内容严重不一致的；</w:t>
      </w:r>
    </w:p>
    <w:p w14:paraId="64086CB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5.投标有效期不满足招标文件要求的；</w:t>
      </w:r>
    </w:p>
    <w:p w14:paraId="2CDA2F2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2/3及以上成员认定投标方案技术含量低、不符合招标文件要求的；</w:t>
      </w:r>
    </w:p>
    <w:p w14:paraId="2113557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判定投标人涂改证明材料或者提供虚假材料和承诺的；</w:t>
      </w:r>
    </w:p>
    <w:p w14:paraId="5C99E15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8.投标文件未按招标文件要求编制、签署、盖章、装订、密封的；</w:t>
      </w:r>
    </w:p>
    <w:p w14:paraId="6C3F01A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9.投标人必须提交的资格、资信等证明文件未提交、提交不齐全或者复印件未装订于投标文件中的；</w:t>
      </w:r>
    </w:p>
    <w:p w14:paraId="5127A1D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10.投标文件含有招标人不能接受的附加条件的；</w:t>
      </w:r>
    </w:p>
    <w:p w14:paraId="598367E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11.对“★”条款未做出实质性响应或者发生负偏离的；</w:t>
      </w:r>
    </w:p>
    <w:p w14:paraId="67692C7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法律、法规和招标文件规定的其他无效投标情形。</w:t>
      </w:r>
    </w:p>
    <w:bookmarkEnd w:id="152"/>
    <w:bookmarkEnd w:id="153"/>
    <w:bookmarkEnd w:id="154"/>
    <w:p w14:paraId="1112B812">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lang w:eastAsia="zh-CN"/>
        </w:rPr>
      </w:pPr>
      <w:bookmarkStart w:id="155" w:name="_Toc5368"/>
      <w:bookmarkStart w:id="156" w:name="_Toc325620713"/>
      <w:bookmarkStart w:id="157" w:name="_Toc325582572"/>
      <w:bookmarkStart w:id="158" w:name="_Toc325582067"/>
      <w:bookmarkStart w:id="159" w:name="_Toc323129563"/>
      <w:r>
        <w:rPr>
          <w:rFonts w:hint="eastAsia" w:ascii="仿宋" w:hAnsi="仿宋" w:eastAsia="仿宋" w:cs="仿宋"/>
          <w:color w:val="auto"/>
          <w:sz w:val="24"/>
          <w:szCs w:val="24"/>
          <w:highlight w:val="none"/>
          <w:lang w:eastAsia="zh-CN"/>
        </w:rPr>
        <w:t>十、质疑的提出与答复</w:t>
      </w:r>
      <w:bookmarkEnd w:id="155"/>
    </w:p>
    <w:p w14:paraId="1A480FFC">
      <w:pPr>
        <w:pStyle w:val="16"/>
        <w:spacing w:after="0"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采购过程、中标或者成交结果使自己的权益受到损害的，可以在知道或者应知其权益受到损害之日起7个工作日内，以书面形式向采购代理机构提出质疑。投标人须在法定质疑期内一次性提出针对同一采购程序环节的质疑，提交质疑函的形式：纸质，联系部门：济南项目部，联系电话：</w:t>
      </w:r>
      <w:r>
        <w:rPr>
          <w:rFonts w:hint="eastAsia" w:ascii="仿宋" w:hAnsi="仿宋" w:eastAsia="仿宋" w:cs="仿宋"/>
          <w:color w:val="auto"/>
          <w:sz w:val="24"/>
          <w:szCs w:val="24"/>
          <w:highlight w:val="none"/>
          <w:lang w:val="en-US" w:eastAsia="zh-CN"/>
        </w:rPr>
        <w:t>15153117917</w:t>
      </w:r>
      <w:r>
        <w:rPr>
          <w:rFonts w:hint="eastAsia" w:ascii="仿宋" w:hAnsi="仿宋" w:eastAsia="仿宋" w:cs="仿宋"/>
          <w:color w:val="auto"/>
          <w:sz w:val="24"/>
          <w:szCs w:val="24"/>
          <w:highlight w:val="none"/>
        </w:rPr>
        <w:t>,通讯地址：济南市历城区唐冶西路868号东8区企业公馆B1号楼。不符合规定的质疑采购代理机构有权不接收。</w:t>
      </w:r>
    </w:p>
    <w:p w14:paraId="4B49AAB0">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提出质疑的供应商（以下简称质疑供应商）应当是参与所质疑项目采购活动的供应商。</w:t>
      </w:r>
    </w:p>
    <w:p w14:paraId="7CE43A21">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潜在供应商已依法获取其可质疑的招标文件的，可以对该文件提出质疑。对招标文件提出质疑的，应当在获取招标文件或者招标文件公告期限届满之日起7个工作日内提出。</w:t>
      </w:r>
    </w:p>
    <w:p w14:paraId="65BAC0E2">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供应商提出质疑应当提交质疑函和必要的证明材料。质疑函应当包括下列内容：</w:t>
      </w:r>
    </w:p>
    <w:p w14:paraId="29C8EB95">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（1）供应商的姓名或者名称、地址、邮编、联系人及联系电话；</w:t>
      </w:r>
    </w:p>
    <w:p w14:paraId="14530EE0">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（2）质疑项目的名称、编号；</w:t>
      </w:r>
    </w:p>
    <w:p w14:paraId="098CE028">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（3）具体、明确的质疑事项和与质疑事项相关的请求；</w:t>
      </w:r>
    </w:p>
    <w:p w14:paraId="70004F9C">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（4）事实依据；</w:t>
      </w:r>
    </w:p>
    <w:p w14:paraId="6155FCE9">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（5）必要的法律依据；</w:t>
      </w:r>
    </w:p>
    <w:p w14:paraId="67AB05F1">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（6）提出质疑的日期。</w:t>
      </w:r>
    </w:p>
    <w:p w14:paraId="6A5BC009">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供应商为自然人的，应当由本人签字；供应商为法人或者其他组织的，应当由法定代表人、主要负责人，或者其授权代表签字或者盖章，并加盖公章。</w:t>
      </w:r>
    </w:p>
    <w:p w14:paraId="18D9FD0B">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供应商对评审过程、中标结果提出质疑的，采购人、采购代理机构可以组织原评标委员会协助答复质疑。</w:t>
      </w:r>
    </w:p>
    <w:p w14:paraId="3F3E4E2C">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质疑答复应当包括下列内容：</w:t>
      </w:r>
    </w:p>
    <w:p w14:paraId="780FBE11">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（1）质疑供应商的姓名或者名称；</w:t>
      </w:r>
    </w:p>
    <w:p w14:paraId="38576973">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（2）收到质疑函的日期、质疑项目名称及编号；</w:t>
      </w:r>
    </w:p>
    <w:p w14:paraId="07F3ED9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（3）质疑事项、质疑答复的具体内容、事实依据和法律依据；</w:t>
      </w:r>
    </w:p>
    <w:p w14:paraId="0F81FA88">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（4）告知质疑供应商依法投诉的权利；</w:t>
      </w:r>
    </w:p>
    <w:p w14:paraId="6688CC21">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（5）质疑答复人名称；</w:t>
      </w:r>
    </w:p>
    <w:p w14:paraId="48691D65">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（6）答复质疑的日期。</w:t>
      </w:r>
    </w:p>
    <w:p w14:paraId="6E95ECF4">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质疑答复的内容不涉及商业秘密。</w:t>
      </w:r>
    </w:p>
    <w:p w14:paraId="0CB4171C">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采购人、采购代理机构认为供应商质疑不成立，或者成立但未对中标结果构成影响的，继续开展采购活动；认为供应商质疑成立且影响或者可能影响中标结果的，按照下列情况处理：</w:t>
      </w:r>
    </w:p>
    <w:p w14:paraId="5BE603FE">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（1）对招标文件提出的质疑，依法通过澄清或者修改可以继续开展采购活动的，澄清或者修改招标文件后继续开展采购活动；否则应当修改招标文件后重新开展采购活动。</w:t>
      </w:r>
    </w:p>
    <w:p w14:paraId="6537C681">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（2）对采购过程、中标或者成交结果提出的质疑，合格供应商符合法定数量时，可以从合格的中标候选人中另行确定中标人的，应当依法另行确定中标人；否则应当重新开展采购活动。</w:t>
      </w:r>
    </w:p>
    <w:p w14:paraId="77D5F5D1">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质疑投标人对采购代理机构的答复不满意，或采购代理机构未在规定的时间内作出答复的，可以在答复期满后15个工作日内向财政监督部门投诉。</w:t>
      </w:r>
    </w:p>
    <w:p w14:paraId="27D9D676">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60" w:name="_Toc29941"/>
      <w:bookmarkStart w:id="161" w:name="_Toc10465"/>
      <w:bookmarkStart w:id="162" w:name="_Toc30273"/>
      <w:r>
        <w:rPr>
          <w:rFonts w:hint="eastAsia" w:ascii="仿宋" w:hAnsi="仿宋" w:eastAsia="仿宋" w:cs="仿宋"/>
          <w:color w:val="auto"/>
          <w:sz w:val="24"/>
          <w:szCs w:val="24"/>
          <w:highlight w:val="none"/>
        </w:rPr>
        <w:t>十</w:t>
      </w:r>
      <w:bookmarkStart w:id="163" w:name="_Toc304901697"/>
      <w:bookmarkStart w:id="164" w:name="_Toc259000653"/>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、解释权</w:t>
      </w:r>
      <w:bookmarkEnd w:id="160"/>
      <w:bookmarkEnd w:id="161"/>
      <w:bookmarkEnd w:id="162"/>
      <w:bookmarkEnd w:id="163"/>
      <w:bookmarkEnd w:id="164"/>
    </w:p>
    <w:p w14:paraId="2778B62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购买本招标文件的投标人如果认为招标文件的任何条款存在含糊、遗漏、相互矛盾之处，或是对于采购范围的界定和采购内容的要求不清楚，认为存在歧视、限制的情况，投标人应按相关法律、法规、规定以书面形式向采购代理机构寻求书面澄清，未提出异议或者超过质疑时间的视为完全认同本招标文件。本招标文件的最终解释权归采购代理机构，当对一个问题有多种解释时以采购代理机构的书面解释为准。招标文件未做须知明示，而又有相关法律、法规规定的，采购代理机构对此所做解释以相关的法律、法规规定为依据。</w:t>
      </w:r>
      <w:bookmarkStart w:id="165" w:name="_Toc2913"/>
      <w:bookmarkStart w:id="166" w:name="_Toc70060538"/>
    </w:p>
    <w:p w14:paraId="6B4C520B">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67" w:name="_Toc9188"/>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、其他未尽问题参考依据</w:t>
      </w:r>
      <w:bookmarkEnd w:id="165"/>
      <w:bookmarkEnd w:id="166"/>
      <w:bookmarkEnd w:id="167"/>
    </w:p>
    <w:p w14:paraId="58347217">
      <w:pPr>
        <w:pageBreakBefore w:val="0"/>
        <w:kinsoku/>
        <w:overflowPunct/>
        <w:topLinePunct w:val="0"/>
        <w:bidi w:val="0"/>
        <w:snapToGrid/>
        <w:spacing w:line="360" w:lineRule="auto"/>
        <w:ind w:firstLine="480" w:firstLineChars="200"/>
        <w:rPr>
          <w:rStyle w:val="141"/>
          <w:rFonts w:hint="eastAsia" w:ascii="仿宋" w:hAnsi="仿宋" w:eastAsia="仿宋" w:cs="仿宋"/>
          <w:color w:val="auto"/>
          <w:sz w:val="24"/>
          <w:szCs w:val="24"/>
          <w:highlight w:val="none"/>
        </w:rPr>
      </w:pPr>
      <w:r>
        <w:rPr>
          <w:rStyle w:val="141"/>
          <w:rFonts w:hint="eastAsia" w:ascii="仿宋" w:hAnsi="仿宋" w:eastAsia="仿宋" w:cs="仿宋"/>
          <w:color w:val="auto"/>
          <w:sz w:val="24"/>
          <w:szCs w:val="24"/>
          <w:highlight w:val="none"/>
        </w:rPr>
        <w:t>1.《政府采购促进中小企业发展管理办法》（财库〔2020〕46号）；《财政部司法部关于政府采购支持监狱企业发展有关问题的通知》（财库〔2014〕68号）；</w:t>
      </w:r>
    </w:p>
    <w:p w14:paraId="05AEF5E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Style w:val="141"/>
          <w:rFonts w:hint="eastAsia" w:ascii="仿宋" w:hAnsi="仿宋" w:eastAsia="仿宋" w:cs="仿宋"/>
          <w:color w:val="auto"/>
          <w:sz w:val="24"/>
          <w:szCs w:val="24"/>
          <w:highlight w:val="none"/>
          <w:lang w:val="en-US" w:eastAsia="zh-CN"/>
        </w:rPr>
        <w:t>2</w:t>
      </w:r>
      <w:r>
        <w:rPr>
          <w:rStyle w:val="141"/>
          <w:rFonts w:hint="eastAsia" w:ascii="仿宋" w:hAnsi="仿宋" w:eastAsia="仿宋" w:cs="仿宋"/>
          <w:color w:val="auto"/>
          <w:sz w:val="24"/>
          <w:szCs w:val="24"/>
          <w:highlight w:val="none"/>
        </w:rPr>
        <w:t>.其他政府采购制度办法。</w:t>
      </w:r>
    </w:p>
    <w:p w14:paraId="5CF0DDA8">
      <w:pPr>
        <w:pStyle w:val="2"/>
        <w:pageBreakBefore w:val="0"/>
        <w:kinsoku/>
        <w:overflowPunct/>
        <w:topLinePunct w:val="0"/>
        <w:bidi w:val="0"/>
        <w:snapToGrid/>
        <w:spacing w:line="360" w:lineRule="auto"/>
        <w:ind w:firstLine="562" w:firstLineChars="200"/>
        <w:rPr>
          <w:rFonts w:hint="eastAsia" w:ascii="仿宋" w:hAnsi="仿宋" w:eastAsia="仿宋" w:cs="仿宋"/>
          <w:color w:val="auto"/>
          <w:sz w:val="28"/>
          <w:szCs w:val="28"/>
          <w:highlight w:val="none"/>
        </w:rPr>
      </w:pPr>
      <w:bookmarkStart w:id="168" w:name="_Toc14247"/>
      <w:bookmarkStart w:id="169" w:name="_Toc3341"/>
      <w:bookmarkStart w:id="170" w:name="_Toc22356"/>
      <w:bookmarkStart w:id="171" w:name="_Toc356491317"/>
      <w:bookmarkStart w:id="172" w:name="_Toc356490378"/>
      <w:r>
        <w:rPr>
          <w:rFonts w:hint="eastAsia" w:ascii="仿宋" w:hAnsi="仿宋" w:eastAsia="仿宋" w:cs="仿宋"/>
          <w:color w:val="auto"/>
          <w:sz w:val="28"/>
          <w:szCs w:val="28"/>
          <w:highlight w:val="none"/>
        </w:rPr>
        <w:t>第三部分 开标、评审、</w:t>
      </w:r>
      <w:bookmarkEnd w:id="156"/>
      <w:bookmarkEnd w:id="157"/>
      <w:bookmarkEnd w:id="158"/>
      <w:bookmarkEnd w:id="159"/>
      <w:r>
        <w:rPr>
          <w:rFonts w:hint="eastAsia" w:ascii="仿宋" w:hAnsi="仿宋" w:eastAsia="仿宋" w:cs="仿宋"/>
          <w:color w:val="auto"/>
          <w:sz w:val="28"/>
          <w:szCs w:val="28"/>
          <w:highlight w:val="none"/>
        </w:rPr>
        <w:t>中标</w:t>
      </w:r>
      <w:bookmarkEnd w:id="168"/>
      <w:bookmarkEnd w:id="169"/>
      <w:bookmarkEnd w:id="170"/>
      <w:bookmarkEnd w:id="171"/>
      <w:bookmarkEnd w:id="172"/>
    </w:p>
    <w:p w14:paraId="30C6DF5D">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73" w:name="_Toc13695"/>
      <w:bookmarkStart w:id="174" w:name="_Toc332979555"/>
      <w:bookmarkStart w:id="175" w:name="_Toc10319"/>
      <w:bookmarkStart w:id="176" w:name="_Toc325620714"/>
      <w:bookmarkStart w:id="177" w:name="_Toc1361"/>
      <w:bookmarkStart w:id="178" w:name="_Toc356490382"/>
      <w:bookmarkStart w:id="179" w:name="_Toc325620717"/>
      <w:bookmarkStart w:id="180" w:name="_Toc356491321"/>
      <w:bookmarkStart w:id="181" w:name="_Toc356491324"/>
      <w:bookmarkStart w:id="182" w:name="_Toc325582068"/>
      <w:bookmarkStart w:id="183" w:name="_Toc325582573"/>
      <w:bookmarkStart w:id="184" w:name="_Toc323129564"/>
      <w:bookmarkStart w:id="185" w:name="_Toc325620720"/>
      <w:bookmarkStart w:id="186" w:name="_Toc356490385"/>
      <w:r>
        <w:rPr>
          <w:rFonts w:hint="eastAsia" w:ascii="仿宋" w:hAnsi="仿宋" w:eastAsia="仿宋" w:cs="仿宋"/>
          <w:color w:val="auto"/>
          <w:sz w:val="24"/>
          <w:szCs w:val="24"/>
          <w:highlight w:val="none"/>
        </w:rPr>
        <w:t>一、开标</w:t>
      </w:r>
      <w:bookmarkEnd w:id="173"/>
      <w:bookmarkEnd w:id="174"/>
      <w:bookmarkEnd w:id="175"/>
      <w:bookmarkEnd w:id="176"/>
      <w:bookmarkEnd w:id="177"/>
    </w:p>
    <w:p w14:paraId="116B6A9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87" w:name="_Toc332979556"/>
      <w:bookmarkStart w:id="188" w:name="_Toc325620715"/>
      <w:r>
        <w:rPr>
          <w:rFonts w:hint="eastAsia" w:ascii="仿宋" w:hAnsi="仿宋" w:eastAsia="仿宋" w:cs="仿宋"/>
          <w:color w:val="auto"/>
          <w:sz w:val="24"/>
          <w:szCs w:val="24"/>
          <w:highlight w:val="none"/>
        </w:rPr>
        <w:t>1. 按照招标文件规定的时间、地点开标。开标由采购代理机构主持，</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和有关方面的代表参加。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法定代表人或其授权代理人应参加并签名报到以证明其出席。</w:t>
      </w:r>
    </w:p>
    <w:p w14:paraId="6E856AE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2.开标时，由投标人或者其推选的代表检查投标文件的密封情况。 </w:t>
      </w:r>
    </w:p>
    <w:p w14:paraId="2FEF28E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3.工作人员当众拆封并宣读</w:t>
      </w:r>
      <w:r>
        <w:rPr>
          <w:rFonts w:hint="eastAsia" w:ascii="仿宋" w:hAnsi="仿宋" w:eastAsia="仿宋" w:cs="仿宋"/>
          <w:color w:val="auto"/>
          <w:sz w:val="24"/>
          <w:szCs w:val="24"/>
          <w:highlight w:val="none"/>
          <w:lang w:eastAsia="zh-CN"/>
        </w:rPr>
        <w:t>开标一览表</w:t>
      </w:r>
      <w:r>
        <w:rPr>
          <w:rFonts w:hint="eastAsia" w:ascii="仿宋" w:hAnsi="仿宋" w:eastAsia="仿宋" w:cs="仿宋"/>
          <w:color w:val="auto"/>
          <w:sz w:val="24"/>
          <w:szCs w:val="24"/>
          <w:highlight w:val="none"/>
        </w:rPr>
        <w:t>。</w:t>
      </w:r>
    </w:p>
    <w:p w14:paraId="0532072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记录员将唱价内容记录并由投标人法定代表人或授权代理人签字确认。</w:t>
      </w:r>
    </w:p>
    <w:p w14:paraId="71FA3A39">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lang w:eastAsia="zh-CN"/>
        </w:rPr>
      </w:pPr>
      <w:bookmarkStart w:id="189" w:name="_Toc9360"/>
      <w:bookmarkStart w:id="190" w:name="_Toc19305"/>
      <w:bookmarkStart w:id="191" w:name="_Toc17918"/>
      <w:r>
        <w:rPr>
          <w:rFonts w:hint="eastAsia" w:ascii="仿宋" w:hAnsi="仿宋" w:eastAsia="仿宋" w:cs="仿宋"/>
          <w:color w:val="auto"/>
          <w:sz w:val="24"/>
          <w:szCs w:val="24"/>
          <w:highlight w:val="none"/>
        </w:rPr>
        <w:t>二、</w:t>
      </w:r>
      <w:bookmarkEnd w:id="187"/>
      <w:bookmarkEnd w:id="188"/>
      <w:bookmarkEnd w:id="189"/>
      <w:bookmarkEnd w:id="190"/>
      <w:r>
        <w:rPr>
          <w:rFonts w:hint="eastAsia" w:ascii="仿宋" w:hAnsi="仿宋" w:eastAsia="仿宋" w:cs="仿宋"/>
          <w:color w:val="auto"/>
          <w:sz w:val="24"/>
          <w:szCs w:val="24"/>
          <w:highlight w:val="none"/>
          <w:lang w:eastAsia="zh-CN"/>
        </w:rPr>
        <w:t>评标委员会</w:t>
      </w:r>
      <w:bookmarkEnd w:id="191"/>
    </w:p>
    <w:p w14:paraId="0264DDE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92" w:name="_Toc24299"/>
      <w:bookmarkStart w:id="193" w:name="_Toc332979557"/>
      <w:bookmarkStart w:id="194" w:name="_Toc325620716"/>
      <w:bookmarkStart w:id="195" w:name="_Toc28432"/>
      <w:r>
        <w:rPr>
          <w:rFonts w:hint="eastAsia" w:ascii="仿宋" w:hAnsi="仿宋" w:eastAsia="仿宋" w:cs="仿宋"/>
          <w:color w:val="auto"/>
          <w:sz w:val="24"/>
          <w:szCs w:val="24"/>
          <w:highlight w:val="none"/>
        </w:rPr>
        <w:t>依法</w:t>
      </w:r>
      <w:r>
        <w:rPr>
          <w:rFonts w:hint="eastAsia" w:ascii="仿宋" w:hAnsi="仿宋" w:eastAsia="仿宋" w:cs="仿宋"/>
          <w:color w:val="auto"/>
          <w:sz w:val="24"/>
          <w:szCs w:val="24"/>
          <w:highlight w:val="none"/>
          <w:lang w:val="en-US" w:eastAsia="zh-CN"/>
        </w:rPr>
        <w:t>组建</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w:t>
      </w:r>
    </w:p>
    <w:p w14:paraId="3EA9B3AA">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96" w:name="_Toc5677"/>
      <w:r>
        <w:rPr>
          <w:rFonts w:hint="eastAsia" w:ascii="仿宋" w:hAnsi="仿宋" w:eastAsia="仿宋" w:cs="仿宋"/>
          <w:color w:val="auto"/>
          <w:sz w:val="24"/>
          <w:szCs w:val="24"/>
          <w:highlight w:val="none"/>
        </w:rPr>
        <w:t>三、评审原则</w:t>
      </w:r>
      <w:bookmarkEnd w:id="192"/>
      <w:bookmarkEnd w:id="193"/>
      <w:bookmarkEnd w:id="194"/>
      <w:bookmarkEnd w:id="195"/>
      <w:bookmarkEnd w:id="196"/>
    </w:p>
    <w:p w14:paraId="05887B2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“公平、公正、择优、效益”为本次采购的基本原则，</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按照这一原则的要求，公正、平等地对待各投标人。同时，在评审过程中恪守以下原则：</w:t>
      </w:r>
    </w:p>
    <w:p w14:paraId="48A7F71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1.客观性原则：</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将严格按照招标文件要求的内容，对投标人的投标文件进行认真评审；</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对投标文件的评审仅依据投标文件本身，而不依靠投标文件以外的任何因素；</w:t>
      </w:r>
    </w:p>
    <w:p w14:paraId="07DDB20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2.统一性原则：</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将按照统一的原则和方法，对各投标人的投标文件进行评审；</w:t>
      </w:r>
    </w:p>
    <w:p w14:paraId="5B362D2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3.独立性原则：评审工作在</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内部独立进行，不受外界任何因素的干扰和影响，</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成员对出具的专家意见承担个人责任；</w:t>
      </w:r>
    </w:p>
    <w:p w14:paraId="7D10D2C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4.保密性原则：</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成员及有关工作人员将保守投标人的商业秘密；</w:t>
      </w:r>
    </w:p>
    <w:p w14:paraId="0E64B56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5.综合性原则：</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 xml:space="preserve">将综合分析评审投标人的各项指标，而不以单项指标的优劣评定中标人。 </w:t>
      </w:r>
    </w:p>
    <w:p w14:paraId="4BA2FB4B">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97" w:name="_Toc5126"/>
      <w:bookmarkStart w:id="198" w:name="_Toc22666"/>
      <w:bookmarkStart w:id="199" w:name="_Toc23461"/>
      <w:r>
        <w:rPr>
          <w:rFonts w:hint="eastAsia" w:ascii="仿宋" w:hAnsi="仿宋" w:eastAsia="仿宋" w:cs="仿宋"/>
          <w:color w:val="auto"/>
          <w:sz w:val="24"/>
          <w:szCs w:val="24"/>
          <w:highlight w:val="none"/>
        </w:rPr>
        <w:t>四、评审办法</w:t>
      </w:r>
      <w:bookmarkEnd w:id="178"/>
      <w:bookmarkEnd w:id="179"/>
      <w:bookmarkEnd w:id="180"/>
      <w:bookmarkEnd w:id="197"/>
      <w:bookmarkEnd w:id="198"/>
      <w:bookmarkEnd w:id="199"/>
    </w:p>
    <w:p w14:paraId="3639BF4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本次采购采用综合评分法，即在最大限度地满足招标文件实质性要求前提下，按照招标文件中规定的各项因素进行综合评审。</w:t>
      </w:r>
    </w:p>
    <w:p w14:paraId="2B7AAD1C">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1.初步评审</w:t>
      </w:r>
    </w:p>
    <w:p w14:paraId="594B26F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投标文件的初审分为资格性检查和符合性检查。</w:t>
      </w:r>
      <w:r>
        <w:rPr>
          <w:rFonts w:hint="eastAsia" w:ascii="仿宋" w:hAnsi="仿宋" w:eastAsia="仿宋" w:cs="仿宋"/>
          <w:color w:val="auto"/>
          <w:sz w:val="24"/>
          <w:szCs w:val="24"/>
          <w:highlight w:val="none"/>
          <w:lang w:val="en-US" w:eastAsia="zh-CN"/>
        </w:rPr>
        <w:t>公开招标采购项目开标结束后，采购代理机构依法对供应商的资格进行审查。</w:t>
      </w:r>
      <w:r>
        <w:rPr>
          <w:rFonts w:hint="eastAsia" w:ascii="仿宋" w:hAnsi="仿宋" w:eastAsia="仿宋" w:cs="仿宋"/>
          <w:color w:val="auto"/>
          <w:sz w:val="24"/>
          <w:szCs w:val="24"/>
          <w:highlight w:val="none"/>
        </w:rPr>
        <w:t>资格性检查指依据法律、法规和招标文件的规定，对投标文件中的资格、资质证明文件等进行审查，以确定投标人是否具备投标资格。符合性检查指依据招标文件的规定，从投标文件的有效性、完整性和对招标文件的响应程度进行审查，以确定是否对招标文件的实质性要求作出响应。</w:t>
      </w:r>
    </w:p>
    <w:p w14:paraId="55CE844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4"/>
          <w:highlight w:val="none"/>
          <w:lang w:eastAsia="zh-CN"/>
        </w:rPr>
        <w:t>供应商的投标报价明显低于其他通过符合性审查供应商的报价，有可能影响商品质量和不能诚信履约的，评标委员会有权要求其在规定的时间内提供书面文件予以解释说明，并提交相关证明材料；否则，评标委员会可以将其按无效投标处理。</w:t>
      </w:r>
    </w:p>
    <w:p w14:paraId="191FA626">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综合评审</w:t>
      </w:r>
    </w:p>
    <w:p w14:paraId="229AC8A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对经初审合格的投标文件，根据招标文件确定的评审标准和评审办法作进一步的比较和评价。</w:t>
      </w:r>
    </w:p>
    <w:p w14:paraId="187E3CF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按照“综合实力最强、能够最大限度满足招标文件中规定的各项综合评价标准”的原则按评分细则对各投标人进行比较和评价打分，评分过程中采用四舍五入法，并保留小数2位。</w:t>
      </w:r>
    </w:p>
    <w:p w14:paraId="5FE2F10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200" w:name="_Toc24623"/>
      <w:bookmarkStart w:id="201" w:name="_Toc17551"/>
      <w:bookmarkStart w:id="202" w:name="_Toc30373"/>
      <w:bookmarkStart w:id="203" w:name="_Toc23776"/>
      <w:bookmarkStart w:id="204" w:name="_Toc9035"/>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评分细则：</w:t>
      </w:r>
      <w:bookmarkEnd w:id="200"/>
      <w:bookmarkEnd w:id="201"/>
      <w:bookmarkEnd w:id="202"/>
      <w:bookmarkEnd w:id="203"/>
      <w:bookmarkEnd w:id="204"/>
    </w:p>
    <w:tbl>
      <w:tblPr>
        <w:tblStyle w:val="163"/>
        <w:tblW w:w="9795"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9"/>
        <w:gridCol w:w="827"/>
        <w:gridCol w:w="1221"/>
        <w:gridCol w:w="6618"/>
      </w:tblGrid>
      <w:tr w14:paraId="1B356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129" w:type="dxa"/>
            <w:vAlign w:val="top"/>
          </w:tcPr>
          <w:p w14:paraId="50082772">
            <w:pPr>
              <w:pStyle w:val="162"/>
              <w:spacing w:before="160" w:line="219" w:lineRule="auto"/>
              <w:ind w:left="156"/>
              <w:rPr>
                <w:rFonts w:hint="eastAsia" w:ascii="仿宋" w:hAnsi="仿宋" w:eastAsia="仿宋" w:cs="仿宋"/>
                <w:color w:val="auto"/>
                <w:highlight w:val="none"/>
              </w:rPr>
            </w:pPr>
            <w:r>
              <w:rPr>
                <w:rFonts w:hint="eastAsia" w:ascii="仿宋" w:hAnsi="仿宋" w:eastAsia="仿宋" w:cs="仿宋"/>
                <w:b/>
                <w:bCs/>
                <w:color w:val="auto"/>
                <w:spacing w:val="-22"/>
                <w:highlight w:val="none"/>
              </w:rPr>
              <w:t>内容</w:t>
            </w:r>
          </w:p>
        </w:tc>
        <w:tc>
          <w:tcPr>
            <w:tcW w:w="827" w:type="dxa"/>
            <w:vAlign w:val="top"/>
          </w:tcPr>
          <w:p w14:paraId="5C6235FE">
            <w:pPr>
              <w:pStyle w:val="162"/>
              <w:spacing w:before="160" w:line="219" w:lineRule="auto"/>
              <w:ind w:left="257"/>
              <w:rPr>
                <w:rFonts w:hint="eastAsia" w:ascii="仿宋" w:hAnsi="仿宋" w:eastAsia="仿宋" w:cs="仿宋"/>
                <w:color w:val="auto"/>
                <w:highlight w:val="none"/>
              </w:rPr>
            </w:pPr>
            <w:r>
              <w:rPr>
                <w:rFonts w:hint="eastAsia" w:ascii="仿宋" w:hAnsi="仿宋" w:eastAsia="仿宋" w:cs="仿宋"/>
                <w:b/>
                <w:bCs/>
                <w:color w:val="auto"/>
                <w:spacing w:val="-9"/>
                <w:highlight w:val="none"/>
              </w:rPr>
              <w:t>分值</w:t>
            </w:r>
          </w:p>
        </w:tc>
        <w:tc>
          <w:tcPr>
            <w:tcW w:w="1221" w:type="dxa"/>
            <w:vAlign w:val="top"/>
          </w:tcPr>
          <w:p w14:paraId="3D178DA5">
            <w:pPr>
              <w:pStyle w:val="162"/>
              <w:spacing w:before="160" w:line="219" w:lineRule="auto"/>
              <w:ind w:left="141"/>
              <w:rPr>
                <w:rFonts w:hint="eastAsia" w:ascii="仿宋" w:hAnsi="仿宋" w:eastAsia="仿宋" w:cs="仿宋"/>
                <w:color w:val="auto"/>
                <w:highlight w:val="none"/>
              </w:rPr>
            </w:pPr>
            <w:r>
              <w:rPr>
                <w:rFonts w:hint="eastAsia" w:ascii="仿宋" w:hAnsi="仿宋" w:eastAsia="仿宋" w:cs="仿宋"/>
                <w:b/>
                <w:bCs/>
                <w:color w:val="auto"/>
                <w:spacing w:val="-4"/>
                <w:highlight w:val="none"/>
              </w:rPr>
              <w:t>评分因素分项</w:t>
            </w:r>
          </w:p>
        </w:tc>
        <w:tc>
          <w:tcPr>
            <w:tcW w:w="6618" w:type="dxa"/>
            <w:vAlign w:val="top"/>
          </w:tcPr>
          <w:p w14:paraId="6CBAF6CE">
            <w:pPr>
              <w:pStyle w:val="162"/>
              <w:spacing w:before="160" w:line="220" w:lineRule="auto"/>
              <w:ind w:left="2584"/>
              <w:rPr>
                <w:rFonts w:hint="eastAsia" w:ascii="仿宋" w:hAnsi="仿宋" w:eastAsia="仿宋" w:cs="仿宋"/>
                <w:color w:val="auto"/>
                <w:highlight w:val="none"/>
              </w:rPr>
            </w:pPr>
            <w:r>
              <w:rPr>
                <w:rFonts w:hint="eastAsia" w:ascii="仿宋" w:hAnsi="仿宋" w:eastAsia="仿宋" w:cs="仿宋"/>
                <w:b/>
                <w:bCs/>
                <w:color w:val="auto"/>
                <w:spacing w:val="-5"/>
                <w:highlight w:val="none"/>
              </w:rPr>
              <w:t>评分标准</w:t>
            </w:r>
          </w:p>
        </w:tc>
      </w:tr>
      <w:tr w14:paraId="65859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8" w:hRule="atLeast"/>
        </w:trPr>
        <w:tc>
          <w:tcPr>
            <w:tcW w:w="1129" w:type="dxa"/>
            <w:vAlign w:val="center"/>
          </w:tcPr>
          <w:p w14:paraId="6C9F93CC">
            <w:pPr>
              <w:pStyle w:val="162"/>
              <w:spacing w:before="78" w:line="274" w:lineRule="auto"/>
              <w:ind w:right="119"/>
              <w:jc w:val="center"/>
              <w:rPr>
                <w:rFonts w:hint="eastAsia" w:ascii="仿宋" w:hAnsi="仿宋" w:eastAsia="仿宋" w:cs="仿宋"/>
                <w:color w:val="auto"/>
                <w:spacing w:val="-4"/>
                <w:highlight w:val="none"/>
              </w:rPr>
            </w:pPr>
            <w:r>
              <w:rPr>
                <w:rFonts w:hint="eastAsia" w:ascii="仿宋" w:hAnsi="仿宋" w:eastAsia="仿宋" w:cs="仿宋"/>
                <w:color w:val="auto"/>
                <w:spacing w:val="-5"/>
                <w:highlight w:val="none"/>
                <w:lang w:val="en-US" w:eastAsia="zh-CN"/>
              </w:rPr>
              <w:t>投标</w:t>
            </w:r>
            <w:r>
              <w:rPr>
                <w:rFonts w:hint="eastAsia" w:ascii="仿宋" w:hAnsi="仿宋" w:eastAsia="仿宋" w:cs="仿宋"/>
                <w:color w:val="auto"/>
                <w:spacing w:val="-4"/>
                <w:highlight w:val="none"/>
              </w:rPr>
              <w:t>报价</w:t>
            </w:r>
          </w:p>
          <w:p w14:paraId="0B52D949">
            <w:pPr>
              <w:pStyle w:val="162"/>
              <w:spacing w:before="78" w:line="274" w:lineRule="auto"/>
              <w:ind w:right="119"/>
              <w:jc w:val="center"/>
              <w:rPr>
                <w:rFonts w:hint="eastAsia" w:ascii="仿宋" w:hAnsi="仿宋" w:eastAsia="仿宋" w:cs="仿宋"/>
                <w:color w:val="auto"/>
                <w:spacing w:val="-4"/>
                <w:highlight w:val="none"/>
                <w:lang w:eastAsia="zh-CN"/>
              </w:rPr>
            </w:pPr>
            <w:r>
              <w:rPr>
                <w:rFonts w:hint="eastAsia" w:ascii="仿宋" w:hAnsi="仿宋" w:eastAsia="仿宋" w:cs="仿宋"/>
                <w:color w:val="auto"/>
                <w:spacing w:val="-4"/>
                <w:highlight w:val="none"/>
                <w:lang w:eastAsia="zh-CN"/>
              </w:rPr>
              <w:t>（</w:t>
            </w:r>
            <w:r>
              <w:rPr>
                <w:rFonts w:hint="eastAsia" w:cs="仿宋"/>
                <w:color w:val="auto"/>
                <w:spacing w:val="-4"/>
                <w:highlight w:val="none"/>
                <w:lang w:eastAsia="zh-CN"/>
              </w:rPr>
              <w:t>30</w:t>
            </w:r>
            <w:r>
              <w:rPr>
                <w:rFonts w:hint="eastAsia" w:ascii="仿宋" w:hAnsi="仿宋" w:eastAsia="仿宋" w:cs="仿宋"/>
                <w:color w:val="auto"/>
                <w:spacing w:val="-4"/>
                <w:highlight w:val="none"/>
                <w:lang w:val="en-US" w:eastAsia="zh-CN"/>
              </w:rPr>
              <w:t>分</w:t>
            </w:r>
            <w:r>
              <w:rPr>
                <w:rFonts w:hint="eastAsia" w:ascii="仿宋" w:hAnsi="仿宋" w:eastAsia="仿宋" w:cs="仿宋"/>
                <w:color w:val="auto"/>
                <w:spacing w:val="-4"/>
                <w:highlight w:val="none"/>
                <w:lang w:eastAsia="zh-CN"/>
              </w:rPr>
              <w:t>）</w:t>
            </w:r>
          </w:p>
        </w:tc>
        <w:tc>
          <w:tcPr>
            <w:tcW w:w="827" w:type="dxa"/>
            <w:vAlign w:val="center"/>
          </w:tcPr>
          <w:p w14:paraId="539DD4C8">
            <w:pPr>
              <w:pStyle w:val="162"/>
              <w:spacing w:before="78" w:line="220" w:lineRule="auto"/>
              <w:jc w:val="center"/>
              <w:rPr>
                <w:rFonts w:hint="eastAsia" w:ascii="仿宋" w:hAnsi="仿宋" w:eastAsia="仿宋" w:cs="仿宋"/>
                <w:color w:val="auto"/>
                <w:highlight w:val="none"/>
              </w:rPr>
            </w:pPr>
            <w:r>
              <w:rPr>
                <w:rFonts w:hint="eastAsia" w:cs="仿宋"/>
                <w:color w:val="auto"/>
                <w:spacing w:val="-5"/>
                <w:highlight w:val="none"/>
                <w:lang w:val="en-US" w:eastAsia="zh-CN"/>
              </w:rPr>
              <w:t>3</w:t>
            </w:r>
            <w:r>
              <w:rPr>
                <w:rFonts w:hint="eastAsia" w:cs="仿宋"/>
                <w:color w:val="auto"/>
                <w:spacing w:val="-5"/>
                <w:highlight w:val="none"/>
                <w:lang w:eastAsia="zh-CN"/>
              </w:rPr>
              <w:t>0</w:t>
            </w:r>
            <w:r>
              <w:rPr>
                <w:rFonts w:hint="eastAsia" w:ascii="仿宋" w:hAnsi="仿宋" w:eastAsia="仿宋" w:cs="仿宋"/>
                <w:color w:val="auto"/>
                <w:spacing w:val="-5"/>
                <w:highlight w:val="none"/>
              </w:rPr>
              <w:t>分</w:t>
            </w:r>
          </w:p>
        </w:tc>
        <w:tc>
          <w:tcPr>
            <w:tcW w:w="1221" w:type="dxa"/>
            <w:vAlign w:val="center"/>
          </w:tcPr>
          <w:p w14:paraId="23E3DE69">
            <w:pPr>
              <w:pStyle w:val="162"/>
              <w:spacing w:before="78" w:line="218" w:lineRule="auto"/>
              <w:jc w:val="center"/>
              <w:rPr>
                <w:rFonts w:hint="eastAsia" w:ascii="仿宋" w:hAnsi="仿宋" w:eastAsia="仿宋" w:cs="仿宋"/>
                <w:color w:val="auto"/>
                <w:highlight w:val="none"/>
              </w:rPr>
            </w:pPr>
            <w:r>
              <w:rPr>
                <w:rFonts w:hint="eastAsia" w:ascii="仿宋" w:hAnsi="仿宋" w:eastAsia="仿宋" w:cs="仿宋"/>
                <w:color w:val="auto"/>
                <w:spacing w:val="-3"/>
                <w:highlight w:val="none"/>
                <w:lang w:val="en-US" w:eastAsia="zh-CN"/>
              </w:rPr>
              <w:t>投标</w:t>
            </w:r>
            <w:r>
              <w:rPr>
                <w:rFonts w:hint="eastAsia" w:ascii="仿宋" w:hAnsi="仿宋" w:eastAsia="仿宋" w:cs="仿宋"/>
                <w:color w:val="auto"/>
                <w:spacing w:val="-3"/>
                <w:highlight w:val="none"/>
              </w:rPr>
              <w:t>报价</w:t>
            </w:r>
          </w:p>
        </w:tc>
        <w:tc>
          <w:tcPr>
            <w:tcW w:w="6618" w:type="dxa"/>
            <w:vAlign w:val="top"/>
          </w:tcPr>
          <w:p w14:paraId="22A71E1B">
            <w:pPr>
              <w:pStyle w:val="162"/>
              <w:spacing w:before="156" w:line="278" w:lineRule="auto"/>
              <w:ind w:left="119" w:right="107" w:hanging="4"/>
              <w:jc w:val="both"/>
              <w:rPr>
                <w:rFonts w:hint="eastAsia" w:ascii="仿宋" w:hAnsi="仿宋" w:eastAsia="仿宋" w:cs="仿宋"/>
                <w:color w:val="auto"/>
                <w:highlight w:val="none"/>
              </w:rPr>
            </w:pPr>
            <w:r>
              <w:rPr>
                <w:rFonts w:hint="eastAsia" w:ascii="仿宋" w:hAnsi="仿宋" w:eastAsia="仿宋" w:cs="仿宋"/>
                <w:color w:val="auto"/>
                <w:spacing w:val="5"/>
                <w:highlight w:val="none"/>
              </w:rPr>
              <w:t>满足</w:t>
            </w:r>
            <w:r>
              <w:rPr>
                <w:rFonts w:hint="eastAsia" w:ascii="仿宋" w:hAnsi="仿宋" w:eastAsia="仿宋" w:cs="仿宋"/>
                <w:color w:val="auto"/>
                <w:spacing w:val="5"/>
                <w:highlight w:val="none"/>
                <w:lang w:eastAsia="zh-CN"/>
              </w:rPr>
              <w:t>招标文件</w:t>
            </w:r>
            <w:r>
              <w:rPr>
                <w:rFonts w:hint="eastAsia" w:ascii="仿宋" w:hAnsi="仿宋" w:eastAsia="仿宋" w:cs="仿宋"/>
                <w:color w:val="auto"/>
                <w:spacing w:val="5"/>
                <w:highlight w:val="none"/>
              </w:rPr>
              <w:t>要求且报价最低的</w:t>
            </w:r>
            <w:r>
              <w:rPr>
                <w:rFonts w:hint="eastAsia" w:ascii="仿宋" w:hAnsi="仿宋" w:eastAsia="仿宋" w:cs="仿宋"/>
                <w:color w:val="auto"/>
                <w:spacing w:val="5"/>
                <w:highlight w:val="none"/>
                <w:lang w:eastAsia="zh-CN"/>
              </w:rPr>
              <w:t>投标人</w:t>
            </w:r>
            <w:r>
              <w:rPr>
                <w:rFonts w:hint="eastAsia" w:ascii="仿宋" w:hAnsi="仿宋" w:eastAsia="仿宋" w:cs="仿宋"/>
                <w:color w:val="auto"/>
                <w:spacing w:val="5"/>
                <w:highlight w:val="none"/>
              </w:rPr>
              <w:t>的价格为</w:t>
            </w:r>
            <w:r>
              <w:rPr>
                <w:rFonts w:hint="eastAsia" w:ascii="仿宋" w:hAnsi="仿宋" w:eastAsia="仿宋" w:cs="仿宋"/>
                <w:color w:val="auto"/>
                <w:spacing w:val="5"/>
                <w:highlight w:val="none"/>
                <w:lang w:val="en-US" w:eastAsia="zh-CN"/>
              </w:rPr>
              <w:t>评标</w:t>
            </w:r>
            <w:r>
              <w:rPr>
                <w:rFonts w:hint="eastAsia" w:ascii="仿宋" w:hAnsi="仿宋" w:eastAsia="仿宋" w:cs="仿宋"/>
                <w:color w:val="auto"/>
                <w:spacing w:val="-5"/>
                <w:highlight w:val="none"/>
              </w:rPr>
              <w:t>基准价，其价格分为满分。其他</w:t>
            </w:r>
            <w:r>
              <w:rPr>
                <w:rFonts w:hint="eastAsia" w:ascii="仿宋" w:hAnsi="仿宋" w:eastAsia="仿宋" w:cs="仿宋"/>
                <w:color w:val="auto"/>
                <w:spacing w:val="-5"/>
                <w:highlight w:val="none"/>
                <w:lang w:eastAsia="zh-CN"/>
              </w:rPr>
              <w:t>投标人</w:t>
            </w:r>
            <w:r>
              <w:rPr>
                <w:rFonts w:hint="eastAsia" w:ascii="仿宋" w:hAnsi="仿宋" w:eastAsia="仿宋" w:cs="仿宋"/>
                <w:color w:val="auto"/>
                <w:spacing w:val="-5"/>
                <w:highlight w:val="none"/>
              </w:rPr>
              <w:t>的价格分统一按</w:t>
            </w:r>
            <w:r>
              <w:rPr>
                <w:rFonts w:hint="eastAsia" w:ascii="仿宋" w:hAnsi="仿宋" w:eastAsia="仿宋" w:cs="仿宋"/>
                <w:color w:val="auto"/>
                <w:spacing w:val="-2"/>
                <w:highlight w:val="none"/>
              </w:rPr>
              <w:t>照下列公式计算：</w:t>
            </w:r>
          </w:p>
          <w:p w14:paraId="125BD378">
            <w:pPr>
              <w:pStyle w:val="162"/>
              <w:spacing w:before="155" w:line="218" w:lineRule="auto"/>
              <w:jc w:val="both"/>
              <w:rPr>
                <w:rFonts w:hint="eastAsia" w:ascii="仿宋" w:hAnsi="仿宋" w:eastAsia="仿宋" w:cs="仿宋"/>
                <w:color w:val="auto"/>
                <w:highlight w:val="none"/>
              </w:rPr>
            </w:pPr>
            <w:r>
              <w:rPr>
                <w:rFonts w:hint="eastAsia" w:ascii="仿宋" w:hAnsi="仿宋" w:eastAsia="仿宋" w:cs="仿宋"/>
                <w:color w:val="auto"/>
                <w:spacing w:val="-9"/>
                <w:highlight w:val="none"/>
              </w:rPr>
              <w:t>报价得分=（</w:t>
            </w:r>
            <w:r>
              <w:rPr>
                <w:rFonts w:hint="eastAsia" w:ascii="仿宋" w:hAnsi="仿宋" w:eastAsia="仿宋" w:cs="仿宋"/>
                <w:color w:val="auto"/>
                <w:spacing w:val="-9"/>
                <w:highlight w:val="none"/>
                <w:lang w:val="en-US" w:eastAsia="zh-CN"/>
              </w:rPr>
              <w:t>评标</w:t>
            </w:r>
            <w:r>
              <w:rPr>
                <w:rFonts w:hint="eastAsia" w:ascii="仿宋" w:hAnsi="仿宋" w:eastAsia="仿宋" w:cs="仿宋"/>
                <w:color w:val="auto"/>
                <w:spacing w:val="-9"/>
                <w:highlight w:val="none"/>
              </w:rPr>
              <w:t>基准价/</w:t>
            </w:r>
            <w:r>
              <w:rPr>
                <w:rFonts w:hint="eastAsia" w:ascii="仿宋" w:hAnsi="仿宋" w:eastAsia="仿宋" w:cs="仿宋"/>
                <w:color w:val="auto"/>
                <w:spacing w:val="-9"/>
                <w:highlight w:val="none"/>
                <w:lang w:val="en-US" w:eastAsia="zh-CN"/>
              </w:rPr>
              <w:t>投标</w:t>
            </w:r>
            <w:r>
              <w:rPr>
                <w:rFonts w:hint="eastAsia" w:ascii="仿宋" w:hAnsi="仿宋" w:eastAsia="仿宋" w:cs="仿宋"/>
                <w:color w:val="auto"/>
                <w:spacing w:val="-9"/>
                <w:highlight w:val="none"/>
              </w:rPr>
              <w:t>报价）×</w:t>
            </w:r>
            <w:r>
              <w:rPr>
                <w:rFonts w:hint="eastAsia" w:cs="仿宋"/>
                <w:color w:val="auto"/>
                <w:spacing w:val="-9"/>
                <w:highlight w:val="none"/>
                <w:lang w:eastAsia="zh-CN"/>
              </w:rPr>
              <w:t>30</w:t>
            </w:r>
            <w:r>
              <w:rPr>
                <w:rFonts w:hint="eastAsia" w:ascii="仿宋" w:hAnsi="仿宋" w:eastAsia="仿宋" w:cs="仿宋"/>
                <w:color w:val="auto"/>
                <w:spacing w:val="-9"/>
                <w:highlight w:val="none"/>
              </w:rPr>
              <w:t>%×100。</w:t>
            </w:r>
          </w:p>
        </w:tc>
      </w:tr>
      <w:tr w14:paraId="52F0F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9" w:hRule="atLeast"/>
        </w:trPr>
        <w:tc>
          <w:tcPr>
            <w:tcW w:w="1129" w:type="dxa"/>
            <w:vMerge w:val="restart"/>
            <w:vAlign w:val="center"/>
          </w:tcPr>
          <w:p w14:paraId="18CBB8D1">
            <w:pPr>
              <w:pStyle w:val="162"/>
              <w:spacing w:before="78" w:line="273" w:lineRule="auto"/>
              <w:ind w:right="119"/>
              <w:jc w:val="center"/>
              <w:rPr>
                <w:rFonts w:hint="eastAsia" w:ascii="仿宋" w:hAnsi="仿宋" w:eastAsia="仿宋" w:cs="仿宋"/>
                <w:color w:val="auto"/>
                <w:spacing w:val="-5"/>
                <w:highlight w:val="none"/>
                <w:lang w:val="en-US" w:eastAsia="zh-CN"/>
              </w:rPr>
            </w:pPr>
            <w:r>
              <w:rPr>
                <w:rFonts w:hint="eastAsia" w:ascii="仿宋" w:hAnsi="仿宋" w:eastAsia="仿宋" w:cs="仿宋"/>
                <w:color w:val="auto"/>
                <w:spacing w:val="-5"/>
                <w:highlight w:val="none"/>
                <w:lang w:val="en-US" w:eastAsia="zh-CN"/>
              </w:rPr>
              <w:t>技术部分</w:t>
            </w:r>
          </w:p>
          <w:p w14:paraId="5342E44F">
            <w:pPr>
              <w:pStyle w:val="162"/>
              <w:spacing w:before="78" w:line="273" w:lineRule="auto"/>
              <w:ind w:right="119"/>
              <w:jc w:val="center"/>
              <w:rPr>
                <w:rFonts w:hint="eastAsia" w:ascii="仿宋" w:hAnsi="仿宋" w:eastAsia="仿宋" w:cs="仿宋"/>
                <w:color w:val="auto"/>
                <w:highlight w:val="none"/>
              </w:rPr>
            </w:pPr>
            <w:r>
              <w:rPr>
                <w:rFonts w:hint="eastAsia" w:ascii="仿宋" w:hAnsi="仿宋" w:eastAsia="仿宋" w:cs="仿宋"/>
                <w:color w:val="auto"/>
                <w:spacing w:val="-5"/>
                <w:highlight w:val="none"/>
                <w:lang w:val="en-US" w:eastAsia="zh-CN"/>
              </w:rPr>
              <w:t>（</w:t>
            </w:r>
            <w:r>
              <w:rPr>
                <w:rFonts w:hint="eastAsia" w:cs="仿宋"/>
                <w:color w:val="auto"/>
                <w:spacing w:val="-5"/>
                <w:highlight w:val="none"/>
                <w:lang w:val="en-US" w:eastAsia="zh-CN"/>
              </w:rPr>
              <w:t>66</w:t>
            </w:r>
            <w:r>
              <w:rPr>
                <w:rFonts w:hint="eastAsia" w:ascii="仿宋" w:hAnsi="仿宋" w:eastAsia="仿宋" w:cs="仿宋"/>
                <w:color w:val="auto"/>
                <w:spacing w:val="-5"/>
                <w:highlight w:val="none"/>
                <w:lang w:val="en-US" w:eastAsia="zh-CN"/>
              </w:rPr>
              <w:t>分）</w:t>
            </w:r>
          </w:p>
        </w:tc>
        <w:tc>
          <w:tcPr>
            <w:tcW w:w="827" w:type="dxa"/>
            <w:vAlign w:val="center"/>
          </w:tcPr>
          <w:p w14:paraId="540DB898">
            <w:pPr>
              <w:pStyle w:val="162"/>
              <w:spacing w:before="78" w:line="220" w:lineRule="auto"/>
              <w:jc w:val="center"/>
              <w:rPr>
                <w:rFonts w:hint="eastAsia" w:ascii="仿宋" w:hAnsi="仿宋" w:eastAsia="仿宋" w:cs="仿宋"/>
                <w:color w:val="auto"/>
                <w:highlight w:val="none"/>
              </w:rPr>
            </w:pPr>
            <w:r>
              <w:rPr>
                <w:rFonts w:hint="eastAsia" w:cs="仿宋"/>
                <w:color w:val="auto"/>
                <w:spacing w:val="-5"/>
                <w:highlight w:val="none"/>
                <w:lang w:val="en-US" w:eastAsia="zh-CN"/>
              </w:rPr>
              <w:t>45</w:t>
            </w:r>
            <w:r>
              <w:rPr>
                <w:rFonts w:hint="eastAsia" w:ascii="仿宋" w:hAnsi="仿宋" w:eastAsia="仿宋" w:cs="仿宋"/>
                <w:color w:val="auto"/>
                <w:spacing w:val="-5"/>
                <w:highlight w:val="none"/>
              </w:rPr>
              <w:t>分</w:t>
            </w:r>
          </w:p>
        </w:tc>
        <w:tc>
          <w:tcPr>
            <w:tcW w:w="1221" w:type="dxa"/>
            <w:vAlign w:val="center"/>
          </w:tcPr>
          <w:p w14:paraId="5B2A35E9">
            <w:pPr>
              <w:pStyle w:val="162"/>
              <w:spacing w:before="78" w:line="219" w:lineRule="auto"/>
              <w:jc w:val="center"/>
              <w:rPr>
                <w:rFonts w:hint="eastAsia" w:ascii="仿宋" w:hAnsi="仿宋" w:eastAsia="仿宋" w:cs="仿宋"/>
                <w:color w:val="auto"/>
                <w:highlight w:val="none"/>
              </w:rPr>
            </w:pPr>
            <w:r>
              <w:rPr>
                <w:rFonts w:hint="eastAsia" w:ascii="仿宋" w:hAnsi="仿宋" w:eastAsia="仿宋" w:cs="仿宋"/>
                <w:color w:val="auto"/>
                <w:spacing w:val="-3"/>
                <w:highlight w:val="none"/>
              </w:rPr>
              <w:t>技术响应</w:t>
            </w:r>
          </w:p>
        </w:tc>
        <w:tc>
          <w:tcPr>
            <w:tcW w:w="6618" w:type="dxa"/>
            <w:vAlign w:val="top"/>
          </w:tcPr>
          <w:p w14:paraId="50A2E3B5">
            <w:pPr>
              <w:pStyle w:val="162"/>
              <w:spacing w:before="32" w:line="254" w:lineRule="auto"/>
              <w:ind w:left="117" w:right="107" w:firstLine="9"/>
              <w:rPr>
                <w:rFonts w:hint="eastAsia" w:ascii="仿宋" w:hAnsi="仿宋" w:eastAsia="仿宋" w:cs="仿宋"/>
                <w:color w:val="auto"/>
                <w:spacing w:val="-2"/>
                <w:highlight w:val="none"/>
                <w:lang w:eastAsia="zh-CN"/>
              </w:rPr>
            </w:pPr>
            <w:r>
              <w:rPr>
                <w:rFonts w:hint="eastAsia" w:ascii="仿宋" w:hAnsi="仿宋" w:eastAsia="仿宋" w:cs="仿宋"/>
                <w:color w:val="auto"/>
                <w:spacing w:val="-2"/>
                <w:highlight w:val="none"/>
                <w:lang w:eastAsia="zh-CN"/>
              </w:rPr>
              <w:t>根据技术指标、功能及配置等因素进行综合评审，</w:t>
            </w:r>
            <w:r>
              <w:rPr>
                <w:rFonts w:hint="eastAsia" w:cs="仿宋"/>
                <w:color w:val="auto"/>
                <w:spacing w:val="-2"/>
                <w:highlight w:val="none"/>
                <w:lang w:val="en-US" w:eastAsia="zh-CN"/>
              </w:rPr>
              <w:t>除标记“</w:t>
            </w:r>
            <w:r>
              <w:rPr>
                <w:rFonts w:hint="eastAsia" w:ascii="仿宋" w:hAnsi="仿宋" w:eastAsia="仿宋" w:cs="仿宋"/>
                <w:bCs/>
                <w:color w:val="auto"/>
                <w:sz w:val="24"/>
                <w:szCs w:val="24"/>
                <w:highlight w:val="none"/>
                <w:u w:val="single"/>
                <w:lang w:val="en-US" w:eastAsia="zh-CN"/>
              </w:rPr>
              <w:t>★</w:t>
            </w:r>
            <w:r>
              <w:rPr>
                <w:rFonts w:hint="eastAsia" w:cs="仿宋"/>
                <w:color w:val="auto"/>
                <w:spacing w:val="-2"/>
                <w:highlight w:val="none"/>
                <w:lang w:val="en-US" w:eastAsia="zh-CN"/>
              </w:rPr>
              <w:t>”以外的</w:t>
            </w:r>
            <w:r>
              <w:rPr>
                <w:rFonts w:hint="eastAsia" w:ascii="仿宋" w:hAnsi="仿宋" w:eastAsia="仿宋" w:cs="仿宋"/>
                <w:color w:val="auto"/>
                <w:spacing w:val="-2"/>
                <w:highlight w:val="none"/>
                <w:lang w:eastAsia="zh-CN"/>
              </w:rPr>
              <w:t>技术参数满足或优于招标文件要求得</w:t>
            </w:r>
            <w:r>
              <w:rPr>
                <w:rFonts w:hint="eastAsia" w:cs="仿宋"/>
                <w:color w:val="auto"/>
                <w:spacing w:val="-2"/>
                <w:highlight w:val="none"/>
                <w:lang w:val="en-US" w:eastAsia="zh-CN"/>
              </w:rPr>
              <w:t>45</w:t>
            </w:r>
            <w:r>
              <w:rPr>
                <w:rFonts w:hint="eastAsia" w:ascii="仿宋" w:hAnsi="仿宋" w:eastAsia="仿宋" w:cs="仿宋"/>
                <w:color w:val="auto"/>
                <w:spacing w:val="-2"/>
                <w:highlight w:val="none"/>
                <w:lang w:eastAsia="zh-CN"/>
              </w:rPr>
              <w:t>分。</w:t>
            </w:r>
          </w:p>
          <w:p w14:paraId="1E03B3C2">
            <w:pPr>
              <w:pStyle w:val="162"/>
              <w:spacing w:before="32" w:line="254" w:lineRule="auto"/>
              <w:ind w:left="117" w:right="107" w:firstLine="9"/>
              <w:rPr>
                <w:rFonts w:hint="eastAsia" w:ascii="仿宋" w:hAnsi="仿宋" w:eastAsia="仿宋" w:cs="仿宋"/>
                <w:color w:val="auto"/>
                <w:spacing w:val="-2"/>
                <w:highlight w:val="none"/>
                <w:lang w:eastAsia="zh-CN"/>
              </w:rPr>
            </w:pPr>
            <w:r>
              <w:rPr>
                <w:rFonts w:hint="eastAsia" w:ascii="仿宋" w:hAnsi="仿宋" w:eastAsia="仿宋" w:cs="仿宋"/>
                <w:color w:val="auto"/>
                <w:spacing w:val="-2"/>
                <w:highlight w:val="none"/>
                <w:lang w:eastAsia="zh-CN"/>
              </w:rPr>
              <w:t>1、技术方案中带“▲”标识的为重要技术参数指标，每有</w:t>
            </w:r>
            <w:r>
              <w:rPr>
                <w:rFonts w:hint="eastAsia" w:ascii="仿宋" w:hAnsi="仿宋" w:eastAsia="仿宋" w:cs="仿宋"/>
                <w:color w:val="auto"/>
                <w:spacing w:val="-2"/>
                <w:highlight w:val="none"/>
                <w:lang w:val="en-US" w:eastAsia="zh-CN"/>
              </w:rPr>
              <w:t>一</w:t>
            </w:r>
            <w:r>
              <w:rPr>
                <w:rFonts w:hint="eastAsia" w:ascii="仿宋" w:hAnsi="仿宋" w:eastAsia="仿宋" w:cs="仿宋"/>
                <w:color w:val="auto"/>
                <w:spacing w:val="-2"/>
                <w:highlight w:val="none"/>
                <w:lang w:eastAsia="zh-CN"/>
              </w:rPr>
              <w:t>项负偏离的扣</w:t>
            </w:r>
            <w:r>
              <w:rPr>
                <w:rFonts w:hint="eastAsia" w:ascii="仿宋" w:hAnsi="仿宋" w:eastAsia="仿宋" w:cs="仿宋"/>
                <w:color w:val="auto"/>
                <w:spacing w:val="-2"/>
                <w:highlight w:val="none"/>
                <w:lang w:val="en-US" w:eastAsia="zh-CN"/>
              </w:rPr>
              <w:t>3</w:t>
            </w:r>
            <w:r>
              <w:rPr>
                <w:rFonts w:hint="eastAsia" w:ascii="仿宋" w:hAnsi="仿宋" w:eastAsia="仿宋" w:cs="仿宋"/>
                <w:color w:val="auto"/>
                <w:spacing w:val="-2"/>
                <w:highlight w:val="none"/>
                <w:lang w:eastAsia="zh-CN"/>
              </w:rPr>
              <w:t>分，扣完为止。</w:t>
            </w:r>
          </w:p>
          <w:p w14:paraId="722B6EDF">
            <w:pPr>
              <w:pStyle w:val="162"/>
              <w:spacing w:before="32" w:line="254" w:lineRule="auto"/>
              <w:ind w:left="117" w:right="107" w:firstLine="9"/>
              <w:rPr>
                <w:rFonts w:hint="eastAsia" w:ascii="仿宋" w:hAnsi="仿宋" w:eastAsia="仿宋" w:cs="仿宋"/>
                <w:color w:val="auto"/>
                <w:spacing w:val="-2"/>
                <w:highlight w:val="none"/>
                <w:lang w:eastAsia="zh-CN"/>
              </w:rPr>
            </w:pPr>
            <w:r>
              <w:rPr>
                <w:rFonts w:hint="eastAsia" w:ascii="仿宋" w:hAnsi="仿宋" w:eastAsia="仿宋" w:cs="仿宋"/>
                <w:color w:val="auto"/>
                <w:spacing w:val="-2"/>
                <w:highlight w:val="none"/>
                <w:lang w:eastAsia="zh-CN"/>
              </w:rPr>
              <w:t>注：重要指标需逐条响应，关键技术或关键参数配置以提供的有效的证明材料为准。</w:t>
            </w:r>
          </w:p>
          <w:p w14:paraId="2D41548C">
            <w:pPr>
              <w:pStyle w:val="162"/>
              <w:spacing w:before="32" w:line="254" w:lineRule="auto"/>
              <w:ind w:left="117" w:right="107" w:firstLine="9"/>
              <w:rPr>
                <w:rFonts w:hint="eastAsia" w:ascii="仿宋" w:hAnsi="仿宋" w:eastAsia="仿宋" w:cs="仿宋"/>
                <w:color w:val="auto"/>
                <w:highlight w:val="none"/>
              </w:rPr>
            </w:pPr>
            <w:r>
              <w:rPr>
                <w:rFonts w:hint="eastAsia" w:ascii="仿宋" w:hAnsi="仿宋" w:eastAsia="仿宋" w:cs="仿宋"/>
                <w:color w:val="auto"/>
                <w:spacing w:val="-2"/>
                <w:highlight w:val="none"/>
                <w:lang w:eastAsia="zh-CN"/>
              </w:rPr>
              <w:t>2、技术方案中一般技术参数指标，每有一项负偏离，扣</w:t>
            </w:r>
            <w:r>
              <w:rPr>
                <w:rFonts w:hint="eastAsia" w:ascii="仿宋" w:hAnsi="仿宋" w:eastAsia="仿宋" w:cs="仿宋"/>
                <w:color w:val="auto"/>
                <w:spacing w:val="-2"/>
                <w:highlight w:val="none"/>
                <w:lang w:val="en-US" w:eastAsia="zh-CN"/>
              </w:rPr>
              <w:t>2</w:t>
            </w:r>
            <w:r>
              <w:rPr>
                <w:rFonts w:hint="eastAsia" w:ascii="仿宋" w:hAnsi="仿宋" w:eastAsia="仿宋" w:cs="仿宋"/>
                <w:color w:val="auto"/>
                <w:spacing w:val="-2"/>
                <w:highlight w:val="none"/>
                <w:lang w:eastAsia="zh-CN"/>
              </w:rPr>
              <w:t xml:space="preserve"> 分，扣完为止。</w:t>
            </w:r>
          </w:p>
        </w:tc>
      </w:tr>
      <w:tr w14:paraId="70350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1129" w:type="dxa"/>
            <w:vMerge w:val="continue"/>
            <w:vAlign w:val="center"/>
          </w:tcPr>
          <w:p w14:paraId="67D93FB2">
            <w:pPr>
              <w:pStyle w:val="162"/>
              <w:spacing w:before="78" w:line="273" w:lineRule="auto"/>
              <w:ind w:right="119"/>
              <w:jc w:val="center"/>
              <w:rPr>
                <w:rFonts w:hint="eastAsia" w:ascii="仿宋" w:hAnsi="仿宋" w:eastAsia="仿宋" w:cs="仿宋"/>
                <w:color w:val="auto"/>
                <w:spacing w:val="-5"/>
                <w:highlight w:val="none"/>
                <w:lang w:val="en-US" w:eastAsia="zh-CN"/>
              </w:rPr>
            </w:pPr>
          </w:p>
        </w:tc>
        <w:tc>
          <w:tcPr>
            <w:tcW w:w="827" w:type="dxa"/>
            <w:vAlign w:val="center"/>
          </w:tcPr>
          <w:p w14:paraId="055E38C6">
            <w:pPr>
              <w:pStyle w:val="162"/>
              <w:spacing w:before="78" w:line="220" w:lineRule="auto"/>
              <w:jc w:val="center"/>
              <w:rPr>
                <w:rFonts w:hint="default" w:cs="仿宋"/>
                <w:color w:val="auto"/>
                <w:spacing w:val="-5"/>
                <w:highlight w:val="none"/>
                <w:lang w:val="en-US" w:eastAsia="zh-CN"/>
              </w:rPr>
            </w:pPr>
            <w:r>
              <w:rPr>
                <w:rFonts w:hint="eastAsia" w:cs="仿宋"/>
                <w:color w:val="auto"/>
                <w:spacing w:val="-5"/>
                <w:highlight w:val="none"/>
                <w:lang w:val="en-US" w:eastAsia="zh-CN"/>
              </w:rPr>
              <w:t>3分</w:t>
            </w:r>
          </w:p>
        </w:tc>
        <w:tc>
          <w:tcPr>
            <w:tcW w:w="1221" w:type="dxa"/>
            <w:vAlign w:val="center"/>
          </w:tcPr>
          <w:p w14:paraId="149DB615">
            <w:pPr>
              <w:pStyle w:val="162"/>
              <w:spacing w:before="32" w:line="254" w:lineRule="auto"/>
              <w:ind w:left="117" w:right="107" w:firstLine="9"/>
              <w:rPr>
                <w:rFonts w:hint="eastAsia" w:ascii="仿宋" w:hAnsi="仿宋" w:eastAsia="仿宋" w:cs="仿宋"/>
                <w:color w:val="auto"/>
                <w:spacing w:val="-2"/>
                <w:highlight w:val="none"/>
                <w:lang w:eastAsia="zh-CN"/>
              </w:rPr>
            </w:pPr>
            <w:r>
              <w:rPr>
                <w:rFonts w:hint="eastAsia" w:ascii="仿宋" w:hAnsi="仿宋" w:eastAsia="仿宋" w:cs="仿宋"/>
                <w:color w:val="auto"/>
                <w:spacing w:val="-2"/>
                <w:highlight w:val="none"/>
                <w:lang w:eastAsia="zh-CN"/>
              </w:rPr>
              <w:t>拟投入设备与耗材</w:t>
            </w:r>
          </w:p>
        </w:tc>
        <w:tc>
          <w:tcPr>
            <w:tcW w:w="6618" w:type="dxa"/>
            <w:vAlign w:val="top"/>
          </w:tcPr>
          <w:p w14:paraId="1851A731">
            <w:pPr>
              <w:pStyle w:val="162"/>
              <w:spacing w:before="32" w:line="254" w:lineRule="auto"/>
              <w:ind w:left="117" w:right="107" w:firstLine="9"/>
              <w:rPr>
                <w:rFonts w:hint="eastAsia" w:ascii="仿宋" w:hAnsi="仿宋" w:eastAsia="仿宋" w:cs="仿宋"/>
                <w:color w:val="auto"/>
                <w:spacing w:val="-2"/>
                <w:highlight w:val="none"/>
                <w:lang w:eastAsia="zh-CN"/>
              </w:rPr>
            </w:pPr>
            <w:r>
              <w:rPr>
                <w:rFonts w:hint="eastAsia" w:ascii="仿宋" w:hAnsi="仿宋" w:eastAsia="仿宋" w:cs="仿宋"/>
                <w:color w:val="auto"/>
                <w:spacing w:val="-2"/>
                <w:highlight w:val="none"/>
                <w:lang w:val="en-US" w:eastAsia="zh-CN"/>
              </w:rPr>
              <w:t>根据项目实际需求</w:t>
            </w:r>
            <w:r>
              <w:rPr>
                <w:rFonts w:hint="eastAsia" w:cs="仿宋"/>
                <w:color w:val="auto"/>
                <w:spacing w:val="-2"/>
                <w:highlight w:val="none"/>
                <w:lang w:val="en-US" w:eastAsia="zh-CN"/>
              </w:rPr>
              <w:t>拟</w:t>
            </w:r>
            <w:r>
              <w:rPr>
                <w:rFonts w:hint="eastAsia" w:ascii="仿宋" w:hAnsi="仿宋" w:eastAsia="仿宋" w:cs="仿宋"/>
                <w:color w:val="auto"/>
                <w:spacing w:val="-2"/>
                <w:highlight w:val="none"/>
                <w:lang w:val="en-US" w:eastAsia="zh-CN"/>
              </w:rPr>
              <w:t>投入的</w:t>
            </w:r>
            <w:r>
              <w:rPr>
                <w:rFonts w:hint="eastAsia" w:ascii="仿宋" w:hAnsi="仿宋" w:eastAsia="仿宋" w:cs="仿宋"/>
                <w:color w:val="auto"/>
                <w:spacing w:val="-2"/>
                <w:highlight w:val="none"/>
                <w:lang w:eastAsia="zh-CN"/>
              </w:rPr>
              <w:t>设备与耗材</w:t>
            </w:r>
            <w:r>
              <w:rPr>
                <w:rFonts w:hint="eastAsia" w:cs="仿宋"/>
                <w:color w:val="auto"/>
                <w:spacing w:val="-2"/>
                <w:highlight w:val="none"/>
                <w:lang w:val="en-US" w:eastAsia="zh-CN"/>
              </w:rPr>
              <w:t>进行评审，包括设备配置、技术性能、兼容程度等三个方面，满分3分，每有一处缺陷或不足扣0.5分</w:t>
            </w:r>
            <w:r>
              <w:rPr>
                <w:rFonts w:hint="eastAsia" w:ascii="仿宋" w:hAnsi="仿宋" w:eastAsia="仿宋" w:cs="仿宋"/>
                <w:color w:val="auto"/>
                <w:spacing w:val="-2"/>
                <w:highlight w:val="none"/>
                <w:lang w:val="en-US" w:eastAsia="zh-CN"/>
              </w:rPr>
              <w:t>。</w:t>
            </w:r>
          </w:p>
        </w:tc>
      </w:tr>
      <w:tr w14:paraId="10692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29" w:type="dxa"/>
            <w:vMerge w:val="continue"/>
            <w:vAlign w:val="center"/>
          </w:tcPr>
          <w:p w14:paraId="7D3AA22F">
            <w:pPr>
              <w:pStyle w:val="162"/>
              <w:spacing w:before="78" w:line="273" w:lineRule="auto"/>
              <w:ind w:right="119"/>
              <w:jc w:val="center"/>
              <w:rPr>
                <w:rFonts w:hint="eastAsia" w:ascii="仿宋" w:hAnsi="仿宋" w:eastAsia="仿宋" w:cs="仿宋"/>
                <w:color w:val="auto"/>
                <w:spacing w:val="-5"/>
                <w:highlight w:val="none"/>
                <w:lang w:val="en-US" w:eastAsia="zh-CN"/>
              </w:rPr>
            </w:pPr>
          </w:p>
        </w:tc>
        <w:tc>
          <w:tcPr>
            <w:tcW w:w="827" w:type="dxa"/>
            <w:vAlign w:val="center"/>
          </w:tcPr>
          <w:p w14:paraId="4F1663BC">
            <w:pPr>
              <w:pStyle w:val="162"/>
              <w:spacing w:before="78" w:line="220" w:lineRule="auto"/>
              <w:jc w:val="center"/>
              <w:rPr>
                <w:rFonts w:hint="eastAsia" w:cs="仿宋"/>
                <w:color w:val="auto"/>
                <w:spacing w:val="-5"/>
                <w:highlight w:val="none"/>
                <w:lang w:val="en-US" w:eastAsia="zh-CN"/>
              </w:rPr>
            </w:pPr>
            <w:r>
              <w:rPr>
                <w:rFonts w:hint="eastAsia" w:cs="仿宋"/>
                <w:color w:val="auto"/>
                <w:spacing w:val="-10"/>
                <w:highlight w:val="none"/>
                <w:lang w:val="en-US" w:eastAsia="zh-CN"/>
              </w:rPr>
              <w:t>6</w:t>
            </w:r>
            <w:r>
              <w:rPr>
                <w:rFonts w:hint="eastAsia" w:ascii="仿宋" w:hAnsi="仿宋" w:eastAsia="仿宋" w:cs="仿宋"/>
                <w:color w:val="auto"/>
                <w:spacing w:val="-10"/>
                <w:highlight w:val="none"/>
              </w:rPr>
              <w:t>分</w:t>
            </w:r>
          </w:p>
        </w:tc>
        <w:tc>
          <w:tcPr>
            <w:tcW w:w="1221" w:type="dxa"/>
            <w:vAlign w:val="center"/>
          </w:tcPr>
          <w:p w14:paraId="744FCA63">
            <w:pPr>
              <w:pStyle w:val="162"/>
              <w:spacing w:before="78" w:line="219" w:lineRule="auto"/>
              <w:jc w:val="center"/>
              <w:rPr>
                <w:rFonts w:hint="eastAsia" w:ascii="仿宋" w:hAnsi="仿宋" w:eastAsia="仿宋" w:cs="仿宋"/>
                <w:color w:val="auto"/>
                <w:spacing w:val="-3"/>
                <w:highlight w:val="none"/>
              </w:rPr>
            </w:pPr>
            <w:r>
              <w:rPr>
                <w:rFonts w:hint="eastAsia" w:ascii="仿宋" w:hAnsi="仿宋" w:eastAsia="仿宋" w:cs="仿宋"/>
                <w:color w:val="auto"/>
                <w:spacing w:val="-3"/>
                <w:highlight w:val="none"/>
              </w:rPr>
              <w:t>服务团队</w:t>
            </w:r>
          </w:p>
        </w:tc>
        <w:tc>
          <w:tcPr>
            <w:tcW w:w="6618" w:type="dxa"/>
            <w:vAlign w:val="top"/>
          </w:tcPr>
          <w:p w14:paraId="5568F106">
            <w:pPr>
              <w:pStyle w:val="162"/>
              <w:spacing w:before="37" w:line="273" w:lineRule="auto"/>
              <w:ind w:left="114" w:right="107"/>
              <w:rPr>
                <w:rFonts w:hint="eastAsia" w:ascii="仿宋" w:hAnsi="仿宋" w:eastAsia="仿宋" w:cs="仿宋"/>
                <w:color w:val="auto"/>
                <w:spacing w:val="-4"/>
                <w:highlight w:val="none"/>
              </w:rPr>
            </w:pPr>
            <w:r>
              <w:rPr>
                <w:rFonts w:hint="eastAsia" w:ascii="仿宋" w:hAnsi="仿宋" w:eastAsia="仿宋" w:cs="仿宋"/>
                <w:color w:val="auto"/>
                <w:spacing w:val="-4"/>
                <w:highlight w:val="none"/>
              </w:rPr>
              <w:t>根据各</w:t>
            </w:r>
            <w:r>
              <w:rPr>
                <w:rFonts w:hint="eastAsia" w:ascii="仿宋" w:hAnsi="仿宋" w:eastAsia="仿宋" w:cs="仿宋"/>
                <w:color w:val="auto"/>
                <w:spacing w:val="-4"/>
                <w:highlight w:val="none"/>
                <w:lang w:eastAsia="zh-CN"/>
              </w:rPr>
              <w:t>投标人</w:t>
            </w:r>
            <w:r>
              <w:rPr>
                <w:rFonts w:hint="eastAsia" w:ascii="仿宋" w:hAnsi="仿宋" w:eastAsia="仿宋" w:cs="仿宋"/>
                <w:color w:val="auto"/>
                <w:spacing w:val="-4"/>
                <w:highlight w:val="none"/>
              </w:rPr>
              <w:t>对本项目配备的专业人员配备进行评审：</w:t>
            </w:r>
            <w:r>
              <w:rPr>
                <w:rFonts w:hint="eastAsia" w:cs="仿宋"/>
                <w:color w:val="auto"/>
                <w:spacing w:val="-4"/>
                <w:highlight w:val="none"/>
                <w:lang w:val="en-US" w:eastAsia="zh-CN"/>
              </w:rPr>
              <w:t>人员配备</w:t>
            </w:r>
            <w:r>
              <w:rPr>
                <w:rFonts w:hint="eastAsia" w:ascii="仿宋" w:hAnsi="仿宋" w:eastAsia="仿宋" w:cs="仿宋"/>
                <w:color w:val="auto"/>
                <w:spacing w:val="-4"/>
                <w:highlight w:val="none"/>
                <w:lang w:val="en-US" w:eastAsia="zh-CN"/>
              </w:rPr>
              <w:t>完全</w:t>
            </w:r>
            <w:r>
              <w:rPr>
                <w:rFonts w:hint="eastAsia" w:cs="仿宋"/>
                <w:color w:val="auto"/>
                <w:spacing w:val="-4"/>
                <w:highlight w:val="none"/>
                <w:lang w:val="en-US" w:eastAsia="zh-CN"/>
              </w:rPr>
              <w:t>满足</w:t>
            </w:r>
            <w:r>
              <w:rPr>
                <w:rFonts w:hint="eastAsia" w:ascii="仿宋" w:hAnsi="仿宋" w:eastAsia="仿宋" w:cs="仿宋"/>
                <w:color w:val="auto"/>
                <w:spacing w:val="-4"/>
                <w:highlight w:val="none"/>
                <w:lang w:val="en-US" w:eastAsia="zh-CN"/>
              </w:rPr>
              <w:t>招标文件要求的得6分，否则不得分。</w:t>
            </w:r>
          </w:p>
          <w:p w14:paraId="763638D0">
            <w:pPr>
              <w:pStyle w:val="162"/>
              <w:spacing w:before="37" w:line="273" w:lineRule="auto"/>
              <w:ind w:left="114" w:leftChars="0" w:right="107" w:rightChars="0"/>
              <w:rPr>
                <w:rFonts w:hint="eastAsia" w:ascii="仿宋" w:hAnsi="仿宋" w:eastAsia="仿宋" w:cs="仿宋"/>
                <w:color w:val="auto"/>
                <w:spacing w:val="5"/>
                <w:highlight w:val="none"/>
                <w:lang w:eastAsia="zh-CN"/>
              </w:rPr>
            </w:pPr>
            <w:r>
              <w:rPr>
                <w:rFonts w:hint="eastAsia" w:ascii="仿宋" w:hAnsi="仿宋" w:eastAsia="仿宋" w:cs="仿宋"/>
                <w:b/>
                <w:bCs w:val="0"/>
                <w:color w:val="auto"/>
                <w:spacing w:val="-4"/>
                <w:highlight w:val="none"/>
              </w:rPr>
              <w:t>注：拟派人员需提供近三个月中任意一个月</w:t>
            </w:r>
            <w:r>
              <w:rPr>
                <w:rFonts w:hint="eastAsia" w:cs="仿宋"/>
                <w:b/>
                <w:bCs w:val="0"/>
                <w:color w:val="auto"/>
                <w:spacing w:val="-4"/>
                <w:highlight w:val="none"/>
                <w:lang w:eastAsia="zh-CN"/>
              </w:rPr>
              <w:t>在</w:t>
            </w:r>
            <w:r>
              <w:rPr>
                <w:rFonts w:hint="eastAsia" w:cs="仿宋"/>
                <w:b/>
                <w:bCs w:val="0"/>
                <w:color w:val="auto"/>
                <w:spacing w:val="-4"/>
                <w:highlight w:val="none"/>
                <w:lang w:val="en-US" w:eastAsia="zh-CN"/>
              </w:rPr>
              <w:t>本单位缴纳</w:t>
            </w:r>
            <w:r>
              <w:rPr>
                <w:rFonts w:hint="eastAsia" w:ascii="仿宋" w:hAnsi="仿宋" w:eastAsia="仿宋" w:cs="仿宋"/>
                <w:b/>
                <w:bCs w:val="0"/>
                <w:color w:val="auto"/>
                <w:spacing w:val="-4"/>
                <w:highlight w:val="none"/>
              </w:rPr>
              <w:t>的社保证明材料。</w:t>
            </w:r>
          </w:p>
        </w:tc>
      </w:tr>
      <w:tr w14:paraId="6DF69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29" w:type="dxa"/>
            <w:vMerge w:val="continue"/>
            <w:vAlign w:val="center"/>
          </w:tcPr>
          <w:p w14:paraId="56D66336">
            <w:pPr>
              <w:jc w:val="center"/>
              <w:rPr>
                <w:rFonts w:hint="eastAsia" w:ascii="仿宋" w:hAnsi="仿宋" w:eastAsia="仿宋" w:cs="仿宋"/>
                <w:color w:val="auto"/>
                <w:sz w:val="21"/>
                <w:highlight w:val="none"/>
              </w:rPr>
            </w:pPr>
          </w:p>
        </w:tc>
        <w:tc>
          <w:tcPr>
            <w:tcW w:w="827" w:type="dxa"/>
            <w:vAlign w:val="center"/>
          </w:tcPr>
          <w:p w14:paraId="50BBEFFF">
            <w:pPr>
              <w:pStyle w:val="162"/>
              <w:spacing w:before="78" w:line="220" w:lineRule="auto"/>
              <w:jc w:val="center"/>
              <w:rPr>
                <w:rFonts w:hint="eastAsia" w:ascii="仿宋" w:hAnsi="仿宋" w:eastAsia="仿宋" w:cs="仿宋"/>
                <w:color w:val="auto"/>
                <w:highlight w:val="none"/>
              </w:rPr>
            </w:pPr>
            <w:r>
              <w:rPr>
                <w:rFonts w:hint="eastAsia" w:ascii="仿宋" w:hAnsi="仿宋" w:eastAsia="仿宋" w:cs="仿宋"/>
                <w:color w:val="auto"/>
                <w:spacing w:val="-8"/>
                <w:highlight w:val="none"/>
              </w:rPr>
              <w:t>3</w:t>
            </w:r>
            <w:r>
              <w:rPr>
                <w:rFonts w:hint="eastAsia" w:ascii="仿宋" w:hAnsi="仿宋" w:eastAsia="仿宋" w:cs="仿宋"/>
                <w:color w:val="auto"/>
                <w:spacing w:val="-47"/>
                <w:highlight w:val="none"/>
              </w:rPr>
              <w:t xml:space="preserve"> </w:t>
            </w:r>
            <w:r>
              <w:rPr>
                <w:rFonts w:hint="eastAsia" w:ascii="仿宋" w:hAnsi="仿宋" w:eastAsia="仿宋" w:cs="仿宋"/>
                <w:color w:val="auto"/>
                <w:spacing w:val="-8"/>
                <w:highlight w:val="none"/>
              </w:rPr>
              <w:t>分</w:t>
            </w:r>
          </w:p>
        </w:tc>
        <w:tc>
          <w:tcPr>
            <w:tcW w:w="1221" w:type="dxa"/>
            <w:vAlign w:val="center"/>
          </w:tcPr>
          <w:p w14:paraId="630478E3">
            <w:pPr>
              <w:pStyle w:val="162"/>
              <w:spacing w:before="156" w:line="278" w:lineRule="auto"/>
              <w:ind w:left="119" w:right="107" w:hanging="4"/>
              <w:jc w:val="both"/>
              <w:rPr>
                <w:rFonts w:hint="eastAsia" w:ascii="仿宋" w:hAnsi="仿宋" w:eastAsia="仿宋" w:cs="仿宋"/>
                <w:color w:val="auto"/>
                <w:spacing w:val="-5"/>
                <w:highlight w:val="none"/>
              </w:rPr>
            </w:pPr>
            <w:r>
              <w:rPr>
                <w:rFonts w:hint="eastAsia" w:ascii="仿宋" w:hAnsi="仿宋" w:eastAsia="仿宋" w:cs="仿宋"/>
                <w:color w:val="auto"/>
                <w:spacing w:val="-5"/>
                <w:highlight w:val="none"/>
              </w:rPr>
              <w:t>服务实施方案</w:t>
            </w:r>
          </w:p>
        </w:tc>
        <w:tc>
          <w:tcPr>
            <w:tcW w:w="6618" w:type="dxa"/>
            <w:vAlign w:val="top"/>
          </w:tcPr>
          <w:p w14:paraId="357F6E7B">
            <w:pPr>
              <w:pStyle w:val="162"/>
              <w:spacing w:before="90" w:line="252" w:lineRule="auto"/>
              <w:ind w:left="117" w:right="107" w:firstLine="9"/>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根据投标人提供数字化加工扫描实施方案，质量控制措施及周期进度计划的合理性，投标人在技术支持、快速响应时间等方面的响应情况等进行综合评分</w:t>
            </w:r>
            <w:r>
              <w:rPr>
                <w:rFonts w:hint="eastAsia" w:cs="仿宋"/>
                <w:color w:val="auto"/>
                <w:highlight w:val="none"/>
                <w:lang w:val="en-US" w:eastAsia="zh-CN"/>
              </w:rPr>
              <w:t>，</w:t>
            </w:r>
            <w:r>
              <w:rPr>
                <w:rFonts w:hint="eastAsia" w:cs="仿宋"/>
                <w:color w:val="auto"/>
                <w:spacing w:val="-2"/>
                <w:highlight w:val="none"/>
                <w:lang w:val="en-US" w:eastAsia="zh-CN"/>
              </w:rPr>
              <w:t>满分3分，每有一处缺陷或不足扣0.5分</w:t>
            </w:r>
            <w:r>
              <w:rPr>
                <w:rFonts w:hint="eastAsia" w:ascii="仿宋" w:hAnsi="仿宋" w:eastAsia="仿宋" w:cs="仿宋"/>
                <w:color w:val="auto"/>
                <w:spacing w:val="-2"/>
                <w:highlight w:val="none"/>
                <w:lang w:val="en-US" w:eastAsia="zh-CN"/>
              </w:rPr>
              <w:t>。</w:t>
            </w:r>
            <w:r>
              <w:rPr>
                <w:rFonts w:hint="eastAsia" w:ascii="仿宋" w:hAnsi="仿宋" w:eastAsia="仿宋" w:cs="仿宋"/>
                <w:color w:val="auto"/>
                <w:highlight w:val="none"/>
                <w:lang w:val="en-US" w:eastAsia="zh-CN"/>
              </w:rPr>
              <w:t xml:space="preserve"> </w:t>
            </w:r>
          </w:p>
        </w:tc>
      </w:tr>
      <w:tr w14:paraId="4CFF1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129" w:type="dxa"/>
            <w:vMerge w:val="continue"/>
            <w:vAlign w:val="center"/>
          </w:tcPr>
          <w:p w14:paraId="2153E0E1">
            <w:pPr>
              <w:jc w:val="center"/>
              <w:rPr>
                <w:rFonts w:hint="eastAsia" w:ascii="仿宋" w:hAnsi="仿宋" w:eastAsia="仿宋" w:cs="仿宋"/>
                <w:color w:val="auto"/>
                <w:sz w:val="21"/>
                <w:highlight w:val="none"/>
              </w:rPr>
            </w:pPr>
          </w:p>
        </w:tc>
        <w:tc>
          <w:tcPr>
            <w:tcW w:w="827" w:type="dxa"/>
            <w:vAlign w:val="center"/>
          </w:tcPr>
          <w:p w14:paraId="48C75D2A">
            <w:pPr>
              <w:pStyle w:val="162"/>
              <w:spacing w:before="78" w:line="220" w:lineRule="auto"/>
              <w:jc w:val="center"/>
              <w:rPr>
                <w:rFonts w:hint="eastAsia" w:ascii="仿宋" w:hAnsi="仿宋" w:eastAsia="仿宋" w:cs="仿宋"/>
                <w:color w:val="auto"/>
                <w:highlight w:val="none"/>
              </w:rPr>
            </w:pPr>
            <w:r>
              <w:rPr>
                <w:rFonts w:hint="eastAsia" w:ascii="仿宋" w:hAnsi="仿宋" w:eastAsia="仿宋" w:cs="仿宋"/>
                <w:color w:val="auto"/>
                <w:spacing w:val="-8"/>
                <w:highlight w:val="none"/>
              </w:rPr>
              <w:t>3</w:t>
            </w:r>
            <w:r>
              <w:rPr>
                <w:rFonts w:hint="eastAsia" w:ascii="仿宋" w:hAnsi="仿宋" w:eastAsia="仿宋" w:cs="仿宋"/>
                <w:color w:val="auto"/>
                <w:spacing w:val="-47"/>
                <w:highlight w:val="none"/>
              </w:rPr>
              <w:t xml:space="preserve"> </w:t>
            </w:r>
            <w:r>
              <w:rPr>
                <w:rFonts w:hint="eastAsia" w:ascii="仿宋" w:hAnsi="仿宋" w:eastAsia="仿宋" w:cs="仿宋"/>
                <w:color w:val="auto"/>
                <w:spacing w:val="-8"/>
                <w:highlight w:val="none"/>
              </w:rPr>
              <w:t>分</w:t>
            </w:r>
          </w:p>
        </w:tc>
        <w:tc>
          <w:tcPr>
            <w:tcW w:w="1221" w:type="dxa"/>
            <w:vAlign w:val="center"/>
          </w:tcPr>
          <w:p w14:paraId="2BF5390A">
            <w:pPr>
              <w:pStyle w:val="162"/>
              <w:spacing w:before="156" w:line="278" w:lineRule="auto"/>
              <w:ind w:left="119" w:right="107" w:hanging="4"/>
              <w:jc w:val="both"/>
              <w:rPr>
                <w:rFonts w:hint="eastAsia" w:ascii="仿宋" w:hAnsi="仿宋" w:eastAsia="仿宋" w:cs="仿宋"/>
                <w:color w:val="auto"/>
                <w:spacing w:val="-5"/>
                <w:highlight w:val="none"/>
                <w:lang w:val="en-US" w:eastAsia="zh-CN"/>
              </w:rPr>
            </w:pPr>
            <w:r>
              <w:rPr>
                <w:rFonts w:hint="eastAsia" w:ascii="仿宋" w:hAnsi="仿宋" w:eastAsia="仿宋" w:cs="仿宋"/>
                <w:color w:val="auto"/>
                <w:spacing w:val="-5"/>
                <w:highlight w:val="none"/>
                <w:lang w:val="en-US" w:eastAsia="zh-CN"/>
              </w:rPr>
              <w:t>病案归档方案</w:t>
            </w:r>
          </w:p>
        </w:tc>
        <w:tc>
          <w:tcPr>
            <w:tcW w:w="6618" w:type="dxa"/>
            <w:vAlign w:val="top"/>
          </w:tcPr>
          <w:p w14:paraId="5E719969">
            <w:pPr>
              <w:pStyle w:val="162"/>
              <w:spacing w:before="90" w:line="252" w:lineRule="auto"/>
              <w:ind w:left="117" w:right="107" w:firstLine="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根据投标人提供的病案档案归档方案进行评审，包括但不限于病案资料的归集、存档和保管等内容</w:t>
            </w:r>
            <w:r>
              <w:rPr>
                <w:rFonts w:hint="eastAsia" w:cs="仿宋"/>
                <w:color w:val="auto"/>
                <w:highlight w:val="none"/>
                <w:lang w:val="en-US" w:eastAsia="zh-CN"/>
              </w:rPr>
              <w:t>，</w:t>
            </w:r>
            <w:r>
              <w:rPr>
                <w:rFonts w:hint="eastAsia" w:cs="仿宋"/>
                <w:color w:val="auto"/>
                <w:spacing w:val="-2"/>
                <w:highlight w:val="none"/>
                <w:lang w:val="en-US" w:eastAsia="zh-CN"/>
              </w:rPr>
              <w:t>满分3分，每有一处缺陷或不足扣0.5分</w:t>
            </w:r>
            <w:r>
              <w:rPr>
                <w:rFonts w:hint="eastAsia" w:cs="仿宋"/>
                <w:color w:val="auto"/>
                <w:highlight w:val="none"/>
                <w:lang w:val="en-US" w:eastAsia="zh-CN"/>
              </w:rPr>
              <w:t>。</w:t>
            </w:r>
          </w:p>
        </w:tc>
      </w:tr>
      <w:tr w14:paraId="24159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29" w:type="dxa"/>
            <w:vMerge w:val="continue"/>
            <w:vAlign w:val="center"/>
          </w:tcPr>
          <w:p w14:paraId="2CD078C7">
            <w:pPr>
              <w:jc w:val="center"/>
              <w:rPr>
                <w:rFonts w:hint="eastAsia" w:ascii="仿宋" w:hAnsi="仿宋" w:eastAsia="仿宋" w:cs="仿宋"/>
                <w:color w:val="auto"/>
                <w:sz w:val="21"/>
                <w:highlight w:val="none"/>
              </w:rPr>
            </w:pPr>
          </w:p>
        </w:tc>
        <w:tc>
          <w:tcPr>
            <w:tcW w:w="827" w:type="dxa"/>
            <w:vAlign w:val="center"/>
          </w:tcPr>
          <w:p w14:paraId="1AFB473F">
            <w:pPr>
              <w:pStyle w:val="162"/>
              <w:spacing w:before="78" w:line="220" w:lineRule="auto"/>
              <w:jc w:val="center"/>
              <w:rPr>
                <w:rFonts w:hint="default" w:ascii="仿宋" w:hAnsi="仿宋" w:eastAsia="仿宋" w:cs="仿宋"/>
                <w:color w:val="auto"/>
                <w:highlight w:val="none"/>
                <w:lang w:val="en-US" w:eastAsia="zh-CN"/>
              </w:rPr>
            </w:pPr>
            <w:r>
              <w:rPr>
                <w:rFonts w:hint="eastAsia" w:cs="仿宋"/>
                <w:color w:val="auto"/>
                <w:highlight w:val="none"/>
                <w:lang w:val="en-US" w:eastAsia="zh-CN"/>
              </w:rPr>
              <w:t>3分</w:t>
            </w:r>
          </w:p>
        </w:tc>
        <w:tc>
          <w:tcPr>
            <w:tcW w:w="1221" w:type="dxa"/>
            <w:vAlign w:val="center"/>
          </w:tcPr>
          <w:p w14:paraId="192FE204">
            <w:pPr>
              <w:pStyle w:val="162"/>
              <w:spacing w:before="78" w:line="219"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保密措施</w:t>
            </w:r>
          </w:p>
        </w:tc>
        <w:tc>
          <w:tcPr>
            <w:tcW w:w="6618" w:type="dxa"/>
            <w:vAlign w:val="top"/>
          </w:tcPr>
          <w:p w14:paraId="3FD8B526">
            <w:pPr>
              <w:pStyle w:val="162"/>
              <w:spacing w:before="90" w:line="252" w:lineRule="auto"/>
              <w:ind w:left="117" w:right="107" w:firstLine="9"/>
              <w:rPr>
                <w:rFonts w:hint="eastAsia" w:ascii="仿宋" w:hAnsi="仿宋" w:eastAsia="仿宋" w:cs="仿宋"/>
                <w:color w:val="auto"/>
                <w:highlight w:val="none"/>
              </w:rPr>
            </w:pPr>
            <w:r>
              <w:rPr>
                <w:rFonts w:hint="eastAsia" w:cs="仿宋"/>
                <w:color w:val="auto"/>
                <w:highlight w:val="none"/>
                <w:lang w:eastAsia="zh-CN"/>
              </w:rPr>
              <w:t>投标人</w:t>
            </w:r>
            <w:r>
              <w:rPr>
                <w:rFonts w:hint="eastAsia" w:ascii="仿宋" w:hAnsi="仿宋" w:eastAsia="仿宋" w:cs="仿宋"/>
                <w:color w:val="auto"/>
                <w:highlight w:val="none"/>
              </w:rPr>
              <w:t>应对服务过程中所获取的信息进行保密，根据</w:t>
            </w:r>
            <w:r>
              <w:rPr>
                <w:rFonts w:hint="eastAsia" w:cs="仿宋"/>
                <w:color w:val="auto"/>
                <w:highlight w:val="none"/>
                <w:lang w:eastAsia="zh-CN"/>
              </w:rPr>
              <w:t>投标人</w:t>
            </w:r>
            <w:r>
              <w:rPr>
                <w:rFonts w:hint="eastAsia" w:ascii="仿宋" w:hAnsi="仿宋" w:eastAsia="仿宋" w:cs="仿宋"/>
                <w:color w:val="auto"/>
                <w:highlight w:val="none"/>
              </w:rPr>
              <w:t>提供的保密措施</w:t>
            </w:r>
            <w:r>
              <w:rPr>
                <w:rFonts w:hint="eastAsia" w:cs="仿宋"/>
                <w:color w:val="auto"/>
                <w:highlight w:val="none"/>
                <w:lang w:val="en-US" w:eastAsia="zh-CN"/>
              </w:rPr>
              <w:t>及保密承诺</w:t>
            </w:r>
            <w:r>
              <w:rPr>
                <w:rFonts w:hint="eastAsia" w:ascii="仿宋" w:hAnsi="仿宋" w:eastAsia="仿宋" w:cs="仿宋"/>
                <w:color w:val="auto"/>
                <w:highlight w:val="none"/>
              </w:rPr>
              <w:t>进行评审</w:t>
            </w:r>
            <w:r>
              <w:rPr>
                <w:rFonts w:hint="eastAsia" w:cs="仿宋"/>
                <w:color w:val="auto"/>
                <w:highlight w:val="none"/>
                <w:lang w:eastAsia="zh-CN"/>
              </w:rPr>
              <w:t>，</w:t>
            </w:r>
            <w:r>
              <w:rPr>
                <w:rFonts w:hint="eastAsia" w:cs="仿宋"/>
                <w:color w:val="auto"/>
                <w:spacing w:val="-2"/>
                <w:highlight w:val="none"/>
                <w:lang w:val="en-US" w:eastAsia="zh-CN"/>
              </w:rPr>
              <w:t>满分3分，每有一处缺陷或不足扣0.5分</w:t>
            </w:r>
            <w:r>
              <w:rPr>
                <w:rFonts w:hint="eastAsia" w:ascii="仿宋" w:hAnsi="仿宋" w:eastAsia="仿宋" w:cs="仿宋"/>
                <w:color w:val="auto"/>
                <w:highlight w:val="none"/>
              </w:rPr>
              <w:t>。</w:t>
            </w:r>
          </w:p>
        </w:tc>
      </w:tr>
      <w:tr w14:paraId="7066F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1129" w:type="dxa"/>
            <w:vMerge w:val="continue"/>
            <w:vAlign w:val="center"/>
          </w:tcPr>
          <w:p w14:paraId="3CA89E7F">
            <w:pPr>
              <w:jc w:val="center"/>
              <w:rPr>
                <w:rFonts w:hint="eastAsia" w:ascii="仿宋" w:hAnsi="仿宋" w:eastAsia="仿宋" w:cs="仿宋"/>
                <w:color w:val="auto"/>
                <w:sz w:val="21"/>
                <w:highlight w:val="none"/>
              </w:rPr>
            </w:pPr>
          </w:p>
        </w:tc>
        <w:tc>
          <w:tcPr>
            <w:tcW w:w="827" w:type="dxa"/>
            <w:vAlign w:val="center"/>
          </w:tcPr>
          <w:p w14:paraId="18093B8E">
            <w:pPr>
              <w:pStyle w:val="162"/>
              <w:spacing w:before="78" w:line="220" w:lineRule="auto"/>
              <w:jc w:val="center"/>
              <w:rPr>
                <w:rFonts w:hint="default" w:ascii="仿宋" w:hAnsi="仿宋" w:eastAsia="仿宋" w:cs="仿宋"/>
                <w:color w:val="auto"/>
                <w:highlight w:val="none"/>
                <w:lang w:val="en-US" w:eastAsia="zh-CN"/>
              </w:rPr>
            </w:pPr>
            <w:r>
              <w:rPr>
                <w:rFonts w:hint="eastAsia" w:cs="仿宋"/>
                <w:color w:val="auto"/>
                <w:highlight w:val="none"/>
                <w:lang w:val="en-US" w:eastAsia="zh-CN"/>
              </w:rPr>
              <w:t>3分</w:t>
            </w:r>
          </w:p>
        </w:tc>
        <w:tc>
          <w:tcPr>
            <w:tcW w:w="1221" w:type="dxa"/>
            <w:vAlign w:val="center"/>
          </w:tcPr>
          <w:p w14:paraId="11D6804D">
            <w:pPr>
              <w:pStyle w:val="162"/>
              <w:spacing w:before="78" w:line="220" w:lineRule="auto"/>
              <w:jc w:val="center"/>
              <w:rPr>
                <w:rFonts w:hint="default" w:ascii="仿宋" w:hAnsi="仿宋" w:eastAsia="仿宋" w:cs="仿宋"/>
                <w:color w:val="auto"/>
                <w:highlight w:val="none"/>
                <w:lang w:val="en-US" w:eastAsia="zh-CN"/>
              </w:rPr>
            </w:pPr>
            <w:r>
              <w:rPr>
                <w:rFonts w:hint="eastAsia" w:cs="仿宋"/>
                <w:color w:val="auto"/>
                <w:highlight w:val="none"/>
                <w:lang w:val="en-US" w:eastAsia="zh-CN"/>
              </w:rPr>
              <w:t>售后服务方案</w:t>
            </w:r>
          </w:p>
        </w:tc>
        <w:tc>
          <w:tcPr>
            <w:tcW w:w="6618" w:type="dxa"/>
            <w:vAlign w:val="top"/>
          </w:tcPr>
          <w:p w14:paraId="17913997">
            <w:pPr>
              <w:pStyle w:val="162"/>
              <w:spacing w:before="37" w:line="273" w:lineRule="auto"/>
              <w:ind w:left="114" w:right="107"/>
              <w:rPr>
                <w:rFonts w:hint="default" w:ascii="仿宋" w:hAnsi="仿宋" w:eastAsia="仿宋" w:cs="仿宋"/>
                <w:color w:val="auto"/>
                <w:spacing w:val="-4"/>
                <w:highlight w:val="none"/>
                <w:lang w:val="en-US" w:eastAsia="zh-CN"/>
              </w:rPr>
            </w:pPr>
            <w:r>
              <w:rPr>
                <w:rFonts w:hint="eastAsia" w:ascii="仿宋" w:hAnsi="仿宋" w:eastAsia="仿宋" w:cs="仿宋"/>
                <w:color w:val="auto"/>
                <w:spacing w:val="-4"/>
                <w:highlight w:val="none"/>
              </w:rPr>
              <w:t>根据投标文件中提供的售后服务方案进行评审，包括，包括售后服务人员的配备、响应时间、响应程度、解决问题的能力等内容</w:t>
            </w:r>
            <w:r>
              <w:rPr>
                <w:rFonts w:hint="eastAsia" w:cs="仿宋"/>
                <w:color w:val="auto"/>
                <w:spacing w:val="-4"/>
                <w:highlight w:val="none"/>
                <w:lang w:eastAsia="zh-CN"/>
              </w:rPr>
              <w:t>，</w:t>
            </w:r>
            <w:r>
              <w:rPr>
                <w:rFonts w:hint="eastAsia" w:cs="仿宋"/>
                <w:color w:val="auto"/>
                <w:spacing w:val="-4"/>
                <w:highlight w:val="none"/>
                <w:lang w:val="en-US" w:eastAsia="zh-CN"/>
              </w:rPr>
              <w:t>售后服务人员配备合理、响应时间完全满足招标文件要求、</w:t>
            </w:r>
            <w:r>
              <w:rPr>
                <w:color w:val="auto"/>
                <w:highlight w:val="none"/>
              </w:rPr>
              <w:t>定期回访方案内容详细</w:t>
            </w:r>
            <w:r>
              <w:rPr>
                <w:rFonts w:hint="eastAsia"/>
                <w:color w:val="auto"/>
                <w:highlight w:val="none"/>
                <w:lang w:val="en-US" w:eastAsia="zh-CN"/>
              </w:rPr>
              <w:t>的得3分，每有一处缺陷或不足扣0.5分。。</w:t>
            </w:r>
          </w:p>
        </w:tc>
      </w:tr>
      <w:tr w14:paraId="363C2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1129" w:type="dxa"/>
            <w:tcBorders>
              <w:top w:val="single" w:color="auto" w:sz="4" w:space="0"/>
              <w:left w:val="single" w:color="auto" w:sz="4" w:space="0"/>
              <w:right w:val="single" w:color="auto" w:sz="4" w:space="0"/>
            </w:tcBorders>
            <w:vAlign w:val="center"/>
          </w:tcPr>
          <w:p w14:paraId="2E674859">
            <w:pPr>
              <w:pStyle w:val="162"/>
              <w:spacing w:before="78" w:line="275" w:lineRule="auto"/>
              <w:ind w:right="131"/>
              <w:jc w:val="center"/>
              <w:rPr>
                <w:rFonts w:hint="eastAsia" w:ascii="仿宋" w:hAnsi="仿宋" w:eastAsia="仿宋" w:cs="仿宋"/>
                <w:color w:val="auto"/>
                <w:spacing w:val="-8"/>
                <w:highlight w:val="none"/>
                <w:lang w:val="en-US" w:eastAsia="zh-CN"/>
              </w:rPr>
            </w:pPr>
            <w:r>
              <w:rPr>
                <w:rFonts w:hint="eastAsia" w:ascii="仿宋" w:hAnsi="仿宋" w:eastAsia="仿宋" w:cs="仿宋"/>
                <w:color w:val="auto"/>
                <w:spacing w:val="-8"/>
                <w:highlight w:val="none"/>
                <w:lang w:val="en-US" w:eastAsia="zh-CN"/>
              </w:rPr>
              <w:t>商务部分</w:t>
            </w:r>
          </w:p>
          <w:p w14:paraId="7A79B8A7">
            <w:pPr>
              <w:pStyle w:val="162"/>
              <w:spacing w:before="78" w:line="275" w:lineRule="auto"/>
              <w:ind w:left="120" w:right="131" w:firstLine="1"/>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8"/>
                <w:highlight w:val="none"/>
                <w:lang w:val="en-US" w:eastAsia="zh-CN"/>
              </w:rPr>
              <w:t>（</w:t>
            </w:r>
            <w:r>
              <w:rPr>
                <w:rFonts w:hint="eastAsia" w:cs="仿宋"/>
                <w:color w:val="auto"/>
                <w:spacing w:val="-8"/>
                <w:highlight w:val="none"/>
                <w:lang w:val="en-US" w:eastAsia="zh-CN"/>
              </w:rPr>
              <w:t>4</w:t>
            </w:r>
            <w:r>
              <w:rPr>
                <w:rFonts w:hint="eastAsia" w:ascii="仿宋" w:hAnsi="仿宋" w:eastAsia="仿宋" w:cs="仿宋"/>
                <w:color w:val="auto"/>
                <w:spacing w:val="-8"/>
                <w:highlight w:val="none"/>
                <w:lang w:val="en-US" w:eastAsia="zh-CN"/>
              </w:rPr>
              <w:t>分）</w:t>
            </w:r>
          </w:p>
        </w:tc>
        <w:tc>
          <w:tcPr>
            <w:tcW w:w="827" w:type="dxa"/>
            <w:tcBorders>
              <w:top w:val="single" w:color="auto" w:sz="4" w:space="0"/>
              <w:left w:val="single" w:color="auto" w:sz="4" w:space="0"/>
              <w:right w:val="single" w:color="auto" w:sz="4" w:space="0"/>
            </w:tcBorders>
            <w:vAlign w:val="center"/>
          </w:tcPr>
          <w:p w14:paraId="71B7F955">
            <w:pPr>
              <w:pStyle w:val="162"/>
              <w:spacing w:before="78" w:line="220" w:lineRule="auto"/>
              <w:jc w:val="center"/>
              <w:rPr>
                <w:rFonts w:hint="eastAsia" w:ascii="仿宋" w:hAnsi="仿宋" w:eastAsia="仿宋" w:cs="仿宋"/>
                <w:color w:val="auto"/>
                <w:highlight w:val="none"/>
              </w:rPr>
            </w:pPr>
            <w:r>
              <w:rPr>
                <w:rFonts w:hint="eastAsia" w:cs="仿宋"/>
                <w:color w:val="auto"/>
                <w:spacing w:val="-6"/>
                <w:highlight w:val="none"/>
                <w:lang w:val="en-US" w:eastAsia="zh-CN"/>
              </w:rPr>
              <w:t>4</w:t>
            </w:r>
            <w:r>
              <w:rPr>
                <w:rFonts w:hint="eastAsia" w:ascii="仿宋" w:hAnsi="仿宋" w:eastAsia="仿宋" w:cs="仿宋"/>
                <w:color w:val="auto"/>
                <w:spacing w:val="-6"/>
                <w:highlight w:val="none"/>
              </w:rPr>
              <w:t>分</w:t>
            </w:r>
          </w:p>
        </w:tc>
        <w:tc>
          <w:tcPr>
            <w:tcW w:w="1221" w:type="dxa"/>
            <w:tcBorders>
              <w:left w:val="single" w:color="auto" w:sz="4" w:space="0"/>
            </w:tcBorders>
            <w:vAlign w:val="center"/>
          </w:tcPr>
          <w:p w14:paraId="36C28382">
            <w:pPr>
              <w:pStyle w:val="162"/>
              <w:spacing w:before="78" w:line="219" w:lineRule="auto"/>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项目业绩</w:t>
            </w:r>
          </w:p>
        </w:tc>
        <w:tc>
          <w:tcPr>
            <w:tcW w:w="6618" w:type="dxa"/>
            <w:tcBorders>
              <w:bottom w:val="single" w:color="auto" w:sz="4" w:space="0"/>
            </w:tcBorders>
            <w:vAlign w:val="center"/>
          </w:tcPr>
          <w:p w14:paraId="467A26A0">
            <w:pPr>
              <w:pStyle w:val="162"/>
              <w:spacing w:before="36" w:line="273" w:lineRule="auto"/>
              <w:ind w:left="115" w:right="107" w:firstLine="2"/>
              <w:jc w:val="left"/>
              <w:rPr>
                <w:rFonts w:hint="eastAsia" w:ascii="仿宋" w:hAnsi="仿宋" w:eastAsia="仿宋" w:cs="仿宋"/>
                <w:color w:val="auto"/>
                <w:highlight w:val="none"/>
              </w:rPr>
            </w:pPr>
            <w:r>
              <w:rPr>
                <w:rFonts w:hint="eastAsia" w:cs="仿宋"/>
                <w:color w:val="auto"/>
                <w:spacing w:val="-6"/>
                <w:highlight w:val="none"/>
                <w:lang w:val="en-US" w:eastAsia="zh-CN"/>
              </w:rPr>
              <w:t>提供</w:t>
            </w:r>
            <w:r>
              <w:rPr>
                <w:rFonts w:hint="eastAsia" w:ascii="仿宋" w:hAnsi="仿宋" w:eastAsia="仿宋" w:cs="仿宋"/>
                <w:color w:val="auto"/>
                <w:spacing w:val="-6"/>
                <w:highlight w:val="none"/>
                <w:lang w:eastAsia="zh-CN"/>
              </w:rPr>
              <w:t>投标人</w:t>
            </w:r>
            <w:r>
              <w:rPr>
                <w:rFonts w:hint="eastAsia" w:ascii="仿宋" w:hAnsi="仿宋" w:eastAsia="仿宋" w:cs="仿宋"/>
                <w:color w:val="auto"/>
                <w:spacing w:val="-6"/>
                <w:highlight w:val="none"/>
              </w:rPr>
              <w:t>自</w:t>
            </w:r>
            <w:r>
              <w:rPr>
                <w:rFonts w:hint="eastAsia" w:ascii="仿宋" w:hAnsi="仿宋" w:eastAsia="仿宋" w:cs="仿宋"/>
                <w:color w:val="auto"/>
                <w:spacing w:val="-48"/>
                <w:highlight w:val="none"/>
              </w:rPr>
              <w:t xml:space="preserve"> </w:t>
            </w:r>
            <w:r>
              <w:rPr>
                <w:rFonts w:hint="eastAsia" w:ascii="仿宋" w:hAnsi="仿宋" w:eastAsia="仿宋" w:cs="仿宋"/>
                <w:color w:val="auto"/>
                <w:spacing w:val="-6"/>
                <w:highlight w:val="none"/>
              </w:rPr>
              <w:t>202</w:t>
            </w:r>
            <w:r>
              <w:rPr>
                <w:rFonts w:hint="eastAsia" w:cs="仿宋"/>
                <w:color w:val="auto"/>
                <w:spacing w:val="-6"/>
                <w:highlight w:val="none"/>
                <w:lang w:val="en-US" w:eastAsia="zh-CN"/>
              </w:rPr>
              <w:t>2</w:t>
            </w:r>
            <w:r>
              <w:rPr>
                <w:rFonts w:hint="eastAsia" w:ascii="仿宋" w:hAnsi="仿宋" w:eastAsia="仿宋" w:cs="仿宋"/>
                <w:color w:val="auto"/>
                <w:spacing w:val="-6"/>
                <w:highlight w:val="none"/>
              </w:rPr>
              <w:t>年</w:t>
            </w:r>
            <w:r>
              <w:rPr>
                <w:rFonts w:hint="eastAsia" w:cs="仿宋"/>
                <w:color w:val="auto"/>
                <w:spacing w:val="-6"/>
                <w:highlight w:val="none"/>
                <w:lang w:eastAsia="zh-CN"/>
              </w:rPr>
              <w:t>3月4日</w:t>
            </w:r>
            <w:r>
              <w:rPr>
                <w:rFonts w:hint="eastAsia" w:ascii="仿宋" w:hAnsi="仿宋" w:eastAsia="仿宋" w:cs="仿宋"/>
                <w:color w:val="auto"/>
                <w:spacing w:val="-6"/>
                <w:highlight w:val="none"/>
              </w:rPr>
              <w:t>（以合同签订时间为准）以来</w:t>
            </w:r>
            <w:r>
              <w:rPr>
                <w:rFonts w:hint="eastAsia" w:cs="仿宋"/>
                <w:color w:val="auto"/>
                <w:spacing w:val="-2"/>
                <w:highlight w:val="none"/>
                <w:lang w:val="en-US" w:eastAsia="zh-CN"/>
              </w:rPr>
              <w:t>同类</w:t>
            </w:r>
            <w:r>
              <w:rPr>
                <w:rFonts w:hint="eastAsia" w:ascii="仿宋" w:hAnsi="仿宋" w:eastAsia="仿宋" w:cs="仿宋"/>
                <w:color w:val="auto"/>
                <w:spacing w:val="-3"/>
                <w:highlight w:val="none"/>
              </w:rPr>
              <w:t>项目业绩，每提供一个得</w:t>
            </w:r>
            <w:r>
              <w:rPr>
                <w:rFonts w:hint="eastAsia" w:ascii="仿宋" w:hAnsi="仿宋" w:eastAsia="仿宋" w:cs="仿宋"/>
                <w:color w:val="auto"/>
                <w:spacing w:val="-41"/>
                <w:highlight w:val="none"/>
              </w:rPr>
              <w:t xml:space="preserve"> </w:t>
            </w:r>
            <w:r>
              <w:rPr>
                <w:rFonts w:hint="eastAsia" w:cs="仿宋"/>
                <w:color w:val="auto"/>
                <w:spacing w:val="-3"/>
                <w:highlight w:val="none"/>
                <w:lang w:val="en-US" w:eastAsia="zh-CN"/>
              </w:rPr>
              <w:t>1</w:t>
            </w:r>
            <w:r>
              <w:rPr>
                <w:rFonts w:hint="eastAsia" w:ascii="仿宋" w:hAnsi="仿宋" w:eastAsia="仿宋" w:cs="仿宋"/>
                <w:color w:val="auto"/>
                <w:spacing w:val="-3"/>
                <w:highlight w:val="none"/>
              </w:rPr>
              <w:t>分，最多得</w:t>
            </w:r>
            <w:r>
              <w:rPr>
                <w:rFonts w:hint="eastAsia" w:cs="仿宋"/>
                <w:color w:val="auto"/>
                <w:spacing w:val="-49"/>
                <w:highlight w:val="none"/>
                <w:lang w:val="en-US" w:eastAsia="zh-CN"/>
              </w:rPr>
              <w:t>4</w:t>
            </w:r>
            <w:r>
              <w:rPr>
                <w:rFonts w:hint="eastAsia" w:ascii="仿宋" w:hAnsi="仿宋" w:eastAsia="仿宋" w:cs="仿宋"/>
                <w:color w:val="auto"/>
                <w:spacing w:val="-48"/>
                <w:highlight w:val="none"/>
              </w:rPr>
              <w:t xml:space="preserve"> </w:t>
            </w:r>
            <w:r>
              <w:rPr>
                <w:rFonts w:hint="eastAsia" w:ascii="仿宋" w:hAnsi="仿宋" w:eastAsia="仿宋" w:cs="仿宋"/>
                <w:color w:val="auto"/>
                <w:spacing w:val="-3"/>
                <w:highlight w:val="none"/>
              </w:rPr>
              <w:t>分。</w:t>
            </w:r>
          </w:p>
          <w:p w14:paraId="726D4641">
            <w:pPr>
              <w:pStyle w:val="162"/>
              <w:spacing w:before="36" w:line="273" w:lineRule="auto"/>
              <w:ind w:left="115" w:right="107" w:firstLine="2"/>
              <w:jc w:val="left"/>
              <w:rPr>
                <w:rFonts w:hint="eastAsia" w:ascii="仿宋" w:hAnsi="仿宋" w:eastAsia="仿宋" w:cs="仿宋"/>
                <w:color w:val="auto"/>
                <w:spacing w:val="-5"/>
                <w:highlight w:val="none"/>
              </w:rPr>
            </w:pPr>
            <w:r>
              <w:rPr>
                <w:rFonts w:hint="eastAsia" w:ascii="仿宋" w:hAnsi="仿宋" w:eastAsia="仿宋" w:cs="仿宋"/>
                <w:color w:val="auto"/>
                <w:spacing w:val="-5"/>
                <w:highlight w:val="none"/>
              </w:rPr>
              <w:t>备注：</w:t>
            </w:r>
            <w:r>
              <w:rPr>
                <w:rFonts w:hint="eastAsia" w:ascii="仿宋" w:hAnsi="仿宋" w:eastAsia="仿宋" w:cs="仿宋"/>
                <w:color w:val="auto"/>
                <w:spacing w:val="-5"/>
                <w:highlight w:val="none"/>
                <w:lang w:eastAsia="zh-CN"/>
              </w:rPr>
              <w:t>投标文件</w:t>
            </w:r>
            <w:r>
              <w:rPr>
                <w:rFonts w:hint="eastAsia" w:ascii="仿宋" w:hAnsi="仿宋" w:eastAsia="仿宋" w:cs="仿宋"/>
                <w:color w:val="auto"/>
                <w:spacing w:val="-5"/>
                <w:highlight w:val="none"/>
              </w:rPr>
              <w:t>中须提供合同复印件包含完整合同，未提</w:t>
            </w:r>
            <w:r>
              <w:rPr>
                <w:rFonts w:hint="eastAsia" w:ascii="仿宋" w:hAnsi="仿宋" w:eastAsia="仿宋" w:cs="仿宋"/>
                <w:color w:val="auto"/>
                <w:spacing w:val="-1"/>
                <w:highlight w:val="none"/>
              </w:rPr>
              <w:t>供或提供不全的不得分。</w:t>
            </w:r>
          </w:p>
        </w:tc>
      </w:tr>
    </w:tbl>
    <w:p w14:paraId="23A97EB7">
      <w:pPr>
        <w:pageBreakBefore w:val="0"/>
        <w:kinsoku/>
        <w:overflowPunct/>
        <w:topLinePunct w:val="0"/>
        <w:bidi w:val="0"/>
        <w:snapToGrid/>
        <w:spacing w:line="360" w:lineRule="auto"/>
        <w:rPr>
          <w:rFonts w:hint="eastAsia" w:ascii="仿宋" w:hAnsi="仿宋" w:eastAsia="仿宋" w:cs="仿宋"/>
          <w:color w:val="auto"/>
          <w:sz w:val="28"/>
          <w:szCs w:val="28"/>
          <w:highlight w:val="none"/>
          <w:lang w:val="en-US" w:eastAsia="zh-CN"/>
        </w:rPr>
      </w:pPr>
    </w:p>
    <w:p w14:paraId="7D55D57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注：在评审过程中，若评审专家评审的技术参数偏离项与投标人投标文件中注明的偏离描述不一致的，评审专家需在投标人对应投标文件正本中予以标注，并说明认定理由。</w:t>
      </w:r>
    </w:p>
    <w:p w14:paraId="7E7285E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价格部分由采购代理机构根据招标文件规定的评分细则直接计算各合格投标人的价格得分；</w:t>
      </w:r>
    </w:p>
    <w:p w14:paraId="4618420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技术部分及服务部分由</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成员各自独立打分，按照招标文件规定的评分细则进行逐项打分，对客观评分项的评分应当一致，对需要借助专业知识评判的主观评分项应当严格按照评分标准公正评分；</w:t>
      </w:r>
    </w:p>
    <w:p w14:paraId="2FF6334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商务部分由</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审核投标人提交相应资料认定评分结果；</w:t>
      </w:r>
    </w:p>
    <w:p w14:paraId="15027AA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评分结束后，技术打分和商务打分资料交采购代理机构汇总、统计，打印出最终结果，由</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应对投标人的报价、商务和技术得分进行最后的复核，并签字确认。</w:t>
      </w:r>
    </w:p>
    <w:p w14:paraId="0BC4B2F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2.2本项目为服务类项目，不适用“节能产品政府采购清单 ”和“环境标志产品 政府采购清单 ”的情形。</w:t>
      </w:r>
    </w:p>
    <w:p w14:paraId="1401F77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2.3给予小型和微型企业价格扣除</w:t>
      </w:r>
    </w:p>
    <w:p w14:paraId="3A54E7A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2.3.1按照《关于印发《政府采购促进中小企业发展管理办法》的通知》（财库〔2020〕46号）（以下简称“办法”）规定，对于未预留份额专门面向中小企业采购的采购项目，以及预留份额项目中的非预留部分采购包，对符合本办法规定的小型和微型企业产品的价格10%的扣除；计算方法是：</w:t>
      </w:r>
    </w:p>
    <w:p w14:paraId="28D936A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最终价格＝响应报价×90%，按照最终价格计算其价格分得分。</w:t>
      </w:r>
    </w:p>
    <w:p w14:paraId="488B215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开标时，投标人须提供《中小企业声明函》原件，并对以上材料的真实性负责，否则不给予价格扣除。</w:t>
      </w:r>
    </w:p>
    <w:p w14:paraId="2877887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2.4给予监狱企业和残疾人福利性单位价格扣除</w:t>
      </w:r>
    </w:p>
    <w:p w14:paraId="76D72E7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2.4.1根据《财政部司法部关于政府采购支持监狱企业发展有关问题的通知》（财库【2014】68 号）文件规定，在政府采购活动中，监狱企业视同小型、微型企业，享受评标中价格扣除的政府采购政策；如投标人为监狱企业，须提供省级以上监狱管理局、戒毒管理局（含新疆生产建设兵团）出具的属于监狱企业的证明文件，否则评标时不予认定；</w:t>
      </w:r>
    </w:p>
    <w:p w14:paraId="3D2CA14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给予监狱企业产品的价格10%的扣除；计算方法是：</w:t>
      </w:r>
    </w:p>
    <w:p w14:paraId="006283D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评审价格＝监狱企业产品的报价*（1-10%），按照评审价格计算其价格分得分。</w:t>
      </w:r>
    </w:p>
    <w:p w14:paraId="16444C3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2.4.2按照《关于促进残疾人就业政府采购政策的通知》财库〔2017〕141号的规定，残疾人福利性单位视同小型、微型企业，享受预留份额、评审中价格扣除等促进中小企业发展的政府采购政策。如投标人符合《关于促进残疾人就业政府采购政策的通知》（财库〔2017〕141号）规定的评审价格扣除情形的，须提供《残疾人福利性单位声明函》，并对声明的真实性负责。《残疾人福利性单位声明函》应附在参与文件中，否则不予认定；</w:t>
      </w:r>
    </w:p>
    <w:p w14:paraId="60692D9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给予符合规定的残疾人福利性企业产品价格10%的扣除，用扣除后的价格参与评审，即评审价格=残疾人福利性企业产品报价*（1-10%）。</w:t>
      </w:r>
    </w:p>
    <w:p w14:paraId="01EBEC1C">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3.确定中标人</w:t>
      </w:r>
    </w:p>
    <w:p w14:paraId="31DCA68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w:t>
      </w:r>
      <w:r>
        <w:rPr>
          <w:rFonts w:hint="eastAsia" w:ascii="仿宋" w:hAnsi="仿宋" w:eastAsia="仿宋" w:cs="仿宋"/>
          <w:color w:val="auto"/>
          <w:sz w:val="24"/>
          <w:szCs w:val="24"/>
          <w:highlight w:val="none"/>
          <w:lang w:eastAsia="zh-CN"/>
        </w:rPr>
        <w:t>标</w:t>
      </w:r>
      <w:r>
        <w:rPr>
          <w:rFonts w:hint="eastAsia" w:ascii="仿宋" w:hAnsi="仿宋" w:eastAsia="仿宋" w:cs="仿宋"/>
          <w:color w:val="auto"/>
          <w:sz w:val="24"/>
          <w:szCs w:val="24"/>
          <w:highlight w:val="none"/>
        </w:rPr>
        <w:t>委员会根据招标文件确定的评审办法，按照评审后综合得分由高到低排序</w:t>
      </w:r>
      <w:r>
        <w:rPr>
          <w:rFonts w:hint="eastAsia" w:ascii="仿宋" w:hAnsi="仿宋" w:eastAsia="仿宋" w:cs="仿宋"/>
          <w:color w:val="auto"/>
          <w:sz w:val="24"/>
          <w:szCs w:val="24"/>
          <w:highlight w:val="none"/>
          <w:lang w:eastAsia="zh-CN"/>
        </w:rPr>
        <w:t>。综合</w:t>
      </w:r>
      <w:r>
        <w:rPr>
          <w:rFonts w:hint="eastAsia" w:ascii="仿宋" w:hAnsi="仿宋" w:eastAsia="仿宋" w:cs="仿宋"/>
          <w:color w:val="auto"/>
          <w:sz w:val="24"/>
          <w:szCs w:val="24"/>
          <w:highlight w:val="none"/>
        </w:rPr>
        <w:t>得分相同的，按投标报价由低到高顺序排列。得分且投标报价相同的，按技术部分得分、服务部分、商务部分得分的先后次序依次进行由高到低的排列，最终确定排名。</w:t>
      </w:r>
      <w:r>
        <w:rPr>
          <w:rFonts w:hint="eastAsia" w:ascii="仿宋" w:hAnsi="仿宋" w:eastAsia="仿宋" w:cs="仿宋"/>
          <w:color w:val="auto"/>
          <w:sz w:val="24"/>
          <w:szCs w:val="24"/>
          <w:highlight w:val="none"/>
          <w:lang w:eastAsia="zh-CN"/>
        </w:rPr>
        <w:t>评标委员会推荐3名</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lang w:eastAsia="zh-CN"/>
        </w:rPr>
        <w:t>候选人，由采购人依法确定</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lang w:eastAsia="zh-CN"/>
        </w:rPr>
        <w:t>。</w:t>
      </w:r>
    </w:p>
    <w:p w14:paraId="5BB5D567">
      <w:pPr>
        <w:pageBreakBefore w:val="0"/>
        <w:kinsoku/>
        <w:overflowPunct/>
        <w:topLinePunct w:val="0"/>
        <w:bidi w:val="0"/>
        <w:snapToGrid/>
        <w:spacing w:line="360" w:lineRule="auto"/>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4．评审过程保密</w:t>
      </w:r>
    </w:p>
    <w:p w14:paraId="79DF323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不得向他人透漏对各投标人投标文件的评审和比较、中标候选投标人的推荐情况以及评审有关的其他情况。</w:t>
      </w:r>
    </w:p>
    <w:p w14:paraId="13F9E8AF">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05" w:name="_Toc4328"/>
      <w:bookmarkStart w:id="206" w:name="_Toc12613"/>
      <w:bookmarkStart w:id="207" w:name="_Toc3404"/>
      <w:bookmarkStart w:id="208" w:name="_Toc332979559"/>
      <w:r>
        <w:rPr>
          <w:rFonts w:hint="eastAsia" w:ascii="仿宋" w:hAnsi="仿宋" w:eastAsia="仿宋" w:cs="仿宋"/>
          <w:color w:val="auto"/>
          <w:sz w:val="24"/>
          <w:szCs w:val="24"/>
          <w:highlight w:val="none"/>
        </w:rPr>
        <w:t>五、废标</w:t>
      </w:r>
      <w:bookmarkEnd w:id="205"/>
      <w:bookmarkEnd w:id="206"/>
      <w:bookmarkEnd w:id="207"/>
      <w:bookmarkEnd w:id="208"/>
    </w:p>
    <w:p w14:paraId="064E66F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出现下列情形之一的，应予废标：</w:t>
      </w:r>
    </w:p>
    <w:p w14:paraId="47E33BFE">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（一）在投标截止时间后参加投标的</w:t>
      </w:r>
      <w:r>
        <w:rPr>
          <w:rStyle w:val="62"/>
          <w:rFonts w:hint="eastAsia" w:ascii="仿宋" w:hAnsi="仿宋" w:eastAsia="仿宋" w:cs="仿宋"/>
          <w:color w:val="auto"/>
          <w:sz w:val="24"/>
          <w:szCs w:val="24"/>
          <w:highlight w:val="none"/>
          <w:lang w:val="en-US" w:eastAsia="zh-CN"/>
        </w:rPr>
        <w:t>供应商少于3</w:t>
      </w:r>
      <w:r>
        <w:rPr>
          <w:rStyle w:val="62"/>
          <w:rFonts w:hint="eastAsia" w:ascii="仿宋" w:hAnsi="仿宋" w:eastAsia="仿宋" w:cs="仿宋"/>
          <w:color w:val="auto"/>
          <w:sz w:val="24"/>
          <w:szCs w:val="24"/>
          <w:highlight w:val="none"/>
        </w:rPr>
        <w:t>家</w:t>
      </w:r>
      <w:r>
        <w:rPr>
          <w:rStyle w:val="62"/>
          <w:rFonts w:hint="eastAsia" w:ascii="仿宋" w:hAnsi="仿宋" w:eastAsia="仿宋" w:cs="仿宋"/>
          <w:color w:val="auto"/>
          <w:sz w:val="24"/>
          <w:szCs w:val="24"/>
          <w:highlight w:val="none"/>
          <w:lang w:val="en-US" w:eastAsia="zh-CN"/>
        </w:rPr>
        <w:t>的</w:t>
      </w:r>
      <w:r>
        <w:rPr>
          <w:rStyle w:val="62"/>
          <w:rFonts w:hint="eastAsia" w:ascii="仿宋" w:hAnsi="仿宋" w:eastAsia="仿宋" w:cs="仿宋"/>
          <w:color w:val="auto"/>
          <w:sz w:val="24"/>
          <w:szCs w:val="24"/>
          <w:highlight w:val="none"/>
        </w:rPr>
        <w:t>；</w:t>
      </w:r>
    </w:p>
    <w:p w14:paraId="1237FDD3">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（二）出现影响采购公正的违法违规行为的；</w:t>
      </w:r>
    </w:p>
    <w:p w14:paraId="0F5D8F9E">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（三）投标人的报价均超过预算金额或者最高限价的；</w:t>
      </w:r>
    </w:p>
    <w:p w14:paraId="015E3303">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（四）因重大变故，采购任务取消的；</w:t>
      </w:r>
    </w:p>
    <w:p w14:paraId="69BA3C7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（五）法律、法规以及招标文件规定的其他废标情形。</w:t>
      </w:r>
    </w:p>
    <w:p w14:paraId="1AE4F11A">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09" w:name="_Toc332979560"/>
      <w:bookmarkStart w:id="210" w:name="_Toc325620719"/>
      <w:bookmarkStart w:id="211" w:name="_Toc24794"/>
      <w:bookmarkStart w:id="212" w:name="_Toc10557"/>
      <w:bookmarkStart w:id="213" w:name="_Toc206"/>
      <w:r>
        <w:rPr>
          <w:rFonts w:hint="eastAsia" w:ascii="仿宋" w:hAnsi="仿宋" w:eastAsia="仿宋" w:cs="仿宋"/>
          <w:color w:val="auto"/>
          <w:sz w:val="24"/>
          <w:szCs w:val="24"/>
          <w:highlight w:val="none"/>
        </w:rPr>
        <w:t>六、中标通知书</w:t>
      </w:r>
      <w:bookmarkEnd w:id="209"/>
      <w:bookmarkEnd w:id="210"/>
      <w:bookmarkEnd w:id="211"/>
      <w:bookmarkEnd w:id="212"/>
      <w:bookmarkEnd w:id="213"/>
    </w:p>
    <w:p w14:paraId="6150070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评审结束后，由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委托采购代理机构向中标人签发《中标通知书》。</w:t>
      </w:r>
    </w:p>
    <w:p w14:paraId="2A62A9CA">
      <w:pPr>
        <w:rPr>
          <w:rFonts w:hint="eastAsia" w:ascii="仿宋" w:hAnsi="仿宋" w:eastAsia="仿宋" w:cs="仿宋"/>
          <w:color w:val="auto"/>
          <w:sz w:val="28"/>
          <w:szCs w:val="28"/>
          <w:highlight w:val="none"/>
        </w:rPr>
      </w:pPr>
      <w:bookmarkStart w:id="214" w:name="_Toc7131"/>
      <w:bookmarkStart w:id="215" w:name="_Toc29849"/>
      <w:r>
        <w:rPr>
          <w:rFonts w:hint="eastAsia" w:ascii="仿宋" w:hAnsi="仿宋" w:eastAsia="仿宋" w:cs="仿宋"/>
          <w:color w:val="auto"/>
          <w:sz w:val="28"/>
          <w:szCs w:val="28"/>
          <w:highlight w:val="none"/>
        </w:rPr>
        <w:br w:type="page"/>
      </w:r>
    </w:p>
    <w:p w14:paraId="54167D46">
      <w:pPr>
        <w:pStyle w:val="2"/>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bookmarkStart w:id="216" w:name="_Toc24468"/>
      <w:r>
        <w:rPr>
          <w:rFonts w:hint="eastAsia" w:ascii="仿宋" w:hAnsi="仿宋" w:eastAsia="仿宋" w:cs="仿宋"/>
          <w:color w:val="auto"/>
          <w:sz w:val="28"/>
          <w:szCs w:val="28"/>
          <w:highlight w:val="none"/>
        </w:rPr>
        <w:t>第四部分 授予合同</w:t>
      </w:r>
      <w:bookmarkEnd w:id="181"/>
      <w:bookmarkEnd w:id="182"/>
      <w:bookmarkEnd w:id="183"/>
      <w:bookmarkEnd w:id="184"/>
      <w:bookmarkEnd w:id="185"/>
      <w:bookmarkEnd w:id="186"/>
      <w:bookmarkEnd w:id="214"/>
      <w:bookmarkEnd w:id="215"/>
      <w:bookmarkEnd w:id="216"/>
    </w:p>
    <w:p w14:paraId="0135FDFD">
      <w:pPr>
        <w:pStyle w:val="3"/>
        <w:pageBreakBefore w:val="0"/>
        <w:kinsoku/>
        <w:overflowPunct/>
        <w:topLinePunct w:val="0"/>
        <w:bidi w:val="0"/>
        <w:snapToGrid/>
        <w:spacing w:line="360" w:lineRule="auto"/>
        <w:rPr>
          <w:rStyle w:val="62"/>
          <w:rFonts w:hint="eastAsia" w:ascii="仿宋" w:hAnsi="仿宋" w:eastAsia="仿宋" w:cs="仿宋"/>
          <w:b/>
          <w:bCs w:val="0"/>
          <w:color w:val="auto"/>
          <w:sz w:val="24"/>
          <w:szCs w:val="24"/>
          <w:highlight w:val="none"/>
          <w:lang w:val="en-US" w:eastAsia="zh-CN" w:bidi="ar-SA"/>
        </w:rPr>
      </w:pPr>
      <w:bookmarkStart w:id="217" w:name="_Toc19110"/>
      <w:bookmarkStart w:id="218" w:name="_Toc356490386"/>
      <w:bookmarkStart w:id="219" w:name="_Toc356491325"/>
      <w:bookmarkStart w:id="220" w:name="_Toc325620721"/>
      <w:bookmarkStart w:id="221" w:name="_Toc8163"/>
      <w:bookmarkStart w:id="222" w:name="_Toc4152"/>
      <w:r>
        <w:rPr>
          <w:rStyle w:val="62"/>
          <w:rFonts w:hint="eastAsia" w:ascii="仿宋" w:hAnsi="仿宋" w:eastAsia="仿宋" w:cs="仿宋"/>
          <w:b/>
          <w:bCs w:val="0"/>
          <w:color w:val="auto"/>
          <w:sz w:val="24"/>
          <w:szCs w:val="24"/>
          <w:highlight w:val="none"/>
          <w:lang w:val="en-US" w:eastAsia="zh-CN" w:bidi="ar-SA"/>
        </w:rPr>
        <w:t>一、签订合同</w:t>
      </w:r>
      <w:bookmarkEnd w:id="217"/>
      <w:bookmarkEnd w:id="218"/>
      <w:bookmarkEnd w:id="219"/>
      <w:bookmarkEnd w:id="220"/>
      <w:bookmarkEnd w:id="221"/>
      <w:bookmarkEnd w:id="222"/>
    </w:p>
    <w:p w14:paraId="080656A9">
      <w:pPr>
        <w:pageBreakBefore w:val="0"/>
        <w:kinsoku/>
        <w:overflowPunct/>
        <w:topLinePunct w:val="0"/>
        <w:bidi w:val="0"/>
        <w:snapToGrid/>
        <w:spacing w:line="360" w:lineRule="auto"/>
        <w:ind w:firstLine="480" w:firstLineChars="200"/>
        <w:outlineLvl w:val="9"/>
        <w:rPr>
          <w:rStyle w:val="62"/>
          <w:rFonts w:hint="eastAsia" w:ascii="仿宋" w:hAnsi="仿宋" w:eastAsia="仿宋" w:cs="仿宋"/>
          <w:b w:val="0"/>
          <w:bCs/>
          <w:color w:val="auto"/>
          <w:sz w:val="24"/>
          <w:szCs w:val="24"/>
          <w:highlight w:val="none"/>
          <w:lang w:val="en-US" w:eastAsia="zh-CN" w:bidi="ar-SA"/>
        </w:rPr>
      </w:pPr>
      <w:bookmarkStart w:id="223" w:name="_Toc88"/>
      <w:bookmarkStart w:id="224" w:name="_Toc32207"/>
      <w:bookmarkStart w:id="225" w:name="_Toc7493"/>
      <w:bookmarkStart w:id="226" w:name="_Toc19586"/>
      <w:bookmarkStart w:id="227" w:name="_Toc25947"/>
      <w:bookmarkStart w:id="228" w:name="_Toc3313"/>
      <w:r>
        <w:rPr>
          <w:rStyle w:val="62"/>
          <w:rFonts w:hint="eastAsia" w:ascii="仿宋" w:hAnsi="仿宋" w:eastAsia="仿宋" w:cs="仿宋"/>
          <w:b w:val="0"/>
          <w:bCs/>
          <w:color w:val="auto"/>
          <w:sz w:val="24"/>
          <w:szCs w:val="24"/>
          <w:highlight w:val="none"/>
          <w:lang w:val="en-US" w:eastAsia="zh-CN" w:bidi="ar-SA"/>
        </w:rPr>
        <w:t>《中标通知书》发出后30日内，按照招标文件确定的事项签订合同。合同签订的内容不能超出招标文件的实质性内容。</w:t>
      </w:r>
      <w:bookmarkEnd w:id="223"/>
      <w:bookmarkEnd w:id="224"/>
      <w:bookmarkEnd w:id="225"/>
      <w:bookmarkEnd w:id="226"/>
      <w:bookmarkEnd w:id="227"/>
      <w:bookmarkEnd w:id="228"/>
    </w:p>
    <w:p w14:paraId="2A5030D8">
      <w:pPr>
        <w:pStyle w:val="3"/>
        <w:pageBreakBefore w:val="0"/>
        <w:numPr>
          <w:ilvl w:val="0"/>
          <w:numId w:val="0"/>
        </w:numPr>
        <w:kinsoku/>
        <w:overflowPunct/>
        <w:topLinePunct w:val="0"/>
        <w:bidi w:val="0"/>
        <w:snapToGrid/>
        <w:spacing w:line="360" w:lineRule="auto"/>
        <w:rPr>
          <w:rFonts w:hint="default" w:ascii="仿宋" w:hAnsi="仿宋" w:eastAsia="仿宋" w:cs="仿宋"/>
          <w:color w:val="auto"/>
          <w:sz w:val="24"/>
          <w:szCs w:val="24"/>
          <w:highlight w:val="none"/>
          <w:lang w:val="en-US" w:eastAsia="zh-CN"/>
        </w:rPr>
      </w:pPr>
      <w:bookmarkStart w:id="229" w:name="_Toc31455"/>
      <w:bookmarkStart w:id="230" w:name="_Toc356490387"/>
      <w:bookmarkStart w:id="231" w:name="_Toc325620722"/>
      <w:bookmarkStart w:id="232" w:name="_Toc29321"/>
      <w:bookmarkStart w:id="233" w:name="_Toc27885"/>
      <w:bookmarkStart w:id="234" w:name="_Toc356491326"/>
      <w:r>
        <w:rPr>
          <w:rFonts w:hint="eastAsia" w:ascii="仿宋" w:hAnsi="仿宋" w:eastAsia="仿宋" w:cs="仿宋"/>
          <w:b/>
          <w:bCs/>
          <w:color w:val="auto"/>
          <w:kern w:val="0"/>
          <w:sz w:val="24"/>
          <w:szCs w:val="24"/>
          <w:highlight w:val="none"/>
          <w:lang w:val="en-US" w:eastAsia="zh-CN" w:bidi="ar-SA"/>
        </w:rPr>
        <w:t>二、</w:t>
      </w:r>
      <w:r>
        <w:rPr>
          <w:rFonts w:hint="eastAsia" w:ascii="仿宋" w:hAnsi="仿宋" w:eastAsia="仿宋" w:cs="仿宋"/>
          <w:color w:val="auto"/>
          <w:sz w:val="24"/>
          <w:szCs w:val="24"/>
          <w:highlight w:val="none"/>
        </w:rPr>
        <w:t>合同格式</w:t>
      </w:r>
      <w:bookmarkEnd w:id="229"/>
      <w:bookmarkEnd w:id="230"/>
      <w:bookmarkEnd w:id="231"/>
      <w:bookmarkEnd w:id="232"/>
      <w:bookmarkEnd w:id="233"/>
      <w:bookmarkEnd w:id="234"/>
      <w:r>
        <w:rPr>
          <w:rFonts w:hint="eastAsia" w:ascii="仿宋" w:hAnsi="仿宋" w:eastAsia="仿宋" w:cs="仿宋"/>
          <w:color w:val="auto"/>
          <w:sz w:val="24"/>
          <w:szCs w:val="24"/>
          <w:highlight w:val="none"/>
          <w:lang w:val="en-US" w:eastAsia="zh-CN"/>
        </w:rPr>
        <w:t>与内容</w:t>
      </w:r>
    </w:p>
    <w:p w14:paraId="0735FA78">
      <w:pPr>
        <w:numPr>
          <w:ilvl w:val="0"/>
          <w:numId w:val="0"/>
        </w:numPr>
        <w:rPr>
          <w:rFonts w:hint="eastAsia" w:ascii="仿宋" w:hAnsi="仿宋" w:eastAsia="仿宋" w:cs="仿宋"/>
          <w:color w:val="auto"/>
          <w:highlight w:val="none"/>
        </w:rPr>
      </w:pPr>
    </w:p>
    <w:p w14:paraId="2B28F255">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719E8259">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41BBEDDC">
      <w:pPr>
        <w:jc w:val="center"/>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山东大学第二医院历史病案扫描数字化加工服务项目服务合同书</w:t>
      </w:r>
    </w:p>
    <w:p w14:paraId="6BD1C044">
      <w:pPr>
        <w:jc w:val="center"/>
        <w:rPr>
          <w:rFonts w:hint="eastAsia" w:ascii="仿宋" w:hAnsi="仿宋" w:eastAsia="仿宋" w:cs="仿宋"/>
          <w:b/>
          <w:bCs w:val="0"/>
          <w:color w:val="auto"/>
          <w:sz w:val="28"/>
          <w:szCs w:val="28"/>
          <w:highlight w:val="none"/>
          <w:lang w:val="en-US" w:eastAsia="zh-CN"/>
        </w:rPr>
      </w:pPr>
    </w:p>
    <w:p w14:paraId="26F31B0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甲方：山东大学第二医院  </w:t>
      </w:r>
    </w:p>
    <w:p w14:paraId="7A6DE07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地址：济南市天桥区北园路 247 号  </w:t>
      </w:r>
    </w:p>
    <w:p w14:paraId="55A227E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p w14:paraId="6A4B400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w:t>
      </w:r>
    </w:p>
    <w:p w14:paraId="072B620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乙方账号：</w:t>
      </w:r>
    </w:p>
    <w:p w14:paraId="7E59C19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73191D2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甲方委托乙方为其完成纸质历史病案扫描数字化加工服务，为确保双方权利义务实现，根据《中华人民共和国民法典》等相关法律、法规的规定，经甲乙双方充分协商，特订立此合同，以共同遵守。</w:t>
      </w:r>
    </w:p>
    <w:p w14:paraId="6BDEE93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一、服务项目及价格</w:t>
      </w:r>
    </w:p>
    <w:p w14:paraId="55D6050D">
      <w:pPr>
        <w:spacing w:line="22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3"/>
          <w:sz w:val="24"/>
          <w:szCs w:val="24"/>
          <w:highlight w:val="none"/>
        </w:rPr>
        <w:t>1.扫描加工服务费</w:t>
      </w:r>
      <w:r>
        <w:rPr>
          <w:rFonts w:hint="eastAsia" w:ascii="仿宋" w:hAnsi="仿宋" w:eastAsia="仿宋" w:cs="仿宋"/>
          <w:color w:val="auto"/>
          <w:spacing w:val="-3"/>
          <w:sz w:val="24"/>
          <w:szCs w:val="24"/>
          <w:highlight w:val="none"/>
          <w:lang w:val="en-US" w:eastAsia="zh-CN"/>
        </w:rPr>
        <w:t>及服务要求</w:t>
      </w:r>
    </w:p>
    <w:p w14:paraId="3C233D74">
      <w:pPr>
        <w:spacing w:before="182" w:line="220" w:lineRule="auto"/>
        <w:ind w:left="12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1"/>
          <w:sz w:val="24"/>
          <w:szCs w:val="24"/>
          <w:highlight w:val="none"/>
        </w:rPr>
        <w:t>合同金额约</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46"/>
          <w:sz w:val="24"/>
          <w:szCs w:val="24"/>
          <w:highlight w:val="none"/>
          <w:lang w:val="en-US" w:eastAsia="zh-CN"/>
        </w:rPr>
        <w:t xml:space="preserve">           </w:t>
      </w:r>
      <w:r>
        <w:rPr>
          <w:rFonts w:hint="eastAsia" w:ascii="仿宋" w:hAnsi="仿宋" w:eastAsia="仿宋" w:cs="仿宋"/>
          <w:color w:val="auto"/>
          <w:spacing w:val="-1"/>
          <w:sz w:val="24"/>
          <w:szCs w:val="24"/>
          <w:highlight w:val="none"/>
        </w:rPr>
        <w:t>元，大写：</w:t>
      </w:r>
      <w:r>
        <w:rPr>
          <w:rFonts w:hint="eastAsia" w:ascii="仿宋" w:hAnsi="仿宋" w:eastAsia="仿宋" w:cs="仿宋"/>
          <w:color w:val="auto"/>
          <w:spacing w:val="-1"/>
          <w:sz w:val="24"/>
          <w:szCs w:val="24"/>
          <w:highlight w:val="none"/>
          <w:lang w:val="en-US" w:eastAsia="zh-CN"/>
        </w:rPr>
        <w:t xml:space="preserve">  </w:t>
      </w:r>
    </w:p>
    <w:p w14:paraId="4FC54779">
      <w:pPr>
        <w:spacing w:line="145" w:lineRule="exact"/>
        <w:rPr>
          <w:rFonts w:hint="eastAsia" w:ascii="仿宋" w:hAnsi="仿宋" w:eastAsia="仿宋" w:cs="仿宋"/>
          <w:color w:val="auto"/>
          <w:sz w:val="24"/>
          <w:szCs w:val="24"/>
          <w:highlight w:val="none"/>
        </w:rPr>
      </w:pPr>
    </w:p>
    <w:tbl>
      <w:tblPr>
        <w:tblStyle w:val="163"/>
        <w:tblW w:w="82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3"/>
        <w:gridCol w:w="1647"/>
        <w:gridCol w:w="1345"/>
        <w:gridCol w:w="3080"/>
      </w:tblGrid>
      <w:tr w14:paraId="420A4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133" w:type="dxa"/>
            <w:shd w:val="clear" w:color="auto" w:fill="BFBFBF"/>
            <w:noWrap w:val="0"/>
            <w:vAlign w:val="top"/>
          </w:tcPr>
          <w:p w14:paraId="0C008C9C">
            <w:pPr>
              <w:pStyle w:val="162"/>
              <w:spacing w:before="39" w:line="213" w:lineRule="auto"/>
              <w:ind w:left="82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26"/>
                <w:sz w:val="24"/>
                <w:szCs w:val="24"/>
                <w:highlight w:val="none"/>
              </w:rPr>
              <w:t>项目</w:t>
            </w:r>
          </w:p>
        </w:tc>
        <w:tc>
          <w:tcPr>
            <w:tcW w:w="1647" w:type="dxa"/>
            <w:shd w:val="clear" w:color="auto" w:fill="BFBFBF"/>
            <w:noWrap w:val="0"/>
            <w:vAlign w:val="top"/>
          </w:tcPr>
          <w:p w14:paraId="2727E6DF">
            <w:pPr>
              <w:pStyle w:val="162"/>
              <w:spacing w:before="39" w:line="211" w:lineRule="auto"/>
              <w:ind w:left="579"/>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27"/>
                <w:sz w:val="24"/>
                <w:szCs w:val="24"/>
                <w:highlight w:val="none"/>
              </w:rPr>
              <w:t>单价</w:t>
            </w:r>
          </w:p>
        </w:tc>
        <w:tc>
          <w:tcPr>
            <w:tcW w:w="1345" w:type="dxa"/>
            <w:shd w:val="clear" w:color="auto" w:fill="BFBFBF"/>
            <w:noWrap w:val="0"/>
            <w:vAlign w:val="top"/>
          </w:tcPr>
          <w:p w14:paraId="5FFF9D5C">
            <w:pPr>
              <w:pStyle w:val="162"/>
              <w:spacing w:before="38" w:line="213" w:lineRule="auto"/>
              <w:ind w:left="346"/>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27"/>
                <w:sz w:val="24"/>
                <w:szCs w:val="24"/>
                <w:highlight w:val="none"/>
              </w:rPr>
              <w:t>数量</w:t>
            </w:r>
          </w:p>
        </w:tc>
        <w:tc>
          <w:tcPr>
            <w:tcW w:w="3080" w:type="dxa"/>
            <w:shd w:val="clear" w:color="auto" w:fill="BFBFBF"/>
            <w:noWrap w:val="0"/>
            <w:vAlign w:val="top"/>
          </w:tcPr>
          <w:p w14:paraId="593164EC">
            <w:pPr>
              <w:pStyle w:val="162"/>
              <w:spacing w:before="38" w:line="214" w:lineRule="auto"/>
              <w:ind w:left="1296"/>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27"/>
                <w:sz w:val="24"/>
                <w:szCs w:val="24"/>
                <w:highlight w:val="none"/>
              </w:rPr>
              <w:t>备注</w:t>
            </w:r>
          </w:p>
        </w:tc>
      </w:tr>
      <w:tr w14:paraId="646F1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3" w:hRule="atLeast"/>
        </w:trPr>
        <w:tc>
          <w:tcPr>
            <w:tcW w:w="2133" w:type="dxa"/>
            <w:noWrap w:val="0"/>
            <w:vAlign w:val="top"/>
          </w:tcPr>
          <w:p w14:paraId="6E7E930A">
            <w:pPr>
              <w:pStyle w:val="162"/>
              <w:spacing w:before="35" w:line="233" w:lineRule="auto"/>
              <w:ind w:left="119" w:right="106" w:firstLine="2"/>
              <w:jc w:val="both"/>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历史病案数字化加工服务</w:t>
            </w:r>
          </w:p>
        </w:tc>
        <w:tc>
          <w:tcPr>
            <w:tcW w:w="1647" w:type="dxa"/>
            <w:noWrap w:val="0"/>
            <w:vAlign w:val="top"/>
          </w:tcPr>
          <w:p w14:paraId="53D3E12F">
            <w:pPr>
              <w:pStyle w:val="162"/>
              <w:spacing w:before="36" w:line="441" w:lineRule="exact"/>
              <w:ind w:left="11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3"/>
                <w:position w:val="14"/>
                <w:sz w:val="24"/>
                <w:szCs w:val="24"/>
                <w:highlight w:val="none"/>
              </w:rPr>
              <w:t>扫描加工</w:t>
            </w:r>
            <w:r>
              <w:rPr>
                <w:rFonts w:hint="eastAsia" w:ascii="仿宋" w:hAnsi="仿宋" w:eastAsia="仿宋" w:cs="仿宋"/>
                <w:color w:val="auto"/>
                <w:spacing w:val="-63"/>
                <w:position w:val="14"/>
                <w:sz w:val="24"/>
                <w:szCs w:val="24"/>
                <w:highlight w:val="none"/>
              </w:rPr>
              <w:t xml:space="preserve"> </w:t>
            </w:r>
            <w:r>
              <w:rPr>
                <w:rFonts w:hint="eastAsia" w:ascii="仿宋" w:hAnsi="仿宋" w:eastAsia="仿宋" w:cs="仿宋"/>
                <w:color w:val="auto"/>
                <w:spacing w:val="-63"/>
                <w:position w:val="14"/>
                <w:sz w:val="24"/>
                <w:szCs w:val="24"/>
                <w:highlight w:val="none"/>
                <w:lang w:val="en-US" w:eastAsia="zh-CN"/>
              </w:rPr>
              <w:t xml:space="preserve"> </w:t>
            </w:r>
          </w:p>
          <w:p w14:paraId="65C161CC">
            <w:pPr>
              <w:pStyle w:val="162"/>
              <w:spacing w:line="341" w:lineRule="exact"/>
              <w:ind w:left="595"/>
              <w:rPr>
                <w:rFonts w:hint="eastAsia" w:ascii="仿宋" w:hAnsi="仿宋" w:eastAsia="仿宋" w:cs="仿宋"/>
                <w:color w:val="auto"/>
                <w:sz w:val="24"/>
                <w:szCs w:val="24"/>
                <w:highlight w:val="none"/>
              </w:rPr>
            </w:pPr>
            <w:r>
              <w:rPr>
                <w:rFonts w:hint="eastAsia" w:ascii="仿宋" w:hAnsi="仿宋" w:eastAsia="仿宋" w:cs="仿宋"/>
                <w:color w:val="auto"/>
                <w:spacing w:val="-4"/>
                <w:position w:val="2"/>
                <w:sz w:val="24"/>
                <w:szCs w:val="24"/>
                <w:highlight w:val="none"/>
              </w:rPr>
              <w:t>元/页</w:t>
            </w:r>
          </w:p>
        </w:tc>
        <w:tc>
          <w:tcPr>
            <w:tcW w:w="1345" w:type="dxa"/>
            <w:noWrap w:val="0"/>
            <w:vAlign w:val="top"/>
          </w:tcPr>
          <w:p w14:paraId="43D8BF43">
            <w:pPr>
              <w:pStyle w:val="162"/>
              <w:spacing w:before="32" w:line="228" w:lineRule="auto"/>
              <w:ind w:left="113"/>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据实结算</w:t>
            </w:r>
          </w:p>
        </w:tc>
        <w:tc>
          <w:tcPr>
            <w:tcW w:w="3080" w:type="dxa"/>
            <w:noWrap w:val="0"/>
            <w:vAlign w:val="top"/>
          </w:tcPr>
          <w:p w14:paraId="3AE89776">
            <w:pPr>
              <w:pStyle w:val="162"/>
              <w:spacing w:before="36" w:line="466" w:lineRule="exact"/>
              <w:ind w:left="116"/>
              <w:rPr>
                <w:rFonts w:hint="eastAsia" w:ascii="仿宋" w:hAnsi="仿宋" w:eastAsia="仿宋" w:cs="仿宋"/>
                <w:color w:val="auto"/>
                <w:sz w:val="24"/>
                <w:szCs w:val="24"/>
                <w:highlight w:val="none"/>
              </w:rPr>
            </w:pPr>
            <w:r>
              <w:rPr>
                <w:rFonts w:hint="eastAsia" w:ascii="仿宋" w:hAnsi="仿宋" w:eastAsia="仿宋" w:cs="仿宋"/>
                <w:color w:val="auto"/>
                <w:spacing w:val="-2"/>
                <w:position w:val="17"/>
                <w:sz w:val="24"/>
                <w:szCs w:val="24"/>
                <w:highlight w:val="none"/>
              </w:rPr>
              <w:t>根据实际扫描页数</w:t>
            </w:r>
          </w:p>
          <w:p w14:paraId="0AC4512A">
            <w:pPr>
              <w:pStyle w:val="162"/>
              <w:spacing w:line="218" w:lineRule="auto"/>
              <w:ind w:left="11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依照单页价格计算</w:t>
            </w:r>
          </w:p>
          <w:p w14:paraId="44E34D6F">
            <w:pPr>
              <w:pStyle w:val="162"/>
              <w:spacing w:before="183" w:line="220" w:lineRule="auto"/>
              <w:ind w:left="120"/>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不得超过预算金额</w:t>
            </w:r>
          </w:p>
        </w:tc>
      </w:tr>
      <w:tr w14:paraId="4B7EC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205" w:type="dxa"/>
            <w:gridSpan w:val="4"/>
            <w:noWrap w:val="0"/>
            <w:vAlign w:val="top"/>
          </w:tcPr>
          <w:p w14:paraId="7D938D30">
            <w:pPr>
              <w:pStyle w:val="162"/>
              <w:spacing w:before="40" w:line="220" w:lineRule="auto"/>
              <w:ind w:left="11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病案数字化加工金额按实际加工的数字化病案质控后的电子影像计算</w:t>
            </w:r>
          </w:p>
        </w:tc>
      </w:tr>
    </w:tbl>
    <w:p w14:paraId="2C6928A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（1）完成历史病案的数字化加工。</w:t>
      </w:r>
    </w:p>
    <w:p w14:paraId="40BC940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（2）乙方负责的扫描加工服务（简称“加工”）包括完成病案交接转运、整理、 扫描、索引编目、质检、装订、装箱、上架、入库、示踪、协助查找病案、硬件安装等在内的全部数字化加工服务，通过使用甲方无纸化扫描系统提交完成成品数据，确保数据正常使用。</w:t>
      </w:r>
    </w:p>
    <w:p w14:paraId="1465885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方式：甲方提供需要加工的原始病案资料，并提供病案加工场地；乙方负责组织加工所需设备和耗材，搭建扫描加工生产线，派驻加工人员开展病案数字化加工服务，完成扫描、索引及质提交病案数字化成品数据。</w:t>
      </w:r>
    </w:p>
    <w:p w14:paraId="01C9393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（4）乙方需提供纸箱、胶带、订书机、钉、打印条码的机器耗材及桌椅等。</w:t>
      </w:r>
    </w:p>
    <w:p w14:paraId="098C229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（5）乙方将病案重新装订完成，将归档病案打包完成并及时运往甲方指定位置</w:t>
      </w:r>
    </w:p>
    <w:p w14:paraId="3EE3BE4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存放。病案箱尺寸、厚度符合甲方要求（纸箱尺寸</w:t>
      </w:r>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szCs w:val="24"/>
          <w:highlight w:val="none"/>
        </w:rPr>
        <w:t>x</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x</w:t>
      </w: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rPr>
        <w:t>cm，厚度为五瓦楞加厚）。扫描完成的病案要按照顺序摆放整齐。不得出现乱号、错号现象。并完成打包。如需查找原件，需乙方配合查找。扫描加工人员需驻场配合甲方工作及工作时间，根据甲方情况随时调整作人员数量。</w:t>
      </w:r>
    </w:p>
    <w:p w14:paraId="28CAD26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（6）病案数字化加工成品包括：病案扫描图像、病案索引信息数据，具体技术指标参照本合同附件二。</w:t>
      </w:r>
    </w:p>
    <w:p w14:paraId="7BD016F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（7）病案加工成品提交：乙方应提交成品数据，用甲方无纸化系统数字化加工归档保存。</w:t>
      </w:r>
    </w:p>
    <w:p w14:paraId="6B59E65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（8）病案加工服务质量要求：</w:t>
      </w:r>
    </w:p>
    <w:p w14:paraId="4A40406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使用扫描仪进行扫描，要做到分类准确，不漏扫，不模糊，不缺扫，扫描图片不模糊，无手指印等，扫描图像清晰、数据完整，符合阅读，还原要求，不带空白页。编目索引与图像链接正确率100%。高清扫描仪分辨率：</w:t>
      </w:r>
      <w:r>
        <w:rPr>
          <w:rFonts w:hint="eastAsia" w:ascii="仿宋" w:hAnsi="仿宋" w:eastAsia="仿宋" w:cs="仿宋"/>
          <w:bCs/>
          <w:color w:val="auto"/>
          <w:sz w:val="24"/>
          <w:szCs w:val="24"/>
          <w:highlight w:val="none"/>
          <w:lang w:val="en-US" w:eastAsia="zh-CN"/>
        </w:rPr>
        <w:t>≥</w:t>
      </w:r>
      <w:r>
        <w:rPr>
          <w:rFonts w:hint="eastAsia" w:ascii="仿宋" w:hAnsi="仿宋" w:eastAsia="仿宋" w:cs="仿宋"/>
          <w:color w:val="auto"/>
          <w:sz w:val="24"/>
          <w:szCs w:val="24"/>
          <w:highlight w:val="none"/>
        </w:rPr>
        <w:t>200Ddpi(应满足实际浏览、打印需要)，图像格式TIFF/JPG/PDF，支持黑白、彩色，扫描速度</w:t>
      </w:r>
      <w:r>
        <w:rPr>
          <w:rFonts w:hint="eastAsia" w:ascii="仿宋" w:hAnsi="仿宋" w:eastAsia="仿宋" w:cs="仿宋"/>
          <w:bCs/>
          <w:color w:val="auto"/>
          <w:sz w:val="24"/>
          <w:szCs w:val="24"/>
          <w:highlight w:val="none"/>
          <w:lang w:val="en-US" w:eastAsia="zh-CN"/>
        </w:rPr>
        <w:t>≥</w:t>
      </w:r>
      <w:r>
        <w:rPr>
          <w:rFonts w:hint="eastAsia" w:ascii="仿宋" w:hAnsi="仿宋" w:eastAsia="仿宋" w:cs="仿宋"/>
          <w:color w:val="auto"/>
          <w:sz w:val="24"/>
          <w:szCs w:val="24"/>
          <w:highlight w:val="none"/>
        </w:rPr>
        <w:t>80张</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分钟。</w:t>
      </w:r>
    </w:p>
    <w:p w14:paraId="0E68C28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2）对于纸质病案本身因打印时墨粉颜色较浅的，要切换为彩色模式进行扫描。 </w:t>
      </w:r>
    </w:p>
    <w:p w14:paraId="500D70F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3）数据补录（基础信息录入）。对患者姓名、出院科室、出院时间等需手动添加补录。</w:t>
      </w:r>
    </w:p>
    <w:p w14:paraId="442F8CA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4）病案整理、装订完全符合甲方病案归档保存要求。</w:t>
      </w:r>
    </w:p>
    <w:p w14:paraId="7A15D55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5）需要专职的扫描质控人员对所有扫描病案进行图像质控、索引质控。</w:t>
      </w:r>
    </w:p>
    <w:p w14:paraId="4487FA87">
      <w:pPr>
        <w:numPr>
          <w:ilvl w:val="0"/>
          <w:numId w:val="0"/>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bCs/>
          <w:color w:val="auto"/>
          <w:sz w:val="24"/>
          <w:szCs w:val="24"/>
          <w:highlight w:val="none"/>
          <w:lang w:val="en-US" w:eastAsia="zh-CN"/>
        </w:rPr>
        <w:t>乙方根据历史病案数、工期和科室内空间，拟派熟练工作人员5人，每人≥2年的同类项目工作经验。按时完成工作(3个扫描+1个质控人员+1个打包上架人员)，扫描人员需熟悉病历构成，有病历扫描经验，平均每人每天需完成0.8万页以上的数字化加工归档。乙方提供的5名工作人员驻场服务，驻场工作人员必须有一人为管理人员，管理人员须具备相关项目经验并证明且提供既往成功案例。工作人员应为常驻工作人员，不得临时调换，特殊情况下，需经使用科室同意后方可调换工作人员，调换人员须满足上述要求。驻场人员根据院方情况随时调整工作时间。驻场工作人员不得乱丢乱放病案、不得大声喧哗，如出现此类扰乱病案管理秩序的状况院方有权要求相应人员立即离开驻场工作地，不得再参加此项目工作。院方有权相应扣除当期（半年结算周期）10%质保金作为违约金</w:t>
      </w:r>
      <w:r>
        <w:rPr>
          <w:rFonts w:hint="eastAsia" w:ascii="仿宋" w:hAnsi="仿宋" w:eastAsia="仿宋" w:cs="仿宋"/>
          <w:color w:val="auto"/>
          <w:sz w:val="24"/>
          <w:szCs w:val="24"/>
          <w:highlight w:val="none"/>
        </w:rPr>
        <w:t>。</w:t>
      </w:r>
    </w:p>
    <w:p w14:paraId="31007A5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（10）乙方扫描设备配备</w:t>
      </w:r>
      <w:r>
        <w:rPr>
          <w:rFonts w:hint="eastAsia" w:ascii="仿宋" w:hAnsi="仿宋" w:eastAsia="仿宋" w:cs="仿宋"/>
          <w:color w:val="auto"/>
          <w:sz w:val="24"/>
          <w:szCs w:val="24"/>
          <w:highlight w:val="none"/>
          <w:lang w:val="en-US" w:eastAsia="zh-CN"/>
        </w:rPr>
        <w:t>不少于5</w:t>
      </w:r>
      <w:r>
        <w:rPr>
          <w:rFonts w:hint="eastAsia" w:ascii="仿宋" w:hAnsi="仿宋" w:eastAsia="仿宋" w:cs="仿宋"/>
          <w:color w:val="auto"/>
          <w:sz w:val="24"/>
          <w:szCs w:val="24"/>
          <w:highlight w:val="none"/>
        </w:rPr>
        <w:t>台电脑，3台高速高清扫描仪，若干高拍，根据工作量进度实时调整。</w:t>
      </w:r>
    </w:p>
    <w:p w14:paraId="0AC7DAA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其他具体加工指标详见此合同附件一、附件二。</w:t>
      </w:r>
    </w:p>
    <w:p w14:paraId="60EF250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二、付款方式</w:t>
      </w:r>
    </w:p>
    <w:p w14:paraId="1060EDA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病案扫描加工服务费结算方式：</w:t>
      </w:r>
    </w:p>
    <w:p w14:paraId="5C586B3A">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半年验收一次，验收合格后，乙方根据实际的扫描页数依据单页价格核算数字化加工服务费，并依此开具发票，甲方在收到发票后30日历日内将金额的90%支付给乙方，剩余10%质量保证金在数字化扫描无质量问题后30日历日内无息支付给乙方。</w:t>
      </w:r>
    </w:p>
    <w:p w14:paraId="0B3C59A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三、履约进度要求</w:t>
      </w:r>
    </w:p>
    <w:p w14:paraId="14BC951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扫描加工服务工期安排：</w:t>
      </w:r>
    </w:p>
    <w:p w14:paraId="61A38D9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此合同签订后的</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日内乙方应实现数字化加工服务且按照以上要求正常加工。</w:t>
      </w:r>
    </w:p>
    <w:p w14:paraId="40E57AA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乙方根据本合同约定</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历史病案数字化加工服务，并提交成品数据。完成时限：甲方与乙方交接的病历应当日完成扫描及质控，次日提交成品数据。平均每人每天需完成0.8万页以上的数字化加工归档。（特殊情况或患者急需复印应当天提交成品数据）</w:t>
      </w:r>
    </w:p>
    <w:p w14:paraId="44629D0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服务期限：合同签订后至20</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月1日，三年。（完成历史病案的数字化加工服务）</w:t>
      </w:r>
    </w:p>
    <w:p w14:paraId="2488873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四、项目实施</w:t>
      </w:r>
    </w:p>
    <w:p w14:paraId="585FA47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1、病案资料交接</w:t>
      </w:r>
    </w:p>
    <w:p w14:paraId="7448762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（1）甲乙双方以甲方指定地点为病案资料交接地，乙方负责资料的取送转运以及在加工过程中的存放与保管。</w:t>
      </w:r>
    </w:p>
    <w:p w14:paraId="23C7BDE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（2）甲乙双方交接病案资料应当面清点并签署交接记录，乙方负责印刷清点交接本。</w:t>
      </w:r>
    </w:p>
    <w:p w14:paraId="66D8070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应妥善保管和对待甲方提供的病案原始资料，不得损坏、丢失，不得泄露病案原始资料内容。如果甲方向乙方提供的病案资料发生损坏、丢失，或向第三方泄露的情形，所造成的经济损失及所有的法律责任由乙方负责赔偿。</w:t>
      </w:r>
    </w:p>
    <w:p w14:paraId="252E3CC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2、乙方安排有丰富经验的扫描加工人员，向甲方提供稳定、高效、及时的技术支持和服务。</w:t>
      </w:r>
    </w:p>
    <w:p w14:paraId="2E203D6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3、涉及无纸化扫描软件/无纸化系统有关事宜由相应软件提供方的技术人员免费对乙方进行技术指导和培训和软件授权，确保乙方人员完全掌握对病案无纸化扫描系统软件的使用。</w:t>
      </w:r>
    </w:p>
    <w:p w14:paraId="471E6C2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4、乙方负责所提供硬件的安装、调试、并保证正常工作。</w:t>
      </w:r>
    </w:p>
    <w:p w14:paraId="0593755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5、乙方保证不侵犯第三方无纸化系统的知识产权，未经软件提供方授权，乙方不得将有关软件产品解密、破解，或交由第三方使用、解密、破解。</w:t>
      </w:r>
    </w:p>
    <w:p w14:paraId="655A83E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五、项目验收</w:t>
      </w:r>
    </w:p>
    <w:p w14:paraId="7E3A503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1、病案扫描验收方式：扫描工作验收由甲方指定工作人员负责，乙方应按照约定履约进度完成相应工作后在指定日期内将成品数据连同明细清单提交甲方验收。具体安排：</w:t>
      </w:r>
    </w:p>
    <w:p w14:paraId="1370F0B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（1）甲方在乙方项目开始后对乙方所有工作量验收，进行抽样检查已经数字化完毕的病案原件及数字化图像。</w:t>
      </w:r>
    </w:p>
    <w:p w14:paraId="1265AB2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（2）验收内容包括：图像质量是否满足调阅要求、数据完整性、病案原件是否按要求复原、图像与患者信息是否一致，是否出现影响第三方无纸化系统软件安全性的情况。</w:t>
      </w:r>
    </w:p>
    <w:p w14:paraId="34B4B21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2、硬件验收期限：</w:t>
      </w:r>
    </w:p>
    <w:p w14:paraId="4FCB1C4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（1）在合同签订后保证所需硬件设备正常运行。</w:t>
      </w:r>
    </w:p>
    <w:p w14:paraId="0558010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扫描完成后乙方需将病案扫描有关的全部资料移交甲方，乙方不得有任何保留。本合同约定的数字化加工服务结束或因故终止时，乙方无偿将所有数字化加工服务使用过的主机的硬盘交由甲方。主机的硬盘在数字化加工时及结束后均不得带出使用场所。</w:t>
      </w:r>
    </w:p>
    <w:p w14:paraId="5C3014B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六、售后服务</w:t>
      </w:r>
    </w:p>
    <w:p w14:paraId="76526C4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1、乙方对其所提供的病案数字化加工成品自</w:t>
      </w:r>
      <w:r>
        <w:rPr>
          <w:rFonts w:hint="eastAsia" w:ascii="仿宋" w:hAnsi="仿宋" w:eastAsia="仿宋" w:cs="仿宋"/>
          <w:color w:val="auto"/>
          <w:sz w:val="24"/>
          <w:szCs w:val="24"/>
          <w:highlight w:val="none"/>
          <w:lang w:val="en-US" w:eastAsia="zh-CN"/>
        </w:rPr>
        <w:t>最后一次</w:t>
      </w:r>
      <w:r>
        <w:rPr>
          <w:rFonts w:hint="eastAsia" w:ascii="仿宋" w:hAnsi="仿宋" w:eastAsia="仿宋" w:cs="仿宋"/>
          <w:color w:val="auto"/>
          <w:sz w:val="24"/>
          <w:szCs w:val="24"/>
          <w:highlight w:val="none"/>
        </w:rPr>
        <w:t>交付之日起提供</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年质量保证服务、包含数据补漏、错误修改等。</w:t>
      </w:r>
    </w:p>
    <w:p w14:paraId="293699F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2、如乙方未能及时响应甲方的售后服务要求，甲方有权委托其他方处理相应故障问题，由此支出的费用和遭受的损失由乙方负责赔偿。</w:t>
      </w:r>
    </w:p>
    <w:p w14:paraId="50F859A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七、双方责任与义务</w:t>
      </w:r>
    </w:p>
    <w:p w14:paraId="7C4BB64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1、甲方的责任与义务</w:t>
      </w:r>
    </w:p>
    <w:p w14:paraId="39C5D95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（1）甲方指定   为本项目代表，负责与乙方保持沟通、及时、明确地提出甲方需求，协调解决合同在履行中有关事宜。</w:t>
      </w:r>
    </w:p>
    <w:p w14:paraId="72C76D5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（2）甲方指定专人负责与乙方进行加工前及结束后的原始病案资料交接工作。</w:t>
      </w:r>
    </w:p>
    <w:p w14:paraId="4D375C8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（3）甲方应在合同签订后，及时地向乙方提供需要数字化加工的病案资料。</w:t>
      </w:r>
    </w:p>
    <w:p w14:paraId="0763F20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（4）甲方日常不定期对乙方质控后的扫描病案进行抽检，存在的扫描质量问题由甲方登记，乙方签字确认，项目验收结算时要在服务总额中扣除。参照本条（3、双方违约责任的项目）。</w:t>
      </w:r>
    </w:p>
    <w:p w14:paraId="57382C9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（5）甲方应在乙方病案数字化加工完成后尽快组织验收。</w:t>
      </w:r>
    </w:p>
    <w:p w14:paraId="4FD5B9B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（6）因甲方系统升级或故障问题导致乙方工作延迟，甲方应安排相应工期使乙方完成积压病案。</w:t>
      </w:r>
    </w:p>
    <w:p w14:paraId="13A7344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2、乙方的责任与义务</w:t>
      </w:r>
    </w:p>
    <w:p w14:paraId="0B4C2BD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乙方指派   为本项目代表，协调解决合同履行中有关事宜。</w:t>
      </w:r>
    </w:p>
    <w:p w14:paraId="666188C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（1）乙方须在合同规定的时限内完成约定的服务期限出院病案的数字化加工服务。</w:t>
      </w:r>
    </w:p>
    <w:p w14:paraId="1FC137C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（2）乙方负责组织加工所需设备，并派驻加工人员在甲方提供的场地内开展病案数字化加工服务。</w:t>
      </w:r>
    </w:p>
    <w:p w14:paraId="6E67248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（3）乙方在作业期间须保证作业场地的生产安全及消防安全，保证甲方在场地内所存放全部病案资料的安全。         </w:t>
      </w:r>
    </w:p>
    <w:p w14:paraId="570027E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（4）未经甲方允许，乙方不得外借或拿出任何生产场地内存放的病案资料，不得私自改变非扫描病案的存放位置。</w:t>
      </w:r>
    </w:p>
    <w:p w14:paraId="11B045E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（5）乙方须在加工生产过程中，保障生产设备充足，加工人员队伍稳定；须按照进度要求开展病案数字化扫描加工，按进度要求提供数据加工成品，有扫描质控环节并保证扫描数据质量。</w:t>
      </w:r>
    </w:p>
    <w:p w14:paraId="7109EE5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（6）乙方在加工生产过程中应爱护甲方病案资料，保证病案资料完整、无缺损、不丢失，工作场地内严禁带入手机，保证病案信息不外泄。</w:t>
      </w:r>
    </w:p>
    <w:p w14:paraId="089FCF8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（7）乙方应保证其所派驻的加工人员严格遵守生产安全及保密制度，遵守病案存放管理规定，保护甲方生产场地及场地内库存病案的安全。</w:t>
      </w:r>
    </w:p>
    <w:p w14:paraId="3CFC72F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3、双方违约责任</w:t>
      </w:r>
    </w:p>
    <w:p w14:paraId="0901526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如在乙方病案数字化加工过程中，病案在乙方保管期间由于自身原因造成甲方病案的丢失、损坏、撕毁，乙方应全面负责由此引发法律纠纷而带来的损失，按实际损失全额赔偿(纸质病历的破损每页赔偿¥10元)；甲方验收后发</w:t>
      </w:r>
      <w:r>
        <w:rPr>
          <w:rFonts w:hint="eastAsia" w:ascii="仿宋" w:hAnsi="仿宋" w:eastAsia="仿宋" w:cs="仿宋"/>
          <w:color w:val="auto"/>
          <w:sz w:val="24"/>
          <w:szCs w:val="24"/>
          <w:highlight w:val="none"/>
          <w:lang w:val="en-US" w:eastAsia="zh-CN"/>
        </w:rPr>
        <w:t>现</w:t>
      </w:r>
      <w:r>
        <w:rPr>
          <w:rFonts w:hint="eastAsia" w:ascii="仿宋" w:hAnsi="仿宋" w:eastAsia="仿宋" w:cs="仿宋"/>
          <w:color w:val="auto"/>
          <w:sz w:val="24"/>
          <w:szCs w:val="24"/>
          <w:highlight w:val="none"/>
        </w:rPr>
        <w:t>违约情形的情况从合同总额中扣除。违约标准：扫描加工中的图像漏、错扫每页¥10元，图像与患者信息不符的未质控发现每页¥10元，其他图像问题和编目问题每页¥10元。由于病历资料不仅是患者隐私，也属于信息安全管理范围，法律法规均明确了信息的主体责任和相关保密要求，鉴于此，甲方与乙方签订信息安全保密协议，如出现病案等保密信息泄露情况，乙方应承担因此给甲方造成的损失，详见附件三。乙方应有完善的加工质控体系保证图像和数据及归类质量，当在甲方窗口复印、病案复印自助机等打印病案时，由于乙方过错导致病案图像质量及归类错误等问题导致打印错误，引起患者或代理人投诉纠纷等问题时，乙方应负有全责，由乙方承担全部责任。</w:t>
      </w:r>
    </w:p>
    <w:p w14:paraId="476B7A44">
      <w:pP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bCs/>
          <w:color w:val="auto"/>
          <w:sz w:val="24"/>
          <w:szCs w:val="24"/>
          <w:highlight w:val="none"/>
        </w:rPr>
        <w:t>因甲方对项目进度的特殊需求，双方对违约金标准已充分沟通，乙方认可前述违约金标准，除非双方另行协商一致，否则乙方无权在可能的诉讼争议中主张调整前述违约金标准。扫描质控不合格按双方违约责任中3、（1）中规定的方法扣除。</w:t>
      </w:r>
    </w:p>
    <w:p w14:paraId="6C18907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合同期内甲方每年对乙方进行续签考核，正常履行满一年，经年度考核合格的，合同予以续签，每年续签一次，若乙方未达到考核标准，甲方有权不予续签并解除合同。同时，</w:t>
      </w:r>
      <w:r>
        <w:rPr>
          <w:rFonts w:hint="eastAsia" w:ascii="仿宋" w:hAnsi="仿宋" w:eastAsia="仿宋" w:cs="仿宋"/>
          <w:color w:val="auto"/>
          <w:sz w:val="24"/>
          <w:szCs w:val="24"/>
          <w:highlight w:val="none"/>
        </w:rPr>
        <w:t>自合同签订至</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028</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月01日前，如乙方不能完成合同约定的平均每人每天完成0.8万页以上的数字化加工</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rPr>
        <w:t>归档</w:t>
      </w:r>
      <w:r>
        <w:rPr>
          <w:rFonts w:hint="eastAsia" w:ascii="仿宋" w:hAnsi="仿宋" w:eastAsia="仿宋" w:cs="仿宋"/>
          <w:color w:val="auto"/>
          <w:sz w:val="24"/>
          <w:szCs w:val="24"/>
          <w:highlight w:val="none"/>
          <w:lang w:val="en-US" w:eastAsia="zh-CN"/>
        </w:rPr>
        <w:t>完成</w:t>
      </w:r>
      <w:r>
        <w:rPr>
          <w:rFonts w:hint="eastAsia" w:ascii="仿宋" w:hAnsi="仿宋" w:eastAsia="仿宋" w:cs="仿宋"/>
          <w:color w:val="auto"/>
          <w:sz w:val="24"/>
          <w:szCs w:val="24"/>
          <w:highlight w:val="none"/>
        </w:rPr>
        <w:t>历史病案的数字化加工服务进度，乙方应向甲方支付违约金，</w:t>
      </w:r>
      <w:r>
        <w:rPr>
          <w:rFonts w:hint="eastAsia" w:ascii="仿宋" w:hAnsi="仿宋" w:eastAsia="仿宋" w:cs="仿宋"/>
          <w:color w:val="auto"/>
          <w:sz w:val="24"/>
          <w:szCs w:val="24"/>
          <w:highlight w:val="none"/>
          <w:lang w:val="en-US" w:eastAsia="zh-CN"/>
        </w:rPr>
        <w:t>违约金以</w:t>
      </w:r>
      <w:r>
        <w:rPr>
          <w:rFonts w:hint="eastAsia" w:ascii="仿宋" w:hAnsi="仿宋" w:eastAsia="仿宋" w:cs="仿宋"/>
          <w:color w:val="auto"/>
          <w:sz w:val="24"/>
          <w:szCs w:val="24"/>
          <w:highlight w:val="none"/>
        </w:rPr>
        <w:t>每日</w:t>
      </w:r>
      <w:r>
        <w:rPr>
          <w:rFonts w:hint="eastAsia" w:ascii="仿宋" w:hAnsi="仿宋" w:eastAsia="仿宋" w:cs="仿宋"/>
          <w:color w:val="auto"/>
          <w:sz w:val="24"/>
          <w:szCs w:val="24"/>
          <w:highlight w:val="none"/>
          <w:lang w:val="en-US" w:eastAsia="zh-CN"/>
        </w:rPr>
        <w:t>未完成页数为基础</w:t>
      </w:r>
      <w:r>
        <w:rPr>
          <w:rFonts w:hint="eastAsia" w:ascii="仿宋" w:hAnsi="仿宋" w:eastAsia="仿宋" w:cs="仿宋"/>
          <w:color w:val="auto"/>
          <w:sz w:val="24"/>
          <w:szCs w:val="24"/>
          <w:highlight w:val="none"/>
        </w:rPr>
        <w:t>，乙方再向甲方支付未完成工作对应合同金额的3%。因甲方对项目进度的特殊需求，双方对</w:t>
      </w:r>
      <w:r>
        <w:rPr>
          <w:rFonts w:hint="eastAsia" w:ascii="仿宋" w:hAnsi="仿宋" w:eastAsia="仿宋" w:cs="仿宋"/>
          <w:color w:val="auto"/>
          <w:sz w:val="24"/>
          <w:szCs w:val="24"/>
          <w:highlight w:val="none"/>
          <w:lang w:val="en-US" w:eastAsia="zh-CN"/>
        </w:rPr>
        <w:t>该等</w:t>
      </w:r>
      <w:r>
        <w:rPr>
          <w:rFonts w:hint="eastAsia" w:ascii="仿宋" w:hAnsi="仿宋" w:eastAsia="仿宋" w:cs="仿宋"/>
          <w:color w:val="auto"/>
          <w:sz w:val="24"/>
          <w:szCs w:val="24"/>
          <w:highlight w:val="none"/>
        </w:rPr>
        <w:t>违约金标准已充分沟通，乙方认可前述违约金标准，除非双方另行协商一致，否则乙方无权在可能的诉讼争议中主张调整前述违约金标准。</w:t>
      </w:r>
    </w:p>
    <w:p w14:paraId="7847CFB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（4）因乙方导致的问题的投诉、知识产权纠纷等由乙方负责解决并承担相应损失。驻场工作人员不得乱丢乱放病案、不得大声喧哗，如出现此类</w:t>
      </w:r>
      <w:r>
        <w:rPr>
          <w:rFonts w:hint="eastAsia" w:ascii="仿宋" w:hAnsi="仿宋" w:eastAsia="仿宋" w:cs="仿宋"/>
          <w:color w:val="auto"/>
          <w:sz w:val="24"/>
          <w:szCs w:val="24"/>
          <w:highlight w:val="none"/>
          <w:lang w:val="en-US" w:eastAsia="zh-CN"/>
        </w:rPr>
        <w:t>扰乱病案管理秩序的</w:t>
      </w:r>
      <w:r>
        <w:rPr>
          <w:rFonts w:hint="eastAsia" w:ascii="仿宋" w:hAnsi="仿宋" w:eastAsia="仿宋" w:cs="仿宋"/>
          <w:color w:val="auto"/>
          <w:sz w:val="24"/>
          <w:szCs w:val="24"/>
          <w:highlight w:val="none"/>
        </w:rPr>
        <w:t>状况</w:t>
      </w:r>
      <w:r>
        <w:rPr>
          <w:rFonts w:hint="eastAsia" w:ascii="仿宋" w:hAnsi="仿宋" w:eastAsia="仿宋" w:cs="仿宋"/>
          <w:color w:val="auto"/>
          <w:sz w:val="24"/>
          <w:szCs w:val="24"/>
          <w:highlight w:val="none"/>
          <w:lang w:val="en-US" w:eastAsia="zh-CN"/>
        </w:rPr>
        <w:t>甲方有权要求相应人员</w:t>
      </w:r>
      <w:r>
        <w:rPr>
          <w:rFonts w:hint="eastAsia" w:ascii="仿宋" w:hAnsi="仿宋" w:eastAsia="仿宋" w:cs="仿宋"/>
          <w:color w:val="auto"/>
          <w:sz w:val="24"/>
          <w:szCs w:val="24"/>
          <w:highlight w:val="none"/>
        </w:rPr>
        <w:t>立即离开驻场工作地，不得再参加此项目工作。</w:t>
      </w:r>
      <w:r>
        <w:rPr>
          <w:rFonts w:hint="eastAsia" w:ascii="仿宋" w:hAnsi="仿宋" w:eastAsia="仿宋" w:cs="仿宋"/>
          <w:color w:val="auto"/>
          <w:sz w:val="24"/>
          <w:szCs w:val="24"/>
          <w:highlight w:val="none"/>
          <w:lang w:val="en-US" w:eastAsia="zh-CN"/>
        </w:rPr>
        <w:t>甲方有权相应</w:t>
      </w:r>
      <w:r>
        <w:rPr>
          <w:rFonts w:hint="eastAsia" w:ascii="仿宋" w:hAnsi="仿宋" w:eastAsia="仿宋" w:cs="仿宋"/>
          <w:color w:val="auto"/>
          <w:sz w:val="24"/>
          <w:szCs w:val="24"/>
          <w:highlight w:val="none"/>
        </w:rPr>
        <w:t>扣除</w:t>
      </w:r>
      <w:r>
        <w:rPr>
          <w:rFonts w:hint="eastAsia" w:ascii="仿宋" w:hAnsi="仿宋" w:eastAsia="仿宋" w:cs="仿宋"/>
          <w:color w:val="auto"/>
          <w:sz w:val="24"/>
          <w:szCs w:val="24"/>
          <w:highlight w:val="none"/>
          <w:lang w:val="en-US" w:eastAsia="zh-CN"/>
        </w:rPr>
        <w:t>当期（半年结算周期）</w:t>
      </w:r>
      <w:r>
        <w:rPr>
          <w:rFonts w:hint="eastAsia" w:ascii="仿宋" w:hAnsi="仿宋" w:eastAsia="仿宋" w:cs="仿宋"/>
          <w:color w:val="auto"/>
          <w:sz w:val="24"/>
          <w:szCs w:val="24"/>
          <w:highlight w:val="none"/>
        </w:rPr>
        <w:t>10%质保金</w:t>
      </w:r>
      <w:r>
        <w:rPr>
          <w:rFonts w:hint="eastAsia" w:ascii="仿宋" w:hAnsi="仿宋" w:eastAsia="仿宋" w:cs="仿宋"/>
          <w:color w:val="auto"/>
          <w:sz w:val="24"/>
          <w:szCs w:val="24"/>
          <w:highlight w:val="none"/>
          <w:lang w:val="en-US" w:eastAsia="zh-CN"/>
        </w:rPr>
        <w:t>作为违约金</w:t>
      </w:r>
      <w:r>
        <w:rPr>
          <w:rFonts w:hint="eastAsia" w:ascii="仿宋" w:hAnsi="仿宋" w:eastAsia="仿宋" w:cs="仿宋"/>
          <w:color w:val="auto"/>
          <w:sz w:val="24"/>
          <w:szCs w:val="24"/>
          <w:highlight w:val="none"/>
        </w:rPr>
        <w:t>。</w:t>
      </w:r>
    </w:p>
    <w:p w14:paraId="7BF543B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（5）如甲乙双方中一方无故终止合同或拒绝进行系统验收，除本合同约定内容外，违约方应依合同法相关规定承担赔偿责任。</w:t>
      </w:r>
    </w:p>
    <w:p w14:paraId="5F7A435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八、服务承诺</w:t>
      </w:r>
    </w:p>
    <w:p w14:paraId="5B73850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（1）服务范围：为本项目提供的售后服务范围包括乙方所提交的全部病案扫描数据。</w:t>
      </w:r>
    </w:p>
    <w:p w14:paraId="36B4626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（2）服务响应：（24x7，即一周7天，全天24小时）</w:t>
      </w:r>
    </w:p>
    <w:p w14:paraId="7774577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现场支持：接到甲方上门服务请求情况下，乙方安排技术人员上门服务；4小时内，乙方技术人员到场。</w:t>
      </w:r>
    </w:p>
    <w:p w14:paraId="207D976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（3）扫描技术人员的驻留服务：针对本项目，乙方将在项目实施完毕后，从项目小组挑选一名组员驻留当地，确保用户对扫描后影像的的正常使用。</w:t>
      </w:r>
    </w:p>
    <w:p w14:paraId="33E1350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九、不可抗力</w:t>
      </w:r>
    </w:p>
    <w:p w14:paraId="59787CA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甲乙双方的任何一方由于火灾、水灾、台风、地震、战争、疫情等不可抗力的原因不能履行合同时，应及时向对方通报不能履行的理由，在取得政府部门发布的证明后，允许延期履行，双方不追究任何责任。      </w:t>
      </w:r>
    </w:p>
    <w:p w14:paraId="69DDFDD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十、解决合同争议的方式</w:t>
      </w:r>
    </w:p>
    <w:p w14:paraId="06F1D80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因本合同履行产生的争议，双方应友好协商解决；协商不成，双方均可以向甲方住所所在地人民法院提起诉讼。</w:t>
      </w:r>
    </w:p>
    <w:p w14:paraId="6A4134B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即使存在争议，双方应继续最大程度地履行各自在本合同下的义务。</w:t>
      </w:r>
    </w:p>
    <w:p w14:paraId="669E878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十一、其他事项</w:t>
      </w:r>
    </w:p>
    <w:p w14:paraId="3E6D15D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1、合同其他未尽事宜，须经双方共同协商，做出书面补充协议，该补充协议经双方签字盖章后与本合同具有同等效力。</w:t>
      </w:r>
    </w:p>
    <w:p w14:paraId="10E7E82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2、本合同一式四份，甲方二份，乙方二份。</w:t>
      </w:r>
    </w:p>
    <w:p w14:paraId="682DBEF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3、本合同经双方签字、盖章后生效。1-3 附件为合同组成部分，与合同具有同等的法律效力。</w:t>
      </w:r>
    </w:p>
    <w:p w14:paraId="2DFC769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4、响应文件为合同附件。</w:t>
      </w:r>
    </w:p>
    <w:p w14:paraId="7434A5B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甲方：山东大学第二医院                  乙方：</w:t>
      </w:r>
    </w:p>
    <w:p w14:paraId="4254AC3F">
      <w:pPr>
        <w:rPr>
          <w:rFonts w:hint="eastAsia" w:ascii="仿宋" w:hAnsi="仿宋" w:eastAsia="仿宋" w:cs="仿宋"/>
          <w:color w:val="auto"/>
          <w:sz w:val="24"/>
          <w:szCs w:val="24"/>
          <w:highlight w:val="none"/>
        </w:rPr>
      </w:pPr>
    </w:p>
    <w:p w14:paraId="5849C3E7">
      <w:pPr>
        <w:rPr>
          <w:rFonts w:hint="eastAsia" w:ascii="仿宋" w:hAnsi="仿宋" w:eastAsia="仿宋" w:cs="仿宋"/>
          <w:color w:val="auto"/>
          <w:sz w:val="24"/>
          <w:szCs w:val="24"/>
          <w:highlight w:val="none"/>
        </w:rPr>
      </w:pPr>
    </w:p>
    <w:p w14:paraId="316841A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（盖章）                                 （盖章）</w:t>
      </w:r>
    </w:p>
    <w:p w14:paraId="4D3F588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                              法定代表人：</w:t>
      </w:r>
    </w:p>
    <w:p w14:paraId="2FC10587">
      <w:pPr>
        <w:rPr>
          <w:rFonts w:hint="eastAsia" w:ascii="仿宋" w:hAnsi="仿宋" w:eastAsia="仿宋" w:cs="仿宋"/>
          <w:color w:val="auto"/>
          <w:sz w:val="24"/>
          <w:szCs w:val="24"/>
          <w:highlight w:val="none"/>
        </w:rPr>
      </w:pPr>
    </w:p>
    <w:p w14:paraId="2DC6BD7B">
      <w:pPr>
        <w:rPr>
          <w:rFonts w:hint="eastAsia" w:ascii="仿宋" w:hAnsi="仿宋" w:eastAsia="仿宋" w:cs="仿宋"/>
          <w:color w:val="auto"/>
          <w:sz w:val="24"/>
          <w:szCs w:val="24"/>
          <w:highlight w:val="none"/>
        </w:rPr>
      </w:pPr>
    </w:p>
    <w:p w14:paraId="017034D6">
      <w:pPr>
        <w:rPr>
          <w:rFonts w:hint="eastAsia" w:ascii="仿宋" w:hAnsi="仿宋" w:eastAsia="仿宋" w:cs="仿宋"/>
          <w:color w:val="auto"/>
          <w:sz w:val="24"/>
          <w:szCs w:val="24"/>
          <w:highlight w:val="none"/>
        </w:rPr>
      </w:pPr>
    </w:p>
    <w:p w14:paraId="5C89CE8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                              委托代理人：</w:t>
      </w:r>
    </w:p>
    <w:p w14:paraId="41CC6793">
      <w:pPr>
        <w:rPr>
          <w:rFonts w:hint="eastAsia" w:ascii="仿宋" w:hAnsi="仿宋" w:eastAsia="仿宋" w:cs="仿宋"/>
          <w:color w:val="auto"/>
          <w:sz w:val="24"/>
          <w:szCs w:val="24"/>
          <w:highlight w:val="none"/>
        </w:rPr>
      </w:pPr>
    </w:p>
    <w:p w14:paraId="3B938B01">
      <w:pPr>
        <w:rPr>
          <w:rFonts w:hint="eastAsia" w:ascii="仿宋" w:hAnsi="仿宋" w:eastAsia="仿宋" w:cs="仿宋"/>
          <w:color w:val="auto"/>
          <w:sz w:val="24"/>
          <w:szCs w:val="24"/>
          <w:highlight w:val="none"/>
        </w:rPr>
      </w:pPr>
    </w:p>
    <w:p w14:paraId="1538AC6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                   日期      年   月    日</w:t>
      </w:r>
    </w:p>
    <w:p w14:paraId="6B0BAB4D">
      <w:pPr>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br w:type="page"/>
      </w:r>
    </w:p>
    <w:p w14:paraId="2C4514A2">
      <w:pPr>
        <w:spacing w:before="283" w:line="219" w:lineRule="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附件一</w:t>
      </w:r>
    </w:p>
    <w:p w14:paraId="7C946FBF">
      <w:pPr>
        <w:spacing w:before="183" w:line="219" w:lineRule="auto"/>
        <w:ind w:left="289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病案影像扫描基本要求</w:t>
      </w:r>
    </w:p>
    <w:p w14:paraId="6775B058">
      <w:pPr>
        <w:numPr>
          <w:ilvl w:val="0"/>
          <w:numId w:val="0"/>
        </w:num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▲1)采用医院提供病案无纸化系统的扫描加工软件进行图像加工、索引、质控、示踪入库等数字化加工服务。 </w:t>
      </w:r>
    </w:p>
    <w:p w14:paraId="3285A6E8">
      <w:pPr>
        <w:numPr>
          <w:ilvl w:val="0"/>
          <w:numId w:val="0"/>
        </w:num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▲2)病案日常扫描需要使用高清扫描仪扫描为主，支持漏页检测、双面扫描功能。要求提供A3幅面记录单不拼接一次性扫描完成。除纸张不符合要求的可以使用高拍仪外，其它不接受照相机、高拍仪等。</w:t>
      </w:r>
    </w:p>
    <w:p w14:paraId="440C1B38">
      <w:pPr>
        <w:numPr>
          <w:ilvl w:val="0"/>
          <w:numId w:val="0"/>
        </w:num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kern w:val="2"/>
          <w:sz w:val="24"/>
          <w:szCs w:val="24"/>
          <w:highlight w:val="none"/>
          <w:lang w:val="en-US" w:eastAsia="zh-CN" w:bidi="ar-SA"/>
        </w:rPr>
        <w:t>3)</w:t>
      </w:r>
      <w:r>
        <w:rPr>
          <w:rFonts w:hint="eastAsia" w:ascii="仿宋" w:hAnsi="仿宋" w:eastAsia="仿宋" w:cs="仿宋"/>
          <w:bCs/>
          <w:color w:val="auto"/>
          <w:sz w:val="24"/>
          <w:szCs w:val="24"/>
          <w:highlight w:val="none"/>
          <w:lang w:val="en-US" w:eastAsia="zh-CN"/>
        </w:rPr>
        <w:t>打印条形码粘贴病案封皮上，条形码需数据补录（基础信息录入）。对患者姓名、出院科室、身份证号码等核对无误后手动添加补录。</w:t>
      </w:r>
    </w:p>
    <w:p w14:paraId="6E824A03">
      <w:pPr>
        <w:numPr>
          <w:ilvl w:val="0"/>
          <w:numId w:val="0"/>
        </w:numPr>
        <w:spacing w:line="360" w:lineRule="auto"/>
        <w:ind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4）通过纸质病案首页的条形码自动识别病案内容，并记录扫描起止时间和工作人员，以及扫描工作量.</w:t>
      </w:r>
    </w:p>
    <w:p w14:paraId="6EE0DE91">
      <w:pPr>
        <w:numPr>
          <w:ilvl w:val="0"/>
          <w:numId w:val="0"/>
        </w:num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▲5)使用院方无纸化系统支持的高清扫描仪型号（扫描仪分辨率≥200 dpi、扫描速度≥40页/分钟，支持黑白、彩色扫描），并要适配医院无纸化扫描系统（无纸化系统支持扫描仪具体型号和扫描电脑基础配置参照 附件1）。扫描过程中保留原始病案的完整性，无损坏。图像编目使用医院无纸化系统手动编目，扫描过程中需要进行图像质检和图像修正，保证图像质量。具有专职扫描质控人员对所有扫描病案及时进行扫描图像质控，质控扫描图像端正清晰准确不折角、不带空白页，编目索引与图像链接正确，符合阅读，还原要求。院方要求专职质控人员对所有扫描病案及时进行图像质控检查并及时整改，是全面质控，不允许抽查，扫描病案检查率100%，质控后合格率100%。</w:t>
      </w:r>
    </w:p>
    <w:p w14:paraId="735D6EE3">
      <w:pPr>
        <w:numPr>
          <w:ilvl w:val="0"/>
          <w:numId w:val="0"/>
        </w:num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6）示踪模块执行签收时，记录送交人、送交时间、签收人和签收时间，服务方打印出本次的送交明细，作为核对凭证。</w:t>
      </w:r>
    </w:p>
    <w:p w14:paraId="4E5B3954">
      <w:pPr>
        <w:numPr>
          <w:ilvl w:val="0"/>
          <w:numId w:val="0"/>
        </w:num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▲7)扫描的病案影像质量需满足临床和病案室浏览端调阅、复印窗口和自助打印机打印的要求。</w:t>
      </w:r>
    </w:p>
    <w:p w14:paraId="0A0E6B2A">
      <w:pPr>
        <w:rPr>
          <w:rFonts w:hint="eastAsia" w:ascii="仿宋" w:hAnsi="仿宋" w:eastAsia="仿宋" w:cs="仿宋"/>
          <w:color w:val="auto"/>
          <w:spacing w:val="-1"/>
          <w:position w:val="17"/>
          <w:sz w:val="24"/>
          <w:szCs w:val="24"/>
          <w:highlight w:val="none"/>
        </w:rPr>
      </w:pPr>
      <w:r>
        <w:rPr>
          <w:rFonts w:hint="eastAsia" w:ascii="仿宋" w:hAnsi="仿宋" w:eastAsia="仿宋" w:cs="仿宋"/>
          <w:color w:val="auto"/>
          <w:spacing w:val="-1"/>
          <w:position w:val="17"/>
          <w:sz w:val="24"/>
          <w:szCs w:val="24"/>
          <w:highlight w:val="none"/>
        </w:rPr>
        <w:br w:type="page"/>
      </w:r>
    </w:p>
    <w:p w14:paraId="2909AD78">
      <w:pPr>
        <w:keepNext w:val="0"/>
        <w:keepLines w:val="0"/>
        <w:pageBreakBefore w:val="0"/>
        <w:widowControl w:val="0"/>
        <w:kinsoku/>
        <w:wordWrap/>
        <w:overflowPunct/>
        <w:topLinePunct w:val="0"/>
        <w:autoSpaceDE/>
        <w:autoSpaceDN/>
        <w:bidi w:val="0"/>
        <w:adjustRightInd/>
        <w:snapToGrid/>
        <w:spacing w:before="283" w:line="360" w:lineRule="auto"/>
        <w:ind w:firstLine="476"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position w:val="17"/>
          <w:sz w:val="24"/>
          <w:szCs w:val="24"/>
          <w:highlight w:val="none"/>
        </w:rPr>
        <w:t>附件二                   病案数字化加工技术指标</w:t>
      </w:r>
    </w:p>
    <w:p w14:paraId="6B1D13AE">
      <w:pPr>
        <w:keepNext w:val="0"/>
        <w:keepLines w:val="0"/>
        <w:pageBreakBefore w:val="0"/>
        <w:widowControl w:val="0"/>
        <w:kinsoku/>
        <w:wordWrap/>
        <w:overflowPunct/>
        <w:topLinePunct w:val="0"/>
        <w:autoSpaceDE/>
        <w:autoSpaceDN/>
        <w:bidi w:val="0"/>
        <w:adjustRightInd/>
        <w:snapToGrid/>
        <w:spacing w:line="360" w:lineRule="auto"/>
        <w:ind w:left="126" w:firstLine="476"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一、病案扫描影像技术参数</w:t>
      </w:r>
    </w:p>
    <w:tbl>
      <w:tblPr>
        <w:tblStyle w:val="16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3"/>
        <w:gridCol w:w="4263"/>
      </w:tblGrid>
      <w:tr w14:paraId="73F55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4263" w:type="dxa"/>
            <w:shd w:val="clear" w:color="auto" w:fill="BFBFBF"/>
            <w:noWrap w:val="0"/>
            <w:vAlign w:val="top"/>
          </w:tcPr>
          <w:p w14:paraId="7580A05C">
            <w:pPr>
              <w:pStyle w:val="162"/>
              <w:keepNext w:val="0"/>
              <w:keepLines w:val="0"/>
              <w:pageBreakBefore w:val="0"/>
              <w:widowControl w:val="0"/>
              <w:kinsoku/>
              <w:wordWrap/>
              <w:overflowPunct/>
              <w:topLinePunct w:val="0"/>
              <w:autoSpaceDE/>
              <w:autoSpaceDN/>
              <w:bidi w:val="0"/>
              <w:adjustRightInd/>
              <w:snapToGrid/>
              <w:spacing w:before="38" w:line="360" w:lineRule="auto"/>
              <w:ind w:left="1655" w:firstLine="47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病案页面</w:t>
            </w:r>
          </w:p>
        </w:tc>
        <w:tc>
          <w:tcPr>
            <w:tcW w:w="4263" w:type="dxa"/>
            <w:shd w:val="clear" w:color="auto" w:fill="BFBFBF"/>
            <w:noWrap w:val="0"/>
            <w:vAlign w:val="top"/>
          </w:tcPr>
          <w:p w14:paraId="5E3F7DA9">
            <w:pPr>
              <w:pStyle w:val="162"/>
              <w:keepNext w:val="0"/>
              <w:keepLines w:val="0"/>
              <w:pageBreakBefore w:val="0"/>
              <w:widowControl w:val="0"/>
              <w:kinsoku/>
              <w:wordWrap/>
              <w:overflowPunct/>
              <w:topLinePunct w:val="0"/>
              <w:autoSpaceDE/>
              <w:autoSpaceDN/>
              <w:bidi w:val="0"/>
              <w:adjustRightInd/>
              <w:snapToGrid/>
              <w:spacing w:before="38" w:line="360" w:lineRule="auto"/>
              <w:ind w:left="1679" w:firstLine="44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图像规格</w:t>
            </w:r>
          </w:p>
        </w:tc>
      </w:tr>
      <w:tr w14:paraId="49FE3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4263" w:type="dxa"/>
            <w:noWrap w:val="0"/>
            <w:vAlign w:val="top"/>
          </w:tcPr>
          <w:p w14:paraId="48714262">
            <w:pPr>
              <w:keepNext w:val="0"/>
              <w:keepLines w:val="0"/>
              <w:pageBreakBefore w:val="0"/>
              <w:widowControl w:val="0"/>
              <w:kinsoku/>
              <w:wordWrap/>
              <w:overflowPunct/>
              <w:topLinePunct w:val="0"/>
              <w:autoSpaceDE/>
              <w:autoSpaceDN/>
              <w:bidi w:val="0"/>
              <w:adjustRightInd/>
              <w:snapToGrid/>
              <w:spacing w:before="180" w:line="360" w:lineRule="auto"/>
              <w:ind w:left="124" w:right="99" w:firstLine="468" w:firstLineChars="200"/>
              <w:jc w:val="left"/>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无颜色信息的普通页面，如：首页、病程记录、医嘱等。</w:t>
            </w:r>
          </w:p>
        </w:tc>
        <w:tc>
          <w:tcPr>
            <w:tcW w:w="4263" w:type="dxa"/>
            <w:noWrap w:val="0"/>
            <w:vAlign w:val="top"/>
          </w:tcPr>
          <w:p w14:paraId="2AC46F18">
            <w:pPr>
              <w:keepNext w:val="0"/>
              <w:keepLines w:val="0"/>
              <w:pageBreakBefore w:val="0"/>
              <w:widowControl w:val="0"/>
              <w:kinsoku/>
              <w:wordWrap/>
              <w:overflowPunct/>
              <w:topLinePunct w:val="0"/>
              <w:autoSpaceDE/>
              <w:autoSpaceDN/>
              <w:bidi w:val="0"/>
              <w:adjustRightInd/>
              <w:snapToGrid/>
              <w:spacing w:before="180" w:line="360" w:lineRule="auto"/>
              <w:ind w:left="124" w:right="99" w:firstLine="468" w:firstLineChars="200"/>
              <w:jc w:val="left"/>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黑白二值 200dpi（至少）Tiff 格式（CCITT GROUP4 压缩）、JPEG  、PDF</w:t>
            </w:r>
          </w:p>
        </w:tc>
      </w:tr>
      <w:tr w14:paraId="41A40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4263" w:type="dxa"/>
            <w:noWrap w:val="0"/>
            <w:vAlign w:val="top"/>
          </w:tcPr>
          <w:p w14:paraId="0861169A">
            <w:pPr>
              <w:keepNext w:val="0"/>
              <w:keepLines w:val="0"/>
              <w:pageBreakBefore w:val="0"/>
              <w:widowControl w:val="0"/>
              <w:kinsoku/>
              <w:wordWrap/>
              <w:overflowPunct/>
              <w:topLinePunct w:val="0"/>
              <w:autoSpaceDE/>
              <w:autoSpaceDN/>
              <w:bidi w:val="0"/>
              <w:adjustRightInd/>
              <w:snapToGrid/>
              <w:spacing w:before="180" w:line="360" w:lineRule="auto"/>
              <w:ind w:left="124" w:right="99" w:firstLine="468" w:firstLineChars="200"/>
              <w:jc w:val="left"/>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彩色信息页面，如：病理单，体温单，其他带章证明等。</w:t>
            </w:r>
          </w:p>
        </w:tc>
        <w:tc>
          <w:tcPr>
            <w:tcW w:w="4263" w:type="dxa"/>
            <w:noWrap w:val="0"/>
            <w:vAlign w:val="top"/>
          </w:tcPr>
          <w:p w14:paraId="6F29D0B0">
            <w:pPr>
              <w:keepNext w:val="0"/>
              <w:keepLines w:val="0"/>
              <w:pageBreakBefore w:val="0"/>
              <w:widowControl w:val="0"/>
              <w:kinsoku/>
              <w:wordWrap/>
              <w:overflowPunct/>
              <w:topLinePunct w:val="0"/>
              <w:autoSpaceDE/>
              <w:autoSpaceDN/>
              <w:bidi w:val="0"/>
              <w:adjustRightInd/>
              <w:snapToGrid/>
              <w:spacing w:before="180" w:line="360" w:lineRule="auto"/>
              <w:ind w:left="124" w:right="99" w:firstLine="468" w:firstLineChars="200"/>
              <w:jc w:val="left"/>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彩色 200dpi（至少）Tiff 格式（CCITT GROUP4 压缩）、JPEG  、PDF</w:t>
            </w:r>
          </w:p>
        </w:tc>
      </w:tr>
    </w:tbl>
    <w:p w14:paraId="60DC2166">
      <w:pPr>
        <w:keepNext w:val="0"/>
        <w:keepLines w:val="0"/>
        <w:pageBreakBefore w:val="0"/>
        <w:widowControl w:val="0"/>
        <w:kinsoku/>
        <w:wordWrap/>
        <w:overflowPunct/>
        <w:topLinePunct w:val="0"/>
        <w:autoSpaceDE/>
        <w:autoSpaceDN/>
        <w:bidi w:val="0"/>
        <w:adjustRightInd/>
        <w:snapToGrid/>
        <w:spacing w:before="180" w:line="360" w:lineRule="auto"/>
        <w:ind w:left="124" w:right="99"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二、扫描成品数据质量标准：扫描图像清晰、无偏斜，数据完整，符合阅读，还</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3"/>
          <w:sz w:val="24"/>
          <w:szCs w:val="24"/>
          <w:highlight w:val="none"/>
        </w:rPr>
        <w:t>原要求，不带空白页，图像与患者信息一致，病案整理、装订完全符合甲方病案</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3"/>
          <w:sz w:val="24"/>
          <w:szCs w:val="24"/>
          <w:highlight w:val="none"/>
        </w:rPr>
        <w:t>归档保存要求。病案资料扫描影像质量清晰度不低于原件标准，可以满足甲方无</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3"/>
          <w:sz w:val="24"/>
          <w:szCs w:val="24"/>
          <w:highlight w:val="none"/>
        </w:rPr>
        <w:t>纸化系统屏幕阅读以及打印阅读（由于病案原件质量原因导致的图像扫描不清楚</w:t>
      </w:r>
      <w:r>
        <w:rPr>
          <w:rFonts w:hint="eastAsia" w:ascii="仿宋" w:hAnsi="仿宋" w:eastAsia="仿宋" w:cs="仿宋"/>
          <w:color w:val="auto"/>
          <w:spacing w:val="-10"/>
          <w:sz w:val="24"/>
          <w:szCs w:val="24"/>
          <w:highlight w:val="none"/>
        </w:rPr>
        <w:t>问题除外</w:t>
      </w:r>
      <w:r>
        <w:rPr>
          <w:rFonts w:hint="eastAsia" w:ascii="仿宋" w:hAnsi="仿宋" w:eastAsia="仿宋" w:cs="仿宋"/>
          <w:color w:val="auto"/>
          <w:spacing w:val="-62"/>
          <w:w w:val="98"/>
          <w:sz w:val="24"/>
          <w:szCs w:val="24"/>
          <w:highlight w:val="none"/>
        </w:rPr>
        <w:t>）；</w:t>
      </w:r>
    </w:p>
    <w:p w14:paraId="2F3C04B3">
      <w:pPr>
        <w:keepNext w:val="0"/>
        <w:keepLines w:val="0"/>
        <w:pageBreakBefore w:val="0"/>
        <w:widowControl w:val="0"/>
        <w:kinsoku/>
        <w:wordWrap/>
        <w:overflowPunct/>
        <w:topLinePunct w:val="0"/>
        <w:autoSpaceDE/>
        <w:autoSpaceDN/>
        <w:bidi w:val="0"/>
        <w:adjustRightInd/>
        <w:snapToGrid/>
        <w:spacing w:before="180" w:line="360" w:lineRule="auto"/>
        <w:ind w:left="124" w:right="99" w:firstLine="468" w:firstLineChars="200"/>
        <w:jc w:val="left"/>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扫描图像合格率 100%；</w:t>
      </w:r>
    </w:p>
    <w:p w14:paraId="748467C2">
      <w:pPr>
        <w:keepNext w:val="0"/>
        <w:keepLines w:val="0"/>
        <w:pageBreakBefore w:val="0"/>
        <w:widowControl w:val="0"/>
        <w:kinsoku/>
        <w:wordWrap/>
        <w:overflowPunct/>
        <w:topLinePunct w:val="0"/>
        <w:autoSpaceDE/>
        <w:autoSpaceDN/>
        <w:bidi w:val="0"/>
        <w:adjustRightInd/>
        <w:snapToGrid/>
        <w:spacing w:before="180" w:line="360" w:lineRule="auto"/>
        <w:ind w:left="124" w:right="99" w:firstLine="468" w:firstLineChars="200"/>
        <w:jc w:val="left"/>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编目索引与图像链接正确率 100%。</w:t>
      </w:r>
    </w:p>
    <w:p w14:paraId="42FF6554">
      <w:pPr>
        <w:keepNext w:val="0"/>
        <w:keepLines w:val="0"/>
        <w:pageBreakBefore w:val="0"/>
        <w:widowControl w:val="0"/>
        <w:kinsoku/>
        <w:wordWrap/>
        <w:overflowPunct/>
        <w:topLinePunct w:val="0"/>
        <w:autoSpaceDE/>
        <w:autoSpaceDN/>
        <w:bidi w:val="0"/>
        <w:adjustRightInd/>
        <w:snapToGrid/>
        <w:spacing w:before="180" w:line="360" w:lineRule="auto"/>
        <w:ind w:left="124" w:right="99" w:firstLine="468" w:firstLineChars="200"/>
        <w:jc w:val="left"/>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图像与患者信息准确率 100%；</w:t>
      </w:r>
    </w:p>
    <w:p w14:paraId="226DE92F">
      <w:pPr>
        <w:keepNext w:val="0"/>
        <w:keepLines w:val="0"/>
        <w:pageBreakBefore w:val="0"/>
        <w:widowControl w:val="0"/>
        <w:kinsoku/>
        <w:wordWrap/>
        <w:overflowPunct/>
        <w:topLinePunct w:val="0"/>
        <w:autoSpaceDE/>
        <w:autoSpaceDN/>
        <w:bidi w:val="0"/>
        <w:adjustRightInd/>
        <w:snapToGrid/>
        <w:spacing w:before="180" w:line="360" w:lineRule="auto"/>
        <w:ind w:left="124" w:right="99" w:firstLine="468" w:firstLineChars="200"/>
        <w:jc w:val="left"/>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病案装订整理复原合格率 100%；</w:t>
      </w:r>
    </w:p>
    <w:p w14:paraId="141C77ED">
      <w:pPr>
        <w:keepNext w:val="0"/>
        <w:keepLines w:val="0"/>
        <w:pageBreakBefore w:val="0"/>
        <w:widowControl w:val="0"/>
        <w:kinsoku/>
        <w:wordWrap/>
        <w:overflowPunct/>
        <w:topLinePunct w:val="0"/>
        <w:autoSpaceDE/>
        <w:autoSpaceDN/>
        <w:bidi w:val="0"/>
        <w:adjustRightInd/>
        <w:snapToGrid/>
        <w:spacing w:before="180" w:line="360" w:lineRule="auto"/>
        <w:ind w:left="124" w:right="99"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病案交接归还率</w:t>
      </w:r>
      <w:r>
        <w:rPr>
          <w:rFonts w:hint="eastAsia" w:ascii="仿宋" w:hAnsi="仿宋" w:eastAsia="仿宋" w:cs="仿宋"/>
          <w:color w:val="auto"/>
          <w:spacing w:val="-34"/>
          <w:position w:val="2"/>
          <w:sz w:val="24"/>
          <w:szCs w:val="24"/>
          <w:highlight w:val="none"/>
        </w:rPr>
        <w:t xml:space="preserve"> </w:t>
      </w:r>
      <w:r>
        <w:rPr>
          <w:rFonts w:hint="eastAsia" w:ascii="仿宋" w:hAnsi="仿宋" w:eastAsia="仿宋" w:cs="仿宋"/>
          <w:color w:val="auto"/>
          <w:spacing w:val="-3"/>
          <w:position w:val="2"/>
          <w:sz w:val="24"/>
          <w:szCs w:val="24"/>
          <w:highlight w:val="none"/>
        </w:rPr>
        <w:t>100%；</w:t>
      </w:r>
    </w:p>
    <w:p w14:paraId="10D333AC">
      <w:pPr>
        <w:keepNext w:val="0"/>
        <w:keepLines w:val="0"/>
        <w:pageBreakBefore w:val="0"/>
        <w:widowControl w:val="0"/>
        <w:kinsoku/>
        <w:wordWrap/>
        <w:overflowPunct/>
        <w:topLinePunct w:val="0"/>
        <w:autoSpaceDE/>
        <w:autoSpaceDN/>
        <w:bidi w:val="0"/>
        <w:adjustRightInd/>
        <w:snapToGrid/>
        <w:spacing w:before="180" w:line="360" w:lineRule="auto"/>
        <w:ind w:left="124" w:right="99" w:firstLine="468" w:firstLineChars="200"/>
        <w:jc w:val="left"/>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质控要求：</w:t>
      </w:r>
    </w:p>
    <w:p w14:paraId="74D9AF06">
      <w:pPr>
        <w:spacing w:before="180" w:line="360" w:lineRule="auto"/>
        <w:ind w:left="124" w:right="99" w:firstLine="468" w:firstLineChars="200"/>
        <w:jc w:val="left"/>
        <w:rPr>
          <w:rFonts w:hint="eastAsia" w:ascii="仿宋" w:hAnsi="仿宋" w:eastAsia="仿宋" w:cs="仿宋"/>
          <w:b w:val="0"/>
          <w:color w:val="auto"/>
          <w:spacing w:val="-3"/>
          <w:sz w:val="24"/>
          <w:szCs w:val="24"/>
          <w:highlight w:val="none"/>
          <w:lang w:val="en-US" w:eastAsia="zh-CN"/>
        </w:rPr>
      </w:pPr>
      <w:r>
        <w:rPr>
          <w:rFonts w:hint="eastAsia" w:ascii="仿宋" w:hAnsi="仿宋" w:eastAsia="仿宋" w:cs="仿宋"/>
          <w:color w:val="auto"/>
          <w:spacing w:val="-3"/>
          <w:sz w:val="24"/>
          <w:szCs w:val="24"/>
          <w:highlight w:val="none"/>
        </w:rPr>
        <w:t>质控人员对</w:t>
      </w:r>
      <w:r>
        <w:rPr>
          <w:rFonts w:hint="eastAsia" w:ascii="仿宋" w:hAnsi="仿宋" w:eastAsia="仿宋" w:cs="仿宋"/>
          <w:color w:val="auto"/>
          <w:spacing w:val="-3"/>
          <w:sz w:val="24"/>
          <w:szCs w:val="24"/>
          <w:highlight w:val="none"/>
          <w:lang w:val="en-US" w:eastAsia="zh-CN"/>
        </w:rPr>
        <w:t>历史</w:t>
      </w:r>
      <w:r>
        <w:rPr>
          <w:rFonts w:hint="eastAsia" w:ascii="仿宋" w:hAnsi="仿宋" w:eastAsia="仿宋" w:cs="仿宋"/>
          <w:color w:val="auto"/>
          <w:spacing w:val="-3"/>
          <w:sz w:val="24"/>
          <w:szCs w:val="24"/>
          <w:highlight w:val="none"/>
        </w:rPr>
        <w:t>出院病案及时进行扫描图像质控，质控扫描图像端正清晰准确不折角、不带空白页，编目索引与图像链接正确，符合阅读</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还原要求。及时进行图像质控、索引质控、数据完整性质控</w:t>
      </w:r>
      <w:r>
        <w:rPr>
          <w:rFonts w:hint="eastAsia" w:ascii="仿宋" w:hAnsi="仿宋" w:eastAsia="仿宋" w:cs="仿宋"/>
          <w:color w:val="auto"/>
          <w:spacing w:val="-3"/>
          <w:sz w:val="24"/>
          <w:szCs w:val="24"/>
          <w:highlight w:val="none"/>
          <w:lang w:val="en-US" w:eastAsia="zh-CN"/>
        </w:rPr>
        <w:t>检</w:t>
      </w:r>
      <w:r>
        <w:rPr>
          <w:rFonts w:hint="eastAsia" w:ascii="仿宋" w:hAnsi="仿宋" w:eastAsia="仿宋" w:cs="仿宋"/>
          <w:color w:val="auto"/>
          <w:spacing w:val="-3"/>
          <w:sz w:val="24"/>
          <w:szCs w:val="24"/>
          <w:highlight w:val="none"/>
        </w:rPr>
        <w:t>查并及时整改，每页质控，不允许抽查，扫描病案检查率100% ，质控后合格率100%。质控</w:t>
      </w:r>
      <w:r>
        <w:rPr>
          <w:rFonts w:hint="eastAsia" w:ascii="仿宋" w:hAnsi="仿宋" w:eastAsia="仿宋" w:cs="仿宋"/>
          <w:color w:val="auto"/>
          <w:spacing w:val="-3"/>
          <w:sz w:val="24"/>
          <w:szCs w:val="24"/>
          <w:highlight w:val="none"/>
          <w:lang w:val="en-US" w:eastAsia="zh-CN"/>
        </w:rPr>
        <w:t>若发现</w:t>
      </w:r>
      <w:r>
        <w:rPr>
          <w:rFonts w:hint="eastAsia" w:ascii="仿宋" w:hAnsi="仿宋" w:eastAsia="仿宋" w:cs="仿宋"/>
          <w:color w:val="auto"/>
          <w:spacing w:val="-3"/>
          <w:sz w:val="24"/>
          <w:szCs w:val="24"/>
          <w:highlight w:val="none"/>
        </w:rPr>
        <w:t>非此病案患者内容后</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需告知甲方，未质控的病案属于扫描不合格病案，</w:t>
      </w:r>
      <w:r>
        <w:rPr>
          <w:rFonts w:hint="eastAsia" w:ascii="仿宋" w:hAnsi="仿宋" w:eastAsia="仿宋" w:cs="仿宋"/>
          <w:color w:val="auto"/>
          <w:spacing w:val="-3"/>
          <w:sz w:val="24"/>
          <w:szCs w:val="24"/>
          <w:highlight w:val="none"/>
          <w:lang w:val="en-US" w:eastAsia="zh-CN"/>
        </w:rPr>
        <w:t>甲方不予</w:t>
      </w:r>
      <w:r>
        <w:rPr>
          <w:rFonts w:hint="eastAsia" w:ascii="仿宋" w:hAnsi="仿宋" w:eastAsia="仿宋" w:cs="仿宋"/>
          <w:color w:val="auto"/>
          <w:spacing w:val="-3"/>
          <w:sz w:val="24"/>
          <w:szCs w:val="24"/>
          <w:highlight w:val="none"/>
        </w:rPr>
        <w:t>支付费用。扫描专职质控人员需要对所有扫描后病案每页及时进行图像质控、索引质控、数据完整性质控图像与患者信息一致性的质控。质控后应及时更正。乙方应严格按照甲方的技术标准进行病案数字化加工服务，对于质控发现有问题的加工数据，乙方负责无偿重新加工。乙方应有完善的加工质控三级体系（包括扫描员自检、互检、专职质控员全面质检）保证图像和数据及归类质量，当在甲方窗口复印，病案复印自助机等打印病案时，由于乙方的病案图像质量及归类错误等问题导致打印错误，引起患者或代理人投诉纠纷等问题时，乙方应负有全责，由乙方承担全部责任。对于甲方交接的病案</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乙方应及时进行数字化加工，窗口等待复印且已交接的病案及时查找及时数字化加工及时质控。</w:t>
      </w:r>
    </w:p>
    <w:p w14:paraId="66E74963">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br w:type="page"/>
      </w:r>
    </w:p>
    <w:p w14:paraId="485A75C7">
      <w:pPr>
        <w:spacing w:before="68" w:line="271" w:lineRule="auto"/>
        <w:ind w:left="121" w:right="99" w:firstLine="481"/>
        <w:jc w:val="both"/>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附件三</w:t>
      </w:r>
      <w:r>
        <w:rPr>
          <w:rFonts w:hint="eastAsia" w:ascii="仿宋" w:hAnsi="仿宋" w:eastAsia="仿宋" w:cs="仿宋"/>
          <w:color w:val="auto"/>
          <w:spacing w:val="-9"/>
          <w:sz w:val="24"/>
          <w:szCs w:val="24"/>
          <w:highlight w:val="none"/>
          <w:lang w:val="en-US" w:eastAsia="zh-CN"/>
        </w:rPr>
        <w:t xml:space="preserve">               </w:t>
      </w:r>
      <w:r>
        <w:rPr>
          <w:rFonts w:hint="eastAsia" w:ascii="仿宋" w:hAnsi="仿宋" w:eastAsia="仿宋" w:cs="仿宋"/>
          <w:color w:val="auto"/>
          <w:sz w:val="24"/>
          <w:szCs w:val="24"/>
          <w:highlight w:val="none"/>
        </w:rPr>
        <w:t>加工生产安全保密协议</w:t>
      </w:r>
    </w:p>
    <w:p w14:paraId="11C22600">
      <w:pPr>
        <w:spacing w:before="179" w:line="220" w:lineRule="auto"/>
        <w:ind w:left="36"/>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甲方：山东大学第二医院</w:t>
      </w:r>
    </w:p>
    <w:p w14:paraId="51651B4E">
      <w:pPr>
        <w:spacing w:before="183" w:line="219" w:lineRule="auto"/>
        <w:ind w:left="24"/>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乙方：</w:t>
      </w:r>
    </w:p>
    <w:p w14:paraId="00573F1D">
      <w:pPr>
        <w:spacing w:before="181" w:line="359" w:lineRule="auto"/>
        <w:ind w:left="5" w:right="81" w:firstLine="2"/>
        <w:jc w:val="both"/>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为保护甲乙双方在本次采购项目中（采购项目名称：山</w:t>
      </w:r>
      <w:r>
        <w:rPr>
          <w:rFonts w:hint="eastAsia" w:ascii="仿宋" w:hAnsi="仿宋" w:eastAsia="仿宋" w:cs="仿宋"/>
          <w:color w:val="auto"/>
          <w:spacing w:val="-7"/>
          <w:sz w:val="24"/>
          <w:szCs w:val="24"/>
          <w:highlight w:val="none"/>
        </w:rPr>
        <w:t>东大学第二医院</w:t>
      </w:r>
      <w:r>
        <w:rPr>
          <w:rFonts w:hint="eastAsia" w:ascii="仿宋" w:hAnsi="仿宋" w:eastAsia="仿宋" w:cs="仿宋"/>
          <w:color w:val="auto"/>
          <w:spacing w:val="-7"/>
          <w:sz w:val="24"/>
          <w:szCs w:val="24"/>
          <w:highlight w:val="none"/>
          <w:lang w:val="en-US" w:eastAsia="zh-CN"/>
        </w:rPr>
        <w:t>历史</w:t>
      </w:r>
      <w:r>
        <w:rPr>
          <w:rFonts w:hint="eastAsia" w:ascii="仿宋" w:hAnsi="仿宋" w:eastAsia="仿宋" w:cs="仿宋"/>
          <w:color w:val="auto"/>
          <w:spacing w:val="-2"/>
          <w:sz w:val="24"/>
          <w:szCs w:val="24"/>
          <w:highlight w:val="none"/>
        </w:rPr>
        <w:t>病案扫描数字化加工服务项目，项目编号：SDEY-LCZ10-CS-014）所涉及的秘密</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3"/>
          <w:sz w:val="24"/>
          <w:szCs w:val="24"/>
          <w:highlight w:val="none"/>
        </w:rPr>
        <w:t>信息和生产安全，明确乙方的保密义务，有效保护本次采购的机密，防止该机密</w:t>
      </w:r>
    </w:p>
    <w:p w14:paraId="137FC866">
      <w:pPr>
        <w:spacing w:before="1" w:line="220" w:lineRule="auto"/>
        <w:ind w:left="3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内容公开或以任何形式泄露，甲乙双方经过友好协</w:t>
      </w:r>
      <w:r>
        <w:rPr>
          <w:rFonts w:hint="eastAsia" w:ascii="仿宋" w:hAnsi="仿宋" w:eastAsia="仿宋" w:cs="仿宋"/>
          <w:color w:val="auto"/>
          <w:spacing w:val="-2"/>
          <w:sz w:val="24"/>
          <w:szCs w:val="24"/>
          <w:highlight w:val="none"/>
        </w:rPr>
        <w:t>商，达成如下协议：</w:t>
      </w:r>
    </w:p>
    <w:p w14:paraId="0B9E0AB6">
      <w:pPr>
        <w:spacing w:before="182" w:line="220" w:lineRule="auto"/>
        <w:ind w:left="9"/>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一、生产消防安全措施</w:t>
      </w:r>
    </w:p>
    <w:p w14:paraId="688A2FD3">
      <w:pPr>
        <w:spacing w:before="179" w:line="359" w:lineRule="auto"/>
        <w:ind w:left="6" w:right="81" w:firstLine="1"/>
        <w:jc w:val="both"/>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为了加强安全生产管理、坚决杜绝火灾、重大人身事故、重大设备事故，保证工</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3"/>
          <w:sz w:val="24"/>
          <w:szCs w:val="24"/>
          <w:highlight w:val="none"/>
        </w:rPr>
        <w:t>作现场财产和工作人员人身安全。乙方应严格遵守病案数字化加工生产现场的安</w:t>
      </w:r>
    </w:p>
    <w:p w14:paraId="6F1510F2">
      <w:pPr>
        <w:spacing w:line="220" w:lineRule="auto"/>
        <w:ind w:left="5"/>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全管理制度。</w:t>
      </w:r>
    </w:p>
    <w:p w14:paraId="73E07E80">
      <w:pPr>
        <w:spacing w:before="182" w:line="220" w:lineRule="auto"/>
        <w:ind w:left="1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2"/>
          <w:sz w:val="24"/>
          <w:szCs w:val="24"/>
          <w:highlight w:val="none"/>
        </w:rPr>
        <w:t>、档案数字化工作现场的消防安全工作实行三级责任制，即：</w:t>
      </w:r>
    </w:p>
    <w:p w14:paraId="3B6D3A38">
      <w:pPr>
        <w:numPr>
          <w:ilvl w:val="0"/>
          <w:numId w:val="0"/>
        </w:numPr>
        <w:spacing w:before="171" w:line="239" w:lineRule="auto"/>
        <w:ind w:left="420" w:leftChars="0" w:hanging="420" w:firstLineChars="0"/>
        <w:rPr>
          <w:rFonts w:hint="eastAsia" w:ascii="仿宋" w:hAnsi="仿宋" w:eastAsia="仿宋" w:cs="仿宋"/>
          <w:color w:val="auto"/>
          <w:sz w:val="24"/>
          <w:szCs w:val="24"/>
          <w:highlight w:val="none"/>
        </w:rPr>
      </w:pPr>
      <w:r>
        <w:rPr>
          <w:rFonts w:hint="default" w:ascii="Wingdings" w:hAnsi="Wingdings" w:eastAsia="仿宋" w:cs="仿宋"/>
          <w:bCs/>
          <w:color w:val="auto"/>
          <w:kern w:val="2"/>
          <w:sz w:val="24"/>
          <w:szCs w:val="24"/>
          <w:highlight w:val="none"/>
          <w:lang w:val="en-US" w:eastAsia="zh-CN" w:bidi="ar-SA"/>
        </w:rPr>
        <w:t></w:t>
      </w:r>
      <w:r>
        <w:rPr>
          <w:rFonts w:hint="eastAsia" w:ascii="仿宋" w:hAnsi="仿宋" w:eastAsia="仿宋" w:cs="仿宋"/>
          <w:color w:val="auto"/>
          <w:spacing w:val="-23"/>
          <w:sz w:val="24"/>
          <w:szCs w:val="24"/>
          <w:highlight w:val="none"/>
        </w:rPr>
        <w:t>项目经理总负责；</w:t>
      </w:r>
    </w:p>
    <w:p w14:paraId="77A68D78">
      <w:pPr>
        <w:numPr>
          <w:ilvl w:val="0"/>
          <w:numId w:val="0"/>
        </w:numPr>
        <w:spacing w:before="155" w:line="239" w:lineRule="auto"/>
        <w:ind w:left="420" w:leftChars="0" w:hanging="420" w:firstLineChars="0"/>
        <w:rPr>
          <w:rFonts w:hint="eastAsia" w:ascii="仿宋" w:hAnsi="仿宋" w:eastAsia="仿宋" w:cs="仿宋"/>
          <w:color w:val="auto"/>
          <w:sz w:val="24"/>
          <w:szCs w:val="24"/>
          <w:highlight w:val="none"/>
        </w:rPr>
      </w:pPr>
      <w:r>
        <w:rPr>
          <w:rFonts w:hint="default" w:ascii="Wingdings" w:hAnsi="Wingdings" w:eastAsia="仿宋" w:cs="仿宋"/>
          <w:bCs/>
          <w:color w:val="auto"/>
          <w:kern w:val="2"/>
          <w:sz w:val="24"/>
          <w:szCs w:val="24"/>
          <w:highlight w:val="none"/>
          <w:lang w:val="en-US" w:eastAsia="zh-CN" w:bidi="ar-SA"/>
        </w:rPr>
        <w:t></w:t>
      </w:r>
      <w:r>
        <w:rPr>
          <w:rFonts w:hint="eastAsia" w:ascii="仿宋" w:hAnsi="仿宋" w:eastAsia="仿宋" w:cs="仿宋"/>
          <w:color w:val="auto"/>
          <w:spacing w:val="-8"/>
          <w:sz w:val="24"/>
          <w:szCs w:val="24"/>
          <w:highlight w:val="none"/>
        </w:rPr>
        <w:t>消防安全工作管理组负责日常监督、检查、实施；</w:t>
      </w:r>
    </w:p>
    <w:p w14:paraId="6B277D2C">
      <w:pPr>
        <w:numPr>
          <w:ilvl w:val="0"/>
          <w:numId w:val="0"/>
        </w:numPr>
        <w:spacing w:before="157" w:line="239" w:lineRule="auto"/>
        <w:ind w:left="420" w:leftChars="0" w:hanging="420" w:firstLineChars="0"/>
        <w:rPr>
          <w:rFonts w:hint="eastAsia" w:ascii="仿宋" w:hAnsi="仿宋" w:eastAsia="仿宋" w:cs="仿宋"/>
          <w:color w:val="auto"/>
          <w:sz w:val="24"/>
          <w:szCs w:val="24"/>
          <w:highlight w:val="none"/>
        </w:rPr>
      </w:pPr>
      <w:r>
        <w:rPr>
          <w:rFonts w:hint="default" w:ascii="Wingdings" w:hAnsi="Wingdings" w:eastAsia="仿宋" w:cs="仿宋"/>
          <w:bCs/>
          <w:color w:val="auto"/>
          <w:kern w:val="2"/>
          <w:sz w:val="24"/>
          <w:szCs w:val="24"/>
          <w:highlight w:val="none"/>
          <w:lang w:val="en-US" w:eastAsia="zh-CN" w:bidi="ar-SA"/>
        </w:rPr>
        <w:t></w:t>
      </w:r>
      <w:r>
        <w:rPr>
          <w:rFonts w:hint="eastAsia" w:ascii="仿宋" w:hAnsi="仿宋" w:eastAsia="仿宋" w:cs="仿宋"/>
          <w:color w:val="auto"/>
          <w:spacing w:val="-6"/>
          <w:sz w:val="24"/>
          <w:szCs w:val="24"/>
          <w:highlight w:val="none"/>
        </w:rPr>
        <w:t>员工工位负责，即每个员工必须负责自己的工位</w:t>
      </w:r>
      <w:r>
        <w:rPr>
          <w:rFonts w:hint="eastAsia" w:ascii="仿宋" w:hAnsi="仿宋" w:eastAsia="仿宋" w:cs="仿宋"/>
          <w:color w:val="auto"/>
          <w:spacing w:val="-7"/>
          <w:sz w:val="24"/>
          <w:szCs w:val="24"/>
          <w:highlight w:val="none"/>
        </w:rPr>
        <w:t>安全消防工作。</w:t>
      </w:r>
    </w:p>
    <w:p w14:paraId="6790F148">
      <w:pPr>
        <w:spacing w:before="166" w:line="220" w:lineRule="auto"/>
        <w:ind w:left="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1"/>
          <w:sz w:val="24"/>
          <w:szCs w:val="24"/>
          <w:highlight w:val="none"/>
        </w:rPr>
        <w:t>、为了切实进一步完善消防安全工作的管理，特成立消防安</w:t>
      </w:r>
      <w:r>
        <w:rPr>
          <w:rFonts w:hint="eastAsia" w:ascii="仿宋" w:hAnsi="仿宋" w:eastAsia="仿宋" w:cs="仿宋"/>
          <w:color w:val="auto"/>
          <w:spacing w:val="-2"/>
          <w:sz w:val="24"/>
          <w:szCs w:val="24"/>
          <w:highlight w:val="none"/>
        </w:rPr>
        <w:t>全工作管理组。</w:t>
      </w:r>
    </w:p>
    <w:p w14:paraId="04E1C37E">
      <w:pPr>
        <w:spacing w:before="181" w:line="313" w:lineRule="auto"/>
        <w:ind w:left="9" w:right="81" w:hanging="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1"/>
          <w:sz w:val="24"/>
          <w:szCs w:val="24"/>
          <w:highlight w:val="none"/>
        </w:rPr>
        <w:t>、消防安全工作管理组在项目经理的带领下，负责监督消防工作的</w:t>
      </w:r>
      <w:r>
        <w:rPr>
          <w:rFonts w:hint="eastAsia" w:ascii="仿宋" w:hAnsi="仿宋" w:eastAsia="仿宋" w:cs="仿宋"/>
          <w:color w:val="auto"/>
          <w:spacing w:val="-2"/>
          <w:sz w:val="24"/>
          <w:szCs w:val="24"/>
          <w:highlight w:val="none"/>
        </w:rPr>
        <w:t>实施，负责</w:t>
      </w:r>
      <w:r>
        <w:rPr>
          <w:rFonts w:hint="eastAsia" w:ascii="仿宋" w:hAnsi="仿宋" w:eastAsia="仿宋" w:cs="仿宋"/>
          <w:color w:val="auto"/>
          <w:spacing w:val="-3"/>
          <w:sz w:val="24"/>
          <w:szCs w:val="24"/>
          <w:highlight w:val="none"/>
        </w:rPr>
        <w:t>消防安全工作落实到每个工作环节，负责使消防安全工作责任落实到每个工作人</w:t>
      </w:r>
      <w:r>
        <w:rPr>
          <w:rFonts w:hint="eastAsia" w:ascii="仿宋" w:hAnsi="仿宋" w:eastAsia="仿宋" w:cs="仿宋"/>
          <w:color w:val="auto"/>
          <w:spacing w:val="-8"/>
          <w:sz w:val="24"/>
          <w:szCs w:val="24"/>
          <w:highlight w:val="none"/>
        </w:rPr>
        <w:t>员。</w:t>
      </w:r>
    </w:p>
    <w:p w14:paraId="0A64AC7A">
      <w:pPr>
        <w:spacing w:before="180" w:line="220" w:lineRule="auto"/>
        <w:ind w:left="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4</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2"/>
          <w:sz w:val="24"/>
          <w:szCs w:val="24"/>
          <w:highlight w:val="none"/>
        </w:rPr>
        <w:t>、加强全体现场工作人员的安全消防教育和培训</w:t>
      </w:r>
    </w:p>
    <w:p w14:paraId="7C5AD0DF">
      <w:pPr>
        <w:numPr>
          <w:ilvl w:val="0"/>
          <w:numId w:val="0"/>
        </w:numPr>
        <w:spacing w:before="171" w:line="239" w:lineRule="auto"/>
        <w:ind w:left="420" w:leftChars="0" w:hanging="420" w:firstLineChars="0"/>
        <w:rPr>
          <w:rFonts w:hint="eastAsia" w:ascii="仿宋" w:hAnsi="仿宋" w:eastAsia="仿宋" w:cs="仿宋"/>
          <w:color w:val="auto"/>
          <w:sz w:val="24"/>
          <w:szCs w:val="24"/>
          <w:highlight w:val="none"/>
        </w:rPr>
      </w:pPr>
      <w:r>
        <w:rPr>
          <w:rFonts w:hint="default" w:ascii="Wingdings" w:hAnsi="Wingdings" w:eastAsia="仿宋" w:cs="仿宋"/>
          <w:bCs/>
          <w:color w:val="auto"/>
          <w:kern w:val="2"/>
          <w:sz w:val="24"/>
          <w:szCs w:val="24"/>
          <w:highlight w:val="none"/>
          <w:lang w:val="en-US" w:eastAsia="zh-CN" w:bidi="ar-SA"/>
        </w:rPr>
        <w:t></w:t>
      </w:r>
      <w:r>
        <w:rPr>
          <w:rFonts w:hint="eastAsia" w:ascii="仿宋" w:hAnsi="仿宋" w:eastAsia="仿宋" w:cs="仿宋"/>
          <w:color w:val="auto"/>
          <w:spacing w:val="-8"/>
          <w:sz w:val="24"/>
          <w:szCs w:val="24"/>
          <w:highlight w:val="none"/>
        </w:rPr>
        <w:t>对所有上岗人员都必须进行消防安全重要性教育。</w:t>
      </w:r>
    </w:p>
    <w:p w14:paraId="42BD5E82">
      <w:pPr>
        <w:numPr>
          <w:ilvl w:val="0"/>
          <w:numId w:val="0"/>
        </w:numPr>
        <w:spacing w:before="157" w:line="239" w:lineRule="auto"/>
        <w:ind w:left="420" w:leftChars="0" w:hanging="420" w:firstLineChars="0"/>
        <w:rPr>
          <w:rFonts w:hint="eastAsia" w:ascii="仿宋" w:hAnsi="仿宋" w:eastAsia="仿宋" w:cs="仿宋"/>
          <w:color w:val="auto"/>
          <w:sz w:val="24"/>
          <w:szCs w:val="24"/>
          <w:highlight w:val="none"/>
        </w:rPr>
      </w:pPr>
      <w:r>
        <w:rPr>
          <w:rFonts w:hint="default" w:ascii="Wingdings" w:hAnsi="Wingdings" w:eastAsia="仿宋" w:cs="仿宋"/>
          <w:bCs/>
          <w:color w:val="auto"/>
          <w:kern w:val="2"/>
          <w:sz w:val="24"/>
          <w:szCs w:val="24"/>
          <w:highlight w:val="none"/>
          <w:lang w:val="en-US" w:eastAsia="zh-CN" w:bidi="ar-SA"/>
        </w:rPr>
        <w:t></w:t>
      </w:r>
      <w:r>
        <w:rPr>
          <w:rFonts w:hint="eastAsia" w:ascii="仿宋" w:hAnsi="仿宋" w:eastAsia="仿宋" w:cs="仿宋"/>
          <w:color w:val="auto"/>
          <w:spacing w:val="-9"/>
          <w:sz w:val="24"/>
          <w:szCs w:val="24"/>
          <w:highlight w:val="none"/>
        </w:rPr>
        <w:t>每天都要进行一次消防安全重要性的强调。</w:t>
      </w:r>
    </w:p>
    <w:p w14:paraId="7E68E881">
      <w:pPr>
        <w:spacing w:before="166" w:line="358" w:lineRule="auto"/>
        <w:ind w:left="8" w:hanging="1"/>
        <w:jc w:val="both"/>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5、制定《消防工作应急预案》，说明平时的消防应急准备和紧急情况的</w:t>
      </w:r>
      <w:r>
        <w:rPr>
          <w:rFonts w:hint="eastAsia" w:ascii="仿宋" w:hAnsi="仿宋" w:eastAsia="仿宋" w:cs="仿宋"/>
          <w:color w:val="auto"/>
          <w:spacing w:val="-11"/>
          <w:sz w:val="24"/>
          <w:szCs w:val="24"/>
          <w:highlight w:val="none"/>
        </w:rPr>
        <w:t>应急措施。</w:t>
      </w:r>
      <w:r>
        <w:rPr>
          <w:rFonts w:hint="eastAsia" w:ascii="仿宋" w:hAnsi="仿宋" w:eastAsia="仿宋" w:cs="仿宋"/>
          <w:color w:val="auto"/>
          <w:spacing w:val="-3"/>
          <w:sz w:val="24"/>
          <w:szCs w:val="24"/>
          <w:highlight w:val="none"/>
        </w:rPr>
        <w:t>如遇紧急情况，消防安全工作管理组应组织全体工作人员，按照预案要求开展灭</w:t>
      </w:r>
    </w:p>
    <w:p w14:paraId="4EDED460">
      <w:pPr>
        <w:spacing w:before="1" w:line="220" w:lineRule="auto"/>
        <w:ind w:left="7"/>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火、救险工作。</w:t>
      </w:r>
    </w:p>
    <w:p w14:paraId="66F6F175">
      <w:pPr>
        <w:spacing w:before="182" w:line="220" w:lineRule="auto"/>
        <w:ind w:left="8"/>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6</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3"/>
          <w:sz w:val="24"/>
          <w:szCs w:val="24"/>
          <w:highlight w:val="none"/>
        </w:rPr>
        <w:t>、建立消防安全检查制度：</w:t>
      </w:r>
    </w:p>
    <w:p w14:paraId="45C7C608">
      <w:pPr>
        <w:numPr>
          <w:ilvl w:val="0"/>
          <w:numId w:val="0"/>
        </w:numPr>
        <w:spacing w:before="169" w:line="239" w:lineRule="auto"/>
        <w:ind w:left="420" w:leftChars="0" w:hanging="420" w:firstLineChars="0"/>
        <w:rPr>
          <w:rFonts w:hint="eastAsia" w:ascii="仿宋" w:hAnsi="仿宋" w:eastAsia="仿宋" w:cs="仿宋"/>
          <w:color w:val="auto"/>
          <w:sz w:val="24"/>
          <w:szCs w:val="24"/>
          <w:highlight w:val="none"/>
        </w:rPr>
      </w:pPr>
      <w:r>
        <w:rPr>
          <w:rFonts w:hint="default" w:ascii="Wingdings" w:hAnsi="Wingdings" w:eastAsia="仿宋" w:cs="仿宋"/>
          <w:bCs/>
          <w:color w:val="auto"/>
          <w:kern w:val="2"/>
          <w:sz w:val="24"/>
          <w:szCs w:val="24"/>
          <w:highlight w:val="none"/>
          <w:lang w:val="en-US" w:eastAsia="zh-CN" w:bidi="ar-SA"/>
        </w:rPr>
        <w:t></w:t>
      </w:r>
      <w:r>
        <w:rPr>
          <w:rFonts w:hint="eastAsia" w:ascii="仿宋" w:hAnsi="仿宋" w:eastAsia="仿宋" w:cs="仿宋"/>
          <w:color w:val="auto"/>
          <w:spacing w:val="-11"/>
          <w:sz w:val="24"/>
          <w:szCs w:val="24"/>
          <w:highlight w:val="none"/>
        </w:rPr>
        <w:t>每日两次检查本组消防安全情况；</w:t>
      </w:r>
    </w:p>
    <w:p w14:paraId="53ECCDC2">
      <w:pPr>
        <w:numPr>
          <w:ilvl w:val="0"/>
          <w:numId w:val="0"/>
        </w:numPr>
        <w:spacing w:before="157" w:line="294" w:lineRule="auto"/>
        <w:ind w:left="420" w:leftChars="0" w:right="81" w:rightChars="0" w:hanging="420" w:firstLineChars="0"/>
        <w:rPr>
          <w:rFonts w:hint="eastAsia" w:ascii="仿宋" w:hAnsi="仿宋" w:eastAsia="仿宋" w:cs="仿宋"/>
          <w:color w:val="auto"/>
          <w:sz w:val="24"/>
          <w:szCs w:val="24"/>
          <w:highlight w:val="none"/>
        </w:rPr>
      </w:pPr>
      <w:r>
        <w:rPr>
          <w:rFonts w:hint="default" w:ascii="Wingdings" w:hAnsi="Wingdings" w:eastAsia="仿宋" w:cs="仿宋"/>
          <w:bCs/>
          <w:color w:val="auto"/>
          <w:kern w:val="2"/>
          <w:sz w:val="24"/>
          <w:szCs w:val="24"/>
          <w:highlight w:val="none"/>
          <w:lang w:val="en-US" w:eastAsia="zh-CN" w:bidi="ar-SA"/>
        </w:rPr>
        <w:t></w:t>
      </w:r>
      <w:r>
        <w:rPr>
          <w:rFonts w:hint="eastAsia" w:ascii="仿宋" w:hAnsi="仿宋" w:eastAsia="仿宋" w:cs="仿宋"/>
          <w:color w:val="auto"/>
          <w:spacing w:val="-6"/>
          <w:sz w:val="24"/>
          <w:szCs w:val="24"/>
          <w:highlight w:val="none"/>
        </w:rPr>
        <w:t>制定专门人员（组员）分别在每天固定时间进行工作现场巡视，以便及时发</w:t>
      </w:r>
      <w:r>
        <w:rPr>
          <w:rFonts w:hint="eastAsia" w:ascii="仿宋" w:hAnsi="仿宋" w:eastAsia="仿宋" w:cs="仿宋"/>
          <w:color w:val="auto"/>
          <w:spacing w:val="-2"/>
          <w:sz w:val="24"/>
          <w:szCs w:val="24"/>
          <w:highlight w:val="none"/>
        </w:rPr>
        <w:t>现问题解决问题；</w:t>
      </w:r>
    </w:p>
    <w:p w14:paraId="4114FDC4">
      <w:pPr>
        <w:numPr>
          <w:ilvl w:val="0"/>
          <w:numId w:val="0"/>
        </w:numPr>
        <w:spacing w:before="171" w:line="239" w:lineRule="auto"/>
        <w:ind w:left="420" w:leftChars="0" w:hanging="420" w:firstLineChars="0"/>
        <w:rPr>
          <w:rFonts w:hint="eastAsia" w:ascii="仿宋" w:hAnsi="仿宋" w:eastAsia="仿宋" w:cs="仿宋"/>
          <w:color w:val="auto"/>
          <w:sz w:val="24"/>
          <w:szCs w:val="24"/>
          <w:highlight w:val="none"/>
        </w:rPr>
      </w:pPr>
      <w:r>
        <w:rPr>
          <w:rFonts w:hint="default" w:ascii="Wingdings" w:hAnsi="Wingdings" w:eastAsia="仿宋" w:cs="仿宋"/>
          <w:bCs/>
          <w:color w:val="auto"/>
          <w:kern w:val="2"/>
          <w:sz w:val="24"/>
          <w:szCs w:val="24"/>
          <w:highlight w:val="none"/>
          <w:lang w:val="en-US" w:eastAsia="zh-CN" w:bidi="ar-SA"/>
        </w:rPr>
        <w:t></w:t>
      </w:r>
      <w:r>
        <w:rPr>
          <w:rFonts w:hint="eastAsia" w:ascii="仿宋" w:hAnsi="仿宋" w:eastAsia="仿宋" w:cs="仿宋"/>
          <w:color w:val="auto"/>
          <w:spacing w:val="-6"/>
          <w:sz w:val="24"/>
          <w:szCs w:val="24"/>
          <w:highlight w:val="none"/>
        </w:rPr>
        <w:t>项目管理组每周集中全体组员对现场工作和所有设备进行一次检查。</w:t>
      </w:r>
    </w:p>
    <w:p w14:paraId="3B02D8C7">
      <w:pPr>
        <w:numPr>
          <w:ilvl w:val="0"/>
          <w:numId w:val="0"/>
        </w:numPr>
        <w:spacing w:before="171" w:line="239" w:lineRule="auto"/>
        <w:ind w:left="420" w:leftChars="0" w:hanging="420" w:firstLineChars="0"/>
        <w:rPr>
          <w:rFonts w:hint="eastAsia" w:ascii="仿宋" w:hAnsi="仿宋" w:eastAsia="仿宋" w:cs="仿宋"/>
          <w:color w:val="auto"/>
          <w:sz w:val="24"/>
          <w:szCs w:val="24"/>
          <w:highlight w:val="none"/>
        </w:rPr>
      </w:pPr>
      <w:r>
        <w:rPr>
          <w:rFonts w:hint="default" w:ascii="Wingdings" w:hAnsi="Wingdings" w:eastAsia="仿宋" w:cs="仿宋"/>
          <w:bCs/>
          <w:color w:val="auto"/>
          <w:kern w:val="2"/>
          <w:sz w:val="24"/>
          <w:szCs w:val="24"/>
          <w:highlight w:val="none"/>
          <w:lang w:val="en-US" w:eastAsia="zh-CN" w:bidi="ar-SA"/>
        </w:rPr>
        <w:t></w:t>
      </w:r>
      <w:r>
        <w:rPr>
          <w:rFonts w:hint="eastAsia" w:ascii="仿宋" w:hAnsi="仿宋" w:eastAsia="仿宋" w:cs="仿宋"/>
          <w:color w:val="auto"/>
          <w:spacing w:val="-6"/>
          <w:sz w:val="24"/>
          <w:szCs w:val="24"/>
          <w:highlight w:val="none"/>
        </w:rPr>
        <w:t>巡视和检查工作必须做到每个工作面和</w:t>
      </w:r>
      <w:r>
        <w:rPr>
          <w:rFonts w:hint="eastAsia" w:ascii="仿宋" w:hAnsi="仿宋" w:eastAsia="仿宋" w:cs="仿宋"/>
          <w:color w:val="auto"/>
          <w:spacing w:val="-7"/>
          <w:sz w:val="24"/>
          <w:szCs w:val="24"/>
          <w:highlight w:val="none"/>
        </w:rPr>
        <w:t>设备都有责任人、有检查、有记录。</w:t>
      </w:r>
    </w:p>
    <w:p w14:paraId="3AE19329">
      <w:pPr>
        <w:numPr>
          <w:ilvl w:val="0"/>
          <w:numId w:val="0"/>
        </w:numPr>
        <w:spacing w:before="153" w:line="294" w:lineRule="auto"/>
        <w:ind w:left="420" w:leftChars="0" w:right="15" w:rightChars="0" w:hanging="420" w:firstLineChars="0"/>
        <w:rPr>
          <w:rFonts w:hint="eastAsia" w:ascii="仿宋" w:hAnsi="仿宋" w:eastAsia="仿宋" w:cs="仿宋"/>
          <w:color w:val="auto"/>
          <w:sz w:val="24"/>
          <w:szCs w:val="24"/>
          <w:highlight w:val="none"/>
        </w:rPr>
      </w:pPr>
      <w:r>
        <w:rPr>
          <w:rFonts w:hint="default" w:ascii="Wingdings" w:hAnsi="Wingdings" w:eastAsia="仿宋" w:cs="仿宋"/>
          <w:bCs/>
          <w:color w:val="auto"/>
          <w:kern w:val="2"/>
          <w:sz w:val="24"/>
          <w:szCs w:val="24"/>
          <w:highlight w:val="none"/>
          <w:lang w:val="en-US" w:eastAsia="zh-CN" w:bidi="ar-SA"/>
        </w:rPr>
        <w:t></w:t>
      </w:r>
      <w:r>
        <w:rPr>
          <w:rFonts w:hint="eastAsia" w:ascii="仿宋" w:hAnsi="仿宋" w:eastAsia="仿宋" w:cs="仿宋"/>
          <w:color w:val="auto"/>
          <w:spacing w:val="-6"/>
          <w:sz w:val="24"/>
          <w:szCs w:val="24"/>
          <w:highlight w:val="none"/>
        </w:rPr>
        <w:t>禁止任何人在加工现场楼层内任何场所吸烟、禁止携带任何易燃物品进入办</w:t>
      </w:r>
      <w:r>
        <w:rPr>
          <w:rFonts w:hint="eastAsia" w:ascii="仿宋" w:hAnsi="仿宋" w:eastAsia="仿宋" w:cs="仿宋"/>
          <w:color w:val="auto"/>
          <w:spacing w:val="-1"/>
          <w:sz w:val="24"/>
          <w:szCs w:val="24"/>
          <w:highlight w:val="none"/>
        </w:rPr>
        <w:t>公区，外来人员统一由专门人员负责接待。</w:t>
      </w:r>
    </w:p>
    <w:p w14:paraId="22783F84">
      <w:pPr>
        <w:numPr>
          <w:ilvl w:val="0"/>
          <w:numId w:val="0"/>
        </w:numPr>
        <w:spacing w:before="170" w:line="294" w:lineRule="auto"/>
        <w:ind w:left="420" w:leftChars="0" w:right="15" w:rightChars="0" w:hanging="420" w:firstLineChars="0"/>
        <w:rPr>
          <w:rFonts w:hint="eastAsia" w:ascii="仿宋" w:hAnsi="仿宋" w:eastAsia="仿宋" w:cs="仿宋"/>
          <w:color w:val="auto"/>
          <w:sz w:val="24"/>
          <w:szCs w:val="24"/>
          <w:highlight w:val="none"/>
        </w:rPr>
      </w:pPr>
      <w:r>
        <w:rPr>
          <w:rFonts w:hint="default" w:ascii="Wingdings" w:hAnsi="Wingdings" w:eastAsia="仿宋" w:cs="仿宋"/>
          <w:bCs/>
          <w:color w:val="auto"/>
          <w:kern w:val="2"/>
          <w:sz w:val="24"/>
          <w:szCs w:val="24"/>
          <w:highlight w:val="none"/>
          <w:lang w:val="en-US" w:eastAsia="zh-CN" w:bidi="ar-SA"/>
        </w:rPr>
        <w:t></w:t>
      </w:r>
      <w:r>
        <w:rPr>
          <w:rFonts w:hint="eastAsia" w:ascii="仿宋" w:hAnsi="仿宋" w:eastAsia="仿宋" w:cs="仿宋"/>
          <w:color w:val="auto"/>
          <w:spacing w:val="-6"/>
          <w:sz w:val="24"/>
          <w:szCs w:val="24"/>
          <w:highlight w:val="none"/>
        </w:rPr>
        <w:t>最后离开办公室的人员，都要检查有无火险等隐患，关好门窗和电灯，关闭</w:t>
      </w:r>
      <w:r>
        <w:rPr>
          <w:rFonts w:hint="eastAsia" w:ascii="仿宋" w:hAnsi="仿宋" w:eastAsia="仿宋" w:cs="仿宋"/>
          <w:color w:val="auto"/>
          <w:spacing w:val="-3"/>
          <w:sz w:val="24"/>
          <w:szCs w:val="24"/>
          <w:highlight w:val="none"/>
        </w:rPr>
        <w:t>现场电源。</w:t>
      </w:r>
    </w:p>
    <w:p w14:paraId="0934477A">
      <w:pPr>
        <w:numPr>
          <w:ilvl w:val="0"/>
          <w:numId w:val="0"/>
        </w:numPr>
        <w:spacing w:before="171" w:line="294" w:lineRule="auto"/>
        <w:ind w:left="420" w:leftChars="0" w:right="15" w:rightChars="0" w:hanging="420" w:firstLineChars="0"/>
        <w:rPr>
          <w:rFonts w:hint="eastAsia" w:ascii="仿宋" w:hAnsi="仿宋" w:eastAsia="仿宋" w:cs="仿宋"/>
          <w:color w:val="auto"/>
          <w:sz w:val="24"/>
          <w:szCs w:val="24"/>
          <w:highlight w:val="none"/>
        </w:rPr>
      </w:pPr>
      <w:r>
        <w:rPr>
          <w:rFonts w:hint="default" w:ascii="Wingdings" w:hAnsi="Wingdings" w:eastAsia="仿宋" w:cs="仿宋"/>
          <w:bCs/>
          <w:color w:val="auto"/>
          <w:kern w:val="2"/>
          <w:sz w:val="24"/>
          <w:szCs w:val="24"/>
          <w:highlight w:val="none"/>
          <w:lang w:val="en-US" w:eastAsia="zh-CN" w:bidi="ar-SA"/>
        </w:rPr>
        <w:t></w:t>
      </w:r>
      <w:r>
        <w:rPr>
          <w:rFonts w:hint="eastAsia" w:ascii="仿宋" w:hAnsi="仿宋" w:eastAsia="仿宋" w:cs="仿宋"/>
          <w:color w:val="auto"/>
          <w:spacing w:val="-6"/>
          <w:sz w:val="24"/>
          <w:szCs w:val="24"/>
          <w:highlight w:val="none"/>
        </w:rPr>
        <w:t>每个工作人员离开工位时，必须关闭计算机主机、显示器、连接设备和插座</w:t>
      </w:r>
      <w:r>
        <w:rPr>
          <w:rFonts w:hint="eastAsia" w:ascii="仿宋" w:hAnsi="仿宋" w:eastAsia="仿宋" w:cs="仿宋"/>
          <w:color w:val="auto"/>
          <w:spacing w:val="-4"/>
          <w:sz w:val="24"/>
          <w:szCs w:val="24"/>
          <w:highlight w:val="none"/>
        </w:rPr>
        <w:t>开关。</w:t>
      </w:r>
    </w:p>
    <w:p w14:paraId="780B9407">
      <w:pPr>
        <w:numPr>
          <w:ilvl w:val="0"/>
          <w:numId w:val="0"/>
        </w:numPr>
        <w:spacing w:before="169" w:line="294" w:lineRule="auto"/>
        <w:ind w:left="420" w:leftChars="0" w:right="15" w:rightChars="0" w:hanging="420" w:firstLineChars="0"/>
        <w:rPr>
          <w:rFonts w:hint="eastAsia" w:ascii="仿宋" w:hAnsi="仿宋" w:eastAsia="仿宋" w:cs="仿宋"/>
          <w:color w:val="auto"/>
          <w:sz w:val="24"/>
          <w:szCs w:val="24"/>
          <w:highlight w:val="none"/>
        </w:rPr>
      </w:pPr>
      <w:r>
        <w:rPr>
          <w:rFonts w:hint="default" w:ascii="Wingdings" w:hAnsi="Wingdings" w:eastAsia="仿宋" w:cs="仿宋"/>
          <w:bCs/>
          <w:color w:val="auto"/>
          <w:kern w:val="2"/>
          <w:sz w:val="24"/>
          <w:szCs w:val="24"/>
          <w:highlight w:val="none"/>
          <w:lang w:val="en-US" w:eastAsia="zh-CN" w:bidi="ar-SA"/>
        </w:rPr>
        <w:t></w:t>
      </w:r>
      <w:r>
        <w:rPr>
          <w:rFonts w:hint="eastAsia" w:ascii="仿宋" w:hAnsi="仿宋" w:eastAsia="仿宋" w:cs="仿宋"/>
          <w:color w:val="auto"/>
          <w:spacing w:val="-6"/>
          <w:sz w:val="24"/>
          <w:szCs w:val="24"/>
          <w:highlight w:val="none"/>
        </w:rPr>
        <w:t>所有员工上岗前均需签订消防安全保密协议书，并严格遵守消防安全管理制</w:t>
      </w:r>
      <w:r>
        <w:rPr>
          <w:rFonts w:hint="eastAsia" w:ascii="仿宋" w:hAnsi="仿宋" w:eastAsia="仿宋" w:cs="仿宋"/>
          <w:color w:val="auto"/>
          <w:spacing w:val="-5"/>
          <w:sz w:val="24"/>
          <w:szCs w:val="24"/>
          <w:highlight w:val="none"/>
        </w:rPr>
        <w:t>度。</w:t>
      </w:r>
    </w:p>
    <w:p w14:paraId="25B27B4C">
      <w:pPr>
        <w:numPr>
          <w:ilvl w:val="0"/>
          <w:numId w:val="0"/>
        </w:numPr>
        <w:spacing w:before="167" w:line="239" w:lineRule="auto"/>
        <w:ind w:left="420" w:leftChars="0" w:hanging="420" w:firstLineChars="0"/>
        <w:rPr>
          <w:rFonts w:hint="eastAsia" w:ascii="仿宋" w:hAnsi="仿宋" w:eastAsia="仿宋" w:cs="仿宋"/>
          <w:color w:val="auto"/>
          <w:sz w:val="24"/>
          <w:szCs w:val="24"/>
          <w:highlight w:val="none"/>
        </w:rPr>
      </w:pPr>
      <w:r>
        <w:rPr>
          <w:rFonts w:hint="default" w:ascii="Wingdings" w:hAnsi="Wingdings" w:eastAsia="仿宋" w:cs="仿宋"/>
          <w:bCs/>
          <w:color w:val="auto"/>
          <w:kern w:val="2"/>
          <w:sz w:val="24"/>
          <w:szCs w:val="24"/>
          <w:highlight w:val="none"/>
          <w:lang w:val="en-US" w:eastAsia="zh-CN" w:bidi="ar-SA"/>
        </w:rPr>
        <w:t></w:t>
      </w:r>
      <w:r>
        <w:rPr>
          <w:rFonts w:hint="eastAsia" w:ascii="仿宋" w:hAnsi="仿宋" w:eastAsia="仿宋" w:cs="仿宋"/>
          <w:color w:val="auto"/>
          <w:spacing w:val="-6"/>
          <w:sz w:val="24"/>
          <w:szCs w:val="24"/>
          <w:highlight w:val="none"/>
        </w:rPr>
        <w:t>根据谁主管谁负责的原则划分安全管理责任区，明确职责，责任到人。</w:t>
      </w:r>
    </w:p>
    <w:p w14:paraId="38E1EFDB">
      <w:pPr>
        <w:spacing w:before="166" w:line="221" w:lineRule="auto"/>
        <w:ind w:left="9"/>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二、保密措施</w:t>
      </w:r>
    </w:p>
    <w:p w14:paraId="753F2612">
      <w:pPr>
        <w:spacing w:before="182" w:line="359" w:lineRule="auto"/>
        <w:ind w:right="15"/>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根据《中华人民共和国国家保密法》（以下简称“ 国家保密法 ”）规定，乙方就病案资料数字化加工一事的安全保密问题对用户作以下保密承诺。</w:t>
      </w:r>
    </w:p>
    <w:p w14:paraId="3912A71F">
      <w:pPr>
        <w:spacing w:before="180" w:line="220" w:lineRule="auto"/>
        <w:ind w:left="13"/>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1</w:t>
      </w:r>
      <w:r>
        <w:rPr>
          <w:rFonts w:hint="eastAsia" w:ascii="仿宋" w:hAnsi="仿宋" w:eastAsia="仿宋" w:cs="仿宋"/>
          <w:b/>
          <w:bCs/>
          <w:color w:val="auto"/>
          <w:spacing w:val="-30"/>
          <w:sz w:val="24"/>
          <w:szCs w:val="24"/>
          <w:highlight w:val="none"/>
        </w:rPr>
        <w:t xml:space="preserve"> </w:t>
      </w:r>
      <w:r>
        <w:rPr>
          <w:rFonts w:hint="eastAsia" w:ascii="仿宋" w:hAnsi="仿宋" w:eastAsia="仿宋" w:cs="仿宋"/>
          <w:color w:val="auto"/>
          <w:spacing w:val="-5"/>
          <w:sz w:val="24"/>
          <w:szCs w:val="24"/>
          <w:highlight w:val="none"/>
        </w:rPr>
        <w:t>、安全保密管理</w:t>
      </w:r>
    </w:p>
    <w:p w14:paraId="379F1D7C">
      <w:pPr>
        <w:spacing w:before="182" w:line="359" w:lineRule="auto"/>
        <w:ind w:right="15"/>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（1）参加本次乙方工作的人员对工作中接触到的病案资料信息，在工作期</w:t>
      </w:r>
      <w:r>
        <w:rPr>
          <w:rFonts w:hint="eastAsia" w:ascii="仿宋" w:hAnsi="仿宋" w:eastAsia="仿宋" w:cs="仿宋"/>
          <w:color w:val="auto"/>
          <w:spacing w:val="-3"/>
          <w:sz w:val="24"/>
          <w:szCs w:val="24"/>
          <w:highlight w:val="none"/>
        </w:rPr>
        <w:t>间及工作结束后，决不可以任何方式向外泄露、复制和涂改。病案</w:t>
      </w:r>
      <w:r>
        <w:rPr>
          <w:rFonts w:hint="eastAsia" w:ascii="仿宋" w:hAnsi="仿宋" w:eastAsia="仿宋" w:cs="仿宋"/>
          <w:color w:val="auto"/>
          <w:spacing w:val="-4"/>
          <w:sz w:val="24"/>
          <w:szCs w:val="24"/>
          <w:highlight w:val="none"/>
        </w:rPr>
        <w:t>资料不得带出</w:t>
      </w:r>
      <w:r>
        <w:rPr>
          <w:rFonts w:hint="eastAsia" w:ascii="仿宋" w:hAnsi="仿宋" w:eastAsia="仿宋" w:cs="仿宋"/>
          <w:color w:val="auto"/>
          <w:spacing w:val="-5"/>
          <w:sz w:val="24"/>
          <w:szCs w:val="24"/>
          <w:highlight w:val="none"/>
        </w:rPr>
        <w:t>甲方所指定工作区域。</w:t>
      </w:r>
    </w:p>
    <w:p w14:paraId="5922CE88">
      <w:pPr>
        <w:spacing w:before="180" w:line="359" w:lineRule="auto"/>
        <w:ind w:right="15"/>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（2）参加本次工作的人员，均进行过保密教育；保证工作人员稳定，因故</w:t>
      </w:r>
      <w:r>
        <w:rPr>
          <w:rFonts w:hint="eastAsia" w:ascii="仿宋" w:hAnsi="仿宋" w:eastAsia="仿宋" w:cs="仿宋"/>
          <w:color w:val="auto"/>
          <w:spacing w:val="-3"/>
          <w:sz w:val="24"/>
          <w:szCs w:val="24"/>
          <w:highlight w:val="none"/>
        </w:rPr>
        <w:t>需要更换工作人员应征得用户的同意；工作人员工作期间不外出、不会客、不聚</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3"/>
          <w:sz w:val="24"/>
          <w:szCs w:val="24"/>
          <w:highlight w:val="none"/>
        </w:rPr>
        <w:t>众聊天、严禁吸烟、无工作需要不接触手机、不到非工作场所乱串，并保证工作</w:t>
      </w:r>
      <w:r>
        <w:rPr>
          <w:rFonts w:hint="eastAsia" w:ascii="仿宋" w:hAnsi="仿宋" w:eastAsia="仿宋" w:cs="仿宋"/>
          <w:color w:val="auto"/>
          <w:spacing w:val="-5"/>
          <w:sz w:val="24"/>
          <w:szCs w:val="24"/>
          <w:highlight w:val="none"/>
        </w:rPr>
        <w:t>区域的安静。</w:t>
      </w:r>
    </w:p>
    <w:p w14:paraId="2B1DB6EA">
      <w:pPr>
        <w:spacing w:before="181" w:line="360" w:lineRule="auto"/>
        <w:ind w:right="15"/>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（3）未经用户同意，乙方工作人员拒绝非工作人员进出加工现场，人员出</w:t>
      </w:r>
      <w:r>
        <w:rPr>
          <w:rFonts w:hint="eastAsia" w:ascii="仿宋" w:hAnsi="仿宋" w:eastAsia="仿宋" w:cs="仿宋"/>
          <w:color w:val="auto"/>
          <w:spacing w:val="-3"/>
          <w:sz w:val="24"/>
          <w:szCs w:val="24"/>
          <w:highlight w:val="none"/>
        </w:rPr>
        <w:t>入甲方工作场所需要填写出入记录，工作人员进入作业现场不携带任何通讯工具</w:t>
      </w:r>
      <w:r>
        <w:rPr>
          <w:rFonts w:hint="eastAsia" w:ascii="仿宋" w:hAnsi="仿宋" w:eastAsia="仿宋" w:cs="仿宋"/>
          <w:color w:val="auto"/>
          <w:spacing w:val="-2"/>
          <w:sz w:val="24"/>
          <w:szCs w:val="24"/>
          <w:highlight w:val="none"/>
        </w:rPr>
        <w:t>和存储设备。</w:t>
      </w:r>
    </w:p>
    <w:p w14:paraId="39F3628E">
      <w:pPr>
        <w:spacing w:before="179" w:line="359" w:lineRule="auto"/>
        <w:ind w:right="15"/>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（4）乙方已清楚告知现场作业人员因其个人的故意或不当行为将导致或可</w:t>
      </w:r>
      <w:r>
        <w:rPr>
          <w:rFonts w:hint="eastAsia" w:ascii="仿宋" w:hAnsi="仿宋" w:eastAsia="仿宋" w:cs="仿宋"/>
          <w:color w:val="auto"/>
          <w:spacing w:val="-3"/>
          <w:sz w:val="24"/>
          <w:szCs w:val="24"/>
          <w:highlight w:val="none"/>
        </w:rPr>
        <w:t>能会触犯《中华人民共和国刑法》中的窃取、刺探、非法提供、非法持有、泄露</w:t>
      </w:r>
      <w:r>
        <w:rPr>
          <w:rFonts w:hint="eastAsia" w:ascii="仿宋" w:hAnsi="仿宋" w:eastAsia="仿宋" w:cs="仿宋"/>
          <w:color w:val="auto"/>
          <w:spacing w:val="-1"/>
          <w:sz w:val="24"/>
          <w:szCs w:val="24"/>
          <w:highlight w:val="none"/>
        </w:rPr>
        <w:t>国家秘密所列之罪行，告知泄露国家秘密事项所应</w:t>
      </w:r>
      <w:r>
        <w:rPr>
          <w:rFonts w:hint="eastAsia" w:ascii="仿宋" w:hAnsi="仿宋" w:eastAsia="仿宋" w:cs="仿宋"/>
          <w:color w:val="auto"/>
          <w:spacing w:val="-2"/>
          <w:sz w:val="24"/>
          <w:szCs w:val="24"/>
          <w:highlight w:val="none"/>
        </w:rPr>
        <w:t>承担的责任。</w:t>
      </w:r>
    </w:p>
    <w:p w14:paraId="2B7A51B0">
      <w:pPr>
        <w:spacing w:before="183" w:line="466" w:lineRule="exact"/>
        <w:rPr>
          <w:rFonts w:hint="eastAsia" w:ascii="仿宋" w:hAnsi="仿宋" w:eastAsia="仿宋" w:cs="仿宋"/>
          <w:color w:val="auto"/>
          <w:spacing w:val="-1"/>
          <w:position w:val="17"/>
          <w:sz w:val="24"/>
          <w:szCs w:val="24"/>
          <w:highlight w:val="none"/>
        </w:rPr>
      </w:pPr>
      <w:r>
        <w:rPr>
          <w:rFonts w:hint="eastAsia" w:ascii="仿宋" w:hAnsi="仿宋" w:eastAsia="仿宋" w:cs="仿宋"/>
          <w:color w:val="auto"/>
          <w:spacing w:val="-1"/>
          <w:position w:val="17"/>
          <w:sz w:val="24"/>
          <w:szCs w:val="24"/>
          <w:highlight w:val="none"/>
        </w:rPr>
        <w:t>（5）工作人员必须填写每天的工作记录（时间、内容、数量），作为保密工作检查的依据。</w:t>
      </w:r>
    </w:p>
    <w:p w14:paraId="41ABE534">
      <w:pPr>
        <w:spacing w:before="183" w:line="466" w:lineRule="exact"/>
        <w:rPr>
          <w:rFonts w:hint="eastAsia" w:ascii="仿宋" w:hAnsi="仿宋" w:eastAsia="仿宋" w:cs="仿宋"/>
          <w:color w:val="auto"/>
          <w:spacing w:val="-1"/>
          <w:position w:val="17"/>
          <w:sz w:val="24"/>
          <w:szCs w:val="24"/>
          <w:highlight w:val="none"/>
        </w:rPr>
      </w:pPr>
      <w:r>
        <w:rPr>
          <w:rFonts w:hint="eastAsia" w:ascii="仿宋" w:hAnsi="仿宋" w:eastAsia="仿宋" w:cs="仿宋"/>
          <w:color w:val="auto"/>
          <w:spacing w:val="-1"/>
          <w:position w:val="17"/>
          <w:sz w:val="24"/>
          <w:szCs w:val="24"/>
          <w:highlight w:val="none"/>
        </w:rPr>
        <w:t>（6）乙方的档案工作人员与甲方唯一指定负责人进行档案交接，双方交接过程中对病案进行仔细查看并签署交接记录。</w:t>
      </w:r>
    </w:p>
    <w:p w14:paraId="39CF0E95">
      <w:pPr>
        <w:spacing w:before="183" w:line="466" w:lineRule="exact"/>
        <w:rPr>
          <w:rFonts w:hint="eastAsia" w:ascii="仿宋" w:hAnsi="仿宋" w:eastAsia="仿宋" w:cs="仿宋"/>
          <w:color w:val="auto"/>
          <w:spacing w:val="-1"/>
          <w:position w:val="17"/>
          <w:sz w:val="24"/>
          <w:szCs w:val="24"/>
          <w:highlight w:val="none"/>
        </w:rPr>
      </w:pPr>
      <w:r>
        <w:rPr>
          <w:rFonts w:hint="eastAsia" w:ascii="仿宋" w:hAnsi="仿宋" w:eastAsia="仿宋" w:cs="仿宋"/>
          <w:color w:val="auto"/>
          <w:spacing w:val="-1"/>
          <w:position w:val="17"/>
          <w:sz w:val="24"/>
          <w:szCs w:val="24"/>
          <w:highlight w:val="none"/>
        </w:rPr>
        <w:t>（7）每位工作人员要严格执行操作规范、拿取、平放、折叠、取回等基本动作要轻拿轻放，保证实体病案在工作中的绝对安全。</w:t>
      </w:r>
    </w:p>
    <w:p w14:paraId="62195C0A">
      <w:pPr>
        <w:spacing w:before="179" w:line="220" w:lineRule="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6"/>
          <w:sz w:val="24"/>
          <w:szCs w:val="24"/>
          <w:highlight w:val="none"/>
          <w:lang w:val="en-US" w:eastAsia="zh-CN"/>
        </w:rPr>
        <w:t>2</w:t>
      </w:r>
      <w:r>
        <w:rPr>
          <w:rFonts w:hint="eastAsia" w:ascii="仿宋" w:hAnsi="仿宋" w:eastAsia="仿宋" w:cs="仿宋"/>
          <w:b/>
          <w:bCs/>
          <w:color w:val="auto"/>
          <w:spacing w:val="-27"/>
          <w:sz w:val="24"/>
          <w:szCs w:val="24"/>
          <w:highlight w:val="none"/>
        </w:rPr>
        <w:t xml:space="preserve"> </w:t>
      </w:r>
      <w:r>
        <w:rPr>
          <w:rFonts w:hint="eastAsia" w:ascii="仿宋" w:hAnsi="仿宋" w:eastAsia="仿宋" w:cs="仿宋"/>
          <w:color w:val="auto"/>
          <w:spacing w:val="-6"/>
          <w:sz w:val="24"/>
          <w:szCs w:val="24"/>
          <w:highlight w:val="none"/>
        </w:rPr>
        <w:t>、数据安全</w:t>
      </w:r>
    </w:p>
    <w:p w14:paraId="2FB93029">
      <w:pPr>
        <w:spacing w:before="180" w:line="359" w:lineRule="auto"/>
        <w:ind w:right="63"/>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（1）局域网内所有员工用于工作用计算机设备全部设置开机口令及密码，人和机器全部固定使用，无特殊情况和组长的批准不能随意更换使用人员。</w:t>
      </w:r>
    </w:p>
    <w:p w14:paraId="731B4EB3">
      <w:pPr>
        <w:spacing w:before="180" w:line="359" w:lineRule="auto"/>
        <w:ind w:right="63"/>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（2）为保证资料数据安全，所有的办公用品（如笔、本、复印纸、橡皮、刀子等）交由用户检验同意后方可带入工作场地。</w:t>
      </w:r>
    </w:p>
    <w:p w14:paraId="2DA39572">
      <w:pPr>
        <w:spacing w:before="179" w:line="22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lang w:val="en-US" w:eastAsia="zh-CN"/>
        </w:rPr>
        <w:t>3、</w:t>
      </w:r>
      <w:r>
        <w:rPr>
          <w:rFonts w:hint="eastAsia" w:ascii="仿宋" w:hAnsi="仿宋" w:eastAsia="仿宋" w:cs="仿宋"/>
          <w:color w:val="auto"/>
          <w:spacing w:val="-4"/>
          <w:sz w:val="24"/>
          <w:szCs w:val="24"/>
          <w:highlight w:val="none"/>
        </w:rPr>
        <w:t>硬件设备安全</w:t>
      </w:r>
    </w:p>
    <w:p w14:paraId="7DD6D098">
      <w:pPr>
        <w:spacing w:before="182" w:line="220" w:lineRule="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（1）操作间的门窗应全部设有金属防护网，并在工作期间把窗帘关闭好。</w:t>
      </w:r>
    </w:p>
    <w:p w14:paraId="15075868">
      <w:pPr>
        <w:spacing w:before="180" w:line="359" w:lineRule="auto"/>
        <w:ind w:right="6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（2）扫描加工现场的计算机及其他设备不得已以任何方式连接</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2"/>
          <w:sz w:val="24"/>
          <w:szCs w:val="24"/>
          <w:highlight w:val="none"/>
        </w:rPr>
        <w:t>Inter</w:t>
      </w:r>
      <w:r>
        <w:rPr>
          <w:rFonts w:hint="eastAsia" w:ascii="仿宋" w:hAnsi="仿宋" w:eastAsia="仿宋" w:cs="仿宋"/>
          <w:color w:val="auto"/>
          <w:spacing w:val="-3"/>
          <w:sz w:val="24"/>
          <w:szCs w:val="24"/>
          <w:highlight w:val="none"/>
        </w:rPr>
        <w:t>net网（外部网）所有计算机设备采取安全性高的专业屏蔽网线及专用全网线接头，组网用交换机要经过二次屏蔽。</w:t>
      </w:r>
    </w:p>
    <w:p w14:paraId="6D212620">
      <w:pPr>
        <w:spacing w:before="180" w:line="359" w:lineRule="auto"/>
        <w:ind w:right="63"/>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（3）扫描加工现场的所有计算机设备不安装刻录光驱、软驱，屏蔽相应 USB接口，禁止外设插入，扫描设备用除外，加工现场不可留有可上外网的电话。</w:t>
      </w:r>
    </w:p>
    <w:p w14:paraId="074EECBF">
      <w:pPr>
        <w:spacing w:before="180" w:line="359" w:lineRule="auto"/>
        <w:ind w:right="63"/>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（4）扫描加工工作完成后，用户方暂留所有加工计算机上的硬盘，有技术人员进行彻底数据清除。</w:t>
      </w:r>
    </w:p>
    <w:p w14:paraId="727CA899">
      <w:pPr>
        <w:spacing w:before="182" w:line="359" w:lineRule="auto"/>
        <w:ind w:firstLine="452" w:firstLineChars="200"/>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乙方同意根据《国家保密法》的规定，保护所接触的资料和数据的信息安全，</w:t>
      </w:r>
      <w:r>
        <w:rPr>
          <w:rFonts w:hint="eastAsia" w:ascii="仿宋" w:hAnsi="仿宋" w:eastAsia="仿宋" w:cs="仿宋"/>
          <w:color w:val="auto"/>
          <w:spacing w:val="-1"/>
          <w:sz w:val="24"/>
          <w:szCs w:val="24"/>
          <w:highlight w:val="none"/>
        </w:rPr>
        <w:t>当乙方公司现场工作人员有违反保密规定的行为时，甲方有权马上终止合同执行，追偿损失直至追究刑事责任。</w:t>
      </w:r>
    </w:p>
    <w:p w14:paraId="462912DB">
      <w:pPr>
        <w:spacing w:before="181" w:line="220" w:lineRule="auto"/>
        <w:ind w:left="5"/>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三、违约责任</w:t>
      </w:r>
    </w:p>
    <w:p w14:paraId="59872C90">
      <w:pPr>
        <w:spacing w:before="180" w:line="359" w:lineRule="auto"/>
        <w:ind w:right="63"/>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rPr>
        <w:t>如乙方在病案数字化加工过程中，由于自身原因造成甲方病案的丢失、损坏，乙方应全面负责由此引发法律纠纷而带来的损失，按实际损失全额赔偿。如出现病案等保密信息泄露情况，乙方应承担法律责任。</w:t>
      </w:r>
    </w:p>
    <w:p w14:paraId="59B1343C">
      <w:pPr>
        <w:tabs>
          <w:tab w:val="left" w:pos="955"/>
          <w:tab w:val="left" w:pos="1146"/>
        </w:tabs>
        <w:snapToGrid w:val="0"/>
        <w:spacing w:line="48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注：最终合同内容以采购人签署的合同为准。</w:t>
      </w:r>
    </w:p>
    <w:p w14:paraId="272D7E8B">
      <w:pPr>
        <w:pageBreakBefore w:val="0"/>
        <w:kinsoku/>
        <w:overflowPunct/>
        <w:topLinePunct w:val="0"/>
        <w:bidi w:val="0"/>
        <w:snapToGrid/>
        <w:spacing w:line="360" w:lineRule="auto"/>
        <w:jc w:val="center"/>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235" w:name="_Toc24662"/>
      <w:bookmarkStart w:id="236" w:name="_Toc28705"/>
      <w:bookmarkStart w:id="237" w:name="_Toc7549"/>
      <w:r>
        <w:rPr>
          <w:rFonts w:hint="eastAsia" w:ascii="仿宋" w:hAnsi="仿宋" w:eastAsia="仿宋" w:cs="仿宋"/>
          <w:b/>
          <w:bCs w:val="0"/>
          <w:color w:val="auto"/>
          <w:sz w:val="32"/>
          <w:szCs w:val="32"/>
          <w:highlight w:val="none"/>
        </w:rPr>
        <w:t>第五部分 项目说明及要求</w:t>
      </w:r>
      <w:bookmarkEnd w:id="235"/>
      <w:bookmarkEnd w:id="236"/>
      <w:bookmarkEnd w:id="237"/>
    </w:p>
    <w:p w14:paraId="3BA6401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38" w:name="_Toc29518"/>
      <w:bookmarkStart w:id="239" w:name="_Toc325620724"/>
      <w:bookmarkStart w:id="240" w:name="_Toc4764"/>
      <w:bookmarkStart w:id="241" w:name="_Toc356491328"/>
      <w:bookmarkStart w:id="242" w:name="_Toc42877310"/>
      <w:bookmarkStart w:id="243" w:name="_Toc11839"/>
      <w:bookmarkStart w:id="244" w:name="_Toc407632791"/>
      <w:bookmarkStart w:id="245" w:name="_Toc356490389"/>
      <w:r>
        <w:rPr>
          <w:rFonts w:hint="eastAsia" w:ascii="仿宋" w:hAnsi="仿宋" w:eastAsia="仿宋" w:cs="仿宋"/>
          <w:color w:val="auto"/>
          <w:sz w:val="24"/>
          <w:szCs w:val="24"/>
          <w:highlight w:val="none"/>
        </w:rPr>
        <w:t>一、项目名称</w:t>
      </w:r>
      <w:bookmarkEnd w:id="238"/>
      <w:bookmarkEnd w:id="239"/>
      <w:bookmarkEnd w:id="240"/>
      <w:bookmarkEnd w:id="241"/>
      <w:bookmarkEnd w:id="242"/>
      <w:bookmarkEnd w:id="243"/>
      <w:bookmarkEnd w:id="244"/>
      <w:bookmarkEnd w:id="245"/>
      <w:bookmarkStart w:id="246" w:name="_Toc325620725"/>
    </w:p>
    <w:bookmarkEnd w:id="246"/>
    <w:p w14:paraId="5AE0AB7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bookmarkStart w:id="247" w:name="_Toc356491329"/>
      <w:bookmarkStart w:id="248" w:name="_Toc407632792"/>
      <w:bookmarkStart w:id="249" w:name="_Toc356490390"/>
      <w:r>
        <w:rPr>
          <w:rFonts w:hint="eastAsia" w:ascii="仿宋" w:hAnsi="仿宋" w:eastAsia="仿宋" w:cs="仿宋"/>
          <w:color w:val="auto"/>
          <w:sz w:val="24"/>
          <w:szCs w:val="24"/>
          <w:highlight w:val="none"/>
          <w:lang w:eastAsia="zh-CN"/>
        </w:rPr>
        <w:t>山东大学第二医院历史病案扫描数字化加工服务项目</w:t>
      </w:r>
    </w:p>
    <w:p w14:paraId="6447F020">
      <w:pPr>
        <w:pStyle w:val="3"/>
        <w:pageBreakBefore w:val="0"/>
        <w:kinsoku/>
        <w:overflowPunct/>
        <w:topLinePunct w:val="0"/>
        <w:bidi w:val="0"/>
        <w:snapToGrid/>
        <w:spacing w:line="360" w:lineRule="auto"/>
        <w:rPr>
          <w:rFonts w:hint="eastAsia" w:ascii="仿宋" w:hAnsi="仿宋" w:eastAsia="仿宋" w:cs="仿宋"/>
          <w:b w:val="0"/>
          <w:color w:val="auto"/>
          <w:kern w:val="2"/>
          <w:sz w:val="24"/>
          <w:szCs w:val="24"/>
          <w:highlight w:val="none"/>
        </w:rPr>
      </w:pPr>
      <w:bookmarkStart w:id="250" w:name="_Toc20032"/>
      <w:bookmarkStart w:id="251" w:name="_Toc26505"/>
      <w:bookmarkStart w:id="252" w:name="_Toc42877311"/>
      <w:bookmarkStart w:id="253" w:name="_Toc2073"/>
      <w:r>
        <w:rPr>
          <w:rFonts w:hint="eastAsia" w:ascii="仿宋" w:hAnsi="仿宋" w:eastAsia="仿宋" w:cs="仿宋"/>
          <w:color w:val="auto"/>
          <w:sz w:val="24"/>
          <w:szCs w:val="24"/>
          <w:highlight w:val="none"/>
        </w:rPr>
        <w:t>二、项目说明</w:t>
      </w:r>
      <w:bookmarkEnd w:id="247"/>
      <w:bookmarkEnd w:id="248"/>
      <w:bookmarkEnd w:id="249"/>
      <w:bookmarkEnd w:id="250"/>
      <w:bookmarkEnd w:id="251"/>
      <w:bookmarkEnd w:id="252"/>
      <w:bookmarkEnd w:id="253"/>
    </w:p>
    <w:p w14:paraId="72B2C38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254" w:name="_Toc356491330"/>
      <w:bookmarkStart w:id="255" w:name="_Toc356490391"/>
      <w:bookmarkStart w:id="256" w:name="_Toc325620726"/>
      <w:r>
        <w:rPr>
          <w:rFonts w:hint="eastAsia" w:ascii="仿宋" w:hAnsi="仿宋" w:eastAsia="仿宋" w:cs="仿宋"/>
          <w:color w:val="auto"/>
          <w:sz w:val="24"/>
          <w:szCs w:val="24"/>
          <w:highlight w:val="none"/>
        </w:rPr>
        <w:t>1.本项目共</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个包，中标人不得对所投包内容分解后进行响应。</w:t>
      </w:r>
    </w:p>
    <w:p w14:paraId="39FD1BF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lang w:eastAsia="zh-CN"/>
        </w:rPr>
        <w:t>项目报价</w:t>
      </w:r>
      <w:r>
        <w:rPr>
          <w:rFonts w:hint="eastAsia" w:ascii="仿宋" w:hAnsi="仿宋" w:eastAsia="仿宋" w:cs="仿宋"/>
          <w:color w:val="auto"/>
          <w:sz w:val="24"/>
          <w:szCs w:val="24"/>
          <w:highlight w:val="none"/>
        </w:rPr>
        <w:t>不得超过最高控制价，否则作无效报价处理。</w:t>
      </w:r>
    </w:p>
    <w:p w14:paraId="74A7944A">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57" w:name="_Toc407632793"/>
      <w:bookmarkStart w:id="258" w:name="_Toc14542"/>
      <w:bookmarkStart w:id="259" w:name="_Toc24750"/>
      <w:bookmarkStart w:id="260" w:name="_Toc4994"/>
      <w:bookmarkStart w:id="261" w:name="_Toc42877312"/>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、商务条件</w:t>
      </w:r>
      <w:bookmarkEnd w:id="254"/>
      <w:bookmarkEnd w:id="255"/>
      <w:bookmarkEnd w:id="256"/>
      <w:bookmarkEnd w:id="257"/>
      <w:bookmarkEnd w:id="258"/>
      <w:bookmarkEnd w:id="259"/>
      <w:bookmarkEnd w:id="260"/>
      <w:bookmarkEnd w:id="261"/>
    </w:p>
    <w:p w14:paraId="599A9D67">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1、服务期：三年，合同签订之日至2028年3月1日之前，完成院方提供历史病案的数字化加工服务，并提交成品数据。</w:t>
      </w:r>
    </w:p>
    <w:p w14:paraId="160BC1AA">
      <w:pPr>
        <w:pageBreakBefore w:val="0"/>
        <w:kinsoku/>
        <w:overflowPunct/>
        <w:topLinePunct w:val="0"/>
        <w:bidi w:val="0"/>
        <w:snapToGrid/>
        <w:spacing w:line="360" w:lineRule="auto"/>
        <w:ind w:firstLine="480" w:firstLineChars="200"/>
        <w:rPr>
          <w:rFonts w:hint="default"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2、服务地点：山东大学第二医院病案室。</w:t>
      </w:r>
    </w:p>
    <w:p w14:paraId="418D3608">
      <w:pPr>
        <w:pageBreakBefore w:val="0"/>
        <w:kinsoku/>
        <w:overflowPunct/>
        <w:topLinePunct w:val="0"/>
        <w:bidi w:val="0"/>
        <w:snapToGrid/>
        <w:spacing w:line="360" w:lineRule="auto"/>
        <w:ind w:firstLine="480" w:firstLineChars="200"/>
        <w:rPr>
          <w:rFonts w:hint="default"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3、质保期：最后一次项目验收合格之日起，病案扫描数据一年数据维护服务。</w:t>
      </w:r>
    </w:p>
    <w:p w14:paraId="3F2C30B8">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4、付款方式：</w:t>
      </w:r>
      <w:r>
        <w:rPr>
          <w:rFonts w:hint="eastAsia" w:ascii="仿宋" w:hAnsi="仿宋" w:eastAsia="仿宋" w:cs="仿宋"/>
          <w:color w:val="auto"/>
          <w:sz w:val="24"/>
          <w:szCs w:val="24"/>
          <w:highlight w:val="none"/>
          <w:lang w:val="en-US" w:eastAsia="zh-CN"/>
        </w:rPr>
        <w:t>每半年验收一次，验收合格后，乙方根据实际的扫描页数依据单页价格核算数字化加工服务费，并依此开具发票，甲方在收到发票后30日历日内将金额的90%支付给乙方，剩余10%质量保证金在数字化扫描无质量问题后30日历日内无息支付给乙方</w:t>
      </w:r>
      <w:r>
        <w:rPr>
          <w:rFonts w:hint="eastAsia" w:ascii="仿宋" w:hAnsi="仿宋" w:eastAsia="仿宋" w:cs="仿宋"/>
          <w:bCs w:val="0"/>
          <w:color w:val="auto"/>
          <w:sz w:val="24"/>
          <w:szCs w:val="24"/>
          <w:highlight w:val="none"/>
          <w:lang w:val="en-US" w:eastAsia="zh-CN"/>
        </w:rPr>
        <w:t>。</w:t>
      </w:r>
    </w:p>
    <w:p w14:paraId="2A8152FD">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5、本项目预算：</w:t>
      </w:r>
      <w:bookmarkStart w:id="262" w:name="_Toc356490393"/>
      <w:bookmarkStart w:id="263" w:name="_Toc356491341"/>
      <w:r>
        <w:rPr>
          <w:rFonts w:hint="eastAsia" w:ascii="仿宋" w:hAnsi="仿宋" w:eastAsia="仿宋" w:cs="仿宋"/>
          <w:bCs w:val="0"/>
          <w:color w:val="auto"/>
          <w:sz w:val="24"/>
          <w:szCs w:val="24"/>
          <w:highlight w:val="none"/>
          <w:lang w:val="en-US" w:eastAsia="zh-CN"/>
        </w:rPr>
        <w:t>81.31万元/年,243.93万元/3年。</w:t>
      </w:r>
      <w:bookmarkStart w:id="264" w:name="_Toc31810"/>
      <w:bookmarkStart w:id="265" w:name="_Toc16289"/>
      <w:r>
        <w:rPr>
          <w:rFonts w:hint="eastAsia" w:ascii="仿宋" w:hAnsi="仿宋" w:eastAsia="仿宋" w:cs="仿宋"/>
          <w:bCs w:val="0"/>
          <w:color w:val="auto"/>
          <w:sz w:val="24"/>
          <w:szCs w:val="24"/>
          <w:highlight w:val="none"/>
          <w:lang w:val="en-US" w:eastAsia="zh-CN"/>
        </w:rPr>
        <w:t>单价控制价：0.085元/页。</w:t>
      </w:r>
    </w:p>
    <w:p w14:paraId="50A34939">
      <w:pPr>
        <w:numPr>
          <w:ilvl w:val="0"/>
          <w:numId w:val="0"/>
        </w:numPr>
        <w:spacing w:line="360" w:lineRule="auto"/>
        <w:ind w:left="360" w:leftChars="0" w:hanging="36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SA"/>
        </w:rPr>
        <w:t>四、</w:t>
      </w:r>
      <w:bookmarkEnd w:id="264"/>
      <w:bookmarkEnd w:id="265"/>
      <w:bookmarkStart w:id="266" w:name="_Toc15105"/>
      <w:bookmarkStart w:id="267" w:name="_Toc23109"/>
      <w:r>
        <w:rPr>
          <w:rFonts w:hint="eastAsia" w:ascii="仿宋" w:hAnsi="仿宋" w:eastAsia="仿宋" w:cs="仿宋"/>
          <w:b/>
          <w:bCs/>
          <w:color w:val="auto"/>
          <w:sz w:val="24"/>
          <w:szCs w:val="24"/>
          <w:highlight w:val="none"/>
        </w:rPr>
        <w:t>采购内容及项目要求、技术参数</w:t>
      </w:r>
    </w:p>
    <w:p w14:paraId="549E48A0">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病案数字化加工服务要求：</w:t>
      </w:r>
    </w:p>
    <w:p w14:paraId="67EFC31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1）服务方须使用院方现有无纸化系统和病案数字化系统进行数字化加工，服务方使用的扫描仪须适配无纸化系统和病案数字化系统支持的高清扫描仪型号(系统支持的扫描仪具体型号和扫描电脑基础配置参照附件1），</w:t>
      </w:r>
      <w:r>
        <w:rPr>
          <w:rFonts w:hint="eastAsia" w:ascii="仿宋" w:hAnsi="仿宋" w:eastAsia="仿宋" w:cs="仿宋"/>
          <w:color w:val="auto"/>
          <w:sz w:val="24"/>
          <w:szCs w:val="24"/>
          <w:highlight w:val="none"/>
        </w:rPr>
        <w:t>扫描设备配备</w:t>
      </w:r>
      <w:r>
        <w:rPr>
          <w:rFonts w:hint="eastAsia" w:ascii="仿宋" w:hAnsi="仿宋" w:eastAsia="仿宋" w:cs="仿宋"/>
          <w:color w:val="auto"/>
          <w:sz w:val="24"/>
          <w:szCs w:val="24"/>
          <w:highlight w:val="none"/>
          <w:lang w:val="en-US" w:eastAsia="zh-CN"/>
        </w:rPr>
        <w:t>不少于5</w:t>
      </w:r>
      <w:r>
        <w:rPr>
          <w:rFonts w:hint="eastAsia" w:ascii="仿宋" w:hAnsi="仿宋" w:eastAsia="仿宋" w:cs="仿宋"/>
          <w:color w:val="auto"/>
          <w:sz w:val="24"/>
          <w:szCs w:val="24"/>
          <w:highlight w:val="none"/>
        </w:rPr>
        <w:t>台电脑，3台高速高清扫描仪，若干高拍，根据工作量进度实时调整。</w:t>
      </w:r>
    </w:p>
    <w:p w14:paraId="35F20C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扫描要做到分类准确，不漏扫，不模糊，不缺扫，扫描图片不模糊，无手指印等，高清扫描仪分辨率：≥200Ddpi (满足实际浏览、打印需要) ，图像格式TIFF/JPG/PDF，支持黑白、彩色，扫描速度≥80张/分钟。</w:t>
      </w:r>
    </w:p>
    <w:p w14:paraId="7BB300F7">
      <w:pPr>
        <w:numPr>
          <w:ilvl w:val="0"/>
          <w:numId w:val="0"/>
        </w:num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服务方须在合同签订后5日内进场并完成病案扫描加工所需硬件设备的搭建及安装调试，并经甲方确认。如合同签订后的5日内不能完成，无法产出病案电子化数据，则视为自动放弃中标权益并解除合同，服务方应负担由此引发的法律纠纷和造成的损失。</w:t>
      </w:r>
      <w:r>
        <w:rPr>
          <w:rFonts w:hint="eastAsia" w:ascii="仿宋" w:hAnsi="仿宋" w:eastAsia="仿宋" w:cs="仿宋"/>
          <w:b/>
          <w:bCs w:val="0"/>
          <w:color w:val="auto"/>
          <w:sz w:val="24"/>
          <w:szCs w:val="24"/>
          <w:highlight w:val="none"/>
          <w:lang w:val="en-US" w:eastAsia="zh-CN"/>
        </w:rPr>
        <w:t>（投标文件中须提供承诺函）</w:t>
      </w:r>
    </w:p>
    <w:p w14:paraId="69DB24C8">
      <w:pPr>
        <w:numPr>
          <w:ilvl w:val="0"/>
          <w:numId w:val="0"/>
        </w:num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3）纸质病案本身因为打印时墨粉颜色较浅的，要切换为彩色模式进行扫描。</w:t>
      </w:r>
    </w:p>
    <w:p w14:paraId="27F35824">
      <w:pPr>
        <w:numPr>
          <w:ilvl w:val="0"/>
          <w:numId w:val="0"/>
        </w:num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4）数据补录（基础信息录入）。对患者姓名、出院科室、出院时间等信息手动添加补录。</w:t>
      </w:r>
    </w:p>
    <w:p w14:paraId="245877A5">
      <w:pPr>
        <w:numPr>
          <w:ilvl w:val="0"/>
          <w:numId w:val="0"/>
        </w:num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5）对扫描完成的病案次日完成全部质控并全部修正完成。质控内容包括病案的姓名、清晰度、完整度、编目正确等。</w:t>
      </w:r>
    </w:p>
    <w:p w14:paraId="3F5CDE5A">
      <w:pPr>
        <w:numPr>
          <w:ilvl w:val="0"/>
          <w:numId w:val="0"/>
        </w:num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6）签收、扫描、上架环节均需条形码管理、示踪。</w:t>
      </w:r>
    </w:p>
    <w:p w14:paraId="17AFB7FA">
      <w:pPr>
        <w:numPr>
          <w:ilvl w:val="0"/>
          <w:numId w:val="0"/>
        </w:num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7）将病案重新装订完成，放入打包箱存放。中标人需提供纸箱、胶带、订书机、钉、工作电脑、打印条码的机器等机器及耗材。病案纸箱规格要求：纸箱尺寸 36x25x34cm,约装40-50份病案，纸箱厚度为五瓦楞加厚。</w:t>
      </w:r>
    </w:p>
    <w:p w14:paraId="64B75741">
      <w:pPr>
        <w:numPr>
          <w:ilvl w:val="0"/>
          <w:numId w:val="0"/>
        </w:num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8）扫描完成的病案要按照顺序摆放整齐。不得出现乱号、错号现象。并完成打包。将打包完成的病案进行库房有序归档。</w:t>
      </w:r>
    </w:p>
    <w:p w14:paraId="734D1945">
      <w:pPr>
        <w:numPr>
          <w:ilvl w:val="0"/>
          <w:numId w:val="0"/>
        </w:num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投入本项目的人员要求：根据历史病案数、工期和科室内空间，拟派熟练工作人员5人，每人≥2年的同类项目工作经验（提供证明材料）。按时完成工作(3个扫描+1个质控人员+1个打包上架人员)，扫描人员需熟悉病历构成，有病历扫描经验，平均每人每天需完成0.8万页以上的数字化加工归档。</w:t>
      </w:r>
    </w:p>
    <w:p w14:paraId="68BA447E">
      <w:pPr>
        <w:numPr>
          <w:ilvl w:val="0"/>
          <w:numId w:val="0"/>
        </w:num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服务方提供的5名工作人员驻场服务，驻场工作人员必须有一人为管理人员，管理人员须具备相关项目经验并证明且提供既往成功案例。须提供拟派服务人员在本单位内近3个月内任意一个月的社保证明。工作人员应为常驻工作人员，不得临时调换，特殊情况下，需经使用科室同意后方可调换工作人员，调换人员须满足上述要求。驻场人员根据院方情况随时调整工作时间。驻场工作人员不得乱丢乱放病案、不得大声喧哗，如出现此类扰乱病案管理秩序的状况院方有权要求相应人员立即离开驻场工作地，不得再参加此项目工作。院方有权相应扣除当期（半年结算周期）10%质保金作为违约金。</w:t>
      </w:r>
    </w:p>
    <w:p w14:paraId="308F2B87">
      <w:pPr>
        <w:numPr>
          <w:ilvl w:val="0"/>
          <w:numId w:val="0"/>
        </w:num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10）提供数字化加工服务所必要的计算机、扫描仪、高拍仪、扫描枪、装订机、胶水、装订针、纸箱、条码、</w:t>
      </w:r>
      <w:r>
        <w:rPr>
          <w:rFonts w:hint="eastAsia" w:ascii="仿宋" w:hAnsi="仿宋" w:eastAsia="仿宋" w:cs="仿宋"/>
          <w:color w:val="auto"/>
          <w:sz w:val="24"/>
          <w:szCs w:val="24"/>
          <w:highlight w:val="none"/>
        </w:rPr>
        <w:t>桌椅</w:t>
      </w:r>
      <w:r>
        <w:rPr>
          <w:rFonts w:hint="eastAsia" w:ascii="仿宋" w:hAnsi="仿宋" w:eastAsia="仿宋" w:cs="仿宋"/>
          <w:bCs/>
          <w:color w:val="auto"/>
          <w:sz w:val="24"/>
          <w:szCs w:val="24"/>
          <w:highlight w:val="none"/>
          <w:lang w:val="en-US" w:eastAsia="zh-CN"/>
        </w:rPr>
        <w:t>等设备耗材。</w:t>
      </w:r>
    </w:p>
    <w:p w14:paraId="602F4623">
      <w:pPr>
        <w:numPr>
          <w:ilvl w:val="0"/>
          <w:numId w:val="0"/>
        </w:num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服务方同意根据《国家保密法》的规定，保护所接触的医院资料和数据的信息安全，当服务方公司工作人员有违反保密规定的行为导致医疗信息泄露时，院方有权马上终止合同执行，追偿损失。服务方在病案数字化加工过程中，由于自身原因造成院方病案的丢失、损坏，服务方应全面负责由此引发法律纠纷而带来的损失，按实际损失全额赔偿。</w:t>
      </w:r>
    </w:p>
    <w:p w14:paraId="4A51B466">
      <w:pPr>
        <w:numPr>
          <w:ilvl w:val="0"/>
          <w:numId w:val="5"/>
        </w:numPr>
        <w:spacing w:line="360" w:lineRule="auto"/>
        <w:ind w:firstLine="480" w:firstLineChars="200"/>
        <w:rPr>
          <w:rFonts w:hint="eastAsia" w:ascii="仿宋" w:hAnsi="仿宋" w:eastAsia="仿宋" w:cs="仿宋"/>
          <w:bCs/>
          <w:color w:val="auto"/>
          <w:sz w:val="24"/>
          <w:szCs w:val="24"/>
          <w:highlight w:val="none"/>
          <w:u w:val="single"/>
          <w:lang w:val="en-US" w:eastAsia="zh-CN"/>
        </w:rPr>
      </w:pPr>
      <w:r>
        <w:rPr>
          <w:rFonts w:hint="eastAsia" w:ascii="仿宋" w:hAnsi="仿宋" w:eastAsia="仿宋" w:cs="仿宋"/>
          <w:bCs/>
          <w:color w:val="auto"/>
          <w:sz w:val="24"/>
          <w:szCs w:val="24"/>
          <w:highlight w:val="none"/>
          <w:u w:val="single"/>
          <w:lang w:val="en-US" w:eastAsia="zh-CN"/>
        </w:rPr>
        <w:t xml:space="preserve">★采用医院提供的病案无纸化系统扫描加工软件进行图像加工、索引、质控、示踪入库等功能。 </w:t>
      </w:r>
    </w:p>
    <w:p w14:paraId="33B84349">
      <w:pPr>
        <w:numPr>
          <w:ilvl w:val="0"/>
          <w:numId w:val="5"/>
        </w:numPr>
        <w:spacing w:line="360" w:lineRule="auto"/>
        <w:ind w:firstLine="480" w:firstLineChars="200"/>
        <w:rPr>
          <w:rFonts w:hint="default" w:ascii="仿宋" w:hAnsi="仿宋" w:eastAsia="仿宋" w:cs="仿宋"/>
          <w:bCs/>
          <w:color w:val="auto"/>
          <w:sz w:val="24"/>
          <w:szCs w:val="24"/>
          <w:highlight w:val="none"/>
          <w:u w:val="single"/>
          <w:lang w:val="en-US" w:eastAsia="zh-CN"/>
        </w:rPr>
      </w:pPr>
      <w:r>
        <w:rPr>
          <w:rFonts w:hint="eastAsia" w:ascii="仿宋" w:hAnsi="仿宋" w:eastAsia="仿宋" w:cs="仿宋"/>
          <w:bCs/>
          <w:color w:val="auto"/>
          <w:sz w:val="24"/>
          <w:szCs w:val="24"/>
          <w:highlight w:val="none"/>
          <w:u w:val="single"/>
          <w:lang w:val="en-US" w:eastAsia="zh-CN"/>
        </w:rPr>
        <w:t>病案数字化加工技术指标 详见附件2。</w:t>
      </w:r>
    </w:p>
    <w:p w14:paraId="33DF2096">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病案扫描基本要求：</w:t>
      </w:r>
    </w:p>
    <w:p w14:paraId="12083809">
      <w:pPr>
        <w:numPr>
          <w:ilvl w:val="0"/>
          <w:numId w:val="0"/>
        </w:numPr>
        <w:spacing w:line="360" w:lineRule="auto"/>
        <w:ind w:firstLine="480" w:firstLineChars="200"/>
        <w:rPr>
          <w:rFonts w:hint="eastAsia" w:ascii="仿宋" w:hAnsi="仿宋" w:eastAsia="仿宋" w:cs="仿宋"/>
          <w:bCs/>
          <w:color w:val="auto"/>
          <w:sz w:val="24"/>
          <w:szCs w:val="24"/>
          <w:highlight w:val="none"/>
          <w:u w:val="single"/>
          <w:lang w:val="en-US" w:eastAsia="zh-CN"/>
        </w:rPr>
      </w:pPr>
      <w:r>
        <w:rPr>
          <w:rFonts w:hint="eastAsia" w:ascii="仿宋" w:hAnsi="仿宋" w:eastAsia="仿宋" w:cs="仿宋"/>
          <w:bCs/>
          <w:color w:val="auto"/>
          <w:sz w:val="24"/>
          <w:szCs w:val="24"/>
          <w:highlight w:val="none"/>
          <w:u w:val="single"/>
          <w:lang w:val="en-US" w:eastAsia="zh-CN"/>
        </w:rPr>
        <w:t xml:space="preserve">▲1)采用医院提供病案无纸化系统的扫描加工软件进行图像加工、索引、质控、示踪入库等数字化加工服务。 </w:t>
      </w:r>
    </w:p>
    <w:p w14:paraId="4F491882">
      <w:pPr>
        <w:numPr>
          <w:ilvl w:val="0"/>
          <w:numId w:val="0"/>
        </w:numPr>
        <w:spacing w:line="360" w:lineRule="auto"/>
        <w:ind w:firstLine="480" w:firstLineChars="200"/>
        <w:rPr>
          <w:rFonts w:hint="eastAsia" w:ascii="仿宋" w:hAnsi="仿宋" w:eastAsia="仿宋" w:cs="仿宋"/>
          <w:bCs/>
          <w:color w:val="auto"/>
          <w:sz w:val="24"/>
          <w:szCs w:val="24"/>
          <w:highlight w:val="none"/>
          <w:u w:val="single"/>
          <w:lang w:val="en-US" w:eastAsia="zh-CN"/>
        </w:rPr>
      </w:pPr>
      <w:r>
        <w:rPr>
          <w:rFonts w:hint="eastAsia" w:ascii="仿宋" w:hAnsi="仿宋" w:eastAsia="仿宋" w:cs="仿宋"/>
          <w:bCs/>
          <w:color w:val="auto"/>
          <w:sz w:val="24"/>
          <w:szCs w:val="24"/>
          <w:highlight w:val="none"/>
          <w:u w:val="single"/>
          <w:lang w:val="en-US" w:eastAsia="zh-CN"/>
        </w:rPr>
        <w:t>▲2)病案日常扫描需要使用高清扫描仪扫描为主，支持漏页检测、双面扫描功能。要求提供A3幅面记录单不拼接一次性扫描完成。除纸张不符合要求的可以使用高拍仪外，其它不接受照相机、高拍仪等。</w:t>
      </w:r>
    </w:p>
    <w:p w14:paraId="6732BDD2">
      <w:pPr>
        <w:numPr>
          <w:ilvl w:val="0"/>
          <w:numId w:val="0"/>
        </w:numPr>
        <w:spacing w:line="360" w:lineRule="auto"/>
        <w:ind w:firstLine="480" w:firstLineChars="200"/>
        <w:rPr>
          <w:rFonts w:hint="eastAsia" w:ascii="仿宋" w:hAnsi="仿宋" w:eastAsia="仿宋" w:cs="仿宋"/>
          <w:bCs/>
          <w:color w:val="auto"/>
          <w:sz w:val="24"/>
          <w:szCs w:val="24"/>
          <w:highlight w:val="none"/>
          <w:u w:val="single"/>
          <w:lang w:val="en-US" w:eastAsia="zh-CN"/>
        </w:rPr>
      </w:pPr>
      <w:r>
        <w:rPr>
          <w:rFonts w:hint="eastAsia" w:ascii="仿宋" w:hAnsi="仿宋" w:eastAsia="仿宋" w:cs="仿宋"/>
          <w:bCs/>
          <w:color w:val="auto"/>
          <w:sz w:val="24"/>
          <w:szCs w:val="24"/>
          <w:highlight w:val="none"/>
          <w:u w:val="single"/>
          <w:lang w:val="en-US" w:eastAsia="zh-CN"/>
        </w:rPr>
        <w:t>▲</w:t>
      </w:r>
      <w:r>
        <w:rPr>
          <w:rFonts w:hint="eastAsia" w:ascii="仿宋" w:hAnsi="仿宋" w:eastAsia="仿宋" w:cs="仿宋"/>
          <w:bCs/>
          <w:color w:val="auto"/>
          <w:kern w:val="2"/>
          <w:sz w:val="24"/>
          <w:szCs w:val="24"/>
          <w:highlight w:val="none"/>
          <w:u w:val="single"/>
          <w:lang w:val="en-US" w:eastAsia="zh-CN" w:bidi="ar-SA"/>
        </w:rPr>
        <w:t>3)</w:t>
      </w:r>
      <w:r>
        <w:rPr>
          <w:rFonts w:hint="eastAsia" w:ascii="仿宋" w:hAnsi="仿宋" w:eastAsia="仿宋" w:cs="仿宋"/>
          <w:bCs/>
          <w:color w:val="auto"/>
          <w:sz w:val="24"/>
          <w:szCs w:val="24"/>
          <w:highlight w:val="none"/>
          <w:u w:val="single"/>
          <w:lang w:val="en-US" w:eastAsia="zh-CN"/>
        </w:rPr>
        <w:t>打印条形码粘贴病案封皮上，条形码需数据补录（基础信息录入）。对患者姓名、出院科室、身份证号码等核对无误后手动添加补录。</w:t>
      </w:r>
    </w:p>
    <w:p w14:paraId="73CC71C1">
      <w:pPr>
        <w:numPr>
          <w:ilvl w:val="0"/>
          <w:numId w:val="0"/>
        </w:numPr>
        <w:spacing w:line="360" w:lineRule="auto"/>
        <w:ind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4）通过纸质病案首页的条形码自动识别病案内容，并记录扫描起止时间和工作人员，以及扫描工作量.</w:t>
      </w:r>
    </w:p>
    <w:p w14:paraId="20E8E6C0">
      <w:pPr>
        <w:numPr>
          <w:ilvl w:val="0"/>
          <w:numId w:val="0"/>
        </w:numPr>
        <w:spacing w:line="360" w:lineRule="auto"/>
        <w:ind w:firstLine="480" w:firstLineChars="200"/>
        <w:rPr>
          <w:rFonts w:hint="eastAsia" w:ascii="仿宋" w:hAnsi="仿宋" w:eastAsia="仿宋" w:cs="仿宋"/>
          <w:bCs/>
          <w:color w:val="auto"/>
          <w:sz w:val="24"/>
          <w:szCs w:val="24"/>
          <w:highlight w:val="none"/>
          <w:u w:val="single"/>
          <w:lang w:val="en-US" w:eastAsia="zh-CN"/>
        </w:rPr>
      </w:pPr>
      <w:r>
        <w:rPr>
          <w:rFonts w:hint="eastAsia" w:ascii="仿宋" w:hAnsi="仿宋" w:eastAsia="仿宋" w:cs="仿宋"/>
          <w:bCs/>
          <w:color w:val="auto"/>
          <w:sz w:val="24"/>
          <w:szCs w:val="24"/>
          <w:highlight w:val="none"/>
          <w:u w:val="single"/>
          <w:lang w:val="en-US" w:eastAsia="zh-CN"/>
        </w:rPr>
        <w:t>▲5)使用院方无纸化系统支持的高清扫描仪型号（扫描仪分辨率≥200 dpi、扫描速度≥40页/分钟，支持黑白、彩色扫描），并要适配医院无纸化扫描系统（无纸化系统支持扫描仪具体型号和扫描电脑基础配置参照 附件1）。扫描过程中保留原始病案的完整性，无损坏。图像编目使用医院无纸化系统手动编目，扫描过程中需要进行图像质检和图像修正，保证图像质量。具有专职扫描质控人员对所有扫描病案及时进行扫描图像质控，质控扫描图像端正清晰准确不折角、不带空白页，编目索引与图像链接正确，符合阅读，还原要求。院方要求专职质控人员对所有扫描病案及时进行图像质控检查并及时整改，是全面质控，不允许抽查，扫描病案检查率100%，质控后合格率100%。</w:t>
      </w:r>
    </w:p>
    <w:p w14:paraId="3498ACAA">
      <w:pPr>
        <w:numPr>
          <w:ilvl w:val="0"/>
          <w:numId w:val="0"/>
        </w:num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6）示踪模块执行签收时，记录送交人、送交时间、签收人和签收时间，服务方打印出本次的送交明细，作为核对凭证。</w:t>
      </w:r>
    </w:p>
    <w:p w14:paraId="0FE42088">
      <w:pPr>
        <w:numPr>
          <w:ilvl w:val="0"/>
          <w:numId w:val="0"/>
        </w:numPr>
        <w:spacing w:line="360" w:lineRule="auto"/>
        <w:ind w:firstLine="480" w:firstLineChars="200"/>
        <w:rPr>
          <w:rFonts w:hint="eastAsia" w:ascii="仿宋" w:hAnsi="仿宋" w:eastAsia="仿宋" w:cs="仿宋"/>
          <w:bCs/>
          <w:color w:val="auto"/>
          <w:sz w:val="24"/>
          <w:szCs w:val="24"/>
          <w:highlight w:val="none"/>
          <w:u w:val="single"/>
          <w:lang w:val="en-US" w:eastAsia="zh-CN"/>
        </w:rPr>
      </w:pPr>
      <w:r>
        <w:rPr>
          <w:rFonts w:hint="eastAsia" w:ascii="仿宋" w:hAnsi="仿宋" w:eastAsia="仿宋" w:cs="仿宋"/>
          <w:bCs/>
          <w:color w:val="auto"/>
          <w:sz w:val="24"/>
          <w:szCs w:val="24"/>
          <w:highlight w:val="none"/>
          <w:u w:val="single"/>
          <w:lang w:val="en-US" w:eastAsia="zh-CN"/>
        </w:rPr>
        <w:t>▲7)扫描的病案影像质量需满足临床和病案室浏览端调阅、复印窗口和自助打印机打印的要求。</w:t>
      </w:r>
    </w:p>
    <w:p w14:paraId="169F5822">
      <w:pPr>
        <w:spacing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三</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rPr>
        <w:t>售后服务</w:t>
      </w:r>
    </w:p>
    <w:p w14:paraId="713D8668">
      <w:pPr>
        <w:numPr>
          <w:ilvl w:val="0"/>
          <w:numId w:val="0"/>
        </w:num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数字化加工扫描件质保期内维护</w:t>
      </w:r>
      <w:r>
        <w:rPr>
          <w:rFonts w:hint="eastAsia" w:ascii="仿宋" w:hAnsi="仿宋" w:eastAsia="仿宋" w:cs="仿宋"/>
          <w:bCs/>
          <w:color w:val="auto"/>
          <w:sz w:val="24"/>
          <w:szCs w:val="24"/>
          <w:highlight w:val="none"/>
        </w:rPr>
        <w:t>的响应时间：7×24小时，2小时内故障修复。若电话中无法解决，4小时内到达现场进行维护。</w:t>
      </w:r>
    </w:p>
    <w:p w14:paraId="2DECEBD8">
      <w:pPr>
        <w:spacing w:line="360" w:lineRule="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（四）服务方可满足院方《山东大学第二医院历史病案扫描数字化加工服务项目服务合同书》</w:t>
      </w:r>
    </w:p>
    <w:p w14:paraId="6D2F742A">
      <w:pPr>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附件1 无纸化系统支持扫描仪型号和扫描电脑基础配置清单</w:t>
      </w:r>
    </w:p>
    <w:tbl>
      <w:tblPr>
        <w:tblStyle w:val="39"/>
        <w:tblW w:w="8379" w:type="dxa"/>
        <w:tblInd w:w="93" w:type="dxa"/>
        <w:tblLayout w:type="autofit"/>
        <w:tblCellMar>
          <w:top w:w="0" w:type="dxa"/>
          <w:left w:w="108" w:type="dxa"/>
          <w:bottom w:w="0" w:type="dxa"/>
          <w:right w:w="108" w:type="dxa"/>
        </w:tblCellMar>
      </w:tblPr>
      <w:tblGrid>
        <w:gridCol w:w="1080"/>
        <w:gridCol w:w="1080"/>
        <w:gridCol w:w="1080"/>
        <w:gridCol w:w="1453"/>
        <w:gridCol w:w="2126"/>
        <w:gridCol w:w="1560"/>
      </w:tblGrid>
      <w:tr w14:paraId="2A8C01A4">
        <w:tblPrEx>
          <w:tblCellMar>
            <w:top w:w="0" w:type="dxa"/>
            <w:left w:w="108" w:type="dxa"/>
            <w:bottom w:w="0" w:type="dxa"/>
            <w:right w:w="108" w:type="dxa"/>
          </w:tblCellMar>
        </w:tblPrEx>
        <w:trPr>
          <w:trHeight w:val="300" w:hRule="atLeast"/>
        </w:trPr>
        <w:tc>
          <w:tcPr>
            <w:tcW w:w="8379" w:type="dxa"/>
            <w:gridSpan w:val="6"/>
            <w:tcBorders>
              <w:top w:val="single" w:color="auto" w:sz="8" w:space="0"/>
              <w:left w:val="single" w:color="auto" w:sz="8" w:space="0"/>
              <w:bottom w:val="single" w:color="000000" w:sz="8" w:space="0"/>
              <w:right w:val="single" w:color="000000" w:sz="8" w:space="0"/>
            </w:tcBorders>
            <w:noWrap w:val="0"/>
            <w:vAlign w:val="center"/>
          </w:tcPr>
          <w:p w14:paraId="0C0104E4">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硬件要求</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不低于以下配置）</w:t>
            </w:r>
          </w:p>
        </w:tc>
      </w:tr>
      <w:tr w14:paraId="1B14487B">
        <w:tblPrEx>
          <w:tblCellMar>
            <w:top w:w="0" w:type="dxa"/>
            <w:left w:w="108" w:type="dxa"/>
            <w:bottom w:w="0" w:type="dxa"/>
            <w:right w:w="108" w:type="dxa"/>
          </w:tblCellMar>
        </w:tblPrEx>
        <w:trPr>
          <w:trHeight w:val="300" w:hRule="atLeast"/>
        </w:trPr>
        <w:tc>
          <w:tcPr>
            <w:tcW w:w="8379" w:type="dxa"/>
            <w:gridSpan w:val="6"/>
            <w:tcBorders>
              <w:top w:val="single" w:color="000000" w:sz="8" w:space="0"/>
              <w:left w:val="single" w:color="auto" w:sz="8" w:space="0"/>
              <w:bottom w:val="single" w:color="auto" w:sz="8" w:space="0"/>
              <w:right w:val="single" w:color="000000" w:sz="8" w:space="0"/>
            </w:tcBorders>
            <w:noWrap w:val="0"/>
            <w:vAlign w:val="center"/>
          </w:tcPr>
          <w:p w14:paraId="7AEEF796">
            <w:pPr>
              <w:widowControl/>
              <w:spacing w:line="360" w:lineRule="auto"/>
              <w:jc w:val="left"/>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rPr>
              <w:t>一、硬件配置清单</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经测试，以下设备可接入医院病案无纸化系统扫描加工软件，仅供参考）</w:t>
            </w:r>
          </w:p>
        </w:tc>
      </w:tr>
      <w:tr w14:paraId="355A07AE">
        <w:tblPrEx>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noWrap w:val="0"/>
            <w:vAlign w:val="center"/>
          </w:tcPr>
          <w:p w14:paraId="6D8C8866">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硬件名称</w:t>
            </w:r>
          </w:p>
        </w:tc>
        <w:tc>
          <w:tcPr>
            <w:tcW w:w="1080" w:type="dxa"/>
            <w:tcBorders>
              <w:top w:val="nil"/>
              <w:left w:val="nil"/>
              <w:bottom w:val="single" w:color="000000" w:sz="8" w:space="0"/>
              <w:right w:val="single" w:color="000000" w:sz="8" w:space="0"/>
            </w:tcBorders>
            <w:noWrap w:val="0"/>
            <w:vAlign w:val="center"/>
          </w:tcPr>
          <w:p w14:paraId="41B1AD11">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品牌</w:t>
            </w:r>
          </w:p>
        </w:tc>
        <w:tc>
          <w:tcPr>
            <w:tcW w:w="2533" w:type="dxa"/>
            <w:gridSpan w:val="2"/>
            <w:tcBorders>
              <w:top w:val="nil"/>
              <w:left w:val="nil"/>
              <w:bottom w:val="single" w:color="000000" w:sz="8" w:space="0"/>
              <w:right w:val="single" w:color="000000" w:sz="8" w:space="0"/>
            </w:tcBorders>
            <w:noWrap w:val="0"/>
            <w:vAlign w:val="center"/>
          </w:tcPr>
          <w:p w14:paraId="35C0C5E1">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型号</w:t>
            </w:r>
          </w:p>
        </w:tc>
        <w:tc>
          <w:tcPr>
            <w:tcW w:w="2126" w:type="dxa"/>
            <w:tcBorders>
              <w:top w:val="nil"/>
              <w:left w:val="nil"/>
              <w:bottom w:val="single" w:color="000000" w:sz="8" w:space="0"/>
              <w:right w:val="single" w:color="000000" w:sz="8" w:space="0"/>
            </w:tcBorders>
            <w:noWrap w:val="0"/>
            <w:vAlign w:val="center"/>
          </w:tcPr>
          <w:p w14:paraId="59DB34C3">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支持浏览器</w:t>
            </w:r>
          </w:p>
        </w:tc>
        <w:tc>
          <w:tcPr>
            <w:tcW w:w="1560" w:type="dxa"/>
            <w:tcBorders>
              <w:top w:val="nil"/>
              <w:left w:val="nil"/>
              <w:bottom w:val="single" w:color="000000" w:sz="8" w:space="0"/>
              <w:right w:val="single" w:color="000000" w:sz="8" w:space="0"/>
            </w:tcBorders>
            <w:noWrap w:val="0"/>
            <w:vAlign w:val="center"/>
          </w:tcPr>
          <w:p w14:paraId="7ABBD229">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web/客户端</w:t>
            </w:r>
          </w:p>
        </w:tc>
      </w:tr>
      <w:tr w14:paraId="0E74A312">
        <w:tblPrEx>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nil"/>
              <w:right w:val="single" w:color="000000" w:sz="8" w:space="0"/>
            </w:tcBorders>
            <w:noWrap w:val="0"/>
            <w:vAlign w:val="center"/>
          </w:tcPr>
          <w:p w14:paraId="4E324388">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扫描仪</w:t>
            </w:r>
          </w:p>
        </w:tc>
        <w:tc>
          <w:tcPr>
            <w:tcW w:w="1080" w:type="dxa"/>
            <w:tcBorders>
              <w:top w:val="nil"/>
              <w:left w:val="nil"/>
              <w:bottom w:val="single" w:color="000000" w:sz="8" w:space="0"/>
              <w:right w:val="single" w:color="000000" w:sz="8" w:space="0"/>
            </w:tcBorders>
            <w:noWrap w:val="0"/>
            <w:vAlign w:val="center"/>
          </w:tcPr>
          <w:p w14:paraId="73682902">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松下</w:t>
            </w:r>
          </w:p>
        </w:tc>
        <w:tc>
          <w:tcPr>
            <w:tcW w:w="2533" w:type="dxa"/>
            <w:gridSpan w:val="2"/>
            <w:tcBorders>
              <w:top w:val="single" w:color="000000" w:sz="8" w:space="0"/>
              <w:left w:val="nil"/>
              <w:bottom w:val="single" w:color="000000" w:sz="8" w:space="0"/>
              <w:right w:val="single" w:color="000000" w:sz="8" w:space="0"/>
            </w:tcBorders>
            <w:noWrap w:val="0"/>
            <w:vAlign w:val="center"/>
          </w:tcPr>
          <w:p w14:paraId="4F2EB52C">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松下5046/5055</w:t>
            </w:r>
          </w:p>
        </w:tc>
        <w:tc>
          <w:tcPr>
            <w:tcW w:w="2126" w:type="dxa"/>
            <w:tcBorders>
              <w:top w:val="nil"/>
              <w:left w:val="nil"/>
              <w:bottom w:val="single" w:color="000000" w:sz="8" w:space="0"/>
              <w:right w:val="single" w:color="000000" w:sz="8" w:space="0"/>
            </w:tcBorders>
            <w:noWrap w:val="0"/>
            <w:vAlign w:val="center"/>
          </w:tcPr>
          <w:p w14:paraId="20FC690A">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仅IE11</w:t>
            </w:r>
          </w:p>
        </w:tc>
        <w:tc>
          <w:tcPr>
            <w:tcW w:w="1560" w:type="dxa"/>
            <w:tcBorders>
              <w:top w:val="nil"/>
              <w:left w:val="nil"/>
              <w:bottom w:val="single" w:color="000000" w:sz="8" w:space="0"/>
              <w:right w:val="single" w:color="000000" w:sz="8" w:space="0"/>
            </w:tcBorders>
            <w:noWrap w:val="0"/>
            <w:vAlign w:val="center"/>
          </w:tcPr>
          <w:p w14:paraId="3E343ED4">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web</w:t>
            </w:r>
          </w:p>
        </w:tc>
      </w:tr>
      <w:tr w14:paraId="3B7CDEA6">
        <w:tblPrEx>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nil"/>
              <w:right w:val="single" w:color="000000" w:sz="8" w:space="0"/>
            </w:tcBorders>
            <w:noWrap w:val="0"/>
            <w:vAlign w:val="center"/>
          </w:tcPr>
          <w:p w14:paraId="7D571569">
            <w:pPr>
              <w:widowControl/>
              <w:spacing w:line="360" w:lineRule="auto"/>
              <w:jc w:val="left"/>
              <w:rPr>
                <w:rFonts w:hint="eastAsia" w:ascii="仿宋" w:hAnsi="仿宋" w:eastAsia="仿宋" w:cs="仿宋"/>
                <w:color w:val="auto"/>
                <w:kern w:val="0"/>
                <w:sz w:val="24"/>
                <w:szCs w:val="24"/>
                <w:highlight w:val="none"/>
              </w:rPr>
            </w:pPr>
          </w:p>
        </w:tc>
        <w:tc>
          <w:tcPr>
            <w:tcW w:w="1080" w:type="dxa"/>
            <w:tcBorders>
              <w:top w:val="nil"/>
              <w:left w:val="nil"/>
              <w:bottom w:val="single" w:color="000000" w:sz="8" w:space="0"/>
              <w:right w:val="single" w:color="000000" w:sz="8" w:space="0"/>
            </w:tcBorders>
            <w:noWrap w:val="0"/>
            <w:vAlign w:val="center"/>
          </w:tcPr>
          <w:p w14:paraId="74FC67AB">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中晶</w:t>
            </w:r>
          </w:p>
        </w:tc>
        <w:tc>
          <w:tcPr>
            <w:tcW w:w="2533" w:type="dxa"/>
            <w:gridSpan w:val="2"/>
            <w:tcBorders>
              <w:top w:val="single" w:color="000000" w:sz="8" w:space="0"/>
              <w:left w:val="nil"/>
              <w:bottom w:val="single" w:color="000000" w:sz="8" w:space="0"/>
              <w:right w:val="single" w:color="000000" w:sz="8" w:space="0"/>
            </w:tcBorders>
            <w:noWrap w:val="0"/>
            <w:vAlign w:val="center"/>
          </w:tcPr>
          <w:p w14:paraId="191A2093">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中晶6240S</w:t>
            </w:r>
          </w:p>
        </w:tc>
        <w:tc>
          <w:tcPr>
            <w:tcW w:w="2126" w:type="dxa"/>
            <w:tcBorders>
              <w:top w:val="nil"/>
              <w:left w:val="nil"/>
              <w:bottom w:val="single" w:color="000000" w:sz="8" w:space="0"/>
              <w:right w:val="single" w:color="000000" w:sz="8" w:space="0"/>
            </w:tcBorders>
            <w:noWrap w:val="0"/>
            <w:vAlign w:val="center"/>
          </w:tcPr>
          <w:p w14:paraId="72B1B4D0">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仅IE11</w:t>
            </w:r>
          </w:p>
        </w:tc>
        <w:tc>
          <w:tcPr>
            <w:tcW w:w="1560" w:type="dxa"/>
            <w:tcBorders>
              <w:top w:val="nil"/>
              <w:left w:val="nil"/>
              <w:bottom w:val="single" w:color="000000" w:sz="8" w:space="0"/>
              <w:right w:val="single" w:color="000000" w:sz="8" w:space="0"/>
            </w:tcBorders>
            <w:noWrap w:val="0"/>
            <w:vAlign w:val="center"/>
          </w:tcPr>
          <w:p w14:paraId="22A21B37">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web</w:t>
            </w:r>
          </w:p>
        </w:tc>
      </w:tr>
      <w:tr w14:paraId="4BA92572">
        <w:tblPrEx>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nil"/>
              <w:right w:val="single" w:color="000000" w:sz="8" w:space="0"/>
            </w:tcBorders>
            <w:noWrap w:val="0"/>
            <w:vAlign w:val="center"/>
          </w:tcPr>
          <w:p w14:paraId="61405977">
            <w:pPr>
              <w:widowControl/>
              <w:spacing w:line="360" w:lineRule="auto"/>
              <w:jc w:val="left"/>
              <w:rPr>
                <w:rFonts w:hint="eastAsia" w:ascii="仿宋" w:hAnsi="仿宋" w:eastAsia="仿宋" w:cs="仿宋"/>
                <w:color w:val="auto"/>
                <w:kern w:val="0"/>
                <w:sz w:val="24"/>
                <w:szCs w:val="24"/>
                <w:highlight w:val="none"/>
              </w:rPr>
            </w:pPr>
          </w:p>
        </w:tc>
        <w:tc>
          <w:tcPr>
            <w:tcW w:w="1080" w:type="dxa"/>
            <w:tcBorders>
              <w:top w:val="nil"/>
              <w:left w:val="nil"/>
              <w:bottom w:val="single" w:color="000000" w:sz="8" w:space="0"/>
              <w:right w:val="single" w:color="000000" w:sz="8" w:space="0"/>
            </w:tcBorders>
            <w:noWrap w:val="0"/>
            <w:vAlign w:val="center"/>
          </w:tcPr>
          <w:p w14:paraId="705D6701">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中晶</w:t>
            </w:r>
          </w:p>
        </w:tc>
        <w:tc>
          <w:tcPr>
            <w:tcW w:w="2533" w:type="dxa"/>
            <w:gridSpan w:val="2"/>
            <w:tcBorders>
              <w:top w:val="single" w:color="000000" w:sz="8" w:space="0"/>
              <w:left w:val="nil"/>
              <w:bottom w:val="single" w:color="000000" w:sz="8" w:space="0"/>
              <w:right w:val="single" w:color="000000" w:sz="8" w:space="0"/>
            </w:tcBorders>
            <w:noWrap w:val="0"/>
            <w:vAlign w:val="center"/>
          </w:tcPr>
          <w:p w14:paraId="1BF1D310">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中晶S8090</w:t>
            </w:r>
          </w:p>
        </w:tc>
        <w:tc>
          <w:tcPr>
            <w:tcW w:w="2126" w:type="dxa"/>
            <w:tcBorders>
              <w:top w:val="nil"/>
              <w:left w:val="nil"/>
              <w:bottom w:val="single" w:color="000000" w:sz="8" w:space="0"/>
              <w:right w:val="single" w:color="000000" w:sz="8" w:space="0"/>
            </w:tcBorders>
            <w:noWrap w:val="0"/>
            <w:vAlign w:val="center"/>
          </w:tcPr>
          <w:p w14:paraId="70EBED10">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仅IE11</w:t>
            </w:r>
          </w:p>
        </w:tc>
        <w:tc>
          <w:tcPr>
            <w:tcW w:w="1560" w:type="dxa"/>
            <w:tcBorders>
              <w:top w:val="nil"/>
              <w:left w:val="nil"/>
              <w:bottom w:val="single" w:color="000000" w:sz="8" w:space="0"/>
              <w:right w:val="single" w:color="000000" w:sz="8" w:space="0"/>
            </w:tcBorders>
            <w:noWrap w:val="0"/>
            <w:vAlign w:val="center"/>
          </w:tcPr>
          <w:p w14:paraId="0FCD0B3B">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web</w:t>
            </w:r>
          </w:p>
        </w:tc>
      </w:tr>
      <w:tr w14:paraId="1F0B1BCF">
        <w:tblPrEx>
          <w:tblCellMar>
            <w:top w:w="0" w:type="dxa"/>
            <w:left w:w="108" w:type="dxa"/>
            <w:bottom w:w="0" w:type="dxa"/>
            <w:right w:w="108" w:type="dxa"/>
          </w:tblCellMar>
        </w:tblPrEx>
        <w:trPr>
          <w:trHeight w:val="555" w:hRule="atLeast"/>
        </w:trPr>
        <w:tc>
          <w:tcPr>
            <w:tcW w:w="1080" w:type="dxa"/>
            <w:vMerge w:val="continue"/>
            <w:tcBorders>
              <w:top w:val="nil"/>
              <w:left w:val="single" w:color="000000" w:sz="8" w:space="0"/>
              <w:bottom w:val="nil"/>
              <w:right w:val="single" w:color="000000" w:sz="8" w:space="0"/>
            </w:tcBorders>
            <w:noWrap w:val="0"/>
            <w:vAlign w:val="center"/>
          </w:tcPr>
          <w:p w14:paraId="2AE034A6">
            <w:pPr>
              <w:widowControl/>
              <w:spacing w:line="360" w:lineRule="auto"/>
              <w:jc w:val="left"/>
              <w:rPr>
                <w:rFonts w:hint="eastAsia" w:ascii="仿宋" w:hAnsi="仿宋" w:eastAsia="仿宋" w:cs="仿宋"/>
                <w:color w:val="auto"/>
                <w:kern w:val="0"/>
                <w:sz w:val="24"/>
                <w:szCs w:val="24"/>
                <w:highlight w:val="none"/>
              </w:rPr>
            </w:pPr>
          </w:p>
        </w:tc>
        <w:tc>
          <w:tcPr>
            <w:tcW w:w="1080" w:type="dxa"/>
            <w:tcBorders>
              <w:top w:val="nil"/>
              <w:left w:val="nil"/>
              <w:bottom w:val="single" w:color="000000" w:sz="8" w:space="0"/>
              <w:right w:val="single" w:color="000000" w:sz="8" w:space="0"/>
            </w:tcBorders>
            <w:noWrap w:val="0"/>
            <w:vAlign w:val="center"/>
          </w:tcPr>
          <w:p w14:paraId="1410DB60">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爱普生</w:t>
            </w:r>
          </w:p>
        </w:tc>
        <w:tc>
          <w:tcPr>
            <w:tcW w:w="2533" w:type="dxa"/>
            <w:gridSpan w:val="2"/>
            <w:tcBorders>
              <w:top w:val="single" w:color="000000" w:sz="8" w:space="0"/>
              <w:left w:val="nil"/>
              <w:bottom w:val="single" w:color="000000" w:sz="8" w:space="0"/>
              <w:right w:val="single" w:color="000000" w:sz="8" w:space="0"/>
            </w:tcBorders>
            <w:noWrap w:val="0"/>
            <w:vAlign w:val="center"/>
          </w:tcPr>
          <w:p w14:paraId="36D805C0">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爱普生DS-870</w:t>
            </w:r>
          </w:p>
        </w:tc>
        <w:tc>
          <w:tcPr>
            <w:tcW w:w="2126" w:type="dxa"/>
            <w:tcBorders>
              <w:top w:val="nil"/>
              <w:left w:val="nil"/>
              <w:bottom w:val="single" w:color="000000" w:sz="8" w:space="0"/>
              <w:right w:val="single" w:color="000000" w:sz="8" w:space="0"/>
            </w:tcBorders>
            <w:noWrap w:val="0"/>
            <w:vAlign w:val="center"/>
          </w:tcPr>
          <w:p w14:paraId="2A5ADD19">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通用浏览器</w:t>
            </w:r>
          </w:p>
        </w:tc>
        <w:tc>
          <w:tcPr>
            <w:tcW w:w="1560" w:type="dxa"/>
            <w:tcBorders>
              <w:top w:val="nil"/>
              <w:left w:val="nil"/>
              <w:bottom w:val="single" w:color="000000" w:sz="8" w:space="0"/>
              <w:right w:val="single" w:color="000000" w:sz="8" w:space="0"/>
            </w:tcBorders>
            <w:noWrap w:val="0"/>
            <w:vAlign w:val="center"/>
          </w:tcPr>
          <w:p w14:paraId="2C50D744">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web</w:t>
            </w:r>
          </w:p>
        </w:tc>
      </w:tr>
      <w:tr w14:paraId="211DF316">
        <w:tblPrEx>
          <w:tblCellMar>
            <w:top w:w="0" w:type="dxa"/>
            <w:left w:w="108" w:type="dxa"/>
            <w:bottom w:w="0" w:type="dxa"/>
            <w:right w:w="108" w:type="dxa"/>
          </w:tblCellMar>
        </w:tblPrEx>
        <w:trPr>
          <w:trHeight w:val="555" w:hRule="atLeast"/>
        </w:trPr>
        <w:tc>
          <w:tcPr>
            <w:tcW w:w="1080" w:type="dxa"/>
            <w:vMerge w:val="continue"/>
            <w:tcBorders>
              <w:top w:val="nil"/>
              <w:left w:val="single" w:color="000000" w:sz="8" w:space="0"/>
              <w:bottom w:val="nil"/>
              <w:right w:val="single" w:color="000000" w:sz="8" w:space="0"/>
            </w:tcBorders>
            <w:noWrap w:val="0"/>
            <w:vAlign w:val="center"/>
          </w:tcPr>
          <w:p w14:paraId="2A36CEB0">
            <w:pPr>
              <w:widowControl/>
              <w:spacing w:line="360" w:lineRule="auto"/>
              <w:jc w:val="left"/>
              <w:rPr>
                <w:rFonts w:hint="eastAsia" w:ascii="仿宋" w:hAnsi="仿宋" w:eastAsia="仿宋" w:cs="仿宋"/>
                <w:color w:val="auto"/>
                <w:kern w:val="0"/>
                <w:sz w:val="24"/>
                <w:szCs w:val="24"/>
                <w:highlight w:val="none"/>
              </w:rPr>
            </w:pPr>
          </w:p>
        </w:tc>
        <w:tc>
          <w:tcPr>
            <w:tcW w:w="1080" w:type="dxa"/>
            <w:tcBorders>
              <w:top w:val="nil"/>
              <w:left w:val="nil"/>
              <w:bottom w:val="single" w:color="000000" w:sz="8" w:space="0"/>
              <w:right w:val="single" w:color="000000" w:sz="8" w:space="0"/>
            </w:tcBorders>
            <w:noWrap w:val="0"/>
            <w:vAlign w:val="center"/>
          </w:tcPr>
          <w:p w14:paraId="0C89D41E">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爱普生</w:t>
            </w:r>
          </w:p>
        </w:tc>
        <w:tc>
          <w:tcPr>
            <w:tcW w:w="2533" w:type="dxa"/>
            <w:gridSpan w:val="2"/>
            <w:tcBorders>
              <w:top w:val="single" w:color="000000" w:sz="8" w:space="0"/>
              <w:left w:val="nil"/>
              <w:bottom w:val="single" w:color="000000" w:sz="8" w:space="0"/>
              <w:right w:val="single" w:color="000000" w:sz="8" w:space="0"/>
            </w:tcBorders>
            <w:noWrap w:val="0"/>
            <w:vAlign w:val="center"/>
          </w:tcPr>
          <w:p w14:paraId="0C50C01A">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爱普生DS-31100</w:t>
            </w:r>
          </w:p>
        </w:tc>
        <w:tc>
          <w:tcPr>
            <w:tcW w:w="2126" w:type="dxa"/>
            <w:tcBorders>
              <w:top w:val="nil"/>
              <w:left w:val="nil"/>
              <w:bottom w:val="single" w:color="000000" w:sz="8" w:space="0"/>
              <w:right w:val="single" w:color="000000" w:sz="8" w:space="0"/>
            </w:tcBorders>
            <w:noWrap w:val="0"/>
            <w:vAlign w:val="center"/>
          </w:tcPr>
          <w:p w14:paraId="07508903">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通用浏览器</w:t>
            </w:r>
          </w:p>
        </w:tc>
        <w:tc>
          <w:tcPr>
            <w:tcW w:w="1560" w:type="dxa"/>
            <w:tcBorders>
              <w:top w:val="nil"/>
              <w:left w:val="nil"/>
              <w:bottom w:val="single" w:color="000000" w:sz="8" w:space="0"/>
              <w:right w:val="single" w:color="000000" w:sz="8" w:space="0"/>
            </w:tcBorders>
            <w:noWrap w:val="0"/>
            <w:vAlign w:val="center"/>
          </w:tcPr>
          <w:p w14:paraId="559F1D15">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web</w:t>
            </w:r>
          </w:p>
        </w:tc>
      </w:tr>
      <w:tr w14:paraId="569916D4">
        <w:tblPrEx>
          <w:tblCellMar>
            <w:top w:w="0" w:type="dxa"/>
            <w:left w:w="108" w:type="dxa"/>
            <w:bottom w:w="0" w:type="dxa"/>
            <w:right w:w="108" w:type="dxa"/>
          </w:tblCellMar>
        </w:tblPrEx>
        <w:trPr>
          <w:trHeight w:val="555" w:hRule="atLeast"/>
        </w:trPr>
        <w:tc>
          <w:tcPr>
            <w:tcW w:w="1080" w:type="dxa"/>
            <w:vMerge w:val="continue"/>
            <w:tcBorders>
              <w:top w:val="nil"/>
              <w:left w:val="single" w:color="000000" w:sz="8" w:space="0"/>
              <w:bottom w:val="nil"/>
              <w:right w:val="single" w:color="000000" w:sz="8" w:space="0"/>
            </w:tcBorders>
            <w:noWrap w:val="0"/>
            <w:vAlign w:val="center"/>
          </w:tcPr>
          <w:p w14:paraId="4CA8BF72">
            <w:pPr>
              <w:widowControl/>
              <w:spacing w:line="360" w:lineRule="auto"/>
              <w:jc w:val="left"/>
              <w:rPr>
                <w:rFonts w:hint="eastAsia" w:ascii="仿宋" w:hAnsi="仿宋" w:eastAsia="仿宋" w:cs="仿宋"/>
                <w:color w:val="auto"/>
                <w:kern w:val="0"/>
                <w:sz w:val="24"/>
                <w:szCs w:val="24"/>
                <w:highlight w:val="none"/>
              </w:rPr>
            </w:pPr>
          </w:p>
        </w:tc>
        <w:tc>
          <w:tcPr>
            <w:tcW w:w="1080" w:type="dxa"/>
            <w:tcBorders>
              <w:top w:val="nil"/>
              <w:left w:val="nil"/>
              <w:bottom w:val="nil"/>
              <w:right w:val="single" w:color="000000" w:sz="8" w:space="0"/>
            </w:tcBorders>
            <w:noWrap w:val="0"/>
            <w:vAlign w:val="center"/>
          </w:tcPr>
          <w:p w14:paraId="668BB6DE">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佳能</w:t>
            </w:r>
          </w:p>
        </w:tc>
        <w:tc>
          <w:tcPr>
            <w:tcW w:w="2533" w:type="dxa"/>
            <w:gridSpan w:val="2"/>
            <w:tcBorders>
              <w:top w:val="single" w:color="000000" w:sz="8" w:space="0"/>
              <w:left w:val="nil"/>
              <w:bottom w:val="nil"/>
              <w:right w:val="single" w:color="000000" w:sz="8" w:space="0"/>
            </w:tcBorders>
            <w:noWrap w:val="0"/>
            <w:vAlign w:val="center"/>
          </w:tcPr>
          <w:p w14:paraId="4AADC0B2">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佳能DR-G2090</w:t>
            </w:r>
          </w:p>
        </w:tc>
        <w:tc>
          <w:tcPr>
            <w:tcW w:w="2126" w:type="dxa"/>
            <w:tcBorders>
              <w:top w:val="nil"/>
              <w:left w:val="nil"/>
              <w:bottom w:val="nil"/>
              <w:right w:val="single" w:color="000000" w:sz="8" w:space="0"/>
            </w:tcBorders>
            <w:noWrap w:val="0"/>
            <w:vAlign w:val="center"/>
          </w:tcPr>
          <w:p w14:paraId="176C1AF5">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通用浏览器</w:t>
            </w:r>
          </w:p>
        </w:tc>
        <w:tc>
          <w:tcPr>
            <w:tcW w:w="1560" w:type="dxa"/>
            <w:tcBorders>
              <w:top w:val="nil"/>
              <w:left w:val="nil"/>
              <w:bottom w:val="nil"/>
              <w:right w:val="single" w:color="000000" w:sz="8" w:space="0"/>
            </w:tcBorders>
            <w:noWrap w:val="0"/>
            <w:vAlign w:val="center"/>
          </w:tcPr>
          <w:p w14:paraId="6A7ECADB">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web</w:t>
            </w:r>
          </w:p>
        </w:tc>
      </w:tr>
      <w:tr w14:paraId="328AA51A">
        <w:tblPrEx>
          <w:tblCellMar>
            <w:top w:w="0" w:type="dxa"/>
            <w:left w:w="108" w:type="dxa"/>
            <w:bottom w:w="0" w:type="dxa"/>
            <w:right w:w="108" w:type="dxa"/>
          </w:tblCellMar>
        </w:tblPrEx>
        <w:trPr>
          <w:trHeight w:val="300" w:hRule="atLeast"/>
        </w:trPr>
        <w:tc>
          <w:tcPr>
            <w:tcW w:w="1080" w:type="dxa"/>
            <w:tcBorders>
              <w:top w:val="single" w:color="auto" w:sz="8" w:space="0"/>
              <w:left w:val="single" w:color="auto" w:sz="8" w:space="0"/>
              <w:bottom w:val="single" w:color="auto" w:sz="8" w:space="0"/>
              <w:right w:val="single" w:color="000000" w:sz="8" w:space="0"/>
            </w:tcBorders>
            <w:noWrap w:val="0"/>
            <w:vAlign w:val="center"/>
          </w:tcPr>
          <w:p w14:paraId="5C4042F2">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高拍仪</w:t>
            </w:r>
          </w:p>
        </w:tc>
        <w:tc>
          <w:tcPr>
            <w:tcW w:w="1080" w:type="dxa"/>
            <w:tcBorders>
              <w:top w:val="single" w:color="auto" w:sz="8" w:space="0"/>
              <w:left w:val="nil"/>
              <w:bottom w:val="single" w:color="auto" w:sz="8" w:space="0"/>
              <w:right w:val="single" w:color="000000" w:sz="8" w:space="0"/>
            </w:tcBorders>
            <w:noWrap w:val="0"/>
            <w:vAlign w:val="center"/>
          </w:tcPr>
          <w:p w14:paraId="3338B5F9">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华健</w:t>
            </w:r>
          </w:p>
        </w:tc>
        <w:tc>
          <w:tcPr>
            <w:tcW w:w="2533" w:type="dxa"/>
            <w:gridSpan w:val="2"/>
            <w:tcBorders>
              <w:top w:val="single" w:color="auto" w:sz="8" w:space="0"/>
              <w:left w:val="nil"/>
              <w:bottom w:val="single" w:color="auto" w:sz="8" w:space="0"/>
              <w:right w:val="single" w:color="000000" w:sz="8" w:space="0"/>
            </w:tcBorders>
            <w:noWrap w:val="0"/>
            <w:vAlign w:val="center"/>
          </w:tcPr>
          <w:p w14:paraId="4263D741">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捷宇B5001</w:t>
            </w:r>
          </w:p>
        </w:tc>
        <w:tc>
          <w:tcPr>
            <w:tcW w:w="2126" w:type="dxa"/>
            <w:tcBorders>
              <w:top w:val="single" w:color="auto" w:sz="8" w:space="0"/>
              <w:left w:val="nil"/>
              <w:bottom w:val="single" w:color="auto" w:sz="8" w:space="0"/>
              <w:right w:val="single" w:color="000000" w:sz="8" w:space="0"/>
            </w:tcBorders>
            <w:noWrap w:val="0"/>
            <w:vAlign w:val="center"/>
          </w:tcPr>
          <w:p w14:paraId="4FA16AE0">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仅IE11</w:t>
            </w:r>
          </w:p>
        </w:tc>
        <w:tc>
          <w:tcPr>
            <w:tcW w:w="1560" w:type="dxa"/>
            <w:tcBorders>
              <w:top w:val="single" w:color="auto" w:sz="8" w:space="0"/>
              <w:left w:val="nil"/>
              <w:bottom w:val="single" w:color="auto" w:sz="8" w:space="0"/>
              <w:right w:val="single" w:color="auto" w:sz="8" w:space="0"/>
            </w:tcBorders>
            <w:noWrap w:val="0"/>
            <w:vAlign w:val="center"/>
          </w:tcPr>
          <w:p w14:paraId="2CED51C3">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web/客户端</w:t>
            </w:r>
          </w:p>
        </w:tc>
      </w:tr>
      <w:tr w14:paraId="1FAF5F6E">
        <w:tblPrEx>
          <w:tblCellMar>
            <w:top w:w="0" w:type="dxa"/>
            <w:left w:w="108" w:type="dxa"/>
            <w:bottom w:w="0" w:type="dxa"/>
            <w:right w:w="108" w:type="dxa"/>
          </w:tblCellMar>
        </w:tblPrEx>
        <w:trPr>
          <w:trHeight w:val="300" w:hRule="atLeast"/>
        </w:trPr>
        <w:tc>
          <w:tcPr>
            <w:tcW w:w="8379" w:type="dxa"/>
            <w:gridSpan w:val="6"/>
            <w:tcBorders>
              <w:top w:val="single" w:color="auto" w:sz="8" w:space="0"/>
              <w:left w:val="single" w:color="auto" w:sz="8" w:space="0"/>
              <w:bottom w:val="single" w:color="auto" w:sz="8" w:space="0"/>
              <w:right w:val="single" w:color="000000" w:sz="8" w:space="0"/>
            </w:tcBorders>
            <w:noWrap/>
            <w:vAlign w:val="center"/>
          </w:tcPr>
          <w:p w14:paraId="55B37DC7">
            <w:pPr>
              <w:widowControl/>
              <w:spacing w:line="360" w:lineRule="auto"/>
              <w:jc w:val="left"/>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rPr>
              <w:t>二、扫描电脑要求</w:t>
            </w:r>
          </w:p>
        </w:tc>
      </w:tr>
      <w:tr w14:paraId="62632CE8">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000000" w:sz="8" w:space="0"/>
              <w:right w:val="single" w:color="000000" w:sz="8" w:space="0"/>
            </w:tcBorders>
            <w:noWrap w:val="0"/>
            <w:vAlign w:val="center"/>
          </w:tcPr>
          <w:p w14:paraId="52B6E0B0">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2160" w:type="dxa"/>
            <w:gridSpan w:val="2"/>
            <w:tcBorders>
              <w:top w:val="nil"/>
              <w:left w:val="nil"/>
              <w:bottom w:val="single" w:color="000000" w:sz="8" w:space="0"/>
              <w:right w:val="single" w:color="000000" w:sz="8" w:space="0"/>
            </w:tcBorders>
            <w:noWrap w:val="0"/>
            <w:vAlign w:val="center"/>
          </w:tcPr>
          <w:p w14:paraId="7362AB3E">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配置名称</w:t>
            </w:r>
          </w:p>
        </w:tc>
        <w:tc>
          <w:tcPr>
            <w:tcW w:w="5139" w:type="dxa"/>
            <w:gridSpan w:val="3"/>
            <w:tcBorders>
              <w:top w:val="nil"/>
              <w:left w:val="nil"/>
              <w:bottom w:val="single" w:color="000000" w:sz="8" w:space="0"/>
              <w:right w:val="single" w:color="000000" w:sz="8" w:space="0"/>
            </w:tcBorders>
            <w:noWrap w:val="0"/>
            <w:vAlign w:val="center"/>
          </w:tcPr>
          <w:p w14:paraId="6940B4B7">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配置</w:t>
            </w:r>
          </w:p>
        </w:tc>
      </w:tr>
      <w:tr w14:paraId="45D9E242">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000000" w:sz="8" w:space="0"/>
              <w:right w:val="single" w:color="000000" w:sz="8" w:space="0"/>
            </w:tcBorders>
            <w:noWrap w:val="0"/>
            <w:vAlign w:val="center"/>
          </w:tcPr>
          <w:p w14:paraId="3BC922ED">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160" w:type="dxa"/>
            <w:gridSpan w:val="2"/>
            <w:tcBorders>
              <w:top w:val="single" w:color="auto" w:sz="8" w:space="0"/>
              <w:left w:val="nil"/>
              <w:bottom w:val="single" w:color="000000" w:sz="8" w:space="0"/>
              <w:right w:val="single" w:color="000000" w:sz="8" w:space="0"/>
            </w:tcBorders>
            <w:noWrap w:val="0"/>
            <w:vAlign w:val="center"/>
          </w:tcPr>
          <w:p w14:paraId="2A9EEC98">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操作系统</w:t>
            </w:r>
          </w:p>
        </w:tc>
        <w:tc>
          <w:tcPr>
            <w:tcW w:w="5139" w:type="dxa"/>
            <w:gridSpan w:val="3"/>
            <w:tcBorders>
              <w:top w:val="single" w:color="000000" w:sz="8" w:space="0"/>
              <w:left w:val="nil"/>
              <w:bottom w:val="single" w:color="000000" w:sz="8" w:space="0"/>
              <w:right w:val="single" w:color="000000" w:sz="8" w:space="0"/>
            </w:tcBorders>
            <w:noWrap w:val="0"/>
            <w:vAlign w:val="center"/>
          </w:tcPr>
          <w:p w14:paraId="582B742B">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win10</w:t>
            </w:r>
          </w:p>
        </w:tc>
      </w:tr>
      <w:tr w14:paraId="186ABBDA">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000000" w:sz="8" w:space="0"/>
              <w:right w:val="single" w:color="000000" w:sz="8" w:space="0"/>
            </w:tcBorders>
            <w:noWrap w:val="0"/>
            <w:vAlign w:val="center"/>
          </w:tcPr>
          <w:p w14:paraId="01C7D322">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160" w:type="dxa"/>
            <w:gridSpan w:val="2"/>
            <w:tcBorders>
              <w:top w:val="single" w:color="auto" w:sz="8" w:space="0"/>
              <w:left w:val="nil"/>
              <w:bottom w:val="single" w:color="000000" w:sz="8" w:space="0"/>
              <w:right w:val="single" w:color="000000" w:sz="8" w:space="0"/>
            </w:tcBorders>
            <w:noWrap w:val="0"/>
            <w:vAlign w:val="center"/>
          </w:tcPr>
          <w:p w14:paraId="623644BC">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Web高拍扫描</w:t>
            </w:r>
          </w:p>
        </w:tc>
        <w:tc>
          <w:tcPr>
            <w:tcW w:w="5139" w:type="dxa"/>
            <w:gridSpan w:val="3"/>
            <w:tcBorders>
              <w:top w:val="single" w:color="000000" w:sz="8" w:space="0"/>
              <w:left w:val="nil"/>
              <w:bottom w:val="single" w:color="000000" w:sz="8" w:space="0"/>
              <w:right w:val="single" w:color="000000" w:sz="8" w:space="0"/>
            </w:tcBorders>
            <w:noWrap w:val="0"/>
            <w:vAlign w:val="center"/>
          </w:tcPr>
          <w:p w14:paraId="20A7E914">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IE11</w:t>
            </w:r>
          </w:p>
        </w:tc>
      </w:tr>
      <w:tr w14:paraId="4C9066F5">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000000" w:sz="8" w:space="0"/>
              <w:right w:val="single" w:color="000000" w:sz="8" w:space="0"/>
            </w:tcBorders>
            <w:noWrap w:val="0"/>
            <w:vAlign w:val="center"/>
          </w:tcPr>
          <w:p w14:paraId="21AB198C">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160" w:type="dxa"/>
            <w:gridSpan w:val="2"/>
            <w:tcBorders>
              <w:top w:val="single" w:color="auto" w:sz="8" w:space="0"/>
              <w:left w:val="nil"/>
              <w:bottom w:val="single" w:color="000000" w:sz="8" w:space="0"/>
              <w:right w:val="single" w:color="000000" w:sz="8" w:space="0"/>
            </w:tcBorders>
            <w:noWrap w:val="0"/>
            <w:vAlign w:val="center"/>
          </w:tcPr>
          <w:p w14:paraId="6D16B3C1">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浏览器</w:t>
            </w:r>
          </w:p>
        </w:tc>
        <w:tc>
          <w:tcPr>
            <w:tcW w:w="5139" w:type="dxa"/>
            <w:gridSpan w:val="3"/>
            <w:tcBorders>
              <w:top w:val="single" w:color="000000" w:sz="8" w:space="0"/>
              <w:left w:val="nil"/>
              <w:bottom w:val="single" w:color="000000" w:sz="8" w:space="0"/>
              <w:right w:val="single" w:color="000000" w:sz="8" w:space="0"/>
            </w:tcBorders>
            <w:noWrap w:val="0"/>
            <w:vAlign w:val="center"/>
          </w:tcPr>
          <w:p w14:paraId="2A6BDB94">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360浏览器或谷歌chrome浏览器</w:t>
            </w:r>
          </w:p>
        </w:tc>
      </w:tr>
      <w:tr w14:paraId="5BD9B749">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000000" w:sz="8" w:space="0"/>
              <w:right w:val="single" w:color="000000" w:sz="8" w:space="0"/>
            </w:tcBorders>
            <w:noWrap w:val="0"/>
            <w:vAlign w:val="center"/>
          </w:tcPr>
          <w:p w14:paraId="5DB1E6DC">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160" w:type="dxa"/>
            <w:gridSpan w:val="2"/>
            <w:tcBorders>
              <w:top w:val="single" w:color="auto" w:sz="8" w:space="0"/>
              <w:left w:val="nil"/>
              <w:bottom w:val="single" w:color="000000" w:sz="8" w:space="0"/>
              <w:right w:val="single" w:color="000000" w:sz="8" w:space="0"/>
            </w:tcBorders>
            <w:noWrap w:val="0"/>
            <w:vAlign w:val="center"/>
          </w:tcPr>
          <w:p w14:paraId="06B55074">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CPU</w:t>
            </w:r>
          </w:p>
        </w:tc>
        <w:tc>
          <w:tcPr>
            <w:tcW w:w="5139" w:type="dxa"/>
            <w:gridSpan w:val="3"/>
            <w:tcBorders>
              <w:top w:val="single" w:color="000000" w:sz="8" w:space="0"/>
              <w:left w:val="nil"/>
              <w:bottom w:val="single" w:color="000000" w:sz="8" w:space="0"/>
              <w:right w:val="single" w:color="000000" w:sz="8" w:space="0"/>
            </w:tcBorders>
            <w:noWrap w:val="0"/>
            <w:vAlign w:val="center"/>
          </w:tcPr>
          <w:p w14:paraId="0E00E672">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4核4线程及以上</w:t>
            </w:r>
          </w:p>
        </w:tc>
      </w:tr>
      <w:tr w14:paraId="222636C3">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000000" w:sz="8" w:space="0"/>
              <w:right w:val="single" w:color="000000" w:sz="8" w:space="0"/>
            </w:tcBorders>
            <w:noWrap w:val="0"/>
            <w:vAlign w:val="center"/>
          </w:tcPr>
          <w:p w14:paraId="5F1FA9B9">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160" w:type="dxa"/>
            <w:gridSpan w:val="2"/>
            <w:tcBorders>
              <w:top w:val="single" w:color="auto" w:sz="8" w:space="0"/>
              <w:left w:val="nil"/>
              <w:bottom w:val="single" w:color="000000" w:sz="8" w:space="0"/>
              <w:right w:val="single" w:color="000000" w:sz="8" w:space="0"/>
            </w:tcBorders>
            <w:noWrap w:val="0"/>
            <w:vAlign w:val="center"/>
          </w:tcPr>
          <w:p w14:paraId="01F7E121">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内存</w:t>
            </w:r>
          </w:p>
        </w:tc>
        <w:tc>
          <w:tcPr>
            <w:tcW w:w="5139" w:type="dxa"/>
            <w:gridSpan w:val="3"/>
            <w:tcBorders>
              <w:top w:val="single" w:color="000000" w:sz="8" w:space="0"/>
              <w:left w:val="nil"/>
              <w:bottom w:val="single" w:color="000000" w:sz="8" w:space="0"/>
              <w:right w:val="single" w:color="000000" w:sz="8" w:space="0"/>
            </w:tcBorders>
            <w:noWrap w:val="0"/>
            <w:vAlign w:val="center"/>
          </w:tcPr>
          <w:p w14:paraId="3BDFA3B4">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8G及以上</w:t>
            </w:r>
          </w:p>
        </w:tc>
      </w:tr>
      <w:tr w14:paraId="4F9E7BAB">
        <w:tblPrEx>
          <w:tblCellMar>
            <w:top w:w="0" w:type="dxa"/>
            <w:left w:w="108" w:type="dxa"/>
            <w:bottom w:w="0" w:type="dxa"/>
            <w:right w:w="108" w:type="dxa"/>
          </w:tblCellMar>
        </w:tblPrEx>
        <w:trPr>
          <w:trHeight w:val="300" w:hRule="atLeast"/>
        </w:trPr>
        <w:tc>
          <w:tcPr>
            <w:tcW w:w="1080" w:type="dxa"/>
            <w:tcBorders>
              <w:top w:val="nil"/>
              <w:left w:val="single" w:color="auto" w:sz="8" w:space="0"/>
              <w:bottom w:val="nil"/>
              <w:right w:val="single" w:color="000000" w:sz="8" w:space="0"/>
            </w:tcBorders>
            <w:noWrap w:val="0"/>
            <w:vAlign w:val="center"/>
          </w:tcPr>
          <w:p w14:paraId="70D862E8">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160" w:type="dxa"/>
            <w:gridSpan w:val="2"/>
            <w:tcBorders>
              <w:top w:val="single" w:color="auto" w:sz="8" w:space="0"/>
              <w:left w:val="nil"/>
              <w:bottom w:val="single" w:color="000000" w:sz="8" w:space="0"/>
              <w:right w:val="single" w:color="000000" w:sz="8" w:space="0"/>
            </w:tcBorders>
            <w:noWrap w:val="0"/>
            <w:vAlign w:val="center"/>
          </w:tcPr>
          <w:p w14:paraId="7C558D94">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net framework</w:t>
            </w:r>
          </w:p>
        </w:tc>
        <w:tc>
          <w:tcPr>
            <w:tcW w:w="5139" w:type="dxa"/>
            <w:gridSpan w:val="3"/>
            <w:tcBorders>
              <w:top w:val="single" w:color="000000" w:sz="8" w:space="0"/>
              <w:left w:val="nil"/>
              <w:bottom w:val="nil"/>
              <w:right w:val="single" w:color="000000" w:sz="8" w:space="0"/>
            </w:tcBorders>
            <w:noWrap w:val="0"/>
            <w:vAlign w:val="center"/>
          </w:tcPr>
          <w:p w14:paraId="1A5EAFA1">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4.5或3.5</w:t>
            </w:r>
          </w:p>
        </w:tc>
      </w:tr>
      <w:tr w14:paraId="18B1E68E">
        <w:tblPrEx>
          <w:tblCellMar>
            <w:top w:w="0" w:type="dxa"/>
            <w:left w:w="108" w:type="dxa"/>
            <w:bottom w:w="0" w:type="dxa"/>
            <w:right w:w="108" w:type="dxa"/>
          </w:tblCellMar>
        </w:tblPrEx>
        <w:trPr>
          <w:trHeight w:val="300" w:hRule="atLeast"/>
        </w:trPr>
        <w:tc>
          <w:tcPr>
            <w:tcW w:w="1080" w:type="dxa"/>
            <w:tcBorders>
              <w:top w:val="single" w:color="auto" w:sz="8" w:space="0"/>
              <w:left w:val="single" w:color="auto" w:sz="8" w:space="0"/>
              <w:bottom w:val="single" w:color="auto" w:sz="8" w:space="0"/>
              <w:right w:val="single" w:color="000000" w:sz="8" w:space="0"/>
            </w:tcBorders>
            <w:noWrap w:val="0"/>
            <w:vAlign w:val="center"/>
          </w:tcPr>
          <w:p w14:paraId="24217C4F">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160" w:type="dxa"/>
            <w:gridSpan w:val="2"/>
            <w:tcBorders>
              <w:top w:val="single" w:color="auto" w:sz="8" w:space="0"/>
              <w:left w:val="nil"/>
              <w:bottom w:val="single" w:color="000000" w:sz="8" w:space="0"/>
              <w:right w:val="single" w:color="000000" w:sz="8" w:space="0"/>
            </w:tcBorders>
            <w:noWrap w:val="0"/>
            <w:vAlign w:val="center"/>
          </w:tcPr>
          <w:p w14:paraId="580F1634">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c++运行库</w:t>
            </w:r>
          </w:p>
        </w:tc>
        <w:tc>
          <w:tcPr>
            <w:tcW w:w="5139" w:type="dxa"/>
            <w:gridSpan w:val="3"/>
            <w:tcBorders>
              <w:top w:val="single" w:color="auto" w:sz="8" w:space="0"/>
              <w:left w:val="nil"/>
              <w:bottom w:val="single" w:color="auto" w:sz="8" w:space="0"/>
              <w:right w:val="single" w:color="000000" w:sz="8" w:space="0"/>
            </w:tcBorders>
            <w:noWrap w:val="0"/>
            <w:vAlign w:val="center"/>
          </w:tcPr>
          <w:p w14:paraId="379E0721">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客户端需要</w:t>
            </w:r>
          </w:p>
        </w:tc>
      </w:tr>
    </w:tbl>
    <w:p w14:paraId="10A56935">
      <w:pP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br w:type="page"/>
      </w:r>
    </w:p>
    <w:p w14:paraId="6C9E84A4">
      <w:pPr>
        <w:keepNext w:val="0"/>
        <w:keepLines w:val="0"/>
        <w:pageBreakBefore w:val="0"/>
        <w:widowControl w:val="0"/>
        <w:kinsoku/>
        <w:wordWrap/>
        <w:overflowPunct/>
        <w:topLinePunct w:val="0"/>
        <w:autoSpaceDE/>
        <w:autoSpaceDN/>
        <w:bidi w:val="0"/>
        <w:adjustRightInd/>
        <w:snapToGrid/>
        <w:spacing w:line="360" w:lineRule="auto"/>
        <w:ind w:left="126" w:firstLine="476" w:firstLineChars="200"/>
        <w:jc w:val="left"/>
        <w:textAlignment w:val="auto"/>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附件2</w:t>
      </w:r>
    </w:p>
    <w:p w14:paraId="7B669D83">
      <w:pPr>
        <w:keepNext w:val="0"/>
        <w:keepLines w:val="0"/>
        <w:pageBreakBefore w:val="0"/>
        <w:widowControl w:val="0"/>
        <w:kinsoku/>
        <w:wordWrap/>
        <w:overflowPunct/>
        <w:topLinePunct w:val="0"/>
        <w:autoSpaceDE/>
        <w:autoSpaceDN/>
        <w:bidi w:val="0"/>
        <w:adjustRightInd/>
        <w:snapToGrid/>
        <w:spacing w:line="360" w:lineRule="auto"/>
        <w:ind w:left="126" w:firstLine="476"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一、病案扫描影像技术参数</w:t>
      </w:r>
    </w:p>
    <w:tbl>
      <w:tblPr>
        <w:tblStyle w:val="16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3"/>
        <w:gridCol w:w="4263"/>
      </w:tblGrid>
      <w:tr w14:paraId="50CD6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4263" w:type="dxa"/>
            <w:shd w:val="clear" w:color="auto" w:fill="BFBFBF"/>
            <w:noWrap w:val="0"/>
            <w:vAlign w:val="top"/>
          </w:tcPr>
          <w:p w14:paraId="4EB06BC5">
            <w:pPr>
              <w:pStyle w:val="162"/>
              <w:keepNext w:val="0"/>
              <w:keepLines w:val="0"/>
              <w:pageBreakBefore w:val="0"/>
              <w:widowControl w:val="0"/>
              <w:kinsoku/>
              <w:wordWrap/>
              <w:overflowPunct/>
              <w:topLinePunct w:val="0"/>
              <w:autoSpaceDE/>
              <w:autoSpaceDN/>
              <w:bidi w:val="0"/>
              <w:adjustRightInd/>
              <w:snapToGrid/>
              <w:spacing w:before="38" w:line="360" w:lineRule="auto"/>
              <w:ind w:left="1655" w:firstLine="47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病案页面</w:t>
            </w:r>
          </w:p>
        </w:tc>
        <w:tc>
          <w:tcPr>
            <w:tcW w:w="4263" w:type="dxa"/>
            <w:shd w:val="clear" w:color="auto" w:fill="BFBFBF"/>
            <w:noWrap w:val="0"/>
            <w:vAlign w:val="top"/>
          </w:tcPr>
          <w:p w14:paraId="76FC89B4">
            <w:pPr>
              <w:pStyle w:val="162"/>
              <w:keepNext w:val="0"/>
              <w:keepLines w:val="0"/>
              <w:pageBreakBefore w:val="0"/>
              <w:widowControl w:val="0"/>
              <w:kinsoku/>
              <w:wordWrap/>
              <w:overflowPunct/>
              <w:topLinePunct w:val="0"/>
              <w:autoSpaceDE/>
              <w:autoSpaceDN/>
              <w:bidi w:val="0"/>
              <w:adjustRightInd/>
              <w:snapToGrid/>
              <w:spacing w:before="38" w:line="360" w:lineRule="auto"/>
              <w:ind w:left="1679" w:firstLine="44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图像规格</w:t>
            </w:r>
          </w:p>
        </w:tc>
      </w:tr>
      <w:tr w14:paraId="2B190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4263" w:type="dxa"/>
            <w:noWrap w:val="0"/>
            <w:vAlign w:val="top"/>
          </w:tcPr>
          <w:p w14:paraId="5E4C846F">
            <w:pPr>
              <w:keepNext w:val="0"/>
              <w:keepLines w:val="0"/>
              <w:pageBreakBefore w:val="0"/>
              <w:widowControl w:val="0"/>
              <w:kinsoku/>
              <w:wordWrap/>
              <w:overflowPunct/>
              <w:topLinePunct w:val="0"/>
              <w:autoSpaceDE/>
              <w:autoSpaceDN/>
              <w:bidi w:val="0"/>
              <w:adjustRightInd/>
              <w:snapToGrid/>
              <w:spacing w:before="180" w:line="360" w:lineRule="auto"/>
              <w:ind w:left="124" w:right="99" w:firstLine="468" w:firstLineChars="200"/>
              <w:jc w:val="left"/>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无颜色信息的普通页面，如：首页、病程记录、医嘱等。</w:t>
            </w:r>
          </w:p>
        </w:tc>
        <w:tc>
          <w:tcPr>
            <w:tcW w:w="4263" w:type="dxa"/>
            <w:noWrap w:val="0"/>
            <w:vAlign w:val="top"/>
          </w:tcPr>
          <w:p w14:paraId="0FF32B94">
            <w:pPr>
              <w:keepNext w:val="0"/>
              <w:keepLines w:val="0"/>
              <w:pageBreakBefore w:val="0"/>
              <w:widowControl w:val="0"/>
              <w:kinsoku/>
              <w:wordWrap/>
              <w:overflowPunct/>
              <w:topLinePunct w:val="0"/>
              <w:autoSpaceDE/>
              <w:autoSpaceDN/>
              <w:bidi w:val="0"/>
              <w:adjustRightInd/>
              <w:snapToGrid/>
              <w:spacing w:before="180" w:line="360" w:lineRule="auto"/>
              <w:ind w:left="124" w:right="99" w:firstLine="468" w:firstLineChars="200"/>
              <w:jc w:val="left"/>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黑白二值 200dpi（至少）Tiff 格式（CCITT GROUP4 压缩）、JPEG  、PDF</w:t>
            </w:r>
          </w:p>
        </w:tc>
      </w:tr>
      <w:tr w14:paraId="1DA5C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4263" w:type="dxa"/>
            <w:noWrap w:val="0"/>
            <w:vAlign w:val="top"/>
          </w:tcPr>
          <w:p w14:paraId="6C393467">
            <w:pPr>
              <w:keepNext w:val="0"/>
              <w:keepLines w:val="0"/>
              <w:pageBreakBefore w:val="0"/>
              <w:widowControl w:val="0"/>
              <w:kinsoku/>
              <w:wordWrap/>
              <w:overflowPunct/>
              <w:topLinePunct w:val="0"/>
              <w:autoSpaceDE/>
              <w:autoSpaceDN/>
              <w:bidi w:val="0"/>
              <w:adjustRightInd/>
              <w:snapToGrid/>
              <w:spacing w:before="180" w:line="360" w:lineRule="auto"/>
              <w:ind w:left="124" w:right="99" w:firstLine="468" w:firstLineChars="200"/>
              <w:jc w:val="left"/>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彩色信息页面，如：病理单，体温单，其他带章证明等。</w:t>
            </w:r>
          </w:p>
        </w:tc>
        <w:tc>
          <w:tcPr>
            <w:tcW w:w="4263" w:type="dxa"/>
            <w:noWrap w:val="0"/>
            <w:vAlign w:val="top"/>
          </w:tcPr>
          <w:p w14:paraId="72189027">
            <w:pPr>
              <w:keepNext w:val="0"/>
              <w:keepLines w:val="0"/>
              <w:pageBreakBefore w:val="0"/>
              <w:widowControl w:val="0"/>
              <w:kinsoku/>
              <w:wordWrap/>
              <w:overflowPunct/>
              <w:topLinePunct w:val="0"/>
              <w:autoSpaceDE/>
              <w:autoSpaceDN/>
              <w:bidi w:val="0"/>
              <w:adjustRightInd/>
              <w:snapToGrid/>
              <w:spacing w:before="180" w:line="360" w:lineRule="auto"/>
              <w:ind w:left="124" w:right="99" w:firstLine="468" w:firstLineChars="200"/>
              <w:jc w:val="left"/>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彩色 200dpi（至少）Tiff 格式（CCITT GROUP4 压缩）、JPEG  、PDF</w:t>
            </w:r>
          </w:p>
        </w:tc>
      </w:tr>
    </w:tbl>
    <w:p w14:paraId="2C11CF09">
      <w:pPr>
        <w:keepNext w:val="0"/>
        <w:keepLines w:val="0"/>
        <w:pageBreakBefore w:val="0"/>
        <w:widowControl w:val="0"/>
        <w:kinsoku/>
        <w:wordWrap/>
        <w:overflowPunct/>
        <w:topLinePunct w:val="0"/>
        <w:autoSpaceDE/>
        <w:autoSpaceDN/>
        <w:bidi w:val="0"/>
        <w:adjustRightInd/>
        <w:snapToGrid/>
        <w:spacing w:before="180" w:line="360" w:lineRule="auto"/>
        <w:ind w:left="124" w:right="99"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二、扫描成品数据质量标准：扫描图像清晰、无偏斜，数据完整，符合阅读，还</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3"/>
          <w:sz w:val="24"/>
          <w:szCs w:val="24"/>
          <w:highlight w:val="none"/>
        </w:rPr>
        <w:t>原要求，不带空白页，图像与患者信息一致，病案整理、装订完全符合甲方病案</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3"/>
          <w:sz w:val="24"/>
          <w:szCs w:val="24"/>
          <w:highlight w:val="none"/>
        </w:rPr>
        <w:t>归档保存要求。病案资料扫描影像质量清晰度不低于原件标准，可以满足甲方无</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3"/>
          <w:sz w:val="24"/>
          <w:szCs w:val="24"/>
          <w:highlight w:val="none"/>
        </w:rPr>
        <w:t>纸化系统屏幕阅读以及打印阅读（由于病案原件质量原因导致的图像扫描不清楚</w:t>
      </w:r>
      <w:r>
        <w:rPr>
          <w:rFonts w:hint="eastAsia" w:ascii="仿宋" w:hAnsi="仿宋" w:eastAsia="仿宋" w:cs="仿宋"/>
          <w:color w:val="auto"/>
          <w:spacing w:val="-10"/>
          <w:sz w:val="24"/>
          <w:szCs w:val="24"/>
          <w:highlight w:val="none"/>
        </w:rPr>
        <w:t>问题除外</w:t>
      </w:r>
      <w:r>
        <w:rPr>
          <w:rFonts w:hint="eastAsia" w:ascii="仿宋" w:hAnsi="仿宋" w:eastAsia="仿宋" w:cs="仿宋"/>
          <w:color w:val="auto"/>
          <w:spacing w:val="-62"/>
          <w:w w:val="98"/>
          <w:sz w:val="24"/>
          <w:szCs w:val="24"/>
          <w:highlight w:val="none"/>
        </w:rPr>
        <w:t>）；</w:t>
      </w:r>
    </w:p>
    <w:p w14:paraId="3F60226D">
      <w:pPr>
        <w:keepNext w:val="0"/>
        <w:keepLines w:val="0"/>
        <w:pageBreakBefore w:val="0"/>
        <w:widowControl w:val="0"/>
        <w:kinsoku/>
        <w:wordWrap/>
        <w:overflowPunct/>
        <w:topLinePunct w:val="0"/>
        <w:autoSpaceDE/>
        <w:autoSpaceDN/>
        <w:bidi w:val="0"/>
        <w:adjustRightInd/>
        <w:snapToGrid/>
        <w:spacing w:before="180" w:line="360" w:lineRule="auto"/>
        <w:ind w:left="124" w:right="99" w:firstLine="468" w:firstLineChars="200"/>
        <w:jc w:val="left"/>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扫描图像合格率 100%；</w:t>
      </w:r>
    </w:p>
    <w:p w14:paraId="341D8510">
      <w:pPr>
        <w:keepNext w:val="0"/>
        <w:keepLines w:val="0"/>
        <w:pageBreakBefore w:val="0"/>
        <w:widowControl w:val="0"/>
        <w:kinsoku/>
        <w:wordWrap/>
        <w:overflowPunct/>
        <w:topLinePunct w:val="0"/>
        <w:autoSpaceDE/>
        <w:autoSpaceDN/>
        <w:bidi w:val="0"/>
        <w:adjustRightInd/>
        <w:snapToGrid/>
        <w:spacing w:before="180" w:line="360" w:lineRule="auto"/>
        <w:ind w:left="124" w:right="99" w:firstLine="468" w:firstLineChars="200"/>
        <w:jc w:val="left"/>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编目索引与图像链接正确率 100%。</w:t>
      </w:r>
    </w:p>
    <w:p w14:paraId="50DE5BA1">
      <w:pPr>
        <w:keepNext w:val="0"/>
        <w:keepLines w:val="0"/>
        <w:pageBreakBefore w:val="0"/>
        <w:widowControl w:val="0"/>
        <w:kinsoku/>
        <w:wordWrap/>
        <w:overflowPunct/>
        <w:topLinePunct w:val="0"/>
        <w:autoSpaceDE/>
        <w:autoSpaceDN/>
        <w:bidi w:val="0"/>
        <w:adjustRightInd/>
        <w:snapToGrid/>
        <w:spacing w:before="180" w:line="360" w:lineRule="auto"/>
        <w:ind w:left="124" w:right="99" w:firstLine="468" w:firstLineChars="200"/>
        <w:jc w:val="left"/>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图像与患者信息准确率 100%；</w:t>
      </w:r>
    </w:p>
    <w:p w14:paraId="4FC7D187">
      <w:pPr>
        <w:keepNext w:val="0"/>
        <w:keepLines w:val="0"/>
        <w:pageBreakBefore w:val="0"/>
        <w:widowControl w:val="0"/>
        <w:kinsoku/>
        <w:wordWrap/>
        <w:overflowPunct/>
        <w:topLinePunct w:val="0"/>
        <w:autoSpaceDE/>
        <w:autoSpaceDN/>
        <w:bidi w:val="0"/>
        <w:adjustRightInd/>
        <w:snapToGrid/>
        <w:spacing w:before="180" w:line="360" w:lineRule="auto"/>
        <w:ind w:left="124" w:right="99" w:firstLine="468" w:firstLineChars="200"/>
        <w:jc w:val="left"/>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病案装订整理复原合格率 100%；</w:t>
      </w:r>
    </w:p>
    <w:p w14:paraId="7F111010">
      <w:pPr>
        <w:keepNext w:val="0"/>
        <w:keepLines w:val="0"/>
        <w:pageBreakBefore w:val="0"/>
        <w:widowControl w:val="0"/>
        <w:kinsoku/>
        <w:wordWrap/>
        <w:overflowPunct/>
        <w:topLinePunct w:val="0"/>
        <w:autoSpaceDE/>
        <w:autoSpaceDN/>
        <w:bidi w:val="0"/>
        <w:adjustRightInd/>
        <w:snapToGrid/>
        <w:spacing w:before="180" w:line="360" w:lineRule="auto"/>
        <w:ind w:left="124" w:right="99"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病案交接归还率</w:t>
      </w:r>
      <w:r>
        <w:rPr>
          <w:rFonts w:hint="eastAsia" w:ascii="仿宋" w:hAnsi="仿宋" w:eastAsia="仿宋" w:cs="仿宋"/>
          <w:color w:val="auto"/>
          <w:spacing w:val="-34"/>
          <w:position w:val="2"/>
          <w:sz w:val="24"/>
          <w:szCs w:val="24"/>
          <w:highlight w:val="none"/>
        </w:rPr>
        <w:t xml:space="preserve"> </w:t>
      </w:r>
      <w:r>
        <w:rPr>
          <w:rFonts w:hint="eastAsia" w:ascii="仿宋" w:hAnsi="仿宋" w:eastAsia="仿宋" w:cs="仿宋"/>
          <w:color w:val="auto"/>
          <w:spacing w:val="-3"/>
          <w:position w:val="2"/>
          <w:sz w:val="24"/>
          <w:szCs w:val="24"/>
          <w:highlight w:val="none"/>
        </w:rPr>
        <w:t>100%；</w:t>
      </w:r>
    </w:p>
    <w:p w14:paraId="5135840A">
      <w:pPr>
        <w:keepNext w:val="0"/>
        <w:keepLines w:val="0"/>
        <w:pageBreakBefore w:val="0"/>
        <w:widowControl w:val="0"/>
        <w:kinsoku/>
        <w:wordWrap/>
        <w:overflowPunct/>
        <w:topLinePunct w:val="0"/>
        <w:autoSpaceDE/>
        <w:autoSpaceDN/>
        <w:bidi w:val="0"/>
        <w:adjustRightInd/>
        <w:snapToGrid/>
        <w:spacing w:before="180" w:line="360" w:lineRule="auto"/>
        <w:ind w:left="124" w:right="99" w:firstLine="468" w:firstLineChars="200"/>
        <w:jc w:val="left"/>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质控要求：</w:t>
      </w:r>
    </w:p>
    <w:p w14:paraId="1984B50B">
      <w:pPr>
        <w:spacing w:before="180" w:line="360" w:lineRule="auto"/>
        <w:ind w:left="124" w:right="99" w:firstLine="468" w:firstLineChars="200"/>
        <w:jc w:val="left"/>
        <w:rPr>
          <w:rFonts w:hint="eastAsia" w:ascii="仿宋" w:hAnsi="仿宋" w:eastAsia="仿宋" w:cs="仿宋"/>
          <w:b w:val="0"/>
          <w:color w:val="auto"/>
          <w:spacing w:val="-3"/>
          <w:sz w:val="24"/>
          <w:szCs w:val="24"/>
          <w:highlight w:val="none"/>
          <w:lang w:val="en-US" w:eastAsia="zh-CN"/>
        </w:rPr>
      </w:pPr>
      <w:r>
        <w:rPr>
          <w:rFonts w:hint="eastAsia" w:ascii="仿宋" w:hAnsi="仿宋" w:eastAsia="仿宋" w:cs="仿宋"/>
          <w:color w:val="auto"/>
          <w:spacing w:val="-3"/>
          <w:sz w:val="24"/>
          <w:szCs w:val="24"/>
          <w:highlight w:val="none"/>
        </w:rPr>
        <w:t>质控人员对</w:t>
      </w:r>
      <w:r>
        <w:rPr>
          <w:rFonts w:hint="eastAsia" w:ascii="仿宋" w:hAnsi="仿宋" w:eastAsia="仿宋" w:cs="仿宋"/>
          <w:color w:val="auto"/>
          <w:spacing w:val="-3"/>
          <w:sz w:val="24"/>
          <w:szCs w:val="24"/>
          <w:highlight w:val="none"/>
          <w:lang w:val="en-US" w:eastAsia="zh-CN"/>
        </w:rPr>
        <w:t>历史</w:t>
      </w:r>
      <w:r>
        <w:rPr>
          <w:rFonts w:hint="eastAsia" w:ascii="仿宋" w:hAnsi="仿宋" w:eastAsia="仿宋" w:cs="仿宋"/>
          <w:color w:val="auto"/>
          <w:spacing w:val="-3"/>
          <w:sz w:val="24"/>
          <w:szCs w:val="24"/>
          <w:highlight w:val="none"/>
        </w:rPr>
        <w:t>出院病案及时进行扫描图像质控，质控扫描图像端正清晰准确不折角、不带空白页，编目索引与图像链接正确，符合阅读</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还原要求。及时进行图像质控、索引质控、数据完整性质控</w:t>
      </w:r>
      <w:r>
        <w:rPr>
          <w:rFonts w:hint="eastAsia" w:ascii="仿宋" w:hAnsi="仿宋" w:eastAsia="仿宋" w:cs="仿宋"/>
          <w:color w:val="auto"/>
          <w:spacing w:val="-3"/>
          <w:sz w:val="24"/>
          <w:szCs w:val="24"/>
          <w:highlight w:val="none"/>
          <w:lang w:val="en-US" w:eastAsia="zh-CN"/>
        </w:rPr>
        <w:t>检</w:t>
      </w:r>
      <w:r>
        <w:rPr>
          <w:rFonts w:hint="eastAsia" w:ascii="仿宋" w:hAnsi="仿宋" w:eastAsia="仿宋" w:cs="仿宋"/>
          <w:color w:val="auto"/>
          <w:spacing w:val="-3"/>
          <w:sz w:val="24"/>
          <w:szCs w:val="24"/>
          <w:highlight w:val="none"/>
        </w:rPr>
        <w:t>查并及时整改，每页质控，不允许抽查，扫描病案检查率100% ，质控后合格率100%。质控</w:t>
      </w:r>
      <w:r>
        <w:rPr>
          <w:rFonts w:hint="eastAsia" w:ascii="仿宋" w:hAnsi="仿宋" w:eastAsia="仿宋" w:cs="仿宋"/>
          <w:color w:val="auto"/>
          <w:spacing w:val="-3"/>
          <w:sz w:val="24"/>
          <w:szCs w:val="24"/>
          <w:highlight w:val="none"/>
          <w:lang w:val="en-US" w:eastAsia="zh-CN"/>
        </w:rPr>
        <w:t>若发现</w:t>
      </w:r>
      <w:r>
        <w:rPr>
          <w:rFonts w:hint="eastAsia" w:ascii="仿宋" w:hAnsi="仿宋" w:eastAsia="仿宋" w:cs="仿宋"/>
          <w:color w:val="auto"/>
          <w:spacing w:val="-3"/>
          <w:sz w:val="24"/>
          <w:szCs w:val="24"/>
          <w:highlight w:val="none"/>
        </w:rPr>
        <w:t>非此病案患者内容后</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需告知甲方，未质控的病案属于扫描不合格病案，</w:t>
      </w:r>
      <w:r>
        <w:rPr>
          <w:rFonts w:hint="eastAsia" w:ascii="仿宋" w:hAnsi="仿宋" w:eastAsia="仿宋" w:cs="仿宋"/>
          <w:color w:val="auto"/>
          <w:spacing w:val="-3"/>
          <w:sz w:val="24"/>
          <w:szCs w:val="24"/>
          <w:highlight w:val="none"/>
          <w:lang w:val="en-US" w:eastAsia="zh-CN"/>
        </w:rPr>
        <w:t>甲方不予</w:t>
      </w:r>
      <w:r>
        <w:rPr>
          <w:rFonts w:hint="eastAsia" w:ascii="仿宋" w:hAnsi="仿宋" w:eastAsia="仿宋" w:cs="仿宋"/>
          <w:color w:val="auto"/>
          <w:spacing w:val="-3"/>
          <w:sz w:val="24"/>
          <w:szCs w:val="24"/>
          <w:highlight w:val="none"/>
        </w:rPr>
        <w:t>支付费用。扫描专职质控人员需要对所有扫描后病案每页及时进行图像质控、索引质控、数据完整性质控图像与患者信息一致性的质控。质控后应及时更正。乙方应严格按照甲方的技术标准进行病案数字化加工服务，对于质控发现有问题的加工数据，乙方负责无偿重新加工。乙方应有完善的加工质控三级体系（包括扫描员自检、互检、专职质控员全面质检）保证图像和数据及归类质量，当在甲方窗口复印，病案复印自助机等打印病案时，由于乙方的病案图像质量及归类错误等问题导致打印错误，引起患者或代理人投诉纠纷等问题时，乙方应负有全责，由乙方承担全部责任。对于甲方交接的病案</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乙方应及时进行数字化加工，窗口等待复印且已交接的病案及时查找及时数字化加工及时质控。</w:t>
      </w:r>
    </w:p>
    <w:p w14:paraId="417EB7AC">
      <w:pPr>
        <w:pageBreakBefore w:val="0"/>
        <w:kinsoku/>
        <w:overflowPunct/>
        <w:topLinePunct w:val="0"/>
        <w:bidi w:val="0"/>
        <w:snapToGrid/>
        <w:spacing w:line="240" w:lineRule="auto"/>
        <w:jc w:val="left"/>
        <w:outlineLvl w:val="9"/>
        <w:rPr>
          <w:rFonts w:hint="eastAsia" w:ascii="仿宋" w:hAnsi="仿宋" w:eastAsia="仿宋" w:cs="仿宋"/>
          <w:b/>
          <w:bCs w:val="0"/>
          <w:color w:val="auto"/>
          <w:sz w:val="28"/>
          <w:szCs w:val="28"/>
          <w:highlight w:val="none"/>
        </w:rPr>
      </w:pPr>
      <w:bookmarkStart w:id="268" w:name="_Toc23296"/>
      <w:r>
        <w:rPr>
          <w:rFonts w:hint="eastAsia" w:ascii="仿宋" w:hAnsi="仿宋" w:eastAsia="仿宋" w:cs="仿宋"/>
          <w:b/>
          <w:bCs w:val="0"/>
          <w:color w:val="auto"/>
          <w:sz w:val="28"/>
          <w:szCs w:val="28"/>
          <w:highlight w:val="none"/>
        </w:rPr>
        <w:br w:type="page"/>
      </w:r>
    </w:p>
    <w:p w14:paraId="1ACB51D2">
      <w:pPr>
        <w:pageBreakBefore w:val="0"/>
        <w:kinsoku/>
        <w:overflowPunct/>
        <w:topLinePunct w:val="0"/>
        <w:bidi w:val="0"/>
        <w:snapToGrid/>
        <w:spacing w:line="360" w:lineRule="auto"/>
        <w:jc w:val="center"/>
        <w:outlineLvl w:val="0"/>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第六部分  附件</w:t>
      </w:r>
      <w:bookmarkEnd w:id="262"/>
      <w:bookmarkEnd w:id="263"/>
      <w:bookmarkEnd w:id="266"/>
      <w:bookmarkEnd w:id="267"/>
      <w:bookmarkEnd w:id="268"/>
    </w:p>
    <w:p w14:paraId="309615B3">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269" w:name="_Toc356491342"/>
      <w:bookmarkStart w:id="270" w:name="_Toc18964"/>
      <w:bookmarkStart w:id="271" w:name="_Toc1537"/>
      <w:bookmarkStart w:id="272" w:name="_Toc356490394"/>
      <w:bookmarkStart w:id="273" w:name="_Toc13636"/>
      <w:r>
        <w:rPr>
          <w:rFonts w:hint="eastAsia" w:ascii="仿宋" w:hAnsi="仿宋" w:eastAsia="仿宋" w:cs="仿宋"/>
          <w:color w:val="auto"/>
          <w:sz w:val="28"/>
          <w:szCs w:val="28"/>
          <w:highlight w:val="none"/>
        </w:rPr>
        <w:t>附件一：</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函</w:t>
      </w:r>
      <w:bookmarkEnd w:id="269"/>
      <w:bookmarkEnd w:id="270"/>
      <w:bookmarkEnd w:id="271"/>
      <w:bookmarkEnd w:id="272"/>
      <w:bookmarkEnd w:id="273"/>
    </w:p>
    <w:p w14:paraId="487589F8">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标</w:t>
      </w:r>
      <w:r>
        <w:rPr>
          <w:rFonts w:hint="eastAsia" w:ascii="仿宋" w:hAnsi="仿宋" w:eastAsia="仿宋" w:cs="仿宋"/>
          <w:color w:val="auto"/>
          <w:sz w:val="28"/>
          <w:szCs w:val="28"/>
          <w:highlight w:val="none"/>
        </w:rPr>
        <w:t xml:space="preserve"> 函</w:t>
      </w:r>
    </w:p>
    <w:p w14:paraId="7230DB9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盛和招标代理有限公司</w:t>
      </w:r>
      <w:r>
        <w:rPr>
          <w:rFonts w:hint="eastAsia" w:ascii="仿宋" w:hAnsi="仿宋" w:eastAsia="仿宋" w:cs="仿宋"/>
          <w:color w:val="auto"/>
          <w:sz w:val="28"/>
          <w:szCs w:val="28"/>
          <w:highlight w:val="none"/>
        </w:rPr>
        <w:t>：</w:t>
      </w:r>
    </w:p>
    <w:p w14:paraId="2DA1F8C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经研究，我们决定参加编号为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的采购项目并报价。为此，我方郑重声明以下诸点，并负法律责任。</w:t>
      </w:r>
    </w:p>
    <w:p w14:paraId="1639C13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1、我方提交的投标文件，正本一份，副本</w:t>
      </w: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份。</w:t>
      </w:r>
    </w:p>
    <w:p w14:paraId="5FA670A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2、如果我方的投标文件被接受，我们将履行招标文件中规定的每一项要求，并按我方投标文件中的承诺按期、保质、保量完成项目的实施。</w:t>
      </w:r>
    </w:p>
    <w:p w14:paraId="1C20459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3、我们认可本次招标文件中</w:t>
      </w:r>
      <w:r>
        <w:rPr>
          <w:rFonts w:hint="eastAsia" w:ascii="仿宋" w:hAnsi="仿宋" w:eastAsia="仿宋" w:cs="仿宋"/>
          <w:color w:val="auto"/>
          <w:sz w:val="28"/>
          <w:szCs w:val="28"/>
          <w:highlight w:val="none"/>
          <w:lang w:eastAsia="zh-CN"/>
        </w:rPr>
        <w:t>评标委员会</w:t>
      </w:r>
      <w:r>
        <w:rPr>
          <w:rFonts w:hint="eastAsia" w:ascii="仿宋" w:hAnsi="仿宋" w:eastAsia="仿宋" w:cs="仿宋"/>
          <w:color w:val="auto"/>
          <w:sz w:val="28"/>
          <w:szCs w:val="28"/>
          <w:highlight w:val="none"/>
        </w:rPr>
        <w:t>选择入围投标人及中标人的方式和权利。</w:t>
      </w:r>
    </w:p>
    <w:p w14:paraId="2E4C649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4、我们承诺，投标文件不存在复制、粘贴招标文件主要规格技术参数的情况。</w:t>
      </w:r>
    </w:p>
    <w:p w14:paraId="3E899850">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5、我方已详细检查所有投标文件、附件以及所提供的参考文件，有模糊和误解产生的一切后果，由我方自负。</w:t>
      </w:r>
    </w:p>
    <w:p w14:paraId="5A19828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6、投标文件在公开报价后</w:t>
      </w:r>
      <w:r>
        <w:rPr>
          <w:rFonts w:hint="eastAsia" w:ascii="仿宋" w:hAnsi="仿宋" w:eastAsia="仿宋" w:cs="仿宋"/>
          <w:color w:val="auto"/>
          <w:sz w:val="28"/>
          <w:szCs w:val="28"/>
          <w:highlight w:val="none"/>
          <w:lang w:val="en-US" w:eastAsia="zh-CN"/>
        </w:rPr>
        <w:t>90</w:t>
      </w:r>
      <w:r>
        <w:rPr>
          <w:rFonts w:hint="eastAsia" w:ascii="仿宋" w:hAnsi="仿宋" w:eastAsia="仿宋" w:cs="仿宋"/>
          <w:color w:val="auto"/>
          <w:sz w:val="28"/>
          <w:szCs w:val="28"/>
          <w:highlight w:val="none"/>
        </w:rPr>
        <w:t>日内有效。</w:t>
      </w:r>
    </w:p>
    <w:p w14:paraId="1523C420">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7、我们同意按照招标文件的要求，提供与递交投标文件有关的数据和资料。</w:t>
      </w:r>
    </w:p>
    <w:p w14:paraId="6D0B430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8、我方愿按《中华人民共和国</w:t>
      </w:r>
      <w:r>
        <w:rPr>
          <w:rFonts w:hint="eastAsia" w:ascii="仿宋" w:hAnsi="仿宋" w:eastAsia="仿宋" w:cs="仿宋"/>
          <w:color w:val="auto"/>
          <w:sz w:val="28"/>
          <w:szCs w:val="28"/>
          <w:highlight w:val="none"/>
          <w:lang w:eastAsia="zh-CN"/>
        </w:rPr>
        <w:t>民法典</w:t>
      </w:r>
      <w:r>
        <w:rPr>
          <w:rFonts w:hint="eastAsia" w:ascii="仿宋" w:hAnsi="仿宋" w:eastAsia="仿宋" w:cs="仿宋"/>
          <w:color w:val="auto"/>
          <w:sz w:val="28"/>
          <w:szCs w:val="28"/>
          <w:highlight w:val="none"/>
        </w:rPr>
        <w:t>》履行自己的全部责任。</w:t>
      </w:r>
    </w:p>
    <w:p w14:paraId="5C8408F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邮政编码：</w:t>
      </w:r>
    </w:p>
    <w:p w14:paraId="717FD28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传真：</w:t>
      </w:r>
    </w:p>
    <w:p w14:paraId="3C8CA02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投标人全称（公章）：</w:t>
      </w:r>
    </w:p>
    <w:p w14:paraId="54E62E24">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lang w:val="en-US" w:eastAsia="zh-CN"/>
        </w:rPr>
        <w:t>或授权代理人</w:t>
      </w:r>
      <w:r>
        <w:rPr>
          <w:rFonts w:hint="eastAsia" w:ascii="仿宋" w:hAnsi="仿宋" w:eastAsia="仿宋" w:cs="仿宋"/>
          <w:color w:val="auto"/>
          <w:sz w:val="28"/>
          <w:szCs w:val="28"/>
          <w:highlight w:val="none"/>
        </w:rPr>
        <w:t>（签字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color w:val="auto"/>
          <w:sz w:val="28"/>
          <w:szCs w:val="28"/>
          <w:highlight w:val="none"/>
        </w:rPr>
        <w:t xml:space="preserve">）：                                                 </w:t>
      </w:r>
    </w:p>
    <w:p w14:paraId="58B73A3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72201755">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274" w:name="_Toc323130135"/>
      <w:bookmarkStart w:id="275" w:name="_Toc323129568"/>
      <w:bookmarkStart w:id="276" w:name="_Toc19377"/>
      <w:bookmarkStart w:id="277" w:name="_Toc7221"/>
      <w:bookmarkStart w:id="278" w:name="_Toc29901"/>
      <w:bookmarkStart w:id="279" w:name="_Toc325620729"/>
      <w:bookmarkStart w:id="280" w:name="_Toc356491343"/>
      <w:r>
        <w:rPr>
          <w:rFonts w:hint="eastAsia" w:ascii="仿宋" w:hAnsi="仿宋" w:eastAsia="仿宋" w:cs="仿宋"/>
          <w:color w:val="auto"/>
          <w:sz w:val="28"/>
          <w:szCs w:val="28"/>
          <w:highlight w:val="none"/>
        </w:rPr>
        <w:t>附件二</w:t>
      </w:r>
      <w:bookmarkEnd w:id="274"/>
      <w:bookmarkEnd w:id="275"/>
      <w:r>
        <w:rPr>
          <w:rFonts w:hint="eastAsia" w:ascii="仿宋" w:hAnsi="仿宋" w:eastAsia="仿宋" w:cs="仿宋"/>
          <w:color w:val="auto"/>
          <w:sz w:val="28"/>
          <w:szCs w:val="28"/>
          <w:highlight w:val="none"/>
        </w:rPr>
        <w:t>：法定代表人授权委托书</w:t>
      </w:r>
      <w:bookmarkEnd w:id="276"/>
      <w:bookmarkEnd w:id="277"/>
      <w:bookmarkEnd w:id="278"/>
      <w:bookmarkEnd w:id="279"/>
      <w:bookmarkEnd w:id="280"/>
    </w:p>
    <w:p w14:paraId="71783B6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val="0"/>
          <w:color w:val="auto"/>
          <w:sz w:val="28"/>
          <w:szCs w:val="28"/>
          <w:highlight w:val="none"/>
        </w:rPr>
      </w:pPr>
    </w:p>
    <w:p w14:paraId="29498D90">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80" w:firstLineChars="1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法定代表人授权委托书</w:t>
      </w:r>
    </w:p>
    <w:p w14:paraId="1928A07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color w:val="auto"/>
          <w:sz w:val="28"/>
          <w:szCs w:val="28"/>
          <w:highlight w:val="none"/>
        </w:rPr>
      </w:pPr>
    </w:p>
    <w:p w14:paraId="74C1A39F">
      <w:pPr>
        <w:pStyle w:val="16"/>
        <w:pageBreakBefore w:val="0"/>
        <w:tabs>
          <w:tab w:val="left" w:pos="382"/>
        </w:tabs>
        <w:kinsoku/>
        <w:overflowPunct/>
        <w:topLinePunct w:val="0"/>
        <w:bidi w:val="0"/>
        <w:snapToGrid/>
        <w:spacing w:line="360" w:lineRule="auto"/>
        <w:ind w:left="252" w:leftChars="90" w:right="284"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（投标人名称）法定代表人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 xml:space="preserve">，现授权委托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（单位名称）的</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（姓名、职务）为我公司全权代理人，以本公司的名义参加</w:t>
      </w:r>
      <w:r>
        <w:rPr>
          <w:rFonts w:hint="eastAsia" w:ascii="仿宋" w:hAnsi="仿宋" w:eastAsia="仿宋" w:cs="仿宋"/>
          <w:color w:val="auto"/>
          <w:sz w:val="28"/>
          <w:szCs w:val="28"/>
          <w:highlight w:val="none"/>
          <w:lang w:eastAsia="zh-CN"/>
        </w:rPr>
        <w:t>盛和招标代理有限公司</w:t>
      </w:r>
      <w:r>
        <w:rPr>
          <w:rFonts w:hint="eastAsia" w:ascii="仿宋" w:hAnsi="仿宋" w:eastAsia="仿宋" w:cs="仿宋"/>
          <w:color w:val="auto"/>
          <w:sz w:val="28"/>
          <w:szCs w:val="28"/>
          <w:highlight w:val="none"/>
        </w:rPr>
        <w:t>组织的本次招标项目，全权处理招标过程有关的一切事务。授权代理人在本项目执行过程中所签署的一切文件，我均予以承认。</w:t>
      </w:r>
    </w:p>
    <w:p w14:paraId="05EF1F6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80" w:firstLineChars="100"/>
        <w:rPr>
          <w:rFonts w:hint="eastAsia" w:ascii="仿宋" w:hAnsi="仿宋" w:eastAsia="仿宋" w:cs="仿宋"/>
          <w:color w:val="auto"/>
          <w:sz w:val="28"/>
          <w:szCs w:val="28"/>
          <w:highlight w:val="none"/>
        </w:rPr>
      </w:pPr>
    </w:p>
    <w:p w14:paraId="5287A02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特此委托。</w:t>
      </w:r>
    </w:p>
    <w:p w14:paraId="1A380F5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left"/>
        <w:rPr>
          <w:rFonts w:hint="eastAsia" w:ascii="仿宋" w:hAnsi="仿宋" w:eastAsia="仿宋" w:cs="仿宋"/>
          <w:bCs w:val="0"/>
          <w:color w:val="auto"/>
          <w:sz w:val="28"/>
          <w:szCs w:val="28"/>
          <w:highlight w:val="none"/>
        </w:rPr>
      </w:pPr>
    </w:p>
    <w:p w14:paraId="65683F0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1695"/>
        <w:jc w:val="center"/>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（附</w:t>
      </w: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lang w:val="en-US" w:eastAsia="zh-CN"/>
        </w:rPr>
        <w:t>及</w:t>
      </w:r>
      <w:r>
        <w:rPr>
          <w:rFonts w:hint="eastAsia" w:ascii="仿宋" w:hAnsi="仿宋" w:eastAsia="仿宋" w:cs="仿宋"/>
          <w:bCs w:val="0"/>
          <w:color w:val="auto"/>
          <w:sz w:val="28"/>
          <w:szCs w:val="28"/>
          <w:highlight w:val="none"/>
        </w:rPr>
        <w:t>授权代理人身份证明复印件）</w:t>
      </w:r>
    </w:p>
    <w:p w14:paraId="1DFD22E4">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color w:val="auto"/>
          <w:sz w:val="28"/>
          <w:szCs w:val="28"/>
          <w:highlight w:val="none"/>
        </w:rPr>
      </w:pPr>
    </w:p>
    <w:p w14:paraId="6983A8B9">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8"/>
          <w:szCs w:val="28"/>
          <w:highlight w:val="none"/>
        </w:rPr>
      </w:pPr>
    </w:p>
    <w:p w14:paraId="5A627F9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 xml:space="preserve">全权代表姓名：     性别：     年龄： </w:t>
      </w:r>
    </w:p>
    <w:p w14:paraId="02BD652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8"/>
          <w:szCs w:val="28"/>
          <w:highlight w:val="none"/>
        </w:rPr>
      </w:pPr>
    </w:p>
    <w:p w14:paraId="21BB509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单位：             部门：     职务</w:t>
      </w:r>
    </w:p>
    <w:p w14:paraId="0C4E91A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8"/>
          <w:szCs w:val="28"/>
          <w:highlight w:val="none"/>
        </w:rPr>
      </w:pPr>
    </w:p>
    <w:p w14:paraId="180B67C2">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投标人（盖章）：</w:t>
      </w:r>
    </w:p>
    <w:p w14:paraId="24156C1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8"/>
          <w:szCs w:val="28"/>
          <w:highlight w:val="none"/>
        </w:rPr>
      </w:pPr>
    </w:p>
    <w:p w14:paraId="7BD9C5F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法定代表人（签字</w:t>
      </w:r>
      <w:r>
        <w:rPr>
          <w:rFonts w:hint="eastAsia" w:ascii="仿宋" w:hAnsi="仿宋" w:eastAsia="仿宋" w:cs="仿宋"/>
          <w:bCs w:val="0"/>
          <w:color w:val="auto"/>
          <w:sz w:val="28"/>
          <w:szCs w:val="28"/>
          <w:highlight w:val="none"/>
          <w:lang w:val="en-US" w:eastAsia="zh-CN"/>
        </w:rPr>
        <w:t>或盖章</w:t>
      </w:r>
      <w:r>
        <w:rPr>
          <w:rFonts w:hint="eastAsia" w:ascii="仿宋" w:hAnsi="仿宋" w:eastAsia="仿宋" w:cs="仿宋"/>
          <w:bCs w:val="0"/>
          <w:color w:val="auto"/>
          <w:sz w:val="28"/>
          <w:szCs w:val="28"/>
          <w:highlight w:val="none"/>
        </w:rPr>
        <w:t>）：</w:t>
      </w:r>
    </w:p>
    <w:p w14:paraId="34A7946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日期：   年   月  日</w:t>
      </w:r>
      <w:bookmarkStart w:id="281" w:name="_Toc11320305"/>
      <w:bookmarkStart w:id="282" w:name="_Toc323130136"/>
      <w:bookmarkStart w:id="283" w:name="_Toc323129569"/>
      <w:bookmarkStart w:id="284" w:name="_Toc356491344"/>
      <w:bookmarkStart w:id="285" w:name="_Toc325620730"/>
      <w:bookmarkStart w:id="286" w:name="_Toc356490395"/>
    </w:p>
    <w:p w14:paraId="1060E2D9">
      <w:pPr>
        <w:pStyle w:val="16"/>
        <w:rPr>
          <w:rFonts w:hint="eastAsia" w:ascii="仿宋" w:hAnsi="仿宋" w:eastAsia="仿宋" w:cs="仿宋"/>
          <w:color w:val="auto"/>
          <w:highlight w:val="none"/>
        </w:rPr>
      </w:pPr>
    </w:p>
    <w:p w14:paraId="4D8EF5A8">
      <w:pPr>
        <w:rPr>
          <w:rFonts w:hint="eastAsia" w:ascii="仿宋" w:hAnsi="仿宋" w:eastAsia="仿宋" w:cs="仿宋"/>
          <w:b/>
          <w:bCs/>
          <w:color w:val="auto"/>
          <w:kern w:val="0"/>
          <w:sz w:val="28"/>
          <w:szCs w:val="28"/>
          <w:highlight w:val="none"/>
          <w:lang w:val="en-US" w:eastAsia="zh-CN" w:bidi="ar-SA"/>
        </w:rPr>
      </w:pPr>
      <w:bookmarkStart w:id="287" w:name="_Toc22936"/>
      <w:r>
        <w:rPr>
          <w:rFonts w:hint="eastAsia" w:ascii="仿宋" w:hAnsi="仿宋" w:eastAsia="仿宋" w:cs="仿宋"/>
          <w:b/>
          <w:bCs/>
          <w:color w:val="auto"/>
          <w:kern w:val="0"/>
          <w:sz w:val="28"/>
          <w:szCs w:val="28"/>
          <w:highlight w:val="none"/>
          <w:lang w:val="en-US" w:eastAsia="zh-CN" w:bidi="ar-SA"/>
        </w:rPr>
        <w:br w:type="page"/>
      </w:r>
    </w:p>
    <w:p w14:paraId="3726FC8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color w:val="auto"/>
          <w:sz w:val="28"/>
          <w:szCs w:val="28"/>
          <w:highlight w:val="none"/>
        </w:rPr>
      </w:pPr>
      <w:bookmarkStart w:id="288" w:name="_Toc25079"/>
      <w:r>
        <w:rPr>
          <w:rFonts w:hint="eastAsia" w:ascii="仿宋" w:hAnsi="仿宋" w:eastAsia="仿宋" w:cs="仿宋"/>
          <w:b/>
          <w:bCs/>
          <w:color w:val="auto"/>
          <w:kern w:val="0"/>
          <w:sz w:val="28"/>
          <w:szCs w:val="28"/>
          <w:highlight w:val="none"/>
          <w:lang w:val="en-US" w:eastAsia="zh-CN" w:bidi="ar-SA"/>
        </w:rPr>
        <w:t>附件三：在经营活动中没有重大违法记录的书面声明</w:t>
      </w:r>
      <w:bookmarkEnd w:id="281"/>
      <w:bookmarkEnd w:id="287"/>
      <w:bookmarkEnd w:id="288"/>
    </w:p>
    <w:p w14:paraId="277C10C5">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p>
    <w:p w14:paraId="2A14AC6C">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在经营活动中没有重大违法记录的书面声明</w:t>
      </w:r>
    </w:p>
    <w:p w14:paraId="1913DF81">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02C09869">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我方在参加</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（项目名称）采购活动前3年内，在经营活动中没有重大违法记录（重大违法记录指</w:t>
      </w:r>
      <w:r>
        <w:rPr>
          <w:rFonts w:hint="eastAsia" w:ascii="仿宋" w:hAnsi="仿宋" w:eastAsia="仿宋" w:cs="仿宋"/>
          <w:color w:val="auto"/>
          <w:kern w:val="0"/>
          <w:sz w:val="28"/>
          <w:szCs w:val="28"/>
          <w:highlight w:val="none"/>
        </w:rPr>
        <w:t>投标人因违法经营受到刑事处罚或者责令停产停业、吊销许可证或者执照、较大数额罚款等行政处罚）</w:t>
      </w:r>
      <w:r>
        <w:rPr>
          <w:rFonts w:hint="eastAsia" w:ascii="仿宋" w:hAnsi="仿宋" w:eastAsia="仿宋" w:cs="仿宋"/>
          <w:color w:val="auto"/>
          <w:sz w:val="28"/>
          <w:szCs w:val="28"/>
          <w:highlight w:val="none"/>
        </w:rPr>
        <w:t>。</w:t>
      </w:r>
    </w:p>
    <w:p w14:paraId="0626A266">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06B53617">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723478E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p w14:paraId="1F506FC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p w14:paraId="2B11AE39">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p w14:paraId="31A4159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p w14:paraId="6146055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投标人（盖章）：</w:t>
      </w:r>
    </w:p>
    <w:p w14:paraId="680D7D62">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法定代表人或授权代理人（签字</w:t>
      </w:r>
      <w:r>
        <w:rPr>
          <w:rFonts w:hint="eastAsia" w:ascii="仿宋" w:hAnsi="仿宋" w:eastAsia="仿宋" w:cs="仿宋"/>
          <w:bCs w:val="0"/>
          <w:color w:val="auto"/>
          <w:sz w:val="28"/>
          <w:szCs w:val="28"/>
          <w:highlight w:val="none"/>
          <w:lang w:val="en-US" w:eastAsia="zh-CN"/>
        </w:rPr>
        <w:t>或盖章</w:t>
      </w:r>
      <w:r>
        <w:rPr>
          <w:rFonts w:hint="eastAsia" w:ascii="仿宋" w:hAnsi="仿宋" w:eastAsia="仿宋" w:cs="仿宋"/>
          <w:bCs w:val="0"/>
          <w:color w:val="auto"/>
          <w:sz w:val="28"/>
          <w:szCs w:val="28"/>
          <w:highlight w:val="none"/>
        </w:rPr>
        <w:t>）：</w:t>
      </w:r>
    </w:p>
    <w:p w14:paraId="0B922CA5">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bCs w:val="0"/>
          <w:color w:val="auto"/>
          <w:sz w:val="28"/>
          <w:szCs w:val="28"/>
          <w:highlight w:val="none"/>
        </w:rPr>
        <w:t>日期：   年   月  日</w:t>
      </w:r>
    </w:p>
    <w:p w14:paraId="22AA3D66">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5D8A7C03">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23DCBE0E">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27D6524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rPr>
        <w:br w:type="page"/>
      </w:r>
      <w:bookmarkStart w:id="289" w:name="_Toc4842"/>
      <w:bookmarkStart w:id="290" w:name="_Toc9736"/>
      <w:bookmarkStart w:id="291" w:name="_Toc3372"/>
      <w:r>
        <w:rPr>
          <w:rFonts w:hint="eastAsia" w:ascii="仿宋" w:hAnsi="仿宋" w:eastAsia="仿宋" w:cs="仿宋"/>
          <w:b/>
          <w:bCs/>
          <w:color w:val="auto"/>
          <w:kern w:val="2"/>
          <w:sz w:val="28"/>
          <w:szCs w:val="28"/>
          <w:highlight w:val="none"/>
        </w:rPr>
        <w:t>附件四</w:t>
      </w:r>
      <w:r>
        <w:rPr>
          <w:rFonts w:hint="eastAsia" w:ascii="仿宋" w:hAnsi="仿宋" w:eastAsia="仿宋" w:cs="仿宋"/>
          <w:b/>
          <w:bCs/>
          <w:color w:val="auto"/>
          <w:kern w:val="2"/>
          <w:sz w:val="28"/>
          <w:szCs w:val="28"/>
          <w:highlight w:val="none"/>
          <w:lang w:eastAsia="zh-CN"/>
        </w:rPr>
        <w:t>：</w:t>
      </w:r>
      <w:r>
        <w:rPr>
          <w:rFonts w:hint="eastAsia" w:ascii="仿宋" w:hAnsi="仿宋" w:eastAsia="仿宋" w:cs="仿宋"/>
          <w:b/>
          <w:bCs/>
          <w:color w:val="auto"/>
          <w:kern w:val="2"/>
          <w:sz w:val="28"/>
          <w:szCs w:val="28"/>
          <w:highlight w:val="none"/>
          <w:lang w:val="en-US" w:eastAsia="zh-CN"/>
        </w:rPr>
        <w:t>供应商无控股、管理关系的书面声明</w:t>
      </w:r>
      <w:bookmarkEnd w:id="289"/>
    </w:p>
    <w:p w14:paraId="2E81DFF4">
      <w:pPr>
        <w:spacing w:line="360" w:lineRule="auto"/>
        <w:rPr>
          <w:rFonts w:hint="eastAsia" w:ascii="仿宋" w:hAnsi="仿宋" w:eastAsia="仿宋" w:cs="仿宋"/>
          <w:b/>
          <w:bCs/>
          <w:color w:val="auto"/>
          <w:kern w:val="2"/>
          <w:sz w:val="28"/>
          <w:szCs w:val="28"/>
          <w:highlight w:val="none"/>
          <w:lang w:val="en-US" w:eastAsia="zh-CN"/>
        </w:rPr>
      </w:pPr>
    </w:p>
    <w:p w14:paraId="12DFA6BC">
      <w:pPr>
        <w:spacing w:line="360" w:lineRule="auto"/>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致山东大学第二医院、盛和招标代理有限公司：</w:t>
      </w:r>
    </w:p>
    <w:p w14:paraId="6578887E">
      <w:pPr>
        <w:pStyle w:val="49"/>
        <w:spacing w:line="360" w:lineRule="auto"/>
        <w:ind w:left="0" w:leftChars="0" w:firstLine="560" w:firstLineChars="200"/>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2"/>
          <w:sz w:val="28"/>
          <w:szCs w:val="28"/>
          <w:highlight w:val="none"/>
          <w:lang w:val="en-US" w:eastAsia="zh-CN"/>
        </w:rPr>
        <w:t>就参与本次</w:t>
      </w:r>
      <w:r>
        <w:rPr>
          <w:rFonts w:hint="eastAsia" w:ascii="仿宋" w:hAnsi="仿宋" w:eastAsia="仿宋" w:cs="仿宋"/>
          <w:b w:val="0"/>
          <w:bCs w:val="0"/>
          <w:color w:val="auto"/>
          <w:kern w:val="2"/>
          <w:sz w:val="28"/>
          <w:szCs w:val="28"/>
          <w:highlight w:val="none"/>
          <w:u w:val="single"/>
          <w:lang w:val="en-US" w:eastAsia="zh-CN"/>
        </w:rPr>
        <w:t>山东大学第二医院历史病案扫描数字化加工服务项目（项目编号：SHZB2025-006）</w:t>
      </w:r>
      <w:r>
        <w:rPr>
          <w:rFonts w:hint="eastAsia" w:ascii="仿宋" w:hAnsi="仿宋" w:eastAsia="仿宋" w:cs="仿宋"/>
          <w:b w:val="0"/>
          <w:bCs w:val="0"/>
          <w:color w:val="auto"/>
          <w:kern w:val="2"/>
          <w:sz w:val="28"/>
          <w:szCs w:val="28"/>
          <w:highlight w:val="none"/>
          <w:u w:val="none"/>
          <w:lang w:val="en-US" w:eastAsia="zh-CN"/>
        </w:rPr>
        <w:t>,我公司做以下声明：</w:t>
      </w:r>
    </w:p>
    <w:p w14:paraId="406320AC">
      <w:pPr>
        <w:spacing w:line="360" w:lineRule="auto"/>
        <w:ind w:firstLine="560" w:firstLineChars="200"/>
        <w:rPr>
          <w:rFonts w:hint="eastAsia" w:ascii="仿宋" w:hAnsi="仿宋" w:eastAsia="仿宋" w:cs="仿宋"/>
          <w:b w:val="0"/>
          <w:bCs w:val="0"/>
          <w:color w:val="auto"/>
          <w:kern w:val="2"/>
          <w:sz w:val="28"/>
          <w:szCs w:val="28"/>
          <w:highlight w:val="none"/>
          <w:lang w:eastAsia="zh-CN"/>
        </w:rPr>
      </w:pPr>
      <w:r>
        <w:rPr>
          <w:rFonts w:hint="eastAsia" w:ascii="仿宋" w:hAnsi="仿宋" w:eastAsia="仿宋" w:cs="仿宋"/>
          <w:b w:val="0"/>
          <w:bCs w:val="0"/>
          <w:color w:val="auto"/>
          <w:kern w:val="2"/>
          <w:sz w:val="28"/>
          <w:szCs w:val="28"/>
          <w:highlight w:val="none"/>
          <w:lang w:val="en-US" w:eastAsia="zh-CN"/>
        </w:rPr>
        <w:t>我</w:t>
      </w:r>
      <w:r>
        <w:rPr>
          <w:rFonts w:hint="eastAsia" w:ascii="仿宋" w:hAnsi="仿宋" w:eastAsia="仿宋" w:cs="仿宋"/>
          <w:b w:val="0"/>
          <w:bCs w:val="0"/>
          <w:color w:val="auto"/>
          <w:kern w:val="2"/>
          <w:sz w:val="28"/>
          <w:szCs w:val="28"/>
          <w:highlight w:val="none"/>
          <w:lang w:eastAsia="zh-CN"/>
        </w:rPr>
        <w:t>单位负责人</w:t>
      </w:r>
      <w:r>
        <w:rPr>
          <w:rFonts w:hint="eastAsia" w:ascii="仿宋" w:hAnsi="仿宋" w:eastAsia="仿宋" w:cs="仿宋"/>
          <w:b w:val="0"/>
          <w:bCs w:val="0"/>
          <w:color w:val="auto"/>
          <w:kern w:val="2"/>
          <w:sz w:val="28"/>
          <w:szCs w:val="28"/>
          <w:highlight w:val="none"/>
          <w:lang w:val="en-US" w:eastAsia="zh-CN"/>
        </w:rPr>
        <w:t>与其他</w:t>
      </w:r>
      <w:r>
        <w:rPr>
          <w:rFonts w:hint="eastAsia" w:ascii="仿宋" w:hAnsi="仿宋" w:eastAsia="仿宋" w:cs="仿宋"/>
          <w:b w:val="0"/>
          <w:bCs w:val="0"/>
          <w:color w:val="auto"/>
          <w:kern w:val="2"/>
          <w:sz w:val="28"/>
          <w:szCs w:val="28"/>
          <w:highlight w:val="none"/>
          <w:lang w:eastAsia="zh-CN"/>
        </w:rPr>
        <w:t>供应商</w:t>
      </w:r>
      <w:r>
        <w:rPr>
          <w:rFonts w:hint="eastAsia" w:ascii="仿宋" w:hAnsi="仿宋" w:eastAsia="仿宋" w:cs="仿宋"/>
          <w:b w:val="0"/>
          <w:bCs w:val="0"/>
          <w:color w:val="auto"/>
          <w:kern w:val="2"/>
          <w:sz w:val="28"/>
          <w:szCs w:val="28"/>
          <w:highlight w:val="none"/>
          <w:lang w:val="en-US" w:eastAsia="zh-CN"/>
        </w:rPr>
        <w:t>负责人非</w:t>
      </w:r>
      <w:r>
        <w:rPr>
          <w:rFonts w:hint="eastAsia" w:ascii="仿宋" w:hAnsi="仿宋" w:eastAsia="仿宋" w:cs="仿宋"/>
          <w:b w:val="0"/>
          <w:bCs w:val="0"/>
          <w:color w:val="auto"/>
          <w:kern w:val="2"/>
          <w:sz w:val="28"/>
          <w:szCs w:val="28"/>
          <w:highlight w:val="none"/>
          <w:lang w:eastAsia="zh-CN"/>
        </w:rPr>
        <w:t>同一人，</w:t>
      </w:r>
      <w:r>
        <w:rPr>
          <w:rFonts w:hint="eastAsia" w:ascii="仿宋" w:hAnsi="仿宋" w:eastAsia="仿宋" w:cs="仿宋"/>
          <w:b w:val="0"/>
          <w:bCs w:val="0"/>
          <w:color w:val="auto"/>
          <w:kern w:val="2"/>
          <w:sz w:val="28"/>
          <w:szCs w:val="28"/>
          <w:highlight w:val="none"/>
          <w:lang w:val="en-US" w:eastAsia="zh-CN"/>
        </w:rPr>
        <w:t>我公司与其他</w:t>
      </w:r>
      <w:r>
        <w:rPr>
          <w:rFonts w:hint="eastAsia" w:ascii="仿宋" w:hAnsi="仿宋" w:eastAsia="仿宋" w:cs="仿宋"/>
          <w:b w:val="0"/>
          <w:bCs w:val="0"/>
          <w:color w:val="auto"/>
          <w:kern w:val="2"/>
          <w:sz w:val="28"/>
          <w:szCs w:val="28"/>
          <w:highlight w:val="none"/>
          <w:lang w:eastAsia="zh-CN"/>
        </w:rPr>
        <w:t>供应商</w:t>
      </w:r>
      <w:r>
        <w:rPr>
          <w:rFonts w:hint="eastAsia" w:ascii="仿宋" w:hAnsi="仿宋" w:eastAsia="仿宋" w:cs="仿宋"/>
          <w:b w:val="0"/>
          <w:bCs w:val="0"/>
          <w:color w:val="auto"/>
          <w:kern w:val="2"/>
          <w:sz w:val="28"/>
          <w:szCs w:val="28"/>
          <w:highlight w:val="none"/>
          <w:lang w:val="en-US" w:eastAsia="zh-CN"/>
        </w:rPr>
        <w:t>不</w:t>
      </w:r>
      <w:r>
        <w:rPr>
          <w:rFonts w:hint="eastAsia" w:ascii="仿宋" w:hAnsi="仿宋" w:eastAsia="仿宋" w:cs="仿宋"/>
          <w:b w:val="0"/>
          <w:bCs w:val="0"/>
          <w:color w:val="auto"/>
          <w:kern w:val="2"/>
          <w:sz w:val="28"/>
          <w:szCs w:val="28"/>
          <w:highlight w:val="none"/>
          <w:lang w:eastAsia="zh-CN"/>
        </w:rPr>
        <w:t>存在直接控股、管理关系。</w:t>
      </w:r>
    </w:p>
    <w:p w14:paraId="38391F93">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特此承诺</w:t>
      </w:r>
    </w:p>
    <w:p w14:paraId="5F395F91">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p>
    <w:p w14:paraId="0CBFE38B">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p>
    <w:p w14:paraId="56DC6396">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p>
    <w:p w14:paraId="79CF7FE0">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供应商名称（加盖公章）：</w:t>
      </w:r>
    </w:p>
    <w:p w14:paraId="3C828FB0">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日期：2025年   月   日</w:t>
      </w:r>
    </w:p>
    <w:p w14:paraId="340C9AB4">
      <w:pPr>
        <w:spacing w:line="360" w:lineRule="auto"/>
        <w:ind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br w:type="page"/>
      </w:r>
    </w:p>
    <w:p w14:paraId="428D2D3B">
      <w:pPr>
        <w:pStyle w:val="3"/>
        <w:pageBreakBefore w:val="0"/>
        <w:kinsoku/>
        <w:overflowPunct/>
        <w:topLinePunct w:val="0"/>
        <w:bidi w:val="0"/>
        <w:snapToGrid/>
        <w:spacing w:line="360" w:lineRule="auto"/>
        <w:rPr>
          <w:rFonts w:hint="eastAsia" w:ascii="仿宋" w:hAnsi="仿宋" w:eastAsia="仿宋" w:cs="仿宋"/>
          <w:b/>
          <w:color w:val="auto"/>
          <w:sz w:val="28"/>
          <w:szCs w:val="28"/>
          <w:highlight w:val="none"/>
        </w:rPr>
      </w:pPr>
      <w:bookmarkStart w:id="292" w:name="_Toc5489"/>
      <w:r>
        <w:rPr>
          <w:rFonts w:hint="eastAsia" w:ascii="仿宋" w:hAnsi="仿宋" w:eastAsia="仿宋" w:cs="仿宋"/>
          <w:color w:val="auto"/>
          <w:sz w:val="28"/>
          <w:szCs w:val="28"/>
          <w:highlight w:val="none"/>
        </w:rPr>
        <w:t>附件</w:t>
      </w:r>
      <w:bookmarkEnd w:id="282"/>
      <w:bookmarkEnd w:id="283"/>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：报  价 一 览 表</w:t>
      </w:r>
      <w:bookmarkEnd w:id="284"/>
      <w:bookmarkEnd w:id="285"/>
      <w:bookmarkEnd w:id="286"/>
      <w:bookmarkEnd w:id="290"/>
      <w:bookmarkEnd w:id="291"/>
      <w:bookmarkEnd w:id="292"/>
    </w:p>
    <w:p w14:paraId="2619116E">
      <w:pPr>
        <w:pStyle w:val="16"/>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  价 一 览 表</w:t>
      </w:r>
    </w:p>
    <w:p w14:paraId="34C307F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rPr>
        <w:t>项目编号：</w:t>
      </w:r>
      <w:r>
        <w:rPr>
          <w:rFonts w:hint="eastAsia" w:ascii="仿宋" w:hAnsi="仿宋" w:eastAsia="仿宋" w:cs="仿宋"/>
          <w:bCs w:val="0"/>
          <w:color w:val="auto"/>
          <w:sz w:val="28"/>
          <w:szCs w:val="28"/>
          <w:highlight w:val="none"/>
          <w:lang w:val="en-US" w:eastAsia="zh-CN"/>
        </w:rPr>
        <w:t xml:space="preserve">              </w:t>
      </w:r>
    </w:p>
    <w:p w14:paraId="380D2E1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color w:val="auto"/>
          <w:highlight w:val="none"/>
        </w:rPr>
      </w:pPr>
      <w:r>
        <w:rPr>
          <w:rFonts w:hint="eastAsia" w:ascii="仿宋" w:hAnsi="仿宋" w:eastAsia="仿宋" w:cs="仿宋"/>
          <w:bCs w:val="0"/>
          <w:color w:val="auto"/>
          <w:sz w:val="28"/>
          <w:szCs w:val="28"/>
          <w:highlight w:val="none"/>
        </w:rPr>
        <w:t>投标人名称（公章）：   法定代表人或授权代理人签字</w:t>
      </w:r>
      <w:r>
        <w:rPr>
          <w:rFonts w:hint="eastAsia" w:ascii="仿宋" w:hAnsi="仿宋" w:eastAsia="仿宋" w:cs="仿宋"/>
          <w:bCs w:val="0"/>
          <w:color w:val="auto"/>
          <w:sz w:val="28"/>
          <w:szCs w:val="28"/>
          <w:highlight w:val="none"/>
          <w:lang w:val="en-US" w:eastAsia="zh-CN"/>
        </w:rPr>
        <w:t>或盖章</w:t>
      </w:r>
      <w:r>
        <w:rPr>
          <w:rFonts w:hint="eastAsia" w:ascii="仿宋" w:hAnsi="仿宋" w:eastAsia="仿宋" w:cs="仿宋"/>
          <w:bCs w:val="0"/>
          <w:color w:val="auto"/>
          <w:sz w:val="28"/>
          <w:szCs w:val="28"/>
          <w:highlight w:val="none"/>
        </w:rPr>
        <w:t>：</w:t>
      </w:r>
      <w:r>
        <w:rPr>
          <w:rFonts w:hint="eastAsia" w:ascii="仿宋" w:hAnsi="仿宋" w:eastAsia="仿宋" w:cs="仿宋"/>
          <w:b/>
          <w:color w:val="auto"/>
          <w:highlight w:val="none"/>
        </w:rPr>
        <w:t xml:space="preserve">                                            </w:t>
      </w:r>
    </w:p>
    <w:tbl>
      <w:tblPr>
        <w:tblStyle w:val="39"/>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4"/>
        <w:gridCol w:w="6365"/>
      </w:tblGrid>
      <w:tr w14:paraId="3D53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14:paraId="6A4BF553">
            <w:pPr>
              <w:spacing w:line="48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项目名称</w:t>
            </w:r>
          </w:p>
        </w:tc>
        <w:tc>
          <w:tcPr>
            <w:tcW w:w="6365" w:type="dxa"/>
            <w:vAlign w:val="center"/>
          </w:tcPr>
          <w:p w14:paraId="317B6076">
            <w:pPr>
              <w:spacing w:line="480" w:lineRule="exact"/>
              <w:rPr>
                <w:rFonts w:hint="eastAsia" w:ascii="仿宋" w:hAnsi="仿宋" w:eastAsia="仿宋" w:cs="仿宋"/>
                <w:bCs/>
                <w:color w:val="auto"/>
                <w:sz w:val="24"/>
                <w:highlight w:val="none"/>
              </w:rPr>
            </w:pPr>
          </w:p>
        </w:tc>
      </w:tr>
      <w:tr w14:paraId="179A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14:paraId="5EC6ACFC">
            <w:pPr>
              <w:spacing w:line="48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供应商名称</w:t>
            </w:r>
          </w:p>
        </w:tc>
        <w:tc>
          <w:tcPr>
            <w:tcW w:w="6365" w:type="dxa"/>
            <w:vAlign w:val="center"/>
          </w:tcPr>
          <w:p w14:paraId="4BF2956A">
            <w:pPr>
              <w:spacing w:line="480" w:lineRule="exact"/>
              <w:rPr>
                <w:rFonts w:hint="eastAsia" w:ascii="仿宋" w:hAnsi="仿宋" w:eastAsia="仿宋" w:cs="仿宋"/>
                <w:bCs/>
                <w:color w:val="auto"/>
                <w:sz w:val="24"/>
                <w:highlight w:val="none"/>
              </w:rPr>
            </w:pPr>
          </w:p>
        </w:tc>
      </w:tr>
      <w:tr w14:paraId="2816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14:paraId="1FB5E73D">
            <w:pPr>
              <w:spacing w:line="48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报价</w:t>
            </w:r>
          </w:p>
        </w:tc>
        <w:tc>
          <w:tcPr>
            <w:tcW w:w="6365" w:type="dxa"/>
            <w:vAlign w:val="center"/>
          </w:tcPr>
          <w:p w14:paraId="1ECFBC60">
            <w:pPr>
              <w:spacing w:line="4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每页</w:t>
            </w:r>
          </w:p>
          <w:p w14:paraId="7FB603F2">
            <w:pPr>
              <w:spacing w:line="48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小写：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/页</w:t>
            </w:r>
          </w:p>
        </w:tc>
      </w:tr>
      <w:tr w14:paraId="43A7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14:paraId="23678186">
            <w:pPr>
              <w:spacing w:line="480" w:lineRule="exact"/>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服务期</w:t>
            </w:r>
          </w:p>
        </w:tc>
        <w:tc>
          <w:tcPr>
            <w:tcW w:w="6365" w:type="dxa"/>
            <w:vAlign w:val="center"/>
          </w:tcPr>
          <w:p w14:paraId="41A7018C">
            <w:pPr>
              <w:spacing w:line="480" w:lineRule="exact"/>
              <w:rPr>
                <w:rFonts w:hint="eastAsia" w:ascii="仿宋" w:hAnsi="仿宋" w:eastAsia="仿宋" w:cs="仿宋"/>
                <w:color w:val="auto"/>
                <w:sz w:val="24"/>
                <w:highlight w:val="none"/>
              </w:rPr>
            </w:pPr>
          </w:p>
        </w:tc>
      </w:tr>
      <w:tr w14:paraId="6FBF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2814" w:type="dxa"/>
            <w:vAlign w:val="center"/>
          </w:tcPr>
          <w:p w14:paraId="472D5ADF">
            <w:pPr>
              <w:spacing w:line="48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供应商对</w:t>
            </w:r>
            <w:r>
              <w:rPr>
                <w:rFonts w:hint="eastAsia" w:ascii="仿宋" w:hAnsi="仿宋" w:eastAsia="仿宋" w:cs="仿宋"/>
                <w:bCs/>
                <w:color w:val="auto"/>
                <w:sz w:val="24"/>
                <w:highlight w:val="none"/>
                <w:lang w:eastAsia="zh-CN"/>
              </w:rPr>
              <w:t>招标文件</w:t>
            </w:r>
            <w:r>
              <w:rPr>
                <w:rFonts w:hint="eastAsia" w:ascii="仿宋" w:hAnsi="仿宋" w:eastAsia="仿宋" w:cs="仿宋"/>
                <w:bCs/>
                <w:color w:val="auto"/>
                <w:sz w:val="24"/>
                <w:highlight w:val="none"/>
              </w:rPr>
              <w:t>的</w:t>
            </w:r>
          </w:p>
          <w:p w14:paraId="31A35160">
            <w:pPr>
              <w:spacing w:line="48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认同情况</w:t>
            </w:r>
          </w:p>
        </w:tc>
        <w:tc>
          <w:tcPr>
            <w:tcW w:w="6365" w:type="dxa"/>
            <w:vAlign w:val="center"/>
          </w:tcPr>
          <w:p w14:paraId="4C80BA4D">
            <w:pPr>
              <w:spacing w:line="480" w:lineRule="exact"/>
              <w:rPr>
                <w:rFonts w:hint="eastAsia" w:ascii="仿宋" w:hAnsi="仿宋" w:eastAsia="仿宋" w:cs="仿宋"/>
                <w:bCs/>
                <w:color w:val="auto"/>
                <w:sz w:val="24"/>
                <w:highlight w:val="none"/>
              </w:rPr>
            </w:pPr>
          </w:p>
        </w:tc>
      </w:tr>
      <w:tr w14:paraId="2E26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814" w:type="dxa"/>
            <w:vAlign w:val="center"/>
          </w:tcPr>
          <w:p w14:paraId="51C8F29B">
            <w:pPr>
              <w:spacing w:line="48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tc>
        <w:tc>
          <w:tcPr>
            <w:tcW w:w="6365" w:type="dxa"/>
            <w:vAlign w:val="center"/>
          </w:tcPr>
          <w:p w14:paraId="6D1CF650">
            <w:pPr>
              <w:spacing w:line="480" w:lineRule="exact"/>
              <w:rPr>
                <w:rFonts w:hint="eastAsia" w:ascii="仿宋" w:hAnsi="仿宋" w:eastAsia="仿宋" w:cs="仿宋"/>
                <w:bCs/>
                <w:color w:val="auto"/>
                <w:sz w:val="24"/>
                <w:highlight w:val="none"/>
              </w:rPr>
            </w:pPr>
          </w:p>
        </w:tc>
      </w:tr>
    </w:tbl>
    <w:p w14:paraId="3D12387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注：</w:t>
      </w:r>
    </w:p>
    <w:p w14:paraId="1187119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1.投标人必须另外单独密封一套 “</w:t>
      </w:r>
      <w:r>
        <w:rPr>
          <w:rFonts w:hint="eastAsia" w:ascii="仿宋" w:hAnsi="仿宋" w:eastAsia="仿宋" w:cs="仿宋"/>
          <w:bCs w:val="0"/>
          <w:color w:val="auto"/>
          <w:sz w:val="24"/>
          <w:szCs w:val="24"/>
          <w:highlight w:val="none"/>
          <w:lang w:eastAsia="zh-CN"/>
        </w:rPr>
        <w:t>开标一览表</w:t>
      </w:r>
      <w:r>
        <w:rPr>
          <w:rFonts w:hint="eastAsia" w:ascii="仿宋" w:hAnsi="仿宋" w:eastAsia="仿宋" w:cs="仿宋"/>
          <w:bCs w:val="0"/>
          <w:color w:val="auto"/>
          <w:sz w:val="24"/>
          <w:szCs w:val="24"/>
          <w:highlight w:val="none"/>
        </w:rPr>
        <w:t>”，“</w:t>
      </w:r>
      <w:r>
        <w:rPr>
          <w:rFonts w:hint="eastAsia" w:ascii="仿宋" w:hAnsi="仿宋" w:eastAsia="仿宋" w:cs="仿宋"/>
          <w:bCs w:val="0"/>
          <w:color w:val="auto"/>
          <w:sz w:val="24"/>
          <w:szCs w:val="24"/>
          <w:highlight w:val="none"/>
          <w:lang w:eastAsia="zh-CN"/>
        </w:rPr>
        <w:t>开标一览表</w:t>
      </w:r>
      <w:r>
        <w:rPr>
          <w:rFonts w:hint="eastAsia" w:ascii="仿宋" w:hAnsi="仿宋" w:eastAsia="仿宋" w:cs="仿宋"/>
          <w:bCs w:val="0"/>
          <w:color w:val="auto"/>
          <w:sz w:val="24"/>
          <w:szCs w:val="24"/>
          <w:highlight w:val="none"/>
        </w:rPr>
        <w:t>”要求每包报价单独打印一份本表并盖章（提供原件），密封到信封里，现场与投标文件同时提交。在封面加盖单位公章并注明</w:t>
      </w:r>
      <w:r>
        <w:rPr>
          <w:rFonts w:hint="eastAsia" w:ascii="仿宋" w:hAnsi="仿宋" w:eastAsia="仿宋" w:cs="仿宋"/>
          <w:bCs w:val="0"/>
          <w:color w:val="auto"/>
          <w:sz w:val="24"/>
          <w:szCs w:val="24"/>
          <w:highlight w:val="none"/>
          <w:lang w:eastAsia="zh-CN"/>
        </w:rPr>
        <w:t>开标一览表</w:t>
      </w:r>
      <w:r>
        <w:rPr>
          <w:rFonts w:hint="eastAsia" w:ascii="仿宋" w:hAnsi="仿宋" w:eastAsia="仿宋" w:cs="仿宋"/>
          <w:bCs w:val="0"/>
          <w:color w:val="auto"/>
          <w:sz w:val="24"/>
          <w:szCs w:val="24"/>
          <w:highlight w:val="none"/>
        </w:rPr>
        <w:t>、项目名称、所报、投标人名称。</w:t>
      </w:r>
    </w:p>
    <w:p w14:paraId="1BF81D59">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lang w:eastAsia="zh-CN"/>
        </w:rPr>
      </w:pPr>
      <w:r>
        <w:rPr>
          <w:rFonts w:hint="eastAsia" w:ascii="仿宋" w:hAnsi="仿宋" w:eastAsia="仿宋" w:cs="仿宋"/>
          <w:bCs w:val="0"/>
          <w:color w:val="auto"/>
          <w:sz w:val="24"/>
          <w:szCs w:val="24"/>
          <w:highlight w:val="none"/>
        </w:rPr>
        <w:t xml:space="preserve">2. </w:t>
      </w:r>
      <w:r>
        <w:rPr>
          <w:rFonts w:hint="eastAsia" w:ascii="仿宋" w:hAnsi="仿宋" w:eastAsia="仿宋" w:cs="仿宋"/>
          <w:bCs w:val="0"/>
          <w:color w:val="auto"/>
          <w:sz w:val="24"/>
          <w:szCs w:val="24"/>
          <w:highlight w:val="none"/>
          <w:lang w:val="en-US" w:eastAsia="zh-CN"/>
        </w:rPr>
        <w:t>投标报价包含</w:t>
      </w: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执行过程中产生的一切费用</w:t>
      </w:r>
      <w:r>
        <w:rPr>
          <w:rFonts w:hint="eastAsia" w:ascii="仿宋" w:hAnsi="仿宋" w:eastAsia="仿宋" w:cs="仿宋"/>
          <w:color w:val="auto"/>
          <w:sz w:val="24"/>
          <w:szCs w:val="24"/>
          <w:highlight w:val="none"/>
          <w:lang w:eastAsia="zh-CN"/>
        </w:rPr>
        <w:t>。</w:t>
      </w:r>
    </w:p>
    <w:p w14:paraId="70A772F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3.投标人须按以上格式填写，不得删除或增加内容，否则</w:t>
      </w:r>
      <w:r>
        <w:rPr>
          <w:rFonts w:hint="eastAsia" w:ascii="仿宋" w:hAnsi="仿宋" w:eastAsia="仿宋" w:cs="仿宋"/>
          <w:bCs w:val="0"/>
          <w:color w:val="auto"/>
          <w:sz w:val="24"/>
          <w:szCs w:val="24"/>
          <w:highlight w:val="none"/>
          <w:lang w:eastAsia="zh-CN"/>
        </w:rPr>
        <w:t>评标委员会</w:t>
      </w:r>
      <w:r>
        <w:rPr>
          <w:rFonts w:hint="eastAsia" w:ascii="仿宋" w:hAnsi="仿宋" w:eastAsia="仿宋" w:cs="仿宋"/>
          <w:bCs w:val="0"/>
          <w:color w:val="auto"/>
          <w:sz w:val="24"/>
          <w:szCs w:val="24"/>
          <w:highlight w:val="none"/>
        </w:rPr>
        <w:t>有权视为无效报价。</w:t>
      </w:r>
    </w:p>
    <w:p w14:paraId="2B4164C2">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31754D42">
      <w:pPr>
        <w:pStyle w:val="3"/>
        <w:pageBreakBefore w:val="0"/>
        <w:kinsoku/>
        <w:overflowPunct/>
        <w:topLinePunct w:val="0"/>
        <w:bidi w:val="0"/>
        <w:snapToGrid/>
        <w:spacing w:line="360" w:lineRule="auto"/>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color w:val="auto"/>
          <w:sz w:val="28"/>
          <w:szCs w:val="28"/>
          <w:highlight w:val="none"/>
        </w:rPr>
        <w:br w:type="page"/>
      </w:r>
      <w:bookmarkStart w:id="293" w:name="_Toc323129570"/>
      <w:bookmarkStart w:id="294" w:name="_Toc323130137"/>
      <w:bookmarkStart w:id="295" w:name="_Toc325620731"/>
      <w:bookmarkStart w:id="296" w:name="_Toc5119"/>
      <w:bookmarkStart w:id="297" w:name="_Toc356491345"/>
      <w:bookmarkStart w:id="298" w:name="_Toc24894"/>
      <w:bookmarkStart w:id="299" w:name="_Toc356490396"/>
      <w:bookmarkStart w:id="300" w:name="_Toc4523"/>
      <w:r>
        <w:rPr>
          <w:rFonts w:hint="eastAsia" w:ascii="仿宋" w:hAnsi="仿宋" w:eastAsia="仿宋" w:cs="仿宋"/>
          <w:color w:val="auto"/>
          <w:sz w:val="28"/>
          <w:szCs w:val="28"/>
          <w:highlight w:val="none"/>
        </w:rPr>
        <w:t>附件</w:t>
      </w:r>
      <w:bookmarkEnd w:id="293"/>
      <w:bookmarkEnd w:id="294"/>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w:t>
      </w:r>
      <w:bookmarkEnd w:id="295"/>
      <w:bookmarkEnd w:id="296"/>
      <w:bookmarkEnd w:id="297"/>
      <w:bookmarkEnd w:id="298"/>
      <w:bookmarkEnd w:id="299"/>
      <w:bookmarkStart w:id="301" w:name="_Toc1344"/>
      <w:bookmarkStart w:id="302" w:name="_Toc356490397"/>
      <w:bookmarkStart w:id="303" w:name="_Toc323129572"/>
      <w:bookmarkStart w:id="304" w:name="_Toc325620733"/>
      <w:bookmarkStart w:id="305" w:name="_Toc323130139"/>
      <w:bookmarkStart w:id="306" w:name="_Toc21772"/>
      <w:bookmarkStart w:id="307" w:name="_Toc356491346"/>
      <w:r>
        <w:rPr>
          <w:rFonts w:hint="eastAsia" w:ascii="仿宋" w:hAnsi="仿宋" w:eastAsia="仿宋" w:cs="仿宋"/>
          <w:b/>
          <w:bCs/>
          <w:color w:val="auto"/>
          <w:kern w:val="0"/>
          <w:sz w:val="28"/>
          <w:szCs w:val="28"/>
          <w:highlight w:val="none"/>
          <w:lang w:val="en-US" w:eastAsia="zh-CN" w:bidi="ar-SA"/>
        </w:rPr>
        <w:t>拟投入人员及其技术资格一览表</w:t>
      </w:r>
      <w:bookmarkEnd w:id="300"/>
    </w:p>
    <w:p w14:paraId="380A7DA3">
      <w:pPr>
        <w:jc w:val="center"/>
        <w:rPr>
          <w:rFonts w:hint="eastAsia" w:ascii="仿宋" w:hAnsi="仿宋" w:eastAsia="仿宋" w:cs="仿宋"/>
          <w:bCs w:val="0"/>
          <w:color w:val="auto"/>
          <w:sz w:val="28"/>
          <w:szCs w:val="28"/>
          <w:highlight w:val="none"/>
          <w:u w:val="none"/>
        </w:rPr>
      </w:pPr>
    </w:p>
    <w:p w14:paraId="71744721">
      <w:pPr>
        <w:spacing w:line="360" w:lineRule="auto"/>
        <w:jc w:val="center"/>
        <w:rPr>
          <w:rFonts w:hint="eastAsia" w:ascii="仿宋" w:hAnsi="仿宋" w:eastAsia="仿宋" w:cs="仿宋"/>
          <w:bCs w:val="0"/>
          <w:color w:val="auto"/>
          <w:sz w:val="28"/>
          <w:szCs w:val="28"/>
          <w:highlight w:val="none"/>
          <w:u w:val="none"/>
        </w:rPr>
      </w:pPr>
      <w:r>
        <w:rPr>
          <w:rFonts w:hint="eastAsia" w:ascii="仿宋" w:hAnsi="仿宋" w:eastAsia="仿宋" w:cs="仿宋"/>
          <w:bCs w:val="0"/>
          <w:color w:val="auto"/>
          <w:sz w:val="28"/>
          <w:szCs w:val="28"/>
          <w:highlight w:val="none"/>
          <w:u w:val="none"/>
        </w:rPr>
        <w:t>拟投入人员及其技术资格一览表</w:t>
      </w:r>
    </w:p>
    <w:tbl>
      <w:tblPr>
        <w:tblStyle w:val="40"/>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135"/>
        <w:gridCol w:w="1260"/>
        <w:gridCol w:w="1648"/>
        <w:gridCol w:w="1446"/>
        <w:gridCol w:w="1996"/>
        <w:gridCol w:w="996"/>
      </w:tblGrid>
      <w:tr w14:paraId="4654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935" w:type="dxa"/>
            <w:vAlign w:val="center"/>
          </w:tcPr>
          <w:p w14:paraId="65479BE0">
            <w:pPr>
              <w:spacing w:line="360" w:lineRule="auto"/>
              <w:jc w:val="center"/>
              <w:rPr>
                <w:rFonts w:hint="eastAsia" w:ascii="仿宋" w:hAnsi="仿宋" w:eastAsia="仿宋" w:cs="仿宋"/>
                <w:bCs w:val="0"/>
                <w:color w:val="auto"/>
                <w:sz w:val="28"/>
                <w:szCs w:val="28"/>
                <w:highlight w:val="none"/>
                <w:u w:val="non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序号</w:t>
            </w:r>
          </w:p>
        </w:tc>
        <w:tc>
          <w:tcPr>
            <w:tcW w:w="1135" w:type="dxa"/>
            <w:vAlign w:val="center"/>
          </w:tcPr>
          <w:p w14:paraId="2634E5B6">
            <w:pPr>
              <w:spacing w:line="360" w:lineRule="auto"/>
              <w:jc w:val="center"/>
              <w:rPr>
                <w:rFonts w:hint="eastAsia" w:ascii="仿宋" w:hAnsi="仿宋" w:eastAsia="仿宋" w:cs="仿宋"/>
                <w:bCs w:val="0"/>
                <w:color w:val="auto"/>
                <w:sz w:val="28"/>
                <w:szCs w:val="28"/>
                <w:highlight w:val="none"/>
                <w:u w:val="non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姓名</w:t>
            </w:r>
          </w:p>
        </w:tc>
        <w:tc>
          <w:tcPr>
            <w:tcW w:w="1260" w:type="dxa"/>
            <w:vAlign w:val="center"/>
          </w:tcPr>
          <w:p w14:paraId="45C11D3C">
            <w:pPr>
              <w:spacing w:line="360" w:lineRule="auto"/>
              <w:jc w:val="center"/>
              <w:rPr>
                <w:rFonts w:hint="eastAsia" w:ascii="仿宋" w:hAnsi="仿宋" w:eastAsia="仿宋" w:cs="仿宋"/>
                <w:bCs w:val="0"/>
                <w:color w:val="auto"/>
                <w:sz w:val="28"/>
                <w:szCs w:val="28"/>
                <w:highlight w:val="none"/>
                <w:u w:val="non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职务</w:t>
            </w:r>
          </w:p>
        </w:tc>
        <w:tc>
          <w:tcPr>
            <w:tcW w:w="1648" w:type="dxa"/>
            <w:vAlign w:val="center"/>
          </w:tcPr>
          <w:p w14:paraId="5926763F">
            <w:pPr>
              <w:spacing w:line="360" w:lineRule="auto"/>
              <w:jc w:val="center"/>
              <w:rPr>
                <w:rFonts w:hint="eastAsia" w:ascii="仿宋" w:hAnsi="仿宋" w:eastAsia="仿宋" w:cs="仿宋"/>
                <w:bCs w:val="0"/>
                <w:color w:val="auto"/>
                <w:sz w:val="28"/>
                <w:szCs w:val="28"/>
                <w:highlight w:val="none"/>
                <w:u w:val="non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专业技术资格</w:t>
            </w:r>
          </w:p>
        </w:tc>
        <w:tc>
          <w:tcPr>
            <w:tcW w:w="1446" w:type="dxa"/>
            <w:vAlign w:val="center"/>
          </w:tcPr>
          <w:p w14:paraId="0F5E37EF">
            <w:pPr>
              <w:spacing w:line="360" w:lineRule="auto"/>
              <w:jc w:val="center"/>
              <w:rPr>
                <w:rFonts w:hint="eastAsia" w:ascii="仿宋" w:hAnsi="仿宋" w:eastAsia="仿宋" w:cs="仿宋"/>
                <w:bCs w:val="0"/>
                <w:color w:val="auto"/>
                <w:sz w:val="28"/>
                <w:szCs w:val="28"/>
                <w:highlight w:val="none"/>
                <w:u w:val="non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证书编号</w:t>
            </w:r>
          </w:p>
        </w:tc>
        <w:tc>
          <w:tcPr>
            <w:tcW w:w="1996" w:type="dxa"/>
            <w:vAlign w:val="center"/>
          </w:tcPr>
          <w:p w14:paraId="41FC1FA9">
            <w:pPr>
              <w:spacing w:line="360" w:lineRule="auto"/>
              <w:jc w:val="center"/>
              <w:rPr>
                <w:rFonts w:hint="eastAsia" w:ascii="仿宋" w:hAnsi="仿宋" w:eastAsia="仿宋" w:cs="仿宋"/>
                <w:bCs w:val="0"/>
                <w:color w:val="auto"/>
                <w:sz w:val="28"/>
                <w:szCs w:val="28"/>
                <w:highlight w:val="none"/>
                <w:u w:val="none"/>
                <w:vertAlign w:val="baseline"/>
              </w:rPr>
            </w:pPr>
            <w:r>
              <w:rPr>
                <w:rFonts w:hint="eastAsia" w:ascii="仿宋" w:hAnsi="仿宋" w:eastAsia="仿宋" w:cs="仿宋"/>
                <w:bCs w:val="0"/>
                <w:color w:val="auto"/>
                <w:sz w:val="28"/>
                <w:szCs w:val="28"/>
                <w:highlight w:val="none"/>
                <w:u w:val="none"/>
                <w:vertAlign w:val="baseline"/>
                <w:lang w:val="en-US" w:eastAsia="zh-CN"/>
              </w:rPr>
              <w:t>参加本单位工作时间</w:t>
            </w:r>
          </w:p>
        </w:tc>
        <w:tc>
          <w:tcPr>
            <w:tcW w:w="996" w:type="dxa"/>
            <w:vAlign w:val="center"/>
          </w:tcPr>
          <w:p w14:paraId="6C46BE34">
            <w:pPr>
              <w:spacing w:line="360" w:lineRule="auto"/>
              <w:jc w:val="center"/>
              <w:rPr>
                <w:rFonts w:hint="eastAsia" w:ascii="仿宋" w:hAnsi="仿宋" w:eastAsia="仿宋" w:cs="仿宋"/>
                <w:bCs w:val="0"/>
                <w:color w:val="auto"/>
                <w:sz w:val="28"/>
                <w:szCs w:val="28"/>
                <w:highlight w:val="none"/>
                <w:u w:val="non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备注</w:t>
            </w:r>
          </w:p>
        </w:tc>
      </w:tr>
      <w:tr w14:paraId="1D6C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14:paraId="3A6D9705">
            <w:pPr>
              <w:spacing w:line="360" w:lineRule="auto"/>
              <w:jc w:val="both"/>
              <w:rPr>
                <w:rFonts w:hint="eastAsia" w:ascii="仿宋" w:hAnsi="仿宋" w:eastAsia="仿宋" w:cs="仿宋"/>
                <w:bCs w:val="0"/>
                <w:color w:val="auto"/>
                <w:sz w:val="28"/>
                <w:szCs w:val="28"/>
                <w:highlight w:val="none"/>
                <w:u w:val="single"/>
                <w:vertAlign w:val="baseline"/>
              </w:rPr>
            </w:pPr>
          </w:p>
        </w:tc>
        <w:tc>
          <w:tcPr>
            <w:tcW w:w="1135" w:type="dxa"/>
          </w:tcPr>
          <w:p w14:paraId="0A0F36AB">
            <w:pPr>
              <w:spacing w:line="360" w:lineRule="auto"/>
              <w:jc w:val="both"/>
              <w:rPr>
                <w:rFonts w:hint="eastAsia" w:ascii="仿宋" w:hAnsi="仿宋" w:eastAsia="仿宋" w:cs="仿宋"/>
                <w:b/>
                <w:bCs/>
                <w:color w:val="auto"/>
                <w:sz w:val="28"/>
                <w:szCs w:val="28"/>
                <w:highlight w:val="none"/>
                <w:u w:val="single"/>
                <w:vertAlign w:val="baseline"/>
              </w:rPr>
            </w:pPr>
          </w:p>
        </w:tc>
        <w:tc>
          <w:tcPr>
            <w:tcW w:w="1260" w:type="dxa"/>
          </w:tcPr>
          <w:p w14:paraId="4B38E0E1">
            <w:pPr>
              <w:spacing w:line="360" w:lineRule="auto"/>
              <w:jc w:val="both"/>
              <w:rPr>
                <w:rFonts w:hint="eastAsia" w:ascii="仿宋" w:hAnsi="仿宋" w:eastAsia="仿宋" w:cs="仿宋"/>
                <w:bCs w:val="0"/>
                <w:color w:val="auto"/>
                <w:sz w:val="28"/>
                <w:szCs w:val="28"/>
                <w:highlight w:val="none"/>
                <w:u w:val="single"/>
                <w:vertAlign w:val="baseline"/>
              </w:rPr>
            </w:pPr>
          </w:p>
        </w:tc>
        <w:tc>
          <w:tcPr>
            <w:tcW w:w="1648" w:type="dxa"/>
          </w:tcPr>
          <w:p w14:paraId="14D417B5">
            <w:pPr>
              <w:spacing w:line="360" w:lineRule="auto"/>
              <w:jc w:val="both"/>
              <w:rPr>
                <w:rFonts w:hint="eastAsia" w:ascii="仿宋" w:hAnsi="仿宋" w:eastAsia="仿宋" w:cs="仿宋"/>
                <w:bCs w:val="0"/>
                <w:color w:val="auto"/>
                <w:sz w:val="28"/>
                <w:szCs w:val="28"/>
                <w:highlight w:val="none"/>
                <w:u w:val="single"/>
                <w:vertAlign w:val="baseline"/>
              </w:rPr>
            </w:pPr>
          </w:p>
        </w:tc>
        <w:tc>
          <w:tcPr>
            <w:tcW w:w="1446" w:type="dxa"/>
          </w:tcPr>
          <w:p w14:paraId="2B3B0528">
            <w:pPr>
              <w:spacing w:line="360" w:lineRule="auto"/>
              <w:jc w:val="both"/>
              <w:rPr>
                <w:rFonts w:hint="eastAsia" w:ascii="仿宋" w:hAnsi="仿宋" w:eastAsia="仿宋" w:cs="仿宋"/>
                <w:bCs w:val="0"/>
                <w:color w:val="auto"/>
                <w:sz w:val="28"/>
                <w:szCs w:val="28"/>
                <w:highlight w:val="none"/>
                <w:u w:val="single"/>
                <w:vertAlign w:val="baseline"/>
              </w:rPr>
            </w:pPr>
          </w:p>
        </w:tc>
        <w:tc>
          <w:tcPr>
            <w:tcW w:w="1996" w:type="dxa"/>
          </w:tcPr>
          <w:p w14:paraId="4C5EDFB1">
            <w:pPr>
              <w:spacing w:line="360" w:lineRule="auto"/>
              <w:jc w:val="both"/>
              <w:rPr>
                <w:rFonts w:hint="eastAsia" w:ascii="仿宋" w:hAnsi="仿宋" w:eastAsia="仿宋" w:cs="仿宋"/>
                <w:bCs w:val="0"/>
                <w:color w:val="auto"/>
                <w:sz w:val="28"/>
                <w:szCs w:val="28"/>
                <w:highlight w:val="none"/>
                <w:u w:val="single"/>
                <w:vertAlign w:val="baseline"/>
              </w:rPr>
            </w:pPr>
          </w:p>
        </w:tc>
        <w:tc>
          <w:tcPr>
            <w:tcW w:w="996" w:type="dxa"/>
          </w:tcPr>
          <w:p w14:paraId="05C983BA">
            <w:pPr>
              <w:spacing w:line="360" w:lineRule="auto"/>
              <w:jc w:val="both"/>
              <w:rPr>
                <w:rFonts w:hint="eastAsia" w:ascii="仿宋" w:hAnsi="仿宋" w:eastAsia="仿宋" w:cs="仿宋"/>
                <w:bCs w:val="0"/>
                <w:color w:val="auto"/>
                <w:sz w:val="28"/>
                <w:szCs w:val="28"/>
                <w:highlight w:val="none"/>
                <w:u w:val="single"/>
                <w:vertAlign w:val="baseline"/>
              </w:rPr>
            </w:pPr>
          </w:p>
        </w:tc>
      </w:tr>
      <w:tr w14:paraId="6A6E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14:paraId="3C90DF3D">
            <w:pPr>
              <w:spacing w:line="360" w:lineRule="auto"/>
              <w:jc w:val="both"/>
              <w:rPr>
                <w:rFonts w:hint="eastAsia" w:ascii="仿宋" w:hAnsi="仿宋" w:eastAsia="仿宋" w:cs="仿宋"/>
                <w:bCs w:val="0"/>
                <w:color w:val="auto"/>
                <w:sz w:val="28"/>
                <w:szCs w:val="28"/>
                <w:highlight w:val="none"/>
                <w:u w:val="single"/>
                <w:vertAlign w:val="baseline"/>
              </w:rPr>
            </w:pPr>
          </w:p>
        </w:tc>
        <w:tc>
          <w:tcPr>
            <w:tcW w:w="1135" w:type="dxa"/>
          </w:tcPr>
          <w:p w14:paraId="7EDF4DE4">
            <w:pPr>
              <w:spacing w:line="360" w:lineRule="auto"/>
              <w:jc w:val="both"/>
              <w:rPr>
                <w:rFonts w:hint="eastAsia" w:ascii="仿宋" w:hAnsi="仿宋" w:eastAsia="仿宋" w:cs="仿宋"/>
                <w:bCs w:val="0"/>
                <w:color w:val="auto"/>
                <w:sz w:val="28"/>
                <w:szCs w:val="28"/>
                <w:highlight w:val="none"/>
                <w:u w:val="single"/>
                <w:vertAlign w:val="baseline"/>
              </w:rPr>
            </w:pPr>
          </w:p>
        </w:tc>
        <w:tc>
          <w:tcPr>
            <w:tcW w:w="1260" w:type="dxa"/>
          </w:tcPr>
          <w:p w14:paraId="790E82AF">
            <w:pPr>
              <w:spacing w:line="360" w:lineRule="auto"/>
              <w:jc w:val="both"/>
              <w:rPr>
                <w:rFonts w:hint="eastAsia" w:ascii="仿宋" w:hAnsi="仿宋" w:eastAsia="仿宋" w:cs="仿宋"/>
                <w:bCs w:val="0"/>
                <w:color w:val="auto"/>
                <w:sz w:val="28"/>
                <w:szCs w:val="28"/>
                <w:highlight w:val="none"/>
                <w:u w:val="single"/>
                <w:vertAlign w:val="baseline"/>
              </w:rPr>
            </w:pPr>
          </w:p>
        </w:tc>
        <w:tc>
          <w:tcPr>
            <w:tcW w:w="1648" w:type="dxa"/>
          </w:tcPr>
          <w:p w14:paraId="768CC70F">
            <w:pPr>
              <w:spacing w:line="360" w:lineRule="auto"/>
              <w:jc w:val="both"/>
              <w:rPr>
                <w:rFonts w:hint="eastAsia" w:ascii="仿宋" w:hAnsi="仿宋" w:eastAsia="仿宋" w:cs="仿宋"/>
                <w:bCs w:val="0"/>
                <w:color w:val="auto"/>
                <w:sz w:val="28"/>
                <w:szCs w:val="28"/>
                <w:highlight w:val="none"/>
                <w:u w:val="single"/>
                <w:vertAlign w:val="baseline"/>
              </w:rPr>
            </w:pPr>
          </w:p>
        </w:tc>
        <w:tc>
          <w:tcPr>
            <w:tcW w:w="1446" w:type="dxa"/>
          </w:tcPr>
          <w:p w14:paraId="32B2A583">
            <w:pPr>
              <w:spacing w:line="360" w:lineRule="auto"/>
              <w:jc w:val="both"/>
              <w:rPr>
                <w:rFonts w:hint="eastAsia" w:ascii="仿宋" w:hAnsi="仿宋" w:eastAsia="仿宋" w:cs="仿宋"/>
                <w:bCs w:val="0"/>
                <w:color w:val="auto"/>
                <w:sz w:val="28"/>
                <w:szCs w:val="28"/>
                <w:highlight w:val="none"/>
                <w:u w:val="single"/>
                <w:vertAlign w:val="baseline"/>
              </w:rPr>
            </w:pPr>
          </w:p>
        </w:tc>
        <w:tc>
          <w:tcPr>
            <w:tcW w:w="1996" w:type="dxa"/>
          </w:tcPr>
          <w:p w14:paraId="6EDB2307">
            <w:pPr>
              <w:spacing w:line="360" w:lineRule="auto"/>
              <w:jc w:val="both"/>
              <w:rPr>
                <w:rFonts w:hint="eastAsia" w:ascii="仿宋" w:hAnsi="仿宋" w:eastAsia="仿宋" w:cs="仿宋"/>
                <w:bCs w:val="0"/>
                <w:color w:val="auto"/>
                <w:sz w:val="28"/>
                <w:szCs w:val="28"/>
                <w:highlight w:val="none"/>
                <w:u w:val="single"/>
                <w:vertAlign w:val="baseline"/>
              </w:rPr>
            </w:pPr>
          </w:p>
        </w:tc>
        <w:tc>
          <w:tcPr>
            <w:tcW w:w="996" w:type="dxa"/>
          </w:tcPr>
          <w:p w14:paraId="3A0F6493">
            <w:pPr>
              <w:spacing w:line="360" w:lineRule="auto"/>
              <w:jc w:val="both"/>
              <w:rPr>
                <w:rFonts w:hint="eastAsia" w:ascii="仿宋" w:hAnsi="仿宋" w:eastAsia="仿宋" w:cs="仿宋"/>
                <w:bCs w:val="0"/>
                <w:color w:val="auto"/>
                <w:sz w:val="28"/>
                <w:szCs w:val="28"/>
                <w:highlight w:val="none"/>
                <w:u w:val="single"/>
                <w:vertAlign w:val="baseline"/>
              </w:rPr>
            </w:pPr>
          </w:p>
        </w:tc>
      </w:tr>
      <w:tr w14:paraId="20D6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14:paraId="5D862C46">
            <w:pPr>
              <w:spacing w:line="360" w:lineRule="auto"/>
              <w:jc w:val="both"/>
              <w:rPr>
                <w:rFonts w:hint="eastAsia" w:ascii="仿宋" w:hAnsi="仿宋" w:eastAsia="仿宋" w:cs="仿宋"/>
                <w:bCs w:val="0"/>
                <w:color w:val="auto"/>
                <w:sz w:val="28"/>
                <w:szCs w:val="28"/>
                <w:highlight w:val="none"/>
                <w:u w:val="single"/>
                <w:vertAlign w:val="baseline"/>
              </w:rPr>
            </w:pPr>
          </w:p>
        </w:tc>
        <w:tc>
          <w:tcPr>
            <w:tcW w:w="1135" w:type="dxa"/>
          </w:tcPr>
          <w:p w14:paraId="1F6577E9">
            <w:pPr>
              <w:spacing w:line="360" w:lineRule="auto"/>
              <w:jc w:val="both"/>
              <w:rPr>
                <w:rFonts w:hint="eastAsia" w:ascii="仿宋" w:hAnsi="仿宋" w:eastAsia="仿宋" w:cs="仿宋"/>
                <w:bCs w:val="0"/>
                <w:color w:val="auto"/>
                <w:sz w:val="28"/>
                <w:szCs w:val="28"/>
                <w:highlight w:val="none"/>
                <w:u w:val="single"/>
                <w:vertAlign w:val="baseline"/>
              </w:rPr>
            </w:pPr>
          </w:p>
        </w:tc>
        <w:tc>
          <w:tcPr>
            <w:tcW w:w="1260" w:type="dxa"/>
          </w:tcPr>
          <w:p w14:paraId="3A749A7E">
            <w:pPr>
              <w:spacing w:line="360" w:lineRule="auto"/>
              <w:jc w:val="both"/>
              <w:rPr>
                <w:rFonts w:hint="eastAsia" w:ascii="仿宋" w:hAnsi="仿宋" w:eastAsia="仿宋" w:cs="仿宋"/>
                <w:bCs w:val="0"/>
                <w:color w:val="auto"/>
                <w:sz w:val="28"/>
                <w:szCs w:val="28"/>
                <w:highlight w:val="none"/>
                <w:u w:val="single"/>
                <w:vertAlign w:val="baseline"/>
              </w:rPr>
            </w:pPr>
          </w:p>
        </w:tc>
        <w:tc>
          <w:tcPr>
            <w:tcW w:w="1648" w:type="dxa"/>
          </w:tcPr>
          <w:p w14:paraId="0A6AD694">
            <w:pPr>
              <w:spacing w:line="360" w:lineRule="auto"/>
              <w:jc w:val="both"/>
              <w:rPr>
                <w:rFonts w:hint="eastAsia" w:ascii="仿宋" w:hAnsi="仿宋" w:eastAsia="仿宋" w:cs="仿宋"/>
                <w:bCs w:val="0"/>
                <w:color w:val="auto"/>
                <w:sz w:val="28"/>
                <w:szCs w:val="28"/>
                <w:highlight w:val="none"/>
                <w:u w:val="single"/>
                <w:vertAlign w:val="baseline"/>
              </w:rPr>
            </w:pPr>
          </w:p>
        </w:tc>
        <w:tc>
          <w:tcPr>
            <w:tcW w:w="1446" w:type="dxa"/>
          </w:tcPr>
          <w:p w14:paraId="02D6D5A4">
            <w:pPr>
              <w:spacing w:line="360" w:lineRule="auto"/>
              <w:jc w:val="both"/>
              <w:rPr>
                <w:rFonts w:hint="eastAsia" w:ascii="仿宋" w:hAnsi="仿宋" w:eastAsia="仿宋" w:cs="仿宋"/>
                <w:bCs w:val="0"/>
                <w:color w:val="auto"/>
                <w:sz w:val="28"/>
                <w:szCs w:val="28"/>
                <w:highlight w:val="none"/>
                <w:u w:val="single"/>
                <w:vertAlign w:val="baseline"/>
              </w:rPr>
            </w:pPr>
          </w:p>
        </w:tc>
        <w:tc>
          <w:tcPr>
            <w:tcW w:w="1996" w:type="dxa"/>
          </w:tcPr>
          <w:p w14:paraId="0D7F4F4C">
            <w:pPr>
              <w:spacing w:line="360" w:lineRule="auto"/>
              <w:jc w:val="both"/>
              <w:rPr>
                <w:rFonts w:hint="eastAsia" w:ascii="仿宋" w:hAnsi="仿宋" w:eastAsia="仿宋" w:cs="仿宋"/>
                <w:bCs w:val="0"/>
                <w:color w:val="auto"/>
                <w:sz w:val="28"/>
                <w:szCs w:val="28"/>
                <w:highlight w:val="none"/>
                <w:u w:val="single"/>
                <w:vertAlign w:val="baseline"/>
              </w:rPr>
            </w:pPr>
          </w:p>
        </w:tc>
        <w:tc>
          <w:tcPr>
            <w:tcW w:w="996" w:type="dxa"/>
          </w:tcPr>
          <w:p w14:paraId="3AA93DAA">
            <w:pPr>
              <w:spacing w:line="360" w:lineRule="auto"/>
              <w:jc w:val="both"/>
              <w:rPr>
                <w:rFonts w:hint="eastAsia" w:ascii="仿宋" w:hAnsi="仿宋" w:eastAsia="仿宋" w:cs="仿宋"/>
                <w:bCs w:val="0"/>
                <w:color w:val="auto"/>
                <w:sz w:val="28"/>
                <w:szCs w:val="28"/>
                <w:highlight w:val="none"/>
                <w:u w:val="single"/>
                <w:vertAlign w:val="baseline"/>
              </w:rPr>
            </w:pPr>
          </w:p>
        </w:tc>
      </w:tr>
      <w:tr w14:paraId="2F94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14:paraId="07C1996A">
            <w:pPr>
              <w:spacing w:line="360" w:lineRule="auto"/>
              <w:jc w:val="both"/>
              <w:rPr>
                <w:rFonts w:hint="eastAsia" w:ascii="仿宋" w:hAnsi="仿宋" w:eastAsia="仿宋" w:cs="仿宋"/>
                <w:bCs w:val="0"/>
                <w:color w:val="auto"/>
                <w:sz w:val="28"/>
                <w:szCs w:val="28"/>
                <w:highlight w:val="none"/>
                <w:u w:val="single"/>
                <w:vertAlign w:val="baseline"/>
              </w:rPr>
            </w:pPr>
          </w:p>
        </w:tc>
        <w:tc>
          <w:tcPr>
            <w:tcW w:w="1135" w:type="dxa"/>
          </w:tcPr>
          <w:p w14:paraId="41FF895A">
            <w:pPr>
              <w:spacing w:line="360" w:lineRule="auto"/>
              <w:jc w:val="both"/>
              <w:rPr>
                <w:rFonts w:hint="eastAsia" w:ascii="仿宋" w:hAnsi="仿宋" w:eastAsia="仿宋" w:cs="仿宋"/>
                <w:bCs w:val="0"/>
                <w:color w:val="auto"/>
                <w:sz w:val="28"/>
                <w:szCs w:val="28"/>
                <w:highlight w:val="none"/>
                <w:u w:val="single"/>
                <w:vertAlign w:val="baseline"/>
              </w:rPr>
            </w:pPr>
          </w:p>
        </w:tc>
        <w:tc>
          <w:tcPr>
            <w:tcW w:w="1260" w:type="dxa"/>
          </w:tcPr>
          <w:p w14:paraId="235AC33D">
            <w:pPr>
              <w:spacing w:line="360" w:lineRule="auto"/>
              <w:jc w:val="both"/>
              <w:rPr>
                <w:rFonts w:hint="eastAsia" w:ascii="仿宋" w:hAnsi="仿宋" w:eastAsia="仿宋" w:cs="仿宋"/>
                <w:bCs w:val="0"/>
                <w:color w:val="auto"/>
                <w:sz w:val="28"/>
                <w:szCs w:val="28"/>
                <w:highlight w:val="none"/>
                <w:u w:val="single"/>
                <w:vertAlign w:val="baseline"/>
              </w:rPr>
            </w:pPr>
          </w:p>
        </w:tc>
        <w:tc>
          <w:tcPr>
            <w:tcW w:w="1648" w:type="dxa"/>
          </w:tcPr>
          <w:p w14:paraId="36F436F5">
            <w:pPr>
              <w:spacing w:line="360" w:lineRule="auto"/>
              <w:jc w:val="both"/>
              <w:rPr>
                <w:rFonts w:hint="eastAsia" w:ascii="仿宋" w:hAnsi="仿宋" w:eastAsia="仿宋" w:cs="仿宋"/>
                <w:bCs w:val="0"/>
                <w:color w:val="auto"/>
                <w:sz w:val="28"/>
                <w:szCs w:val="28"/>
                <w:highlight w:val="none"/>
                <w:u w:val="single"/>
                <w:vertAlign w:val="baseline"/>
              </w:rPr>
            </w:pPr>
          </w:p>
        </w:tc>
        <w:tc>
          <w:tcPr>
            <w:tcW w:w="1446" w:type="dxa"/>
          </w:tcPr>
          <w:p w14:paraId="70EB9A19">
            <w:pPr>
              <w:spacing w:line="360" w:lineRule="auto"/>
              <w:jc w:val="both"/>
              <w:rPr>
                <w:rFonts w:hint="eastAsia" w:ascii="仿宋" w:hAnsi="仿宋" w:eastAsia="仿宋" w:cs="仿宋"/>
                <w:bCs w:val="0"/>
                <w:color w:val="auto"/>
                <w:sz w:val="28"/>
                <w:szCs w:val="28"/>
                <w:highlight w:val="none"/>
                <w:u w:val="single"/>
                <w:vertAlign w:val="baseline"/>
              </w:rPr>
            </w:pPr>
          </w:p>
        </w:tc>
        <w:tc>
          <w:tcPr>
            <w:tcW w:w="1996" w:type="dxa"/>
          </w:tcPr>
          <w:p w14:paraId="33A28BC3">
            <w:pPr>
              <w:spacing w:line="360" w:lineRule="auto"/>
              <w:jc w:val="both"/>
              <w:rPr>
                <w:rFonts w:hint="eastAsia" w:ascii="仿宋" w:hAnsi="仿宋" w:eastAsia="仿宋" w:cs="仿宋"/>
                <w:bCs w:val="0"/>
                <w:color w:val="auto"/>
                <w:sz w:val="28"/>
                <w:szCs w:val="28"/>
                <w:highlight w:val="none"/>
                <w:u w:val="single"/>
                <w:vertAlign w:val="baseline"/>
              </w:rPr>
            </w:pPr>
          </w:p>
        </w:tc>
        <w:tc>
          <w:tcPr>
            <w:tcW w:w="996" w:type="dxa"/>
          </w:tcPr>
          <w:p w14:paraId="53A97E64">
            <w:pPr>
              <w:spacing w:line="360" w:lineRule="auto"/>
              <w:jc w:val="both"/>
              <w:rPr>
                <w:rFonts w:hint="eastAsia" w:ascii="仿宋" w:hAnsi="仿宋" w:eastAsia="仿宋" w:cs="仿宋"/>
                <w:bCs w:val="0"/>
                <w:color w:val="auto"/>
                <w:sz w:val="28"/>
                <w:szCs w:val="28"/>
                <w:highlight w:val="none"/>
                <w:u w:val="single"/>
                <w:vertAlign w:val="baseline"/>
              </w:rPr>
            </w:pPr>
          </w:p>
        </w:tc>
      </w:tr>
      <w:tr w14:paraId="20B5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14:paraId="038579CC">
            <w:pPr>
              <w:spacing w:line="360" w:lineRule="auto"/>
              <w:jc w:val="both"/>
              <w:rPr>
                <w:rFonts w:hint="eastAsia" w:ascii="仿宋" w:hAnsi="仿宋" w:eastAsia="仿宋" w:cs="仿宋"/>
                <w:bCs w:val="0"/>
                <w:color w:val="auto"/>
                <w:sz w:val="28"/>
                <w:szCs w:val="28"/>
                <w:highlight w:val="none"/>
                <w:u w:val="single"/>
                <w:vertAlign w:val="baseline"/>
              </w:rPr>
            </w:pPr>
          </w:p>
        </w:tc>
        <w:tc>
          <w:tcPr>
            <w:tcW w:w="1135" w:type="dxa"/>
          </w:tcPr>
          <w:p w14:paraId="04517315">
            <w:pPr>
              <w:spacing w:line="360" w:lineRule="auto"/>
              <w:jc w:val="both"/>
              <w:rPr>
                <w:rFonts w:hint="eastAsia" w:ascii="仿宋" w:hAnsi="仿宋" w:eastAsia="仿宋" w:cs="仿宋"/>
                <w:bCs w:val="0"/>
                <w:color w:val="auto"/>
                <w:sz w:val="28"/>
                <w:szCs w:val="28"/>
                <w:highlight w:val="none"/>
                <w:u w:val="single"/>
                <w:vertAlign w:val="baseline"/>
              </w:rPr>
            </w:pPr>
          </w:p>
        </w:tc>
        <w:tc>
          <w:tcPr>
            <w:tcW w:w="1260" w:type="dxa"/>
          </w:tcPr>
          <w:p w14:paraId="1BBFBC5F">
            <w:pPr>
              <w:spacing w:line="360" w:lineRule="auto"/>
              <w:jc w:val="both"/>
              <w:rPr>
                <w:rFonts w:hint="eastAsia" w:ascii="仿宋" w:hAnsi="仿宋" w:eastAsia="仿宋" w:cs="仿宋"/>
                <w:bCs w:val="0"/>
                <w:color w:val="auto"/>
                <w:sz w:val="28"/>
                <w:szCs w:val="28"/>
                <w:highlight w:val="none"/>
                <w:u w:val="single"/>
                <w:vertAlign w:val="baseline"/>
              </w:rPr>
            </w:pPr>
          </w:p>
        </w:tc>
        <w:tc>
          <w:tcPr>
            <w:tcW w:w="1648" w:type="dxa"/>
          </w:tcPr>
          <w:p w14:paraId="30BD264F">
            <w:pPr>
              <w:spacing w:line="360" w:lineRule="auto"/>
              <w:jc w:val="both"/>
              <w:rPr>
                <w:rFonts w:hint="eastAsia" w:ascii="仿宋" w:hAnsi="仿宋" w:eastAsia="仿宋" w:cs="仿宋"/>
                <w:bCs w:val="0"/>
                <w:color w:val="auto"/>
                <w:sz w:val="28"/>
                <w:szCs w:val="28"/>
                <w:highlight w:val="none"/>
                <w:u w:val="single"/>
                <w:vertAlign w:val="baseline"/>
              </w:rPr>
            </w:pPr>
          </w:p>
        </w:tc>
        <w:tc>
          <w:tcPr>
            <w:tcW w:w="1446" w:type="dxa"/>
          </w:tcPr>
          <w:p w14:paraId="7C9DD44E">
            <w:pPr>
              <w:spacing w:line="360" w:lineRule="auto"/>
              <w:jc w:val="both"/>
              <w:rPr>
                <w:rFonts w:hint="eastAsia" w:ascii="仿宋" w:hAnsi="仿宋" w:eastAsia="仿宋" w:cs="仿宋"/>
                <w:bCs w:val="0"/>
                <w:color w:val="auto"/>
                <w:sz w:val="28"/>
                <w:szCs w:val="28"/>
                <w:highlight w:val="none"/>
                <w:u w:val="single"/>
                <w:vertAlign w:val="baseline"/>
              </w:rPr>
            </w:pPr>
          </w:p>
        </w:tc>
        <w:tc>
          <w:tcPr>
            <w:tcW w:w="1996" w:type="dxa"/>
          </w:tcPr>
          <w:p w14:paraId="03C4677C">
            <w:pPr>
              <w:spacing w:line="360" w:lineRule="auto"/>
              <w:jc w:val="both"/>
              <w:rPr>
                <w:rFonts w:hint="eastAsia" w:ascii="仿宋" w:hAnsi="仿宋" w:eastAsia="仿宋" w:cs="仿宋"/>
                <w:bCs w:val="0"/>
                <w:color w:val="auto"/>
                <w:sz w:val="28"/>
                <w:szCs w:val="28"/>
                <w:highlight w:val="none"/>
                <w:u w:val="single"/>
                <w:vertAlign w:val="baseline"/>
              </w:rPr>
            </w:pPr>
          </w:p>
        </w:tc>
        <w:tc>
          <w:tcPr>
            <w:tcW w:w="996" w:type="dxa"/>
          </w:tcPr>
          <w:p w14:paraId="7ABE4FF0">
            <w:pPr>
              <w:spacing w:line="360" w:lineRule="auto"/>
              <w:jc w:val="both"/>
              <w:rPr>
                <w:rFonts w:hint="eastAsia" w:ascii="仿宋" w:hAnsi="仿宋" w:eastAsia="仿宋" w:cs="仿宋"/>
                <w:bCs w:val="0"/>
                <w:color w:val="auto"/>
                <w:sz w:val="28"/>
                <w:szCs w:val="28"/>
                <w:highlight w:val="none"/>
                <w:u w:val="single"/>
                <w:vertAlign w:val="baseline"/>
              </w:rPr>
            </w:pPr>
          </w:p>
        </w:tc>
      </w:tr>
      <w:tr w14:paraId="61A66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35" w:type="dxa"/>
          </w:tcPr>
          <w:p w14:paraId="4CB23311">
            <w:pPr>
              <w:spacing w:line="360" w:lineRule="auto"/>
              <w:jc w:val="both"/>
              <w:rPr>
                <w:rFonts w:hint="eastAsia" w:ascii="仿宋" w:hAnsi="仿宋" w:eastAsia="仿宋" w:cs="仿宋"/>
                <w:bCs w:val="0"/>
                <w:color w:val="auto"/>
                <w:sz w:val="28"/>
                <w:szCs w:val="28"/>
                <w:highlight w:val="none"/>
                <w:u w:val="single"/>
                <w:vertAlign w:val="baseline"/>
              </w:rPr>
            </w:pPr>
          </w:p>
        </w:tc>
        <w:tc>
          <w:tcPr>
            <w:tcW w:w="1135" w:type="dxa"/>
          </w:tcPr>
          <w:p w14:paraId="41D7EFC4">
            <w:pPr>
              <w:spacing w:line="360" w:lineRule="auto"/>
              <w:jc w:val="both"/>
              <w:rPr>
                <w:rFonts w:hint="eastAsia" w:ascii="仿宋" w:hAnsi="仿宋" w:eastAsia="仿宋" w:cs="仿宋"/>
                <w:bCs w:val="0"/>
                <w:color w:val="auto"/>
                <w:sz w:val="28"/>
                <w:szCs w:val="28"/>
                <w:highlight w:val="none"/>
                <w:u w:val="single"/>
                <w:vertAlign w:val="baseline"/>
              </w:rPr>
            </w:pPr>
          </w:p>
        </w:tc>
        <w:tc>
          <w:tcPr>
            <w:tcW w:w="1260" w:type="dxa"/>
          </w:tcPr>
          <w:p w14:paraId="25B793E5">
            <w:pPr>
              <w:spacing w:line="360" w:lineRule="auto"/>
              <w:jc w:val="both"/>
              <w:rPr>
                <w:rFonts w:hint="eastAsia" w:ascii="仿宋" w:hAnsi="仿宋" w:eastAsia="仿宋" w:cs="仿宋"/>
                <w:bCs w:val="0"/>
                <w:color w:val="auto"/>
                <w:sz w:val="28"/>
                <w:szCs w:val="28"/>
                <w:highlight w:val="none"/>
                <w:u w:val="single"/>
                <w:vertAlign w:val="baseline"/>
              </w:rPr>
            </w:pPr>
          </w:p>
        </w:tc>
        <w:tc>
          <w:tcPr>
            <w:tcW w:w="1648" w:type="dxa"/>
          </w:tcPr>
          <w:p w14:paraId="38489111">
            <w:pPr>
              <w:spacing w:line="360" w:lineRule="auto"/>
              <w:jc w:val="both"/>
              <w:rPr>
                <w:rFonts w:hint="eastAsia" w:ascii="仿宋" w:hAnsi="仿宋" w:eastAsia="仿宋" w:cs="仿宋"/>
                <w:bCs w:val="0"/>
                <w:color w:val="auto"/>
                <w:sz w:val="28"/>
                <w:szCs w:val="28"/>
                <w:highlight w:val="none"/>
                <w:u w:val="single"/>
                <w:vertAlign w:val="baseline"/>
              </w:rPr>
            </w:pPr>
          </w:p>
        </w:tc>
        <w:tc>
          <w:tcPr>
            <w:tcW w:w="1446" w:type="dxa"/>
          </w:tcPr>
          <w:p w14:paraId="6D660D91">
            <w:pPr>
              <w:spacing w:line="360" w:lineRule="auto"/>
              <w:jc w:val="both"/>
              <w:rPr>
                <w:rFonts w:hint="eastAsia" w:ascii="仿宋" w:hAnsi="仿宋" w:eastAsia="仿宋" w:cs="仿宋"/>
                <w:bCs w:val="0"/>
                <w:color w:val="auto"/>
                <w:sz w:val="28"/>
                <w:szCs w:val="28"/>
                <w:highlight w:val="none"/>
                <w:u w:val="single"/>
                <w:vertAlign w:val="baseline"/>
              </w:rPr>
            </w:pPr>
          </w:p>
        </w:tc>
        <w:tc>
          <w:tcPr>
            <w:tcW w:w="1996" w:type="dxa"/>
          </w:tcPr>
          <w:p w14:paraId="2DC1C381">
            <w:pPr>
              <w:spacing w:line="360" w:lineRule="auto"/>
              <w:jc w:val="both"/>
              <w:rPr>
                <w:rFonts w:hint="eastAsia" w:ascii="仿宋" w:hAnsi="仿宋" w:eastAsia="仿宋" w:cs="仿宋"/>
                <w:bCs w:val="0"/>
                <w:color w:val="auto"/>
                <w:sz w:val="28"/>
                <w:szCs w:val="28"/>
                <w:highlight w:val="none"/>
                <w:u w:val="single"/>
                <w:vertAlign w:val="baseline"/>
              </w:rPr>
            </w:pPr>
          </w:p>
        </w:tc>
        <w:tc>
          <w:tcPr>
            <w:tcW w:w="996" w:type="dxa"/>
          </w:tcPr>
          <w:p w14:paraId="0CEA299B">
            <w:pPr>
              <w:spacing w:line="360" w:lineRule="auto"/>
              <w:jc w:val="both"/>
              <w:rPr>
                <w:rFonts w:hint="eastAsia" w:ascii="仿宋" w:hAnsi="仿宋" w:eastAsia="仿宋" w:cs="仿宋"/>
                <w:bCs w:val="0"/>
                <w:color w:val="auto"/>
                <w:sz w:val="28"/>
                <w:szCs w:val="28"/>
                <w:highlight w:val="none"/>
                <w:u w:val="single"/>
                <w:vertAlign w:val="baseline"/>
              </w:rPr>
            </w:pPr>
          </w:p>
        </w:tc>
      </w:tr>
      <w:tr w14:paraId="1635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416" w:type="dxa"/>
            <w:gridSpan w:val="7"/>
          </w:tcPr>
          <w:p w14:paraId="1AE151EE">
            <w:pPr>
              <w:spacing w:line="360" w:lineRule="auto"/>
              <w:jc w:val="both"/>
              <w:rPr>
                <w:rFonts w:hint="eastAsia" w:ascii="仿宋" w:hAnsi="仿宋" w:eastAsia="仿宋" w:cs="仿宋"/>
                <w:bCs w:val="0"/>
                <w:color w:val="auto"/>
                <w:sz w:val="28"/>
                <w:szCs w:val="28"/>
                <w:highlight w:val="none"/>
                <w:u w:val="singl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w:t>
            </w:r>
          </w:p>
        </w:tc>
      </w:tr>
    </w:tbl>
    <w:p w14:paraId="403C68DE">
      <w:pPr>
        <w:pStyle w:val="145"/>
        <w:spacing w:before="240" w:line="480" w:lineRule="exact"/>
        <w:ind w:firstLine="0" w:firstLineChars="0"/>
        <w:rPr>
          <w:rFonts w:hint="eastAsia" w:ascii="仿宋" w:hAnsi="仿宋" w:eastAsia="仿宋" w:cs="仿宋"/>
          <w:color w:val="auto"/>
          <w:highlight w:val="none"/>
        </w:rPr>
      </w:pPr>
    </w:p>
    <w:p w14:paraId="2299B7BA">
      <w:pPr>
        <w:pStyle w:val="145"/>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供应商名称（盖章）：</w:t>
      </w:r>
    </w:p>
    <w:p w14:paraId="1C0B0E37">
      <w:pPr>
        <w:pStyle w:val="145"/>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授权代表（签字或盖章）：</w:t>
      </w:r>
    </w:p>
    <w:p w14:paraId="699FC555">
      <w:pPr>
        <w:pStyle w:val="145"/>
        <w:spacing w:before="240" w:line="480" w:lineRule="exact"/>
        <w:ind w:firstLine="5544" w:firstLineChars="2200"/>
        <w:rPr>
          <w:rFonts w:hint="eastAsia" w:ascii="仿宋" w:hAnsi="仿宋" w:eastAsia="仿宋" w:cs="仿宋"/>
          <w:bCs w:val="0"/>
          <w:color w:val="auto"/>
          <w:sz w:val="28"/>
          <w:szCs w:val="28"/>
          <w:highlight w:val="none"/>
          <w:u w:val="single"/>
        </w:rPr>
      </w:pP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日</w:t>
      </w:r>
    </w:p>
    <w:p w14:paraId="7121609C">
      <w:pPr>
        <w:pStyle w:val="49"/>
        <w:ind w:left="0" w:leftChars="0" w:firstLine="0" w:firstLineChars="0"/>
        <w:rPr>
          <w:rFonts w:hint="eastAsia" w:ascii="仿宋" w:hAnsi="仿宋" w:eastAsia="仿宋" w:cs="仿宋"/>
          <w:color w:val="auto"/>
          <w:highlight w:val="none"/>
        </w:rPr>
      </w:pPr>
    </w:p>
    <w:p w14:paraId="499D649A">
      <w:pPr>
        <w:pStyle w:val="3"/>
        <w:pageBreakBefore w:val="0"/>
        <w:kinsoku/>
        <w:overflowPunct/>
        <w:topLinePunct w:val="0"/>
        <w:bidi w:val="0"/>
        <w:snapToGrid/>
        <w:spacing w:line="360" w:lineRule="auto"/>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color w:val="auto"/>
          <w:sz w:val="28"/>
          <w:szCs w:val="28"/>
          <w:highlight w:val="none"/>
        </w:rPr>
        <w:br w:type="page"/>
      </w:r>
      <w:bookmarkStart w:id="308" w:name="_Toc1472"/>
      <w:r>
        <w:rPr>
          <w:rFonts w:hint="eastAsia" w:ascii="仿宋" w:hAnsi="仿宋" w:eastAsia="仿宋" w:cs="仿宋"/>
          <w:b/>
          <w:bCs/>
          <w:color w:val="auto"/>
          <w:kern w:val="0"/>
          <w:sz w:val="28"/>
          <w:szCs w:val="28"/>
          <w:highlight w:val="none"/>
          <w:lang w:val="en-US" w:eastAsia="zh-CN" w:bidi="ar-SA"/>
        </w:rPr>
        <w:t>附件七：技术指标响应表</w:t>
      </w:r>
      <w:bookmarkEnd w:id="308"/>
    </w:p>
    <w:p w14:paraId="0E724ED9">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
          <w:bCs/>
          <w:color w:val="auto"/>
          <w:kern w:val="0"/>
          <w:sz w:val="28"/>
          <w:szCs w:val="28"/>
          <w:highlight w:val="none"/>
          <w:lang w:val="en-US" w:eastAsia="zh-CN" w:bidi="ar-SA"/>
        </w:rPr>
      </w:pPr>
    </w:p>
    <w:p w14:paraId="333145B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技术指标响应表</w:t>
      </w:r>
    </w:p>
    <w:p w14:paraId="0B3FEE0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u w:val="single"/>
        </w:rPr>
      </w:pPr>
      <w:r>
        <w:rPr>
          <w:rFonts w:hint="eastAsia" w:ascii="仿宋" w:hAnsi="仿宋" w:eastAsia="仿宋" w:cs="仿宋"/>
          <w:bCs w:val="0"/>
          <w:color w:val="auto"/>
          <w:sz w:val="28"/>
          <w:szCs w:val="28"/>
          <w:highlight w:val="none"/>
        </w:rPr>
        <w:t>项目编号：</w:t>
      </w:r>
    </w:p>
    <w:p w14:paraId="4DD142A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投标人名称：（公章）</w:t>
      </w:r>
      <w:r>
        <w:rPr>
          <w:rFonts w:hint="eastAsia" w:ascii="仿宋" w:hAnsi="仿宋" w:eastAsia="仿宋" w:cs="仿宋"/>
          <w:bCs w:val="0"/>
          <w:color w:val="auto"/>
          <w:sz w:val="28"/>
          <w:szCs w:val="28"/>
          <w:highlight w:val="none"/>
          <w:lang w:val="en-US" w:eastAsia="zh-CN"/>
        </w:rPr>
        <w:t xml:space="preserve">         </w:t>
      </w:r>
      <w:r>
        <w:rPr>
          <w:rFonts w:hint="eastAsia" w:ascii="仿宋" w:hAnsi="仿宋" w:eastAsia="仿宋" w:cs="仿宋"/>
          <w:bCs w:val="0"/>
          <w:color w:val="auto"/>
          <w:sz w:val="28"/>
          <w:szCs w:val="28"/>
          <w:highlight w:val="none"/>
        </w:rPr>
        <w:t>法定代表人或授权代理人签字：</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545"/>
        <w:gridCol w:w="1920"/>
        <w:gridCol w:w="1949"/>
        <w:gridCol w:w="1462"/>
        <w:gridCol w:w="990"/>
      </w:tblGrid>
      <w:tr w14:paraId="6AB3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27" w:type="dxa"/>
            <w:vAlign w:val="center"/>
          </w:tcPr>
          <w:p w14:paraId="44F4BBD7">
            <w:pPr>
              <w:tabs>
                <w:tab w:val="left" w:pos="1337"/>
              </w:tabs>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45" w:type="dxa"/>
            <w:vAlign w:val="center"/>
          </w:tcPr>
          <w:p w14:paraId="2DFD0309">
            <w:pPr>
              <w:tabs>
                <w:tab w:val="left" w:pos="1337"/>
              </w:tabs>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w:t>
            </w:r>
          </w:p>
          <w:p w14:paraId="20CB5B8B">
            <w:pPr>
              <w:tabs>
                <w:tab w:val="left" w:pos="1337"/>
              </w:tabs>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条目号</w:t>
            </w:r>
          </w:p>
        </w:tc>
        <w:tc>
          <w:tcPr>
            <w:tcW w:w="1920" w:type="dxa"/>
            <w:vAlign w:val="center"/>
          </w:tcPr>
          <w:p w14:paraId="654F1150">
            <w:pPr>
              <w:tabs>
                <w:tab w:val="left" w:pos="1337"/>
              </w:tabs>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招标文件要求</w:t>
            </w:r>
          </w:p>
        </w:tc>
        <w:tc>
          <w:tcPr>
            <w:tcW w:w="1949" w:type="dxa"/>
            <w:vAlign w:val="center"/>
          </w:tcPr>
          <w:p w14:paraId="53E16C80">
            <w:pPr>
              <w:tabs>
                <w:tab w:val="left" w:pos="1337"/>
              </w:tabs>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w:t>
            </w:r>
          </w:p>
          <w:p w14:paraId="0A3C149E">
            <w:pPr>
              <w:tabs>
                <w:tab w:val="left" w:pos="1337"/>
              </w:tabs>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实际情况</w:t>
            </w:r>
          </w:p>
        </w:tc>
        <w:tc>
          <w:tcPr>
            <w:tcW w:w="1462" w:type="dxa"/>
            <w:vAlign w:val="center"/>
          </w:tcPr>
          <w:p w14:paraId="6B081B53">
            <w:pPr>
              <w:tabs>
                <w:tab w:val="left" w:pos="1337"/>
              </w:tabs>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偏差内容</w:t>
            </w:r>
          </w:p>
        </w:tc>
        <w:tc>
          <w:tcPr>
            <w:tcW w:w="990" w:type="dxa"/>
            <w:vAlign w:val="center"/>
          </w:tcPr>
          <w:p w14:paraId="4A7CA88D">
            <w:pPr>
              <w:tabs>
                <w:tab w:val="left" w:pos="1337"/>
              </w:tabs>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28D8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14:paraId="435C6594">
            <w:pPr>
              <w:tabs>
                <w:tab w:val="left" w:pos="1337"/>
              </w:tabs>
              <w:spacing w:line="420" w:lineRule="exact"/>
              <w:jc w:val="center"/>
              <w:rPr>
                <w:rFonts w:hint="eastAsia" w:ascii="仿宋" w:hAnsi="仿宋" w:eastAsia="仿宋" w:cs="仿宋"/>
                <w:color w:val="auto"/>
                <w:sz w:val="24"/>
                <w:szCs w:val="24"/>
                <w:highlight w:val="none"/>
              </w:rPr>
            </w:pPr>
          </w:p>
        </w:tc>
        <w:tc>
          <w:tcPr>
            <w:tcW w:w="1545" w:type="dxa"/>
            <w:vAlign w:val="center"/>
          </w:tcPr>
          <w:p w14:paraId="610CC137">
            <w:pPr>
              <w:tabs>
                <w:tab w:val="left" w:pos="1337"/>
              </w:tabs>
              <w:spacing w:line="420" w:lineRule="exact"/>
              <w:jc w:val="center"/>
              <w:rPr>
                <w:rFonts w:hint="eastAsia" w:ascii="仿宋" w:hAnsi="仿宋" w:eastAsia="仿宋" w:cs="仿宋"/>
                <w:color w:val="auto"/>
                <w:sz w:val="24"/>
                <w:szCs w:val="24"/>
                <w:highlight w:val="none"/>
              </w:rPr>
            </w:pPr>
          </w:p>
        </w:tc>
        <w:tc>
          <w:tcPr>
            <w:tcW w:w="1920" w:type="dxa"/>
            <w:vAlign w:val="center"/>
          </w:tcPr>
          <w:p w14:paraId="23244D78">
            <w:pPr>
              <w:tabs>
                <w:tab w:val="left" w:pos="1337"/>
              </w:tabs>
              <w:spacing w:line="420" w:lineRule="exact"/>
              <w:jc w:val="center"/>
              <w:rPr>
                <w:rFonts w:hint="eastAsia" w:ascii="仿宋" w:hAnsi="仿宋" w:eastAsia="仿宋" w:cs="仿宋"/>
                <w:color w:val="auto"/>
                <w:sz w:val="24"/>
                <w:szCs w:val="24"/>
                <w:highlight w:val="none"/>
              </w:rPr>
            </w:pPr>
          </w:p>
        </w:tc>
        <w:tc>
          <w:tcPr>
            <w:tcW w:w="1949" w:type="dxa"/>
            <w:vAlign w:val="center"/>
          </w:tcPr>
          <w:p w14:paraId="59B948B5">
            <w:pPr>
              <w:tabs>
                <w:tab w:val="left" w:pos="1337"/>
              </w:tabs>
              <w:spacing w:line="420" w:lineRule="exact"/>
              <w:jc w:val="center"/>
              <w:rPr>
                <w:rFonts w:hint="eastAsia" w:ascii="仿宋" w:hAnsi="仿宋" w:eastAsia="仿宋" w:cs="仿宋"/>
                <w:color w:val="auto"/>
                <w:sz w:val="24"/>
                <w:szCs w:val="24"/>
                <w:highlight w:val="none"/>
              </w:rPr>
            </w:pPr>
          </w:p>
        </w:tc>
        <w:tc>
          <w:tcPr>
            <w:tcW w:w="1462" w:type="dxa"/>
            <w:vAlign w:val="center"/>
          </w:tcPr>
          <w:p w14:paraId="7D75B126">
            <w:pPr>
              <w:tabs>
                <w:tab w:val="left" w:pos="1337"/>
              </w:tabs>
              <w:spacing w:line="420" w:lineRule="exact"/>
              <w:jc w:val="center"/>
              <w:rPr>
                <w:rFonts w:hint="eastAsia" w:ascii="仿宋" w:hAnsi="仿宋" w:eastAsia="仿宋" w:cs="仿宋"/>
                <w:color w:val="auto"/>
                <w:sz w:val="24"/>
                <w:szCs w:val="24"/>
                <w:highlight w:val="none"/>
              </w:rPr>
            </w:pPr>
          </w:p>
        </w:tc>
        <w:tc>
          <w:tcPr>
            <w:tcW w:w="990" w:type="dxa"/>
            <w:vAlign w:val="center"/>
          </w:tcPr>
          <w:p w14:paraId="1C6490F4">
            <w:pPr>
              <w:tabs>
                <w:tab w:val="left" w:pos="1337"/>
              </w:tabs>
              <w:spacing w:line="420" w:lineRule="exact"/>
              <w:jc w:val="center"/>
              <w:rPr>
                <w:rFonts w:hint="eastAsia" w:ascii="仿宋" w:hAnsi="仿宋" w:eastAsia="仿宋" w:cs="仿宋"/>
                <w:color w:val="auto"/>
                <w:sz w:val="24"/>
                <w:szCs w:val="24"/>
                <w:highlight w:val="none"/>
              </w:rPr>
            </w:pPr>
          </w:p>
        </w:tc>
      </w:tr>
      <w:tr w14:paraId="74E1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14:paraId="37E6CC9B">
            <w:pPr>
              <w:tabs>
                <w:tab w:val="left" w:pos="1337"/>
              </w:tabs>
              <w:spacing w:line="420" w:lineRule="exact"/>
              <w:jc w:val="center"/>
              <w:rPr>
                <w:rFonts w:hint="eastAsia" w:ascii="仿宋" w:hAnsi="仿宋" w:eastAsia="仿宋" w:cs="仿宋"/>
                <w:color w:val="auto"/>
                <w:sz w:val="24"/>
                <w:szCs w:val="24"/>
                <w:highlight w:val="none"/>
              </w:rPr>
            </w:pPr>
          </w:p>
        </w:tc>
        <w:tc>
          <w:tcPr>
            <w:tcW w:w="1545" w:type="dxa"/>
            <w:vAlign w:val="center"/>
          </w:tcPr>
          <w:p w14:paraId="0B3FEDD1">
            <w:pPr>
              <w:tabs>
                <w:tab w:val="left" w:pos="1337"/>
              </w:tabs>
              <w:spacing w:line="420" w:lineRule="exact"/>
              <w:jc w:val="center"/>
              <w:rPr>
                <w:rFonts w:hint="eastAsia" w:ascii="仿宋" w:hAnsi="仿宋" w:eastAsia="仿宋" w:cs="仿宋"/>
                <w:color w:val="auto"/>
                <w:sz w:val="24"/>
                <w:szCs w:val="24"/>
                <w:highlight w:val="none"/>
              </w:rPr>
            </w:pPr>
          </w:p>
        </w:tc>
        <w:tc>
          <w:tcPr>
            <w:tcW w:w="1920" w:type="dxa"/>
            <w:vAlign w:val="center"/>
          </w:tcPr>
          <w:p w14:paraId="7B840596">
            <w:pPr>
              <w:tabs>
                <w:tab w:val="left" w:pos="1337"/>
              </w:tabs>
              <w:spacing w:line="420" w:lineRule="exact"/>
              <w:jc w:val="center"/>
              <w:rPr>
                <w:rFonts w:hint="eastAsia" w:ascii="仿宋" w:hAnsi="仿宋" w:eastAsia="仿宋" w:cs="仿宋"/>
                <w:color w:val="auto"/>
                <w:sz w:val="24"/>
                <w:szCs w:val="24"/>
                <w:highlight w:val="none"/>
              </w:rPr>
            </w:pPr>
          </w:p>
        </w:tc>
        <w:tc>
          <w:tcPr>
            <w:tcW w:w="1949" w:type="dxa"/>
            <w:vAlign w:val="center"/>
          </w:tcPr>
          <w:p w14:paraId="377C5D86">
            <w:pPr>
              <w:tabs>
                <w:tab w:val="left" w:pos="1337"/>
              </w:tabs>
              <w:spacing w:line="420" w:lineRule="exact"/>
              <w:jc w:val="center"/>
              <w:rPr>
                <w:rFonts w:hint="eastAsia" w:ascii="仿宋" w:hAnsi="仿宋" w:eastAsia="仿宋" w:cs="仿宋"/>
                <w:color w:val="auto"/>
                <w:sz w:val="24"/>
                <w:szCs w:val="24"/>
                <w:highlight w:val="none"/>
              </w:rPr>
            </w:pPr>
          </w:p>
        </w:tc>
        <w:tc>
          <w:tcPr>
            <w:tcW w:w="1462" w:type="dxa"/>
            <w:vAlign w:val="center"/>
          </w:tcPr>
          <w:p w14:paraId="2F259877">
            <w:pPr>
              <w:tabs>
                <w:tab w:val="left" w:pos="1337"/>
              </w:tabs>
              <w:spacing w:line="420" w:lineRule="exact"/>
              <w:jc w:val="center"/>
              <w:rPr>
                <w:rFonts w:hint="eastAsia" w:ascii="仿宋" w:hAnsi="仿宋" w:eastAsia="仿宋" w:cs="仿宋"/>
                <w:color w:val="auto"/>
                <w:sz w:val="24"/>
                <w:szCs w:val="24"/>
                <w:highlight w:val="none"/>
              </w:rPr>
            </w:pPr>
          </w:p>
        </w:tc>
        <w:tc>
          <w:tcPr>
            <w:tcW w:w="990" w:type="dxa"/>
            <w:vAlign w:val="center"/>
          </w:tcPr>
          <w:p w14:paraId="6BC048B7">
            <w:pPr>
              <w:tabs>
                <w:tab w:val="left" w:pos="1337"/>
              </w:tabs>
              <w:spacing w:line="420" w:lineRule="exact"/>
              <w:jc w:val="center"/>
              <w:rPr>
                <w:rFonts w:hint="eastAsia" w:ascii="仿宋" w:hAnsi="仿宋" w:eastAsia="仿宋" w:cs="仿宋"/>
                <w:color w:val="auto"/>
                <w:sz w:val="24"/>
                <w:szCs w:val="24"/>
                <w:highlight w:val="none"/>
              </w:rPr>
            </w:pPr>
          </w:p>
        </w:tc>
      </w:tr>
      <w:tr w14:paraId="4908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14:paraId="6AF7A4C3">
            <w:pPr>
              <w:tabs>
                <w:tab w:val="left" w:pos="1337"/>
              </w:tabs>
              <w:spacing w:line="420" w:lineRule="exact"/>
              <w:jc w:val="center"/>
              <w:rPr>
                <w:rFonts w:hint="eastAsia" w:ascii="仿宋" w:hAnsi="仿宋" w:eastAsia="仿宋" w:cs="仿宋"/>
                <w:color w:val="auto"/>
                <w:sz w:val="24"/>
                <w:szCs w:val="24"/>
                <w:highlight w:val="none"/>
              </w:rPr>
            </w:pPr>
          </w:p>
        </w:tc>
        <w:tc>
          <w:tcPr>
            <w:tcW w:w="1545" w:type="dxa"/>
            <w:vAlign w:val="center"/>
          </w:tcPr>
          <w:p w14:paraId="6A4A1AC0">
            <w:pPr>
              <w:tabs>
                <w:tab w:val="left" w:pos="1337"/>
              </w:tabs>
              <w:spacing w:line="420" w:lineRule="exact"/>
              <w:jc w:val="center"/>
              <w:rPr>
                <w:rFonts w:hint="eastAsia" w:ascii="仿宋" w:hAnsi="仿宋" w:eastAsia="仿宋" w:cs="仿宋"/>
                <w:color w:val="auto"/>
                <w:sz w:val="24"/>
                <w:szCs w:val="24"/>
                <w:highlight w:val="none"/>
              </w:rPr>
            </w:pPr>
          </w:p>
        </w:tc>
        <w:tc>
          <w:tcPr>
            <w:tcW w:w="1920" w:type="dxa"/>
            <w:vAlign w:val="center"/>
          </w:tcPr>
          <w:p w14:paraId="165A7D07">
            <w:pPr>
              <w:tabs>
                <w:tab w:val="left" w:pos="1337"/>
              </w:tabs>
              <w:spacing w:line="420" w:lineRule="exact"/>
              <w:jc w:val="center"/>
              <w:rPr>
                <w:rFonts w:hint="eastAsia" w:ascii="仿宋" w:hAnsi="仿宋" w:eastAsia="仿宋" w:cs="仿宋"/>
                <w:color w:val="auto"/>
                <w:sz w:val="24"/>
                <w:szCs w:val="24"/>
                <w:highlight w:val="none"/>
              </w:rPr>
            </w:pPr>
          </w:p>
        </w:tc>
        <w:tc>
          <w:tcPr>
            <w:tcW w:w="1949" w:type="dxa"/>
            <w:vAlign w:val="center"/>
          </w:tcPr>
          <w:p w14:paraId="07881D30">
            <w:pPr>
              <w:tabs>
                <w:tab w:val="left" w:pos="1337"/>
              </w:tabs>
              <w:spacing w:line="420" w:lineRule="exact"/>
              <w:jc w:val="center"/>
              <w:rPr>
                <w:rFonts w:hint="eastAsia" w:ascii="仿宋" w:hAnsi="仿宋" w:eastAsia="仿宋" w:cs="仿宋"/>
                <w:color w:val="auto"/>
                <w:sz w:val="24"/>
                <w:szCs w:val="24"/>
                <w:highlight w:val="none"/>
              </w:rPr>
            </w:pPr>
          </w:p>
        </w:tc>
        <w:tc>
          <w:tcPr>
            <w:tcW w:w="1462" w:type="dxa"/>
            <w:vAlign w:val="center"/>
          </w:tcPr>
          <w:p w14:paraId="67132AC4">
            <w:pPr>
              <w:tabs>
                <w:tab w:val="left" w:pos="1337"/>
              </w:tabs>
              <w:spacing w:line="420" w:lineRule="exact"/>
              <w:jc w:val="center"/>
              <w:rPr>
                <w:rFonts w:hint="eastAsia" w:ascii="仿宋" w:hAnsi="仿宋" w:eastAsia="仿宋" w:cs="仿宋"/>
                <w:color w:val="auto"/>
                <w:sz w:val="24"/>
                <w:szCs w:val="24"/>
                <w:highlight w:val="none"/>
              </w:rPr>
            </w:pPr>
          </w:p>
        </w:tc>
        <w:tc>
          <w:tcPr>
            <w:tcW w:w="990" w:type="dxa"/>
            <w:vAlign w:val="center"/>
          </w:tcPr>
          <w:p w14:paraId="1378081C">
            <w:pPr>
              <w:tabs>
                <w:tab w:val="left" w:pos="1337"/>
              </w:tabs>
              <w:spacing w:line="420" w:lineRule="exact"/>
              <w:jc w:val="center"/>
              <w:rPr>
                <w:rFonts w:hint="eastAsia" w:ascii="仿宋" w:hAnsi="仿宋" w:eastAsia="仿宋" w:cs="仿宋"/>
                <w:color w:val="auto"/>
                <w:sz w:val="24"/>
                <w:szCs w:val="24"/>
                <w:highlight w:val="none"/>
              </w:rPr>
            </w:pPr>
          </w:p>
        </w:tc>
      </w:tr>
      <w:tr w14:paraId="4756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14:paraId="3761F451">
            <w:pPr>
              <w:tabs>
                <w:tab w:val="left" w:pos="1337"/>
              </w:tabs>
              <w:spacing w:line="420" w:lineRule="exact"/>
              <w:jc w:val="center"/>
              <w:rPr>
                <w:rFonts w:hint="eastAsia" w:ascii="仿宋" w:hAnsi="仿宋" w:eastAsia="仿宋" w:cs="仿宋"/>
                <w:color w:val="auto"/>
                <w:sz w:val="24"/>
                <w:szCs w:val="24"/>
                <w:highlight w:val="none"/>
              </w:rPr>
            </w:pPr>
          </w:p>
        </w:tc>
        <w:tc>
          <w:tcPr>
            <w:tcW w:w="1545" w:type="dxa"/>
            <w:vAlign w:val="center"/>
          </w:tcPr>
          <w:p w14:paraId="662C5EBF">
            <w:pPr>
              <w:tabs>
                <w:tab w:val="left" w:pos="1337"/>
              </w:tabs>
              <w:spacing w:line="420" w:lineRule="exact"/>
              <w:jc w:val="center"/>
              <w:rPr>
                <w:rFonts w:hint="eastAsia" w:ascii="仿宋" w:hAnsi="仿宋" w:eastAsia="仿宋" w:cs="仿宋"/>
                <w:color w:val="auto"/>
                <w:sz w:val="24"/>
                <w:szCs w:val="24"/>
                <w:highlight w:val="none"/>
              </w:rPr>
            </w:pPr>
          </w:p>
        </w:tc>
        <w:tc>
          <w:tcPr>
            <w:tcW w:w="1920" w:type="dxa"/>
            <w:vAlign w:val="center"/>
          </w:tcPr>
          <w:p w14:paraId="13368D2E">
            <w:pPr>
              <w:tabs>
                <w:tab w:val="left" w:pos="1337"/>
              </w:tabs>
              <w:spacing w:line="420" w:lineRule="exact"/>
              <w:jc w:val="center"/>
              <w:rPr>
                <w:rFonts w:hint="eastAsia" w:ascii="仿宋" w:hAnsi="仿宋" w:eastAsia="仿宋" w:cs="仿宋"/>
                <w:color w:val="auto"/>
                <w:sz w:val="24"/>
                <w:szCs w:val="24"/>
                <w:highlight w:val="none"/>
              </w:rPr>
            </w:pPr>
          </w:p>
        </w:tc>
        <w:tc>
          <w:tcPr>
            <w:tcW w:w="1949" w:type="dxa"/>
            <w:vAlign w:val="center"/>
          </w:tcPr>
          <w:p w14:paraId="17D8954B">
            <w:pPr>
              <w:tabs>
                <w:tab w:val="left" w:pos="1337"/>
              </w:tabs>
              <w:spacing w:line="420" w:lineRule="exact"/>
              <w:jc w:val="center"/>
              <w:rPr>
                <w:rFonts w:hint="eastAsia" w:ascii="仿宋" w:hAnsi="仿宋" w:eastAsia="仿宋" w:cs="仿宋"/>
                <w:color w:val="auto"/>
                <w:sz w:val="24"/>
                <w:szCs w:val="24"/>
                <w:highlight w:val="none"/>
              </w:rPr>
            </w:pPr>
          </w:p>
        </w:tc>
        <w:tc>
          <w:tcPr>
            <w:tcW w:w="1462" w:type="dxa"/>
            <w:vAlign w:val="center"/>
          </w:tcPr>
          <w:p w14:paraId="199F0267">
            <w:pPr>
              <w:tabs>
                <w:tab w:val="left" w:pos="1337"/>
              </w:tabs>
              <w:spacing w:line="420" w:lineRule="exact"/>
              <w:jc w:val="center"/>
              <w:rPr>
                <w:rFonts w:hint="eastAsia" w:ascii="仿宋" w:hAnsi="仿宋" w:eastAsia="仿宋" w:cs="仿宋"/>
                <w:color w:val="auto"/>
                <w:sz w:val="24"/>
                <w:szCs w:val="24"/>
                <w:highlight w:val="none"/>
              </w:rPr>
            </w:pPr>
          </w:p>
        </w:tc>
        <w:tc>
          <w:tcPr>
            <w:tcW w:w="990" w:type="dxa"/>
            <w:vAlign w:val="center"/>
          </w:tcPr>
          <w:p w14:paraId="32BFFFE4">
            <w:pPr>
              <w:tabs>
                <w:tab w:val="left" w:pos="1337"/>
              </w:tabs>
              <w:spacing w:line="420" w:lineRule="exact"/>
              <w:jc w:val="center"/>
              <w:rPr>
                <w:rFonts w:hint="eastAsia" w:ascii="仿宋" w:hAnsi="仿宋" w:eastAsia="仿宋" w:cs="仿宋"/>
                <w:color w:val="auto"/>
                <w:sz w:val="24"/>
                <w:szCs w:val="24"/>
                <w:highlight w:val="none"/>
              </w:rPr>
            </w:pPr>
          </w:p>
        </w:tc>
      </w:tr>
      <w:tr w14:paraId="01AF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14:paraId="2D9E15DE">
            <w:pPr>
              <w:tabs>
                <w:tab w:val="left" w:pos="1337"/>
              </w:tabs>
              <w:spacing w:line="420" w:lineRule="exact"/>
              <w:jc w:val="center"/>
              <w:rPr>
                <w:rFonts w:hint="eastAsia" w:ascii="仿宋" w:hAnsi="仿宋" w:eastAsia="仿宋" w:cs="仿宋"/>
                <w:color w:val="auto"/>
                <w:sz w:val="24"/>
                <w:szCs w:val="24"/>
                <w:highlight w:val="none"/>
              </w:rPr>
            </w:pPr>
          </w:p>
        </w:tc>
        <w:tc>
          <w:tcPr>
            <w:tcW w:w="1545" w:type="dxa"/>
            <w:vAlign w:val="center"/>
          </w:tcPr>
          <w:p w14:paraId="40D98B9B">
            <w:pPr>
              <w:tabs>
                <w:tab w:val="left" w:pos="1337"/>
              </w:tabs>
              <w:spacing w:line="420" w:lineRule="exact"/>
              <w:jc w:val="center"/>
              <w:rPr>
                <w:rFonts w:hint="eastAsia" w:ascii="仿宋" w:hAnsi="仿宋" w:eastAsia="仿宋" w:cs="仿宋"/>
                <w:color w:val="auto"/>
                <w:sz w:val="24"/>
                <w:szCs w:val="24"/>
                <w:highlight w:val="none"/>
              </w:rPr>
            </w:pPr>
          </w:p>
        </w:tc>
        <w:tc>
          <w:tcPr>
            <w:tcW w:w="1920" w:type="dxa"/>
            <w:vAlign w:val="center"/>
          </w:tcPr>
          <w:p w14:paraId="78BE69D8">
            <w:pPr>
              <w:tabs>
                <w:tab w:val="left" w:pos="1337"/>
              </w:tabs>
              <w:spacing w:line="420" w:lineRule="exact"/>
              <w:jc w:val="center"/>
              <w:rPr>
                <w:rFonts w:hint="eastAsia" w:ascii="仿宋" w:hAnsi="仿宋" w:eastAsia="仿宋" w:cs="仿宋"/>
                <w:color w:val="auto"/>
                <w:sz w:val="24"/>
                <w:szCs w:val="24"/>
                <w:highlight w:val="none"/>
              </w:rPr>
            </w:pPr>
          </w:p>
        </w:tc>
        <w:tc>
          <w:tcPr>
            <w:tcW w:w="1949" w:type="dxa"/>
            <w:vAlign w:val="center"/>
          </w:tcPr>
          <w:p w14:paraId="1309D821">
            <w:pPr>
              <w:tabs>
                <w:tab w:val="left" w:pos="1337"/>
              </w:tabs>
              <w:spacing w:line="420" w:lineRule="exact"/>
              <w:jc w:val="center"/>
              <w:rPr>
                <w:rFonts w:hint="eastAsia" w:ascii="仿宋" w:hAnsi="仿宋" w:eastAsia="仿宋" w:cs="仿宋"/>
                <w:color w:val="auto"/>
                <w:sz w:val="24"/>
                <w:szCs w:val="24"/>
                <w:highlight w:val="none"/>
              </w:rPr>
            </w:pPr>
          </w:p>
        </w:tc>
        <w:tc>
          <w:tcPr>
            <w:tcW w:w="1462" w:type="dxa"/>
            <w:vAlign w:val="center"/>
          </w:tcPr>
          <w:p w14:paraId="530CF23A">
            <w:pPr>
              <w:tabs>
                <w:tab w:val="left" w:pos="1337"/>
              </w:tabs>
              <w:spacing w:line="420" w:lineRule="exact"/>
              <w:jc w:val="center"/>
              <w:rPr>
                <w:rFonts w:hint="eastAsia" w:ascii="仿宋" w:hAnsi="仿宋" w:eastAsia="仿宋" w:cs="仿宋"/>
                <w:color w:val="auto"/>
                <w:sz w:val="24"/>
                <w:szCs w:val="24"/>
                <w:highlight w:val="none"/>
              </w:rPr>
            </w:pPr>
          </w:p>
        </w:tc>
        <w:tc>
          <w:tcPr>
            <w:tcW w:w="990" w:type="dxa"/>
            <w:vAlign w:val="center"/>
          </w:tcPr>
          <w:p w14:paraId="6D58574C">
            <w:pPr>
              <w:tabs>
                <w:tab w:val="left" w:pos="1337"/>
              </w:tabs>
              <w:spacing w:line="420" w:lineRule="exact"/>
              <w:jc w:val="center"/>
              <w:rPr>
                <w:rFonts w:hint="eastAsia" w:ascii="仿宋" w:hAnsi="仿宋" w:eastAsia="仿宋" w:cs="仿宋"/>
                <w:color w:val="auto"/>
                <w:sz w:val="24"/>
                <w:szCs w:val="24"/>
                <w:highlight w:val="none"/>
              </w:rPr>
            </w:pPr>
          </w:p>
        </w:tc>
      </w:tr>
      <w:tr w14:paraId="781CC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14:paraId="2E25D0FF">
            <w:pPr>
              <w:tabs>
                <w:tab w:val="left" w:pos="1337"/>
              </w:tabs>
              <w:spacing w:line="420" w:lineRule="exact"/>
              <w:jc w:val="center"/>
              <w:rPr>
                <w:rFonts w:hint="eastAsia" w:ascii="仿宋" w:hAnsi="仿宋" w:eastAsia="仿宋" w:cs="仿宋"/>
                <w:color w:val="auto"/>
                <w:sz w:val="24"/>
                <w:szCs w:val="24"/>
                <w:highlight w:val="none"/>
              </w:rPr>
            </w:pPr>
          </w:p>
        </w:tc>
        <w:tc>
          <w:tcPr>
            <w:tcW w:w="1545" w:type="dxa"/>
            <w:vAlign w:val="center"/>
          </w:tcPr>
          <w:p w14:paraId="7935C7A9">
            <w:pPr>
              <w:tabs>
                <w:tab w:val="left" w:pos="1337"/>
              </w:tabs>
              <w:spacing w:line="420" w:lineRule="exact"/>
              <w:jc w:val="center"/>
              <w:rPr>
                <w:rFonts w:hint="eastAsia" w:ascii="仿宋" w:hAnsi="仿宋" w:eastAsia="仿宋" w:cs="仿宋"/>
                <w:color w:val="auto"/>
                <w:sz w:val="24"/>
                <w:szCs w:val="24"/>
                <w:highlight w:val="none"/>
              </w:rPr>
            </w:pPr>
          </w:p>
        </w:tc>
        <w:tc>
          <w:tcPr>
            <w:tcW w:w="1920" w:type="dxa"/>
            <w:vAlign w:val="center"/>
          </w:tcPr>
          <w:p w14:paraId="721AEE32">
            <w:pPr>
              <w:tabs>
                <w:tab w:val="left" w:pos="1337"/>
              </w:tabs>
              <w:spacing w:line="420" w:lineRule="exact"/>
              <w:jc w:val="center"/>
              <w:rPr>
                <w:rFonts w:hint="eastAsia" w:ascii="仿宋" w:hAnsi="仿宋" w:eastAsia="仿宋" w:cs="仿宋"/>
                <w:color w:val="auto"/>
                <w:sz w:val="24"/>
                <w:szCs w:val="24"/>
                <w:highlight w:val="none"/>
              </w:rPr>
            </w:pPr>
          </w:p>
        </w:tc>
        <w:tc>
          <w:tcPr>
            <w:tcW w:w="1949" w:type="dxa"/>
            <w:vAlign w:val="center"/>
          </w:tcPr>
          <w:p w14:paraId="4CBCF8DF">
            <w:pPr>
              <w:tabs>
                <w:tab w:val="left" w:pos="1337"/>
              </w:tabs>
              <w:spacing w:line="420" w:lineRule="exact"/>
              <w:jc w:val="center"/>
              <w:rPr>
                <w:rFonts w:hint="eastAsia" w:ascii="仿宋" w:hAnsi="仿宋" w:eastAsia="仿宋" w:cs="仿宋"/>
                <w:color w:val="auto"/>
                <w:sz w:val="24"/>
                <w:szCs w:val="24"/>
                <w:highlight w:val="none"/>
              </w:rPr>
            </w:pPr>
          </w:p>
        </w:tc>
        <w:tc>
          <w:tcPr>
            <w:tcW w:w="1462" w:type="dxa"/>
            <w:vAlign w:val="center"/>
          </w:tcPr>
          <w:p w14:paraId="59453CBE">
            <w:pPr>
              <w:tabs>
                <w:tab w:val="left" w:pos="1337"/>
              </w:tabs>
              <w:spacing w:line="420" w:lineRule="exact"/>
              <w:jc w:val="center"/>
              <w:rPr>
                <w:rFonts w:hint="eastAsia" w:ascii="仿宋" w:hAnsi="仿宋" w:eastAsia="仿宋" w:cs="仿宋"/>
                <w:color w:val="auto"/>
                <w:sz w:val="24"/>
                <w:szCs w:val="24"/>
                <w:highlight w:val="none"/>
              </w:rPr>
            </w:pPr>
          </w:p>
        </w:tc>
        <w:tc>
          <w:tcPr>
            <w:tcW w:w="990" w:type="dxa"/>
            <w:vAlign w:val="center"/>
          </w:tcPr>
          <w:p w14:paraId="3C77F0C4">
            <w:pPr>
              <w:tabs>
                <w:tab w:val="left" w:pos="1337"/>
              </w:tabs>
              <w:spacing w:line="420" w:lineRule="exact"/>
              <w:jc w:val="center"/>
              <w:rPr>
                <w:rFonts w:hint="eastAsia" w:ascii="仿宋" w:hAnsi="仿宋" w:eastAsia="仿宋" w:cs="仿宋"/>
                <w:color w:val="auto"/>
                <w:sz w:val="24"/>
                <w:szCs w:val="24"/>
                <w:highlight w:val="none"/>
              </w:rPr>
            </w:pPr>
          </w:p>
        </w:tc>
      </w:tr>
      <w:tr w14:paraId="05BB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14:paraId="03E24740">
            <w:pPr>
              <w:tabs>
                <w:tab w:val="left" w:pos="1337"/>
              </w:tabs>
              <w:spacing w:line="420" w:lineRule="exact"/>
              <w:jc w:val="center"/>
              <w:rPr>
                <w:rFonts w:hint="eastAsia" w:ascii="仿宋" w:hAnsi="仿宋" w:eastAsia="仿宋" w:cs="仿宋"/>
                <w:color w:val="auto"/>
                <w:sz w:val="24"/>
                <w:szCs w:val="24"/>
                <w:highlight w:val="none"/>
              </w:rPr>
            </w:pPr>
          </w:p>
        </w:tc>
        <w:tc>
          <w:tcPr>
            <w:tcW w:w="1545" w:type="dxa"/>
            <w:vAlign w:val="center"/>
          </w:tcPr>
          <w:p w14:paraId="7F01FD0F">
            <w:pPr>
              <w:tabs>
                <w:tab w:val="left" w:pos="1337"/>
              </w:tabs>
              <w:spacing w:line="420" w:lineRule="exact"/>
              <w:jc w:val="center"/>
              <w:rPr>
                <w:rFonts w:hint="eastAsia" w:ascii="仿宋" w:hAnsi="仿宋" w:eastAsia="仿宋" w:cs="仿宋"/>
                <w:color w:val="auto"/>
                <w:sz w:val="24"/>
                <w:szCs w:val="24"/>
                <w:highlight w:val="none"/>
              </w:rPr>
            </w:pPr>
          </w:p>
        </w:tc>
        <w:tc>
          <w:tcPr>
            <w:tcW w:w="1920" w:type="dxa"/>
            <w:vAlign w:val="center"/>
          </w:tcPr>
          <w:p w14:paraId="20A6859A">
            <w:pPr>
              <w:tabs>
                <w:tab w:val="left" w:pos="1337"/>
              </w:tabs>
              <w:spacing w:line="420" w:lineRule="exact"/>
              <w:jc w:val="center"/>
              <w:rPr>
                <w:rFonts w:hint="eastAsia" w:ascii="仿宋" w:hAnsi="仿宋" w:eastAsia="仿宋" w:cs="仿宋"/>
                <w:color w:val="auto"/>
                <w:sz w:val="24"/>
                <w:szCs w:val="24"/>
                <w:highlight w:val="none"/>
              </w:rPr>
            </w:pPr>
          </w:p>
        </w:tc>
        <w:tc>
          <w:tcPr>
            <w:tcW w:w="1949" w:type="dxa"/>
            <w:vAlign w:val="center"/>
          </w:tcPr>
          <w:p w14:paraId="0564E4BE">
            <w:pPr>
              <w:tabs>
                <w:tab w:val="left" w:pos="1337"/>
              </w:tabs>
              <w:spacing w:line="420" w:lineRule="exact"/>
              <w:jc w:val="center"/>
              <w:rPr>
                <w:rFonts w:hint="eastAsia" w:ascii="仿宋" w:hAnsi="仿宋" w:eastAsia="仿宋" w:cs="仿宋"/>
                <w:color w:val="auto"/>
                <w:sz w:val="24"/>
                <w:szCs w:val="24"/>
                <w:highlight w:val="none"/>
              </w:rPr>
            </w:pPr>
          </w:p>
        </w:tc>
        <w:tc>
          <w:tcPr>
            <w:tcW w:w="1462" w:type="dxa"/>
            <w:vAlign w:val="center"/>
          </w:tcPr>
          <w:p w14:paraId="7C1E8F97">
            <w:pPr>
              <w:tabs>
                <w:tab w:val="left" w:pos="1337"/>
              </w:tabs>
              <w:spacing w:line="420" w:lineRule="exact"/>
              <w:jc w:val="center"/>
              <w:rPr>
                <w:rFonts w:hint="eastAsia" w:ascii="仿宋" w:hAnsi="仿宋" w:eastAsia="仿宋" w:cs="仿宋"/>
                <w:color w:val="auto"/>
                <w:sz w:val="24"/>
                <w:szCs w:val="24"/>
                <w:highlight w:val="none"/>
              </w:rPr>
            </w:pPr>
          </w:p>
        </w:tc>
        <w:tc>
          <w:tcPr>
            <w:tcW w:w="990" w:type="dxa"/>
            <w:vAlign w:val="center"/>
          </w:tcPr>
          <w:p w14:paraId="1B5A3D64">
            <w:pPr>
              <w:tabs>
                <w:tab w:val="left" w:pos="1337"/>
              </w:tabs>
              <w:spacing w:line="420" w:lineRule="exact"/>
              <w:jc w:val="center"/>
              <w:rPr>
                <w:rFonts w:hint="eastAsia" w:ascii="仿宋" w:hAnsi="仿宋" w:eastAsia="仿宋" w:cs="仿宋"/>
                <w:color w:val="auto"/>
                <w:sz w:val="24"/>
                <w:szCs w:val="24"/>
                <w:highlight w:val="none"/>
              </w:rPr>
            </w:pPr>
          </w:p>
        </w:tc>
      </w:tr>
      <w:tr w14:paraId="76E33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14:paraId="33B76A96">
            <w:pPr>
              <w:tabs>
                <w:tab w:val="left" w:pos="1337"/>
              </w:tabs>
              <w:spacing w:line="420" w:lineRule="exact"/>
              <w:jc w:val="center"/>
              <w:rPr>
                <w:rFonts w:hint="eastAsia" w:ascii="仿宋" w:hAnsi="仿宋" w:eastAsia="仿宋" w:cs="仿宋"/>
                <w:color w:val="auto"/>
                <w:sz w:val="24"/>
                <w:szCs w:val="24"/>
                <w:highlight w:val="none"/>
              </w:rPr>
            </w:pPr>
          </w:p>
        </w:tc>
        <w:tc>
          <w:tcPr>
            <w:tcW w:w="1545" w:type="dxa"/>
            <w:vAlign w:val="center"/>
          </w:tcPr>
          <w:p w14:paraId="3AE91325">
            <w:pPr>
              <w:tabs>
                <w:tab w:val="left" w:pos="1337"/>
              </w:tabs>
              <w:spacing w:line="420" w:lineRule="exact"/>
              <w:jc w:val="center"/>
              <w:rPr>
                <w:rFonts w:hint="eastAsia" w:ascii="仿宋" w:hAnsi="仿宋" w:eastAsia="仿宋" w:cs="仿宋"/>
                <w:color w:val="auto"/>
                <w:sz w:val="24"/>
                <w:szCs w:val="24"/>
                <w:highlight w:val="none"/>
              </w:rPr>
            </w:pPr>
          </w:p>
        </w:tc>
        <w:tc>
          <w:tcPr>
            <w:tcW w:w="1920" w:type="dxa"/>
            <w:vAlign w:val="center"/>
          </w:tcPr>
          <w:p w14:paraId="560382E5">
            <w:pPr>
              <w:tabs>
                <w:tab w:val="left" w:pos="1337"/>
              </w:tabs>
              <w:spacing w:line="420" w:lineRule="exact"/>
              <w:jc w:val="center"/>
              <w:rPr>
                <w:rFonts w:hint="eastAsia" w:ascii="仿宋" w:hAnsi="仿宋" w:eastAsia="仿宋" w:cs="仿宋"/>
                <w:color w:val="auto"/>
                <w:sz w:val="24"/>
                <w:szCs w:val="24"/>
                <w:highlight w:val="none"/>
              </w:rPr>
            </w:pPr>
          </w:p>
        </w:tc>
        <w:tc>
          <w:tcPr>
            <w:tcW w:w="1949" w:type="dxa"/>
            <w:vAlign w:val="center"/>
          </w:tcPr>
          <w:p w14:paraId="3CECF001">
            <w:pPr>
              <w:tabs>
                <w:tab w:val="left" w:pos="1337"/>
              </w:tabs>
              <w:spacing w:line="420" w:lineRule="exact"/>
              <w:jc w:val="center"/>
              <w:rPr>
                <w:rFonts w:hint="eastAsia" w:ascii="仿宋" w:hAnsi="仿宋" w:eastAsia="仿宋" w:cs="仿宋"/>
                <w:color w:val="auto"/>
                <w:sz w:val="24"/>
                <w:szCs w:val="24"/>
                <w:highlight w:val="none"/>
              </w:rPr>
            </w:pPr>
          </w:p>
        </w:tc>
        <w:tc>
          <w:tcPr>
            <w:tcW w:w="1462" w:type="dxa"/>
            <w:vAlign w:val="center"/>
          </w:tcPr>
          <w:p w14:paraId="3E097BC5">
            <w:pPr>
              <w:tabs>
                <w:tab w:val="left" w:pos="1337"/>
              </w:tabs>
              <w:spacing w:line="420" w:lineRule="exact"/>
              <w:jc w:val="center"/>
              <w:rPr>
                <w:rFonts w:hint="eastAsia" w:ascii="仿宋" w:hAnsi="仿宋" w:eastAsia="仿宋" w:cs="仿宋"/>
                <w:color w:val="auto"/>
                <w:sz w:val="24"/>
                <w:szCs w:val="24"/>
                <w:highlight w:val="none"/>
              </w:rPr>
            </w:pPr>
          </w:p>
        </w:tc>
        <w:tc>
          <w:tcPr>
            <w:tcW w:w="990" w:type="dxa"/>
            <w:vAlign w:val="center"/>
          </w:tcPr>
          <w:p w14:paraId="3413B8C8">
            <w:pPr>
              <w:tabs>
                <w:tab w:val="left" w:pos="1337"/>
              </w:tabs>
              <w:spacing w:line="420" w:lineRule="exact"/>
              <w:jc w:val="center"/>
              <w:rPr>
                <w:rFonts w:hint="eastAsia" w:ascii="仿宋" w:hAnsi="仿宋" w:eastAsia="仿宋" w:cs="仿宋"/>
                <w:color w:val="auto"/>
                <w:sz w:val="24"/>
                <w:szCs w:val="24"/>
                <w:highlight w:val="none"/>
              </w:rPr>
            </w:pPr>
          </w:p>
        </w:tc>
      </w:tr>
      <w:tr w14:paraId="0EC7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14:paraId="31DBFE42">
            <w:pPr>
              <w:tabs>
                <w:tab w:val="left" w:pos="1337"/>
              </w:tabs>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545" w:type="dxa"/>
            <w:vAlign w:val="center"/>
          </w:tcPr>
          <w:p w14:paraId="0F324581">
            <w:pPr>
              <w:tabs>
                <w:tab w:val="left" w:pos="1337"/>
              </w:tabs>
              <w:spacing w:line="420" w:lineRule="exact"/>
              <w:jc w:val="center"/>
              <w:rPr>
                <w:rFonts w:hint="eastAsia" w:ascii="仿宋" w:hAnsi="仿宋" w:eastAsia="仿宋" w:cs="仿宋"/>
                <w:color w:val="auto"/>
                <w:sz w:val="24"/>
                <w:szCs w:val="24"/>
                <w:highlight w:val="none"/>
              </w:rPr>
            </w:pPr>
          </w:p>
        </w:tc>
        <w:tc>
          <w:tcPr>
            <w:tcW w:w="1920" w:type="dxa"/>
            <w:vAlign w:val="center"/>
          </w:tcPr>
          <w:p w14:paraId="26251D22">
            <w:pPr>
              <w:tabs>
                <w:tab w:val="left" w:pos="1337"/>
              </w:tabs>
              <w:spacing w:line="420" w:lineRule="exact"/>
              <w:jc w:val="center"/>
              <w:rPr>
                <w:rFonts w:hint="eastAsia" w:ascii="仿宋" w:hAnsi="仿宋" w:eastAsia="仿宋" w:cs="仿宋"/>
                <w:color w:val="auto"/>
                <w:sz w:val="24"/>
                <w:szCs w:val="24"/>
                <w:highlight w:val="none"/>
              </w:rPr>
            </w:pPr>
          </w:p>
        </w:tc>
        <w:tc>
          <w:tcPr>
            <w:tcW w:w="1949" w:type="dxa"/>
            <w:vAlign w:val="center"/>
          </w:tcPr>
          <w:p w14:paraId="735CFFC1">
            <w:pPr>
              <w:tabs>
                <w:tab w:val="left" w:pos="1337"/>
              </w:tabs>
              <w:spacing w:line="420" w:lineRule="exact"/>
              <w:jc w:val="center"/>
              <w:rPr>
                <w:rFonts w:hint="eastAsia" w:ascii="仿宋" w:hAnsi="仿宋" w:eastAsia="仿宋" w:cs="仿宋"/>
                <w:color w:val="auto"/>
                <w:sz w:val="24"/>
                <w:szCs w:val="24"/>
                <w:highlight w:val="none"/>
              </w:rPr>
            </w:pPr>
          </w:p>
        </w:tc>
        <w:tc>
          <w:tcPr>
            <w:tcW w:w="1462" w:type="dxa"/>
            <w:vAlign w:val="center"/>
          </w:tcPr>
          <w:p w14:paraId="6AC669C9">
            <w:pPr>
              <w:tabs>
                <w:tab w:val="left" w:pos="1337"/>
              </w:tabs>
              <w:spacing w:line="420" w:lineRule="exact"/>
              <w:jc w:val="center"/>
              <w:rPr>
                <w:rFonts w:hint="eastAsia" w:ascii="仿宋" w:hAnsi="仿宋" w:eastAsia="仿宋" w:cs="仿宋"/>
                <w:color w:val="auto"/>
                <w:sz w:val="24"/>
                <w:szCs w:val="24"/>
                <w:highlight w:val="none"/>
              </w:rPr>
            </w:pPr>
          </w:p>
        </w:tc>
        <w:tc>
          <w:tcPr>
            <w:tcW w:w="990" w:type="dxa"/>
            <w:vAlign w:val="center"/>
          </w:tcPr>
          <w:p w14:paraId="4264B54E">
            <w:pPr>
              <w:tabs>
                <w:tab w:val="left" w:pos="1337"/>
              </w:tabs>
              <w:spacing w:line="420" w:lineRule="exact"/>
              <w:jc w:val="center"/>
              <w:rPr>
                <w:rFonts w:hint="eastAsia" w:ascii="仿宋" w:hAnsi="仿宋" w:eastAsia="仿宋" w:cs="仿宋"/>
                <w:color w:val="auto"/>
                <w:sz w:val="24"/>
                <w:szCs w:val="24"/>
                <w:highlight w:val="none"/>
              </w:rPr>
            </w:pPr>
          </w:p>
        </w:tc>
      </w:tr>
    </w:tbl>
    <w:p w14:paraId="364B3368">
      <w:pPr>
        <w:rPr>
          <w:rFonts w:hint="eastAsia" w:ascii="仿宋" w:hAnsi="仿宋" w:eastAsia="仿宋" w:cs="仿宋"/>
          <w:color w:val="auto"/>
          <w:sz w:val="28"/>
          <w:szCs w:val="28"/>
          <w:highlight w:val="none"/>
        </w:rPr>
      </w:pPr>
      <w:r>
        <w:rPr>
          <w:rFonts w:hint="eastAsia" w:ascii="仿宋" w:hAnsi="仿宋" w:eastAsia="仿宋" w:cs="仿宋"/>
          <w:bCs w:val="0"/>
          <w:color w:val="auto"/>
          <w:sz w:val="28"/>
          <w:szCs w:val="28"/>
          <w:highlight w:val="none"/>
        </w:rPr>
        <w:t>年  月  日</w:t>
      </w:r>
      <w:r>
        <w:rPr>
          <w:rFonts w:hint="eastAsia" w:ascii="仿宋" w:hAnsi="仿宋" w:eastAsia="仿宋" w:cs="仿宋"/>
          <w:color w:val="auto"/>
          <w:sz w:val="28"/>
          <w:szCs w:val="28"/>
          <w:highlight w:val="none"/>
        </w:rPr>
        <w:br w:type="page"/>
      </w:r>
    </w:p>
    <w:p w14:paraId="51E6375B">
      <w:pPr>
        <w:pStyle w:val="3"/>
        <w:pageBreakBefore w:val="0"/>
        <w:kinsoku/>
        <w:overflowPunct/>
        <w:topLinePunct w:val="0"/>
        <w:bidi w:val="0"/>
        <w:snapToGrid/>
        <w:spacing w:line="360" w:lineRule="auto"/>
        <w:rPr>
          <w:rFonts w:hint="eastAsia" w:ascii="仿宋" w:hAnsi="仿宋" w:eastAsia="仿宋" w:cs="仿宋"/>
          <w:b/>
          <w:bCs/>
          <w:color w:val="auto"/>
          <w:kern w:val="0"/>
          <w:sz w:val="28"/>
          <w:szCs w:val="28"/>
          <w:highlight w:val="none"/>
          <w:lang w:val="en-US" w:eastAsia="zh-CN" w:bidi="ar-SA"/>
        </w:rPr>
      </w:pPr>
      <w:bookmarkStart w:id="309" w:name="_Toc21162"/>
      <w:r>
        <w:rPr>
          <w:rFonts w:hint="eastAsia" w:ascii="仿宋" w:hAnsi="仿宋" w:eastAsia="仿宋" w:cs="仿宋"/>
          <w:b/>
          <w:bCs/>
          <w:color w:val="auto"/>
          <w:kern w:val="0"/>
          <w:sz w:val="28"/>
          <w:szCs w:val="28"/>
          <w:highlight w:val="none"/>
          <w:lang w:val="en-US" w:eastAsia="zh-CN" w:bidi="ar-SA"/>
        </w:rPr>
        <w:t>附件八：拟投入本项目设备情况一览表</w:t>
      </w:r>
      <w:bookmarkEnd w:id="309"/>
    </w:p>
    <w:p w14:paraId="41186FCE">
      <w:pPr>
        <w:jc w:val="center"/>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拟投入本项目设备情况一览表</w:t>
      </w:r>
    </w:p>
    <w:p w14:paraId="14BBAC02">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u w:val="single"/>
        </w:rPr>
      </w:pPr>
      <w:r>
        <w:rPr>
          <w:rFonts w:hint="eastAsia" w:ascii="仿宋" w:hAnsi="仿宋" w:eastAsia="仿宋" w:cs="仿宋"/>
          <w:bCs w:val="0"/>
          <w:color w:val="auto"/>
          <w:sz w:val="28"/>
          <w:szCs w:val="28"/>
          <w:highlight w:val="none"/>
        </w:rPr>
        <w:t>项目编号：</w:t>
      </w:r>
    </w:p>
    <w:p w14:paraId="70DC3340">
      <w:pPr>
        <w:pStyle w:val="49"/>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bCs w:val="0"/>
          <w:color w:val="auto"/>
          <w:sz w:val="28"/>
          <w:szCs w:val="28"/>
          <w:highlight w:val="none"/>
        </w:rPr>
        <w:t>投标人名称：（公章）</w:t>
      </w:r>
      <w:r>
        <w:rPr>
          <w:rFonts w:hint="eastAsia" w:ascii="仿宋" w:hAnsi="仿宋" w:eastAsia="仿宋" w:cs="仿宋"/>
          <w:bCs w:val="0"/>
          <w:color w:val="auto"/>
          <w:sz w:val="28"/>
          <w:szCs w:val="28"/>
          <w:highlight w:val="none"/>
          <w:lang w:val="en-US" w:eastAsia="zh-CN"/>
        </w:rPr>
        <w:t xml:space="preserve">   </w:t>
      </w:r>
      <w:r>
        <w:rPr>
          <w:rFonts w:hint="eastAsia" w:ascii="仿宋" w:hAnsi="仿宋" w:eastAsia="仿宋" w:cs="仿宋"/>
          <w:bCs w:val="0"/>
          <w:color w:val="auto"/>
          <w:sz w:val="28"/>
          <w:szCs w:val="28"/>
          <w:highlight w:val="none"/>
        </w:rPr>
        <w:t xml:space="preserve">  </w:t>
      </w:r>
      <w:r>
        <w:rPr>
          <w:rFonts w:hint="eastAsia" w:ascii="仿宋" w:hAnsi="仿宋" w:eastAsia="仿宋" w:cs="仿宋"/>
          <w:bCs w:val="0"/>
          <w:color w:val="auto"/>
          <w:sz w:val="28"/>
          <w:szCs w:val="28"/>
          <w:highlight w:val="none"/>
          <w:lang w:val="en-US" w:eastAsia="zh-CN"/>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870"/>
        <w:gridCol w:w="969"/>
        <w:gridCol w:w="777"/>
        <w:gridCol w:w="932"/>
        <w:gridCol w:w="1536"/>
        <w:gridCol w:w="1803"/>
        <w:gridCol w:w="1039"/>
      </w:tblGrid>
      <w:tr w14:paraId="10D2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031" w:type="dxa"/>
            <w:vAlign w:val="center"/>
          </w:tcPr>
          <w:p w14:paraId="292C6890">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序号</w:t>
            </w:r>
          </w:p>
        </w:tc>
        <w:tc>
          <w:tcPr>
            <w:tcW w:w="870" w:type="dxa"/>
            <w:vAlign w:val="center"/>
          </w:tcPr>
          <w:p w14:paraId="0B5E82E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color w:val="auto"/>
                <w:sz w:val="28"/>
                <w:szCs w:val="28"/>
                <w:highlight w:val="none"/>
                <w:lang w:val="en-US"/>
              </w:rPr>
            </w:pPr>
            <w:r>
              <w:rPr>
                <w:rFonts w:hint="eastAsia" w:ascii="仿宋" w:hAnsi="仿宋" w:eastAsia="仿宋" w:cs="仿宋"/>
                <w:bCs w:val="0"/>
                <w:color w:val="auto"/>
                <w:sz w:val="28"/>
                <w:szCs w:val="28"/>
                <w:highlight w:val="none"/>
                <w:lang w:val="en-US" w:eastAsia="zh-CN"/>
              </w:rPr>
              <w:t>设备名称</w:t>
            </w:r>
          </w:p>
        </w:tc>
        <w:tc>
          <w:tcPr>
            <w:tcW w:w="969" w:type="dxa"/>
            <w:vAlign w:val="center"/>
          </w:tcPr>
          <w:p w14:paraId="21D9D67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品牌型号</w:t>
            </w:r>
          </w:p>
        </w:tc>
        <w:tc>
          <w:tcPr>
            <w:tcW w:w="777" w:type="dxa"/>
            <w:vAlign w:val="center"/>
          </w:tcPr>
          <w:p w14:paraId="4A3F84A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数量</w:t>
            </w:r>
          </w:p>
        </w:tc>
        <w:tc>
          <w:tcPr>
            <w:tcW w:w="932" w:type="dxa"/>
            <w:vAlign w:val="center"/>
          </w:tcPr>
          <w:p w14:paraId="26D02A5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自有/租赁</w:t>
            </w:r>
          </w:p>
        </w:tc>
        <w:tc>
          <w:tcPr>
            <w:tcW w:w="1536" w:type="dxa"/>
            <w:vAlign w:val="center"/>
          </w:tcPr>
          <w:p w14:paraId="5600DEA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default"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技术参数</w:t>
            </w:r>
          </w:p>
        </w:tc>
        <w:tc>
          <w:tcPr>
            <w:tcW w:w="1803" w:type="dxa"/>
            <w:vAlign w:val="center"/>
          </w:tcPr>
          <w:p w14:paraId="41F72D50">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default"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是否满足招标文件要求</w:t>
            </w:r>
          </w:p>
        </w:tc>
        <w:tc>
          <w:tcPr>
            <w:tcW w:w="1039" w:type="dxa"/>
            <w:vAlign w:val="center"/>
          </w:tcPr>
          <w:p w14:paraId="29474EE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备注</w:t>
            </w:r>
          </w:p>
        </w:tc>
      </w:tr>
      <w:tr w14:paraId="06AA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31" w:type="dxa"/>
            <w:vAlign w:val="center"/>
          </w:tcPr>
          <w:p w14:paraId="1810BDF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870" w:type="dxa"/>
            <w:vAlign w:val="center"/>
          </w:tcPr>
          <w:p w14:paraId="0B5ECE4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969" w:type="dxa"/>
            <w:vAlign w:val="center"/>
          </w:tcPr>
          <w:p w14:paraId="149E5F8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777" w:type="dxa"/>
            <w:vAlign w:val="center"/>
          </w:tcPr>
          <w:p w14:paraId="3D25523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932" w:type="dxa"/>
            <w:vAlign w:val="center"/>
          </w:tcPr>
          <w:p w14:paraId="7723830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536" w:type="dxa"/>
            <w:vAlign w:val="center"/>
          </w:tcPr>
          <w:p w14:paraId="4913D872">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803" w:type="dxa"/>
            <w:vAlign w:val="center"/>
          </w:tcPr>
          <w:p w14:paraId="32BC4DC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039" w:type="dxa"/>
            <w:vAlign w:val="center"/>
          </w:tcPr>
          <w:p w14:paraId="2F83F48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14:paraId="04C7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31" w:type="dxa"/>
            <w:vAlign w:val="center"/>
          </w:tcPr>
          <w:p w14:paraId="0097EF7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870" w:type="dxa"/>
            <w:vAlign w:val="center"/>
          </w:tcPr>
          <w:p w14:paraId="7271E45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969" w:type="dxa"/>
            <w:vAlign w:val="center"/>
          </w:tcPr>
          <w:p w14:paraId="1A475F4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777" w:type="dxa"/>
            <w:vAlign w:val="center"/>
          </w:tcPr>
          <w:p w14:paraId="79D41BD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932" w:type="dxa"/>
            <w:vAlign w:val="center"/>
          </w:tcPr>
          <w:p w14:paraId="106CF500">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536" w:type="dxa"/>
            <w:vAlign w:val="center"/>
          </w:tcPr>
          <w:p w14:paraId="596B097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803" w:type="dxa"/>
            <w:vAlign w:val="center"/>
          </w:tcPr>
          <w:p w14:paraId="403C20D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039" w:type="dxa"/>
            <w:vAlign w:val="center"/>
          </w:tcPr>
          <w:p w14:paraId="3FC83B5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14:paraId="22CA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31" w:type="dxa"/>
            <w:vAlign w:val="center"/>
          </w:tcPr>
          <w:p w14:paraId="0EB2EFD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870" w:type="dxa"/>
            <w:vAlign w:val="center"/>
          </w:tcPr>
          <w:p w14:paraId="1219717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969" w:type="dxa"/>
            <w:vAlign w:val="center"/>
          </w:tcPr>
          <w:p w14:paraId="192E8844">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777" w:type="dxa"/>
            <w:vAlign w:val="center"/>
          </w:tcPr>
          <w:p w14:paraId="25DA5470">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932" w:type="dxa"/>
            <w:vAlign w:val="center"/>
          </w:tcPr>
          <w:p w14:paraId="2078623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536" w:type="dxa"/>
            <w:vAlign w:val="center"/>
          </w:tcPr>
          <w:p w14:paraId="53CE532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803" w:type="dxa"/>
            <w:vAlign w:val="center"/>
          </w:tcPr>
          <w:p w14:paraId="1260306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039" w:type="dxa"/>
            <w:vAlign w:val="center"/>
          </w:tcPr>
          <w:p w14:paraId="1895096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14:paraId="5467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31" w:type="dxa"/>
            <w:vAlign w:val="center"/>
          </w:tcPr>
          <w:p w14:paraId="1526178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870" w:type="dxa"/>
            <w:vAlign w:val="center"/>
          </w:tcPr>
          <w:p w14:paraId="50A40702">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969" w:type="dxa"/>
            <w:vAlign w:val="center"/>
          </w:tcPr>
          <w:p w14:paraId="24F7235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777" w:type="dxa"/>
            <w:vAlign w:val="center"/>
          </w:tcPr>
          <w:p w14:paraId="1D984B1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932" w:type="dxa"/>
            <w:vAlign w:val="center"/>
          </w:tcPr>
          <w:p w14:paraId="31F0479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536" w:type="dxa"/>
            <w:vAlign w:val="center"/>
          </w:tcPr>
          <w:p w14:paraId="1C598AB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803" w:type="dxa"/>
            <w:vAlign w:val="center"/>
          </w:tcPr>
          <w:p w14:paraId="0010F4F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039" w:type="dxa"/>
            <w:vAlign w:val="center"/>
          </w:tcPr>
          <w:p w14:paraId="39A799E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14:paraId="3012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31" w:type="dxa"/>
            <w:vAlign w:val="center"/>
          </w:tcPr>
          <w:p w14:paraId="1D7B2C62">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870" w:type="dxa"/>
            <w:vAlign w:val="center"/>
          </w:tcPr>
          <w:p w14:paraId="08DD037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969" w:type="dxa"/>
            <w:vAlign w:val="center"/>
          </w:tcPr>
          <w:p w14:paraId="6DA8083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777" w:type="dxa"/>
            <w:vAlign w:val="center"/>
          </w:tcPr>
          <w:p w14:paraId="0BE72B7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932" w:type="dxa"/>
            <w:vAlign w:val="center"/>
          </w:tcPr>
          <w:p w14:paraId="01C1B128">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536" w:type="dxa"/>
            <w:vAlign w:val="center"/>
          </w:tcPr>
          <w:p w14:paraId="7F1C590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803" w:type="dxa"/>
            <w:vAlign w:val="center"/>
          </w:tcPr>
          <w:p w14:paraId="537D425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039" w:type="dxa"/>
            <w:vAlign w:val="center"/>
          </w:tcPr>
          <w:p w14:paraId="3A379C1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14:paraId="5296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31" w:type="dxa"/>
            <w:vAlign w:val="center"/>
          </w:tcPr>
          <w:p w14:paraId="418DFB7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870" w:type="dxa"/>
            <w:vAlign w:val="center"/>
          </w:tcPr>
          <w:p w14:paraId="38F91D58">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969" w:type="dxa"/>
            <w:vAlign w:val="center"/>
          </w:tcPr>
          <w:p w14:paraId="076500A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777" w:type="dxa"/>
            <w:vAlign w:val="center"/>
          </w:tcPr>
          <w:p w14:paraId="69FB5B19">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932" w:type="dxa"/>
            <w:vAlign w:val="center"/>
          </w:tcPr>
          <w:p w14:paraId="6EE0F16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536" w:type="dxa"/>
            <w:vAlign w:val="center"/>
          </w:tcPr>
          <w:p w14:paraId="029F08E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803" w:type="dxa"/>
            <w:vAlign w:val="center"/>
          </w:tcPr>
          <w:p w14:paraId="055A388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039" w:type="dxa"/>
            <w:vAlign w:val="center"/>
          </w:tcPr>
          <w:p w14:paraId="7AFA302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14:paraId="68E5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31" w:type="dxa"/>
            <w:vAlign w:val="center"/>
          </w:tcPr>
          <w:p w14:paraId="5D0780C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870" w:type="dxa"/>
            <w:vAlign w:val="center"/>
          </w:tcPr>
          <w:p w14:paraId="538F8008">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969" w:type="dxa"/>
            <w:vAlign w:val="center"/>
          </w:tcPr>
          <w:p w14:paraId="3ECAA71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777" w:type="dxa"/>
            <w:vAlign w:val="center"/>
          </w:tcPr>
          <w:p w14:paraId="60A0A08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932" w:type="dxa"/>
            <w:vAlign w:val="center"/>
          </w:tcPr>
          <w:p w14:paraId="08EE35D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536" w:type="dxa"/>
            <w:vAlign w:val="center"/>
          </w:tcPr>
          <w:p w14:paraId="51A4458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803" w:type="dxa"/>
            <w:vAlign w:val="center"/>
          </w:tcPr>
          <w:p w14:paraId="216A63F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039" w:type="dxa"/>
            <w:vAlign w:val="center"/>
          </w:tcPr>
          <w:p w14:paraId="71255338">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14:paraId="74E3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31" w:type="dxa"/>
            <w:vAlign w:val="center"/>
          </w:tcPr>
          <w:p w14:paraId="48B4E4C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870" w:type="dxa"/>
            <w:vAlign w:val="center"/>
          </w:tcPr>
          <w:p w14:paraId="5EA66E5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969" w:type="dxa"/>
            <w:vAlign w:val="center"/>
          </w:tcPr>
          <w:p w14:paraId="2080501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777" w:type="dxa"/>
            <w:vAlign w:val="center"/>
          </w:tcPr>
          <w:p w14:paraId="6737B91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932" w:type="dxa"/>
            <w:vAlign w:val="center"/>
          </w:tcPr>
          <w:p w14:paraId="52CA2978">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536" w:type="dxa"/>
            <w:vAlign w:val="center"/>
          </w:tcPr>
          <w:p w14:paraId="3BE1063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803" w:type="dxa"/>
            <w:vAlign w:val="center"/>
          </w:tcPr>
          <w:p w14:paraId="0EF14E54">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039" w:type="dxa"/>
            <w:vAlign w:val="center"/>
          </w:tcPr>
          <w:p w14:paraId="2EE28CB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14:paraId="7E1E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031" w:type="dxa"/>
            <w:vAlign w:val="center"/>
          </w:tcPr>
          <w:p w14:paraId="1B9DE0B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870" w:type="dxa"/>
            <w:vAlign w:val="center"/>
          </w:tcPr>
          <w:p w14:paraId="1C6E431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969" w:type="dxa"/>
            <w:vAlign w:val="center"/>
          </w:tcPr>
          <w:p w14:paraId="2013413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777" w:type="dxa"/>
            <w:vAlign w:val="center"/>
          </w:tcPr>
          <w:p w14:paraId="1ED69CE4">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932" w:type="dxa"/>
            <w:vAlign w:val="center"/>
          </w:tcPr>
          <w:p w14:paraId="729C6A88">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536" w:type="dxa"/>
            <w:vAlign w:val="center"/>
          </w:tcPr>
          <w:p w14:paraId="74D3011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803" w:type="dxa"/>
            <w:vAlign w:val="center"/>
          </w:tcPr>
          <w:p w14:paraId="7FD206E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039" w:type="dxa"/>
            <w:vAlign w:val="center"/>
          </w:tcPr>
          <w:p w14:paraId="5730A0B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bl>
    <w:p w14:paraId="55E3F951">
      <w:pPr>
        <w:pStyle w:val="145"/>
        <w:spacing w:before="240" w:line="480" w:lineRule="exact"/>
        <w:ind w:firstLine="5544" w:firstLineChars="2200"/>
        <w:rPr>
          <w:rFonts w:hint="eastAsia" w:ascii="仿宋" w:hAnsi="仿宋" w:eastAsia="仿宋" w:cs="仿宋"/>
          <w:bCs w:val="0"/>
          <w:color w:val="auto"/>
          <w:sz w:val="28"/>
          <w:szCs w:val="28"/>
          <w:highlight w:val="none"/>
          <w:u w:val="single"/>
        </w:rPr>
      </w:pP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日</w:t>
      </w:r>
    </w:p>
    <w:p w14:paraId="06776A2B">
      <w:pPr>
        <w:pStyle w:val="49"/>
        <w:rPr>
          <w:rFonts w:hint="eastAsia" w:ascii="仿宋" w:hAnsi="仿宋" w:eastAsia="仿宋" w:cs="仿宋"/>
          <w:color w:val="auto"/>
          <w:highlight w:val="none"/>
        </w:rPr>
      </w:pPr>
    </w:p>
    <w:p w14:paraId="56A8AFF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bookmarkEnd w:id="301"/>
    <w:bookmarkEnd w:id="302"/>
    <w:bookmarkEnd w:id="303"/>
    <w:bookmarkEnd w:id="304"/>
    <w:bookmarkEnd w:id="305"/>
    <w:bookmarkEnd w:id="306"/>
    <w:bookmarkEnd w:id="307"/>
    <w:p w14:paraId="3BC09F61">
      <w:pPr>
        <w:pStyle w:val="3"/>
        <w:pageBreakBefore w:val="0"/>
        <w:kinsoku/>
        <w:overflowPunct/>
        <w:topLinePunct w:val="0"/>
        <w:bidi w:val="0"/>
        <w:snapToGrid/>
        <w:spacing w:line="360" w:lineRule="auto"/>
        <w:ind w:right="480"/>
        <w:rPr>
          <w:rFonts w:hint="eastAsia" w:ascii="仿宋" w:hAnsi="仿宋" w:eastAsia="仿宋" w:cs="仿宋"/>
          <w:color w:val="auto"/>
          <w:sz w:val="28"/>
          <w:szCs w:val="28"/>
          <w:highlight w:val="none"/>
        </w:rPr>
      </w:pPr>
      <w:bookmarkStart w:id="310" w:name="_Toc3028"/>
      <w:bookmarkStart w:id="311" w:name="_Toc14828"/>
      <w:bookmarkStart w:id="312" w:name="_Toc1565"/>
      <w:bookmarkStart w:id="313" w:name="_Toc323129573"/>
      <w:bookmarkStart w:id="314" w:name="_Toc325620734"/>
      <w:bookmarkStart w:id="315" w:name="_Toc356491348"/>
      <w:bookmarkStart w:id="316" w:name="_Toc7098148"/>
      <w:bookmarkStart w:id="317" w:name="_Toc323130140"/>
      <w:bookmarkStart w:id="318" w:name="_Toc525996982"/>
      <w:bookmarkStart w:id="319" w:name="_Toc6566"/>
      <w:bookmarkStart w:id="320" w:name="_Toc356490398"/>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九</w:t>
      </w:r>
      <w:r>
        <w:rPr>
          <w:rFonts w:hint="eastAsia" w:ascii="仿宋" w:hAnsi="仿宋" w:eastAsia="仿宋" w:cs="仿宋"/>
          <w:color w:val="auto"/>
          <w:sz w:val="28"/>
          <w:szCs w:val="28"/>
          <w:highlight w:val="none"/>
        </w:rPr>
        <w:t>：</w:t>
      </w:r>
      <w:bookmarkEnd w:id="310"/>
      <w:bookmarkEnd w:id="311"/>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lang w:val="en-US" w:eastAsia="zh-CN"/>
        </w:rPr>
        <w:t>22</w:t>
      </w:r>
      <w:r>
        <w:rPr>
          <w:rFonts w:hint="eastAsia" w:ascii="仿宋" w:hAnsi="仿宋" w:eastAsia="仿宋" w:cs="仿宋"/>
          <w:color w:val="auto"/>
          <w:sz w:val="28"/>
          <w:szCs w:val="28"/>
          <w:highlight w:val="none"/>
        </w:rPr>
        <w:t>年</w:t>
      </w:r>
      <w:r>
        <w:rPr>
          <w:rFonts w:hint="eastAsia" w:ascii="仿宋" w:hAnsi="仿宋" w:eastAsia="仿宋" w:cs="仿宋"/>
          <w:bCs/>
          <w:color w:val="auto"/>
          <w:sz w:val="28"/>
          <w:szCs w:val="28"/>
          <w:highlight w:val="none"/>
          <w:u w:val="none"/>
          <w:lang w:val="en-US" w:eastAsia="zh-CN"/>
        </w:rPr>
        <w:t>3月4日</w:t>
      </w:r>
      <w:r>
        <w:rPr>
          <w:rFonts w:hint="eastAsia" w:ascii="仿宋" w:hAnsi="仿宋" w:eastAsia="仿宋" w:cs="仿宋"/>
          <w:color w:val="auto"/>
          <w:sz w:val="28"/>
          <w:szCs w:val="28"/>
          <w:highlight w:val="none"/>
        </w:rPr>
        <w:t>至今以来签订的同类业绩一览表</w:t>
      </w:r>
      <w:bookmarkEnd w:id="312"/>
    </w:p>
    <w:p w14:paraId="45D328C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lang w:val="en-US" w:eastAsia="zh-CN"/>
        </w:rPr>
        <w:t>22</w:t>
      </w:r>
      <w:r>
        <w:rPr>
          <w:rFonts w:hint="eastAsia" w:ascii="仿宋" w:hAnsi="仿宋" w:eastAsia="仿宋" w:cs="仿宋"/>
          <w:color w:val="auto"/>
          <w:sz w:val="28"/>
          <w:szCs w:val="28"/>
          <w:highlight w:val="none"/>
        </w:rPr>
        <w:t>年</w:t>
      </w:r>
      <w:r>
        <w:rPr>
          <w:rFonts w:hint="eastAsia" w:ascii="仿宋" w:hAnsi="仿宋" w:eastAsia="仿宋" w:cs="仿宋"/>
          <w:bCs/>
          <w:color w:val="auto"/>
          <w:sz w:val="28"/>
          <w:szCs w:val="28"/>
          <w:highlight w:val="none"/>
          <w:u w:val="none"/>
          <w:lang w:val="en-US" w:eastAsia="zh-CN"/>
        </w:rPr>
        <w:t>3月4日</w:t>
      </w:r>
      <w:r>
        <w:rPr>
          <w:rFonts w:hint="eastAsia" w:ascii="仿宋" w:hAnsi="仿宋" w:eastAsia="仿宋" w:cs="仿宋"/>
          <w:color w:val="auto"/>
          <w:sz w:val="28"/>
          <w:szCs w:val="28"/>
          <w:highlight w:val="none"/>
        </w:rPr>
        <w:t>至今以来签订的同类业绩一览表</w:t>
      </w:r>
    </w:p>
    <w:p w14:paraId="1FDEBDB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u w:val="single"/>
        </w:rPr>
      </w:pPr>
      <w:r>
        <w:rPr>
          <w:rFonts w:hint="eastAsia" w:ascii="仿宋" w:hAnsi="仿宋" w:eastAsia="仿宋" w:cs="仿宋"/>
          <w:bCs w:val="0"/>
          <w:color w:val="auto"/>
          <w:sz w:val="28"/>
          <w:szCs w:val="28"/>
          <w:highlight w:val="none"/>
        </w:rPr>
        <w:t>项目编号：</w:t>
      </w:r>
    </w:p>
    <w:p w14:paraId="269D50A1">
      <w:pPr>
        <w:pStyle w:val="17"/>
        <w:pageBreakBefore w:val="0"/>
        <w:kinsoku/>
        <w:overflowPunct/>
        <w:topLinePunct w:val="0"/>
        <w:bidi w:val="0"/>
        <w:snapToGrid/>
        <w:spacing w:line="360" w:lineRule="auto"/>
        <w:ind w:firstLine="0" w:firstLineChars="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投标人名称：（公章）  法定代表人或授权代理人签字： </w:t>
      </w:r>
    </w:p>
    <w:p w14:paraId="6C682FAF">
      <w:pPr>
        <w:pStyle w:val="17"/>
        <w:pageBreakBefore w:val="0"/>
        <w:kinsoku/>
        <w:overflowPunct/>
        <w:topLinePunct w:val="0"/>
        <w:bidi w:val="0"/>
        <w:snapToGrid/>
        <w:spacing w:line="360" w:lineRule="auto"/>
        <w:ind w:firstLine="0" w:firstLineChars="0"/>
        <w:rPr>
          <w:rFonts w:hint="eastAsia" w:ascii="仿宋" w:hAnsi="仿宋" w:eastAsia="仿宋" w:cs="仿宋"/>
          <w:bCs/>
          <w:color w:val="auto"/>
          <w:sz w:val="28"/>
          <w:szCs w:val="28"/>
          <w:highlight w:val="none"/>
          <w:u w:val="single"/>
        </w:rPr>
      </w:pPr>
    </w:p>
    <w:tbl>
      <w:tblPr>
        <w:tblStyle w:val="39"/>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056"/>
        <w:gridCol w:w="1118"/>
        <w:gridCol w:w="1179"/>
        <w:gridCol w:w="1396"/>
        <w:gridCol w:w="1405"/>
        <w:gridCol w:w="1134"/>
        <w:gridCol w:w="1560"/>
      </w:tblGrid>
      <w:tr w14:paraId="33F1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0" w:hRule="atLeast"/>
          <w:jc w:val="center"/>
        </w:trPr>
        <w:tc>
          <w:tcPr>
            <w:tcW w:w="742" w:type="dxa"/>
            <w:vAlign w:val="center"/>
          </w:tcPr>
          <w:p w14:paraId="63CD5255">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056" w:type="dxa"/>
            <w:vAlign w:val="center"/>
          </w:tcPr>
          <w:p w14:paraId="38C2416B">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1118" w:type="dxa"/>
            <w:vAlign w:val="center"/>
          </w:tcPr>
          <w:p w14:paraId="4CFEA40A">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合同金额</w:t>
            </w:r>
          </w:p>
        </w:tc>
        <w:tc>
          <w:tcPr>
            <w:tcW w:w="1179" w:type="dxa"/>
            <w:vAlign w:val="center"/>
          </w:tcPr>
          <w:p w14:paraId="61964EE5">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服务名称</w:t>
            </w:r>
          </w:p>
        </w:tc>
        <w:tc>
          <w:tcPr>
            <w:tcW w:w="1396" w:type="dxa"/>
            <w:vAlign w:val="center"/>
          </w:tcPr>
          <w:p w14:paraId="242B5080">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合同签订日期</w:t>
            </w:r>
          </w:p>
        </w:tc>
        <w:tc>
          <w:tcPr>
            <w:tcW w:w="1405" w:type="dxa"/>
            <w:vAlign w:val="center"/>
          </w:tcPr>
          <w:p w14:paraId="0DDE840D">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项目单位</w:t>
            </w:r>
          </w:p>
        </w:tc>
        <w:tc>
          <w:tcPr>
            <w:tcW w:w="1134" w:type="dxa"/>
            <w:vAlign w:val="center"/>
          </w:tcPr>
          <w:p w14:paraId="4A74A633">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p>
        </w:tc>
        <w:tc>
          <w:tcPr>
            <w:tcW w:w="1560" w:type="dxa"/>
            <w:vAlign w:val="center"/>
          </w:tcPr>
          <w:p w14:paraId="4F8FBEBF">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tc>
      </w:tr>
      <w:tr w14:paraId="2D6D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14:paraId="1DC2D68E">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14:paraId="75A89365">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14:paraId="2E774BC6">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14:paraId="547E97CE">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14:paraId="375418F2">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14:paraId="75832932">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14:paraId="3B0A42F7">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14:paraId="7F08B84F">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14:paraId="3E8A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14:paraId="2D15BD8D">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14:paraId="76B3233D">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14:paraId="6603DCC7">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14:paraId="06603F1C">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14:paraId="701081A6">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14:paraId="3BAFFEB0">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14:paraId="3A08CBBF">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14:paraId="0AAD7AAB">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14:paraId="612A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14:paraId="48EFF37D">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14:paraId="7AC65F8D">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14:paraId="3A6C7805">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14:paraId="4E30368D">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14:paraId="6583C0A8">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14:paraId="07BD0A71">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14:paraId="21061979">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14:paraId="0BDC5C89">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14:paraId="14DA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14:paraId="74C9DC79">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14:paraId="7124F0AD">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14:paraId="48813EDC">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14:paraId="5268B340">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14:paraId="5640ABCA">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14:paraId="03C79B7E">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14:paraId="2479CDE2">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14:paraId="30B10979">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14:paraId="7DBE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14:paraId="791B4B8C">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14:paraId="2C742BBC">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14:paraId="01EECC4E">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14:paraId="5D39B388">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14:paraId="2FE924D7">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14:paraId="78AA2994">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14:paraId="239F6B98">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14:paraId="548B68FF">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14:paraId="6CCA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14:paraId="15398B86">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14:paraId="1FFEA658">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14:paraId="59588E6C">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14:paraId="7A915529">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14:paraId="6E5393C7">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14:paraId="44D0DF2E">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14:paraId="67C00EE0">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14:paraId="1C72BD43">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14:paraId="05DF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14:paraId="2FA336DD">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14:paraId="750E9A53">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14:paraId="359F085C">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14:paraId="5F199424">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14:paraId="62191698">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14:paraId="2F9FAA96">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14:paraId="72CA49C7">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14:paraId="5CA9CB2B">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14:paraId="2B573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14:paraId="5C632BA0">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14:paraId="57F17866">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14:paraId="2ED3B6AC">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14:paraId="5F206C12">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14:paraId="24E6E178">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14:paraId="484CD2CA">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14:paraId="2CB640F0">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14:paraId="3C8D206B">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14:paraId="3C9A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14:paraId="511A2522">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14:paraId="4C3E32EB">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14:paraId="76C5B470">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14:paraId="77217C83">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14:paraId="3346F3D3">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14:paraId="3061409A">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14:paraId="37636FBF">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14:paraId="53F7CD15">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14:paraId="2CD6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14:paraId="54455285">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14:paraId="08CB8FF4">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14:paraId="07F21817">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14:paraId="216BE6B8">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14:paraId="1A60E459">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14:paraId="5EEF36A5">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14:paraId="4917A8D7">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14:paraId="12D66884">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14:paraId="2C78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14:paraId="6BECFCA4">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14:paraId="2F2B3E0A">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14:paraId="2B700D59">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14:paraId="0ADF7204">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14:paraId="31B848B3">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14:paraId="4E2942C5">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14:paraId="6565F07F">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14:paraId="1929678C">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14:paraId="7F0EE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14:paraId="620FB476">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14:paraId="2B7C4545">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14:paraId="1F02A07A">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14:paraId="700FCB04">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14:paraId="5B4D64F5">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14:paraId="309351C9">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14:paraId="60804B10">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14:paraId="3C7E2007">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bl>
    <w:p w14:paraId="3EED99E3">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说明：以上合同案例须真实有效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后附</w:t>
      </w:r>
      <w:r>
        <w:rPr>
          <w:rFonts w:hint="eastAsia" w:ascii="仿宋" w:hAnsi="仿宋" w:eastAsia="仿宋" w:cs="仿宋"/>
          <w:color w:val="auto"/>
          <w:sz w:val="28"/>
          <w:szCs w:val="28"/>
          <w:highlight w:val="none"/>
        </w:rPr>
        <w:t>完整合同复印件。</w:t>
      </w:r>
    </w:p>
    <w:p w14:paraId="7D6500A2">
      <w:pPr>
        <w:pageBreakBefore w:val="0"/>
        <w:kinsoku/>
        <w:overflowPunct/>
        <w:topLinePunct w:val="0"/>
        <w:bidi w:val="0"/>
        <w:snapToGrid/>
        <w:spacing w:line="360" w:lineRule="auto"/>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0C2B3C50">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bookmarkEnd w:id="313"/>
    <w:bookmarkEnd w:id="314"/>
    <w:bookmarkEnd w:id="315"/>
    <w:bookmarkEnd w:id="316"/>
    <w:bookmarkEnd w:id="317"/>
    <w:bookmarkEnd w:id="318"/>
    <w:bookmarkEnd w:id="319"/>
    <w:bookmarkEnd w:id="320"/>
    <w:p w14:paraId="2FBADBA0">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lang w:val="en-US" w:eastAsia="zh-CN"/>
        </w:rPr>
      </w:pPr>
      <w:bookmarkStart w:id="321" w:name="_Toc16991"/>
      <w:bookmarkStart w:id="322" w:name="_Toc7195"/>
      <w:bookmarkStart w:id="323" w:name="_Toc4839"/>
      <w:bookmarkStart w:id="324" w:name="_Toc323129574"/>
      <w:bookmarkStart w:id="325" w:name="_Toc481499180"/>
      <w:bookmarkStart w:id="326" w:name="_Toc501386372"/>
      <w:bookmarkStart w:id="327" w:name="_Toc323130141"/>
      <w:bookmarkStart w:id="328" w:name="_Toc325620735"/>
      <w:bookmarkStart w:id="329" w:name="_Toc356491349"/>
      <w:bookmarkStart w:id="330" w:name="_Toc356490399"/>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十</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政策功能体现</w:t>
      </w:r>
      <w:bookmarkEnd w:id="321"/>
      <w:bookmarkEnd w:id="322"/>
      <w:bookmarkEnd w:id="323"/>
    </w:p>
    <w:p w14:paraId="2F644EF1">
      <w:pPr>
        <w:pageBreakBefore w:val="0"/>
        <w:kinsoku/>
        <w:overflowPunct/>
        <w:topLinePunct w:val="0"/>
        <w:bidi w:val="0"/>
        <w:snapToGrid/>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（一）中小企业声明函</w:t>
      </w:r>
    </w:p>
    <w:p w14:paraId="1CB0849A">
      <w:pPr>
        <w:kinsoku w:val="0"/>
        <w:overflowPunct w:val="0"/>
        <w:autoSpaceDE w:val="0"/>
        <w:autoSpaceDN w:val="0"/>
        <w:adjustRightInd w:val="0"/>
        <w:spacing w:line="360" w:lineRule="auto"/>
        <w:ind w:left="120" w:right="116" w:firstLine="64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 企业发展管理办法》（财库﹝2020﹞46  号）的规定，本公司（联合体）参加</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（单位名称）</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（项目名称）</w:t>
      </w:r>
      <w:r>
        <w:rPr>
          <w:rFonts w:hint="eastAsia" w:ascii="仿宋" w:hAnsi="仿宋" w:eastAsia="仿宋" w:cs="仿宋"/>
          <w:color w:val="auto"/>
          <w:kern w:val="0"/>
          <w:sz w:val="24"/>
          <w:szCs w:val="24"/>
          <w:highlight w:val="none"/>
        </w:rPr>
        <w:t>采购活动，服务全部由符合政策要求的中小企业承接。相关企业（含联合 体中的中小企业、签订分包意向协议的中小企业）的具体情况如下：</w:t>
      </w:r>
    </w:p>
    <w:p w14:paraId="7E43370D">
      <w:pPr>
        <w:tabs>
          <w:tab w:val="left" w:pos="1706"/>
          <w:tab w:val="left" w:pos="4185"/>
          <w:tab w:val="left" w:pos="7193"/>
        </w:tabs>
        <w:kinsoku w:val="0"/>
        <w:overflowPunct w:val="0"/>
        <w:autoSpaceDE w:val="0"/>
        <w:autoSpaceDN w:val="0"/>
        <w:adjustRightInd w:val="0"/>
        <w:spacing w:before="11" w:line="360" w:lineRule="auto"/>
        <w:ind w:left="105" w:right="116" w:firstLine="65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1.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lang w:eastAsia="zh-CN"/>
        </w:rPr>
        <w:t>招标文件</w:t>
      </w:r>
      <w:r>
        <w:rPr>
          <w:rFonts w:hint="eastAsia" w:ascii="仿宋" w:hAnsi="仿宋" w:eastAsia="仿宋" w:cs="仿宋"/>
          <w:color w:val="auto"/>
          <w:kern w:val="0"/>
          <w:sz w:val="24"/>
          <w:szCs w:val="24"/>
          <w:highlight w:val="none"/>
          <w:u w:val="single"/>
        </w:rPr>
        <w:t>中明确的所属行业）</w:t>
      </w:r>
      <w:r>
        <w:rPr>
          <w:rFonts w:hint="eastAsia" w:ascii="仿宋" w:hAnsi="仿宋" w:eastAsia="仿宋" w:cs="仿宋"/>
          <w:color w:val="auto"/>
          <w:kern w:val="0"/>
          <w:sz w:val="24"/>
          <w:szCs w:val="24"/>
          <w:highlight w:val="none"/>
        </w:rPr>
        <w:t>； 承建（承接）企业为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人，营业 收入为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（中型企业、</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u w:val="single"/>
        </w:rPr>
        <w:t>小型企业、微型企业）</w:t>
      </w:r>
      <w:r>
        <w:rPr>
          <w:rFonts w:hint="eastAsia" w:ascii="仿宋" w:hAnsi="仿宋" w:eastAsia="仿宋" w:cs="仿宋"/>
          <w:color w:val="auto"/>
          <w:kern w:val="0"/>
          <w:sz w:val="24"/>
          <w:szCs w:val="24"/>
          <w:highlight w:val="none"/>
        </w:rPr>
        <w:t>；</w:t>
      </w:r>
    </w:p>
    <w:p w14:paraId="781BD554">
      <w:pPr>
        <w:tabs>
          <w:tab w:val="left" w:pos="1706"/>
          <w:tab w:val="left" w:pos="4905"/>
          <w:tab w:val="left" w:pos="7193"/>
        </w:tabs>
        <w:kinsoku w:val="0"/>
        <w:overflowPunct w:val="0"/>
        <w:autoSpaceDE w:val="0"/>
        <w:autoSpaceDN w:val="0"/>
        <w:adjustRightInd w:val="0"/>
        <w:spacing w:before="21" w:line="360" w:lineRule="auto"/>
        <w:ind w:left="105" w:right="138" w:firstLine="65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2.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lang w:eastAsia="zh-CN"/>
        </w:rPr>
        <w:t>招标文件</w:t>
      </w:r>
      <w:r>
        <w:rPr>
          <w:rFonts w:hint="eastAsia" w:ascii="仿宋" w:hAnsi="仿宋" w:eastAsia="仿宋" w:cs="仿宋"/>
          <w:color w:val="auto"/>
          <w:kern w:val="0"/>
          <w:sz w:val="24"/>
          <w:szCs w:val="24"/>
          <w:highlight w:val="none"/>
          <w:u w:val="single"/>
        </w:rPr>
        <w:t>中明确的所属行业）</w:t>
      </w:r>
      <w:r>
        <w:rPr>
          <w:rFonts w:hint="eastAsia" w:ascii="仿宋" w:hAnsi="仿宋" w:eastAsia="仿宋" w:cs="仿宋"/>
          <w:color w:val="auto"/>
          <w:kern w:val="0"/>
          <w:sz w:val="24"/>
          <w:szCs w:val="24"/>
          <w:highlight w:val="none"/>
        </w:rPr>
        <w:t>； 承建（承接）企业为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人，营业 收入为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（中型企业、</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u w:val="single"/>
        </w:rPr>
        <w:t>小型企业、微型企业）</w:t>
      </w:r>
      <w:r>
        <w:rPr>
          <w:rFonts w:hint="eastAsia" w:ascii="仿宋" w:hAnsi="仿宋" w:eastAsia="仿宋" w:cs="仿宋"/>
          <w:color w:val="auto"/>
          <w:kern w:val="0"/>
          <w:sz w:val="24"/>
          <w:szCs w:val="24"/>
          <w:highlight w:val="none"/>
        </w:rPr>
        <w:t>；</w:t>
      </w:r>
    </w:p>
    <w:p w14:paraId="2DBFF61C">
      <w:pPr>
        <w:tabs>
          <w:tab w:val="left" w:pos="1706"/>
          <w:tab w:val="left" w:pos="4185"/>
          <w:tab w:val="left" w:pos="7193"/>
        </w:tabs>
        <w:kinsoku w:val="0"/>
        <w:overflowPunct w:val="0"/>
        <w:autoSpaceDE w:val="0"/>
        <w:autoSpaceDN w:val="0"/>
        <w:adjustRightInd w:val="0"/>
        <w:spacing w:before="11" w:line="360" w:lineRule="auto"/>
        <w:ind w:left="105" w:right="116" w:firstLine="65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以上企业，不属于大企业的分支机构，不存在控股股东为大企业的情形，也不存在与大企业的负责人为同一人的情形。</w:t>
      </w:r>
    </w:p>
    <w:p w14:paraId="1BB4975D">
      <w:pPr>
        <w:pStyle w:val="164"/>
        <w:snapToGrid w:val="0"/>
        <w:spacing w:after="200" w:line="360" w:lineRule="auto"/>
        <w:ind w:firstLine="567"/>
        <w:rPr>
          <w:rStyle w:val="141"/>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 法承担相应责任。</w:t>
      </w:r>
    </w:p>
    <w:p w14:paraId="6745D983">
      <w:pPr>
        <w:pStyle w:val="164"/>
        <w:snapToGrid w:val="0"/>
        <w:spacing w:after="200" w:line="360" w:lineRule="auto"/>
        <w:ind w:firstLine="567"/>
        <w:rPr>
          <w:rStyle w:val="141"/>
          <w:rFonts w:hint="eastAsia" w:ascii="仿宋" w:hAnsi="仿宋" w:eastAsia="仿宋" w:cs="仿宋"/>
          <w:color w:val="auto"/>
          <w:kern w:val="0"/>
          <w:sz w:val="24"/>
          <w:szCs w:val="24"/>
          <w:highlight w:val="none"/>
        </w:rPr>
      </w:pPr>
      <w:r>
        <w:rPr>
          <w:rStyle w:val="141"/>
          <w:rFonts w:hint="eastAsia" w:ascii="仿宋" w:hAnsi="仿宋" w:eastAsia="仿宋" w:cs="仿宋"/>
          <w:color w:val="auto"/>
          <w:kern w:val="0"/>
          <w:sz w:val="24"/>
          <w:szCs w:val="24"/>
          <w:highlight w:val="none"/>
        </w:rPr>
        <w:t xml:space="preserve">企业名称： </w:t>
      </w:r>
    </w:p>
    <w:p w14:paraId="2A509CB2">
      <w:pPr>
        <w:pStyle w:val="164"/>
        <w:snapToGrid w:val="0"/>
        <w:spacing w:after="200" w:line="240" w:lineRule="atLeast"/>
        <w:ind w:firstLine="567"/>
        <w:rPr>
          <w:rStyle w:val="141"/>
          <w:rFonts w:hint="eastAsia" w:ascii="仿宋" w:hAnsi="仿宋" w:eastAsia="仿宋" w:cs="仿宋"/>
          <w:color w:val="auto"/>
          <w:kern w:val="0"/>
          <w:sz w:val="24"/>
          <w:szCs w:val="24"/>
          <w:highlight w:val="none"/>
        </w:rPr>
      </w:pPr>
      <w:r>
        <w:rPr>
          <w:rStyle w:val="141"/>
          <w:rFonts w:hint="eastAsia" w:ascii="仿宋" w:hAnsi="仿宋" w:eastAsia="仿宋" w:cs="仿宋"/>
          <w:color w:val="auto"/>
          <w:kern w:val="0"/>
          <w:sz w:val="24"/>
          <w:szCs w:val="24"/>
          <w:highlight w:val="none"/>
        </w:rPr>
        <w:t>日 期：</w:t>
      </w:r>
    </w:p>
    <w:p w14:paraId="7C8C7448">
      <w:pPr>
        <w:pStyle w:val="164"/>
        <w:snapToGrid w:val="0"/>
        <w:spacing w:after="200" w:line="240" w:lineRule="atLeast"/>
        <w:ind w:firstLine="567"/>
        <w:rPr>
          <w:rStyle w:val="141"/>
          <w:rFonts w:hint="eastAsia" w:ascii="仿宋" w:hAnsi="仿宋" w:eastAsia="仿宋" w:cs="仿宋"/>
          <w:color w:val="auto"/>
          <w:kern w:val="0"/>
          <w:sz w:val="24"/>
          <w:szCs w:val="24"/>
          <w:highlight w:val="none"/>
        </w:rPr>
      </w:pPr>
      <w:r>
        <w:rPr>
          <w:rStyle w:val="141"/>
          <w:rFonts w:hint="eastAsia" w:ascii="仿宋" w:hAnsi="仿宋" w:eastAsia="仿宋" w:cs="仿宋"/>
          <w:color w:val="auto"/>
          <w:kern w:val="0"/>
          <w:sz w:val="24"/>
          <w:szCs w:val="24"/>
          <w:highlight w:val="none"/>
        </w:rPr>
        <w:t xml:space="preserve">                         </w:t>
      </w:r>
    </w:p>
    <w:p w14:paraId="66C74C3F">
      <w:pPr>
        <w:pStyle w:val="139"/>
        <w:spacing w:after="200" w:line="360" w:lineRule="auto"/>
        <w:jc w:val="left"/>
        <w:rPr>
          <w:rFonts w:hint="eastAsia" w:ascii="仿宋" w:hAnsi="仿宋" w:eastAsia="仿宋" w:cs="仿宋"/>
          <w:color w:val="auto"/>
          <w:kern w:val="0"/>
          <w:sz w:val="24"/>
          <w:szCs w:val="24"/>
          <w:highlight w:val="none"/>
        </w:rPr>
      </w:pPr>
      <w:r>
        <w:rPr>
          <w:rStyle w:val="141"/>
          <w:rFonts w:hint="eastAsia" w:ascii="仿宋" w:hAnsi="仿宋" w:eastAsia="仿宋" w:cs="仿宋"/>
          <w:color w:val="auto"/>
          <w:kern w:val="0"/>
          <w:sz w:val="24"/>
          <w:szCs w:val="24"/>
          <w:highlight w:val="none"/>
        </w:rPr>
        <w:t>　　1从业人员、营业收入、资产总额填报上一年度数据，无上一年度数据的新成立企业可不填报。</w:t>
      </w:r>
    </w:p>
    <w:p w14:paraId="36E3742F">
      <w:pPr>
        <w:pStyle w:val="139"/>
        <w:pageBreakBefore w:val="0"/>
        <w:kinsoku/>
        <w:overflowPunct/>
        <w:topLinePunct w:val="0"/>
        <w:bidi w:val="0"/>
        <w:snapToGrid/>
        <w:spacing w:after="200" w:line="360" w:lineRule="auto"/>
        <w:jc w:val="center"/>
        <w:rPr>
          <w:rFonts w:hint="eastAsia" w:ascii="仿宋" w:hAnsi="仿宋" w:eastAsia="仿宋" w:cs="仿宋"/>
          <w:b/>
          <w:color w:val="auto"/>
          <w:kern w:val="0"/>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color w:val="auto"/>
          <w:kern w:val="0"/>
          <w:sz w:val="28"/>
          <w:szCs w:val="28"/>
          <w:highlight w:val="none"/>
        </w:rPr>
        <w:t>（二）  残疾人福利性单位声明函</w:t>
      </w:r>
    </w:p>
    <w:p w14:paraId="1CB15744">
      <w:pPr>
        <w:pStyle w:val="139"/>
        <w:pageBreakBefore w:val="0"/>
        <w:kinsoku/>
        <w:overflowPunct/>
        <w:topLinePunct w:val="0"/>
        <w:bidi w:val="0"/>
        <w:snapToGrid/>
        <w:spacing w:after="200" w:line="360" w:lineRule="auto"/>
        <w:ind w:firstLine="567"/>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02F4A829">
      <w:pPr>
        <w:pStyle w:val="139"/>
        <w:pageBreakBefore w:val="0"/>
        <w:kinsoku/>
        <w:overflowPunct/>
        <w:topLinePunct w:val="0"/>
        <w:bidi w:val="0"/>
        <w:snapToGrid/>
        <w:spacing w:after="200" w:line="360" w:lineRule="auto"/>
        <w:ind w:left="1260" w:leftChars="257" w:hanging="54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本单位对上述声明的真实性负责。如有虚假，将依法承担相应责任。</w:t>
      </w:r>
    </w:p>
    <w:p w14:paraId="03891DC9">
      <w:pPr>
        <w:pStyle w:val="139"/>
        <w:pageBreakBefore w:val="0"/>
        <w:kinsoku/>
        <w:overflowPunct/>
        <w:topLinePunct w:val="0"/>
        <w:bidi w:val="0"/>
        <w:snapToGrid/>
        <w:spacing w:after="200" w:line="360" w:lineRule="auto"/>
        <w:ind w:left="1260" w:leftChars="257" w:hanging="540"/>
        <w:rPr>
          <w:rFonts w:hint="eastAsia" w:ascii="仿宋" w:hAnsi="仿宋" w:eastAsia="仿宋" w:cs="仿宋"/>
          <w:color w:val="auto"/>
          <w:kern w:val="0"/>
          <w:sz w:val="28"/>
          <w:szCs w:val="28"/>
          <w:highlight w:val="none"/>
        </w:rPr>
      </w:pPr>
    </w:p>
    <w:p w14:paraId="14390951">
      <w:pPr>
        <w:pageBreakBefore w:val="0"/>
        <w:kinsoku/>
        <w:overflowPunct/>
        <w:topLinePunct w:val="0"/>
        <w:bidi w:val="0"/>
        <w:snapToGrid/>
        <w:spacing w:line="360" w:lineRule="auto"/>
        <w:ind w:right="72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（三）省级以上监狱管理局、戒毒管理局（含新疆生产建设兵团） 出具的属于监狱企业的证明文件复印件</w:t>
      </w:r>
    </w:p>
    <w:p w14:paraId="39F414FC">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bookmarkEnd w:id="324"/>
    <w:bookmarkEnd w:id="325"/>
    <w:bookmarkEnd w:id="326"/>
    <w:bookmarkEnd w:id="327"/>
    <w:p w14:paraId="73BF3AA5">
      <w:pPr>
        <w:pStyle w:val="3"/>
        <w:pageBreakBefore w:val="0"/>
        <w:kinsoku/>
        <w:overflowPunct/>
        <w:topLinePunct w:val="0"/>
        <w:bidi w:val="0"/>
        <w:snapToGrid/>
        <w:spacing w:line="360" w:lineRule="auto"/>
        <w:ind w:right="480"/>
        <w:rPr>
          <w:rFonts w:hint="eastAsia" w:ascii="仿宋" w:hAnsi="仿宋" w:eastAsia="仿宋" w:cs="仿宋"/>
          <w:color w:val="auto"/>
          <w:sz w:val="28"/>
          <w:szCs w:val="28"/>
          <w:highlight w:val="none"/>
        </w:rPr>
      </w:pPr>
      <w:bookmarkStart w:id="331" w:name="_Toc28370"/>
      <w:bookmarkStart w:id="332" w:name="_Toc15273"/>
      <w:bookmarkStart w:id="333" w:name="_Toc3149"/>
      <w:r>
        <w:rPr>
          <w:rFonts w:hint="eastAsia" w:ascii="仿宋" w:hAnsi="仿宋" w:eastAsia="仿宋" w:cs="仿宋"/>
          <w:color w:val="auto"/>
          <w:sz w:val="28"/>
          <w:szCs w:val="28"/>
          <w:highlight w:val="none"/>
          <w:lang w:val="en-US" w:eastAsia="zh-CN"/>
        </w:rPr>
        <w:t>附件十一：</w:t>
      </w:r>
      <w:r>
        <w:rPr>
          <w:rFonts w:hint="eastAsia" w:ascii="仿宋" w:hAnsi="仿宋" w:eastAsia="仿宋" w:cs="仿宋"/>
          <w:color w:val="auto"/>
          <w:sz w:val="28"/>
          <w:szCs w:val="28"/>
          <w:highlight w:val="none"/>
        </w:rPr>
        <w:t>封面格</w:t>
      </w:r>
      <w:bookmarkEnd w:id="328"/>
      <w:r>
        <w:rPr>
          <w:rFonts w:hint="eastAsia" w:ascii="仿宋" w:hAnsi="仿宋" w:eastAsia="仿宋" w:cs="仿宋"/>
          <w:color w:val="auto"/>
          <w:sz w:val="28"/>
          <w:szCs w:val="28"/>
          <w:highlight w:val="none"/>
        </w:rPr>
        <w:t>式</w:t>
      </w:r>
      <w:bookmarkEnd w:id="329"/>
      <w:bookmarkEnd w:id="330"/>
      <w:bookmarkEnd w:id="331"/>
      <w:bookmarkEnd w:id="332"/>
      <w:bookmarkEnd w:id="333"/>
    </w:p>
    <w:tbl>
      <w:tblPr>
        <w:tblStyle w:val="39"/>
        <w:tblpPr w:leftFromText="180" w:rightFromText="180" w:vertAnchor="text" w:horzAnchor="margin" w:tblpXSpec="center" w:tblpY="70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4626"/>
      </w:tblGrid>
      <w:tr w14:paraId="56EE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jc w:val="center"/>
        </w:trPr>
        <w:tc>
          <w:tcPr>
            <w:tcW w:w="4151" w:type="dxa"/>
          </w:tcPr>
          <w:p w14:paraId="362B7A2E">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w:t>
            </w:r>
          </w:p>
          <w:p w14:paraId="7AF9B6E8">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（正本）</w:t>
            </w:r>
          </w:p>
          <w:p w14:paraId="2A42F234">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项目编号： </w:t>
            </w:r>
          </w:p>
          <w:p w14:paraId="15B054A0">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14:paraId="684109BB">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投标人名称（公章）：</w:t>
            </w:r>
          </w:p>
          <w:p w14:paraId="1EFF2A18">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p w14:paraId="2C76C3D5">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p>
          <w:p w14:paraId="7C4D243B">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w:t>
            </w:r>
          </w:p>
        </w:tc>
        <w:tc>
          <w:tcPr>
            <w:tcW w:w="4626" w:type="dxa"/>
          </w:tcPr>
          <w:p w14:paraId="00B495FC">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w:t>
            </w:r>
          </w:p>
          <w:p w14:paraId="1299E9C0">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（副本）</w:t>
            </w:r>
          </w:p>
          <w:p w14:paraId="64DB9B6D">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p w14:paraId="160841C7">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14:paraId="2AA5FE88">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投标人名称（公章）：</w:t>
            </w:r>
          </w:p>
          <w:p w14:paraId="71567153">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p w14:paraId="6029CCA4">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p>
          <w:p w14:paraId="27562943">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w:t>
            </w:r>
          </w:p>
        </w:tc>
      </w:tr>
    </w:tbl>
    <w:p w14:paraId="6E41E6EC">
      <w:pPr>
        <w:pageBreakBefore w:val="0"/>
        <w:kinsoku/>
        <w:overflowPunct/>
        <w:topLinePunct w:val="0"/>
        <w:bidi w:val="0"/>
        <w:snapToGrid/>
        <w:spacing w:line="360" w:lineRule="auto"/>
        <w:rPr>
          <w:rFonts w:hint="eastAsia" w:ascii="仿宋" w:hAnsi="仿宋" w:eastAsia="仿宋" w:cs="仿宋"/>
          <w:vanish/>
          <w:color w:val="auto"/>
          <w:sz w:val="28"/>
          <w:szCs w:val="28"/>
          <w:highlight w:val="none"/>
        </w:rPr>
      </w:pPr>
    </w:p>
    <w:tbl>
      <w:tblPr>
        <w:tblStyle w:val="39"/>
        <w:tblpPr w:leftFromText="180" w:rightFromText="180" w:vertAnchor="text" w:horzAnchor="page" w:tblpX="1557" w:tblpY="61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4721"/>
      </w:tblGrid>
      <w:tr w14:paraId="5572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4237" w:type="dxa"/>
            <w:tcBorders>
              <w:bottom w:val="single" w:color="auto" w:sz="4" w:space="0"/>
            </w:tcBorders>
          </w:tcPr>
          <w:p w14:paraId="3654C7EA">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开标一览表</w:t>
            </w:r>
            <w:r>
              <w:rPr>
                <w:rFonts w:hint="eastAsia" w:ascii="仿宋" w:hAnsi="仿宋" w:eastAsia="仿宋" w:cs="仿宋"/>
                <w:color w:val="auto"/>
                <w:sz w:val="28"/>
                <w:szCs w:val="28"/>
                <w:highlight w:val="none"/>
              </w:rPr>
              <w:t xml:space="preserve">              </w:t>
            </w:r>
          </w:p>
          <w:p w14:paraId="3E63F8BE">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p w14:paraId="26723712">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14:paraId="038201A5">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投标人名称（公章）：</w:t>
            </w:r>
          </w:p>
          <w:p w14:paraId="370A207F">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p w14:paraId="1E8BF120">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p>
          <w:p w14:paraId="06A061A9">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w:t>
            </w:r>
          </w:p>
        </w:tc>
        <w:tc>
          <w:tcPr>
            <w:tcW w:w="4721" w:type="dxa"/>
            <w:tcBorders>
              <w:bottom w:val="single" w:color="auto" w:sz="4" w:space="0"/>
            </w:tcBorders>
          </w:tcPr>
          <w:p w14:paraId="42FF88F5">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电子版投标文件（Word及PDF两种格式）              </w:t>
            </w:r>
          </w:p>
          <w:p w14:paraId="5FC43C05">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p w14:paraId="2B7DD8E1">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14:paraId="195D41DB">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投标人名称（公章）：</w:t>
            </w:r>
          </w:p>
          <w:p w14:paraId="6298D324">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p w14:paraId="67BC3EB2">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p>
          <w:p w14:paraId="249B4F6A">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w:t>
            </w:r>
          </w:p>
        </w:tc>
      </w:tr>
    </w:tbl>
    <w:p w14:paraId="136BD103">
      <w:pPr>
        <w:pageBreakBefore w:val="0"/>
        <w:kinsoku/>
        <w:overflowPunct/>
        <w:topLinePunct w:val="0"/>
        <w:bidi w:val="0"/>
        <w:snapToGrid/>
        <w:spacing w:line="360" w:lineRule="auto"/>
        <w:rPr>
          <w:rFonts w:hint="eastAsia" w:ascii="仿宋" w:hAnsi="仿宋" w:eastAsia="仿宋" w:cs="仿宋"/>
          <w:vanish/>
          <w:color w:val="auto"/>
          <w:sz w:val="28"/>
          <w:szCs w:val="28"/>
          <w:highlight w:val="none"/>
        </w:rPr>
      </w:pPr>
    </w:p>
    <w:tbl>
      <w:tblPr>
        <w:tblStyle w:val="39"/>
        <w:tblpPr w:leftFromText="180" w:rightFromText="180" w:vertAnchor="text" w:horzAnchor="page" w:tblpX="957" w:tblpY="110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14:paraId="4FBA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188" w:type="dxa"/>
            <w:tcBorders>
              <w:bottom w:val="single" w:color="auto" w:sz="4" w:space="0"/>
            </w:tcBorders>
            <w:vAlign w:val="center"/>
          </w:tcPr>
          <w:p w14:paraId="36762B56">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……………………于   年  月  日   时之前不准启封（公章）…………………</w:t>
            </w:r>
          </w:p>
        </w:tc>
      </w:tr>
    </w:tbl>
    <w:p w14:paraId="4682DB16">
      <w:pPr>
        <w:pStyle w:val="17"/>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投标文件封面格式</w:t>
      </w:r>
    </w:p>
    <w:sectPr>
      <w:headerReference r:id="rId3" w:type="default"/>
      <w:footerReference r:id="rId4" w:type="default"/>
      <w:pgSz w:w="11907" w:h="16840"/>
      <w:pgMar w:top="1247" w:right="1621" w:bottom="1417" w:left="1417" w:header="851" w:footer="992" w:gutter="0"/>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AE473">
    <w:pPr>
      <w:pStyle w:val="26"/>
      <w:ind w:right="360" w:firstLine="4860" w:firstLineChars="27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63245" cy="139700"/>
              <wp:effectExtent l="0" t="0" r="0" b="0"/>
              <wp:wrapNone/>
              <wp:docPr id="4098" name="4098"/>
              <wp:cNvGraphicFramePr/>
              <a:graphic xmlns:a="http://schemas.openxmlformats.org/drawingml/2006/main">
                <a:graphicData uri="http://schemas.microsoft.com/office/word/2010/wordprocessingShape">
                  <wps:wsp>
                    <wps:cNvSpPr/>
                    <wps:spPr>
                      <a:xfrm>
                        <a:off x="0" y="0"/>
                        <a:ext cx="563245" cy="139700"/>
                      </a:xfrm>
                      <a:prstGeom prst="rect">
                        <a:avLst/>
                      </a:prstGeom>
                      <a:ln>
                        <a:noFill/>
                      </a:ln>
                    </wps:spPr>
                    <wps:txbx>
                      <w:txbxContent>
                        <w:p w14:paraId="5076041C">
                          <w:pPr>
                            <w:pStyle w:val="26"/>
                            <w:ind w:right="360"/>
                            <w:jc w:val="both"/>
                          </w:pPr>
                          <w:r>
                            <w:fldChar w:fldCharType="begin"/>
                          </w:r>
                          <w:r>
                            <w:rPr>
                              <w:rStyle w:val="43"/>
                            </w:rPr>
                            <w:instrText xml:space="preserve"> PAGE </w:instrText>
                          </w:r>
                          <w:r>
                            <w:fldChar w:fldCharType="separate"/>
                          </w:r>
                          <w:r>
                            <w:rPr>
                              <w:rStyle w:val="43"/>
                            </w:rPr>
                            <w:t>53</w:t>
                          </w:r>
                          <w:r>
                            <w:fldChar w:fldCharType="end"/>
                          </w:r>
                        </w:p>
                      </w:txbxContent>
                    </wps:txbx>
                    <wps:bodyPr lIns="0" tIns="0" rIns="0" bIns="0" upright="1">
                      <a:spAutoFit/>
                    </wps:bodyPr>
                  </wps:wsp>
                </a:graphicData>
              </a:graphic>
            </wp:anchor>
          </w:drawing>
        </mc:Choice>
        <mc:Fallback>
          <w:pict>
            <v:rect id="4098" o:spid="_x0000_s1026" o:spt="1" style="position:absolute;left:0pt;margin-top:0pt;height:11pt;width:44.35pt;mso-position-horizontal:center;mso-position-horizontal-relative:margin;z-index:251659264;mso-width-relative:page;mso-height-relative:page;" filled="f" stroked="f" coordsize="21600,21600" o:gfxdata="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rJKm9QAAAADAQAA&#10;DwAAAAAAAAABACAAAAAiAAAAZHJzL2Rvd25yZXYueG1sUEsBAhQAFAAAAAgAh07iQG8qCPyrAQAA&#10;cgMAAA4AAAAAAAAAAQAgAAAAIwEAAGRycy9lMm9Eb2MueG1sUEsFBgAAAAAGAAYAWQEAAEAFAAAA&#10;AA==&#10;">
              <v:fill on="f" focussize="0,0"/>
              <v:stroke on="f"/>
              <v:imagedata o:title=""/>
              <o:lock v:ext="edit" aspectratio="f"/>
              <v:textbox inset="0mm,0mm,0mm,0mm" style="mso-fit-shape-to-text:t;">
                <w:txbxContent>
                  <w:p w14:paraId="5076041C">
                    <w:pPr>
                      <w:pStyle w:val="26"/>
                      <w:ind w:right="360"/>
                      <w:jc w:val="both"/>
                    </w:pPr>
                    <w:r>
                      <w:fldChar w:fldCharType="begin"/>
                    </w:r>
                    <w:r>
                      <w:rPr>
                        <w:rStyle w:val="43"/>
                      </w:rPr>
                      <w:instrText xml:space="preserve"> PAGE </w:instrText>
                    </w:r>
                    <w:r>
                      <w:fldChar w:fldCharType="separate"/>
                    </w:r>
                    <w:r>
                      <w:rPr>
                        <w:rStyle w:val="43"/>
                      </w:rP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D0C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5DD816"/>
    <w:multiLevelType w:val="singleLevel"/>
    <w:tmpl w:val="AC5DD816"/>
    <w:lvl w:ilvl="0" w:tentative="0">
      <w:start w:val="12"/>
      <w:numFmt w:val="decimal"/>
      <w:suff w:val="nothing"/>
      <w:lvlText w:val="%1）"/>
      <w:lvlJc w:val="left"/>
    </w:lvl>
  </w:abstractNum>
  <w:abstractNum w:abstractNumId="1">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0"/>
        </w:tabs>
        <w:ind w:left="576" w:hanging="576"/>
      </w:pPr>
      <w:rPr>
        <w:rFonts w:hint="default" w:ascii="Arial" w:hAnsi="Arial" w:cs="Arial"/>
      </w:rPr>
    </w:lvl>
    <w:lvl w:ilvl="2" w:tentative="0">
      <w:start w:val="1"/>
      <w:numFmt w:val="decimal"/>
      <w:lvlText w:val="%1.%2.%3"/>
      <w:lvlJc w:val="left"/>
      <w:pPr>
        <w:tabs>
          <w:tab w:val="left" w:pos="0"/>
        </w:tabs>
        <w:ind w:left="720" w:hanging="720"/>
      </w:pPr>
      <w:rPr>
        <w:rFonts w:hint="default" w:ascii="Arial" w:hAnsi="Arial" w:cs="Arial"/>
      </w:rPr>
    </w:lvl>
    <w:lvl w:ilvl="3" w:tentative="0">
      <w:start w:val="1"/>
      <w:numFmt w:val="decimal"/>
      <w:lvlText w:val="%1.%2.%3.%4"/>
      <w:lvlJc w:val="left"/>
      <w:pPr>
        <w:tabs>
          <w:tab w:val="left" w:pos="0"/>
        </w:tabs>
        <w:ind w:left="864" w:hanging="864"/>
      </w:pPr>
    </w:lvl>
    <w:lvl w:ilvl="4" w:tentative="0">
      <w:start w:val="1"/>
      <w:numFmt w:val="decimal"/>
      <w:pStyle w:val="7"/>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abstractNum w:abstractNumId="2">
    <w:nsid w:val="00000003"/>
    <w:multiLevelType w:val="multilevel"/>
    <w:tmpl w:val="00000003"/>
    <w:lvl w:ilvl="0" w:tentative="0">
      <w:start w:val="2"/>
      <w:numFmt w:val="decimal"/>
      <w:suff w:val="nothing"/>
      <w:lvlText w:val="%1．"/>
      <w:lvlJc w:val="left"/>
    </w:lvl>
    <w:lvl w:ilvl="1" w:tentative="0">
      <w:start w:val="1"/>
      <w:numFmt w:val="decimal"/>
      <w:lvlText w:val="%2."/>
      <w:lvlJc w:val="left"/>
      <w:pPr>
        <w:tabs>
          <w:tab w:val="left" w:pos="0"/>
        </w:tabs>
        <w:ind w:left="1080" w:hanging="360"/>
      </w:pPr>
      <w:rPr>
        <w:rFonts w:hint="default"/>
      </w:rPr>
    </w:lvl>
    <w:lvl w:ilvl="2" w:tentative="0">
      <w:start w:val="1"/>
      <w:numFmt w:val="decimal"/>
      <w:lvlText w:val="%3."/>
      <w:lvlJc w:val="left"/>
      <w:pPr>
        <w:tabs>
          <w:tab w:val="left" w:pos="0"/>
        </w:tabs>
        <w:ind w:left="1440" w:hanging="360"/>
      </w:pPr>
      <w:rPr>
        <w:rFonts w:hint="default"/>
      </w:rPr>
    </w:lvl>
    <w:lvl w:ilvl="3" w:tentative="0">
      <w:start w:val="1"/>
      <w:numFmt w:val="decimal"/>
      <w:lvlText w:val="%4."/>
      <w:lvlJc w:val="left"/>
      <w:pPr>
        <w:tabs>
          <w:tab w:val="left" w:pos="0"/>
        </w:tabs>
        <w:ind w:left="1800" w:hanging="360"/>
      </w:pPr>
      <w:rPr>
        <w:rFonts w:hint="default"/>
      </w:rPr>
    </w:lvl>
    <w:lvl w:ilvl="4" w:tentative="0">
      <w:start w:val="1"/>
      <w:numFmt w:val="decimal"/>
      <w:lvlText w:val="%5."/>
      <w:lvlJc w:val="left"/>
      <w:pPr>
        <w:tabs>
          <w:tab w:val="left" w:pos="0"/>
        </w:tabs>
        <w:ind w:left="2160" w:hanging="360"/>
      </w:pPr>
      <w:rPr>
        <w:rFonts w:hint="default"/>
      </w:rPr>
    </w:lvl>
    <w:lvl w:ilvl="5" w:tentative="0">
      <w:start w:val="1"/>
      <w:numFmt w:val="decimal"/>
      <w:lvlText w:val="%6."/>
      <w:lvlJc w:val="left"/>
      <w:pPr>
        <w:tabs>
          <w:tab w:val="left" w:pos="0"/>
        </w:tabs>
        <w:ind w:left="2520" w:hanging="360"/>
      </w:pPr>
      <w:rPr>
        <w:rFonts w:hint="default"/>
      </w:rPr>
    </w:lvl>
    <w:lvl w:ilvl="6" w:tentative="0">
      <w:start w:val="1"/>
      <w:numFmt w:val="decimal"/>
      <w:lvlText w:val="%7."/>
      <w:lvlJc w:val="left"/>
      <w:pPr>
        <w:tabs>
          <w:tab w:val="left" w:pos="0"/>
        </w:tabs>
        <w:ind w:left="2880" w:hanging="360"/>
      </w:pPr>
      <w:rPr>
        <w:rFonts w:hint="default"/>
      </w:rPr>
    </w:lvl>
    <w:lvl w:ilvl="7" w:tentative="0">
      <w:start w:val="1"/>
      <w:numFmt w:val="decimal"/>
      <w:lvlText w:val="%8."/>
      <w:lvlJc w:val="left"/>
      <w:pPr>
        <w:tabs>
          <w:tab w:val="left" w:pos="0"/>
        </w:tabs>
        <w:ind w:left="3240" w:hanging="360"/>
      </w:pPr>
      <w:rPr>
        <w:rFonts w:hint="default"/>
      </w:rPr>
    </w:lvl>
    <w:lvl w:ilvl="8" w:tentative="0">
      <w:start w:val="1"/>
      <w:numFmt w:val="decimal"/>
      <w:lvlText w:val="%9."/>
      <w:lvlJc w:val="left"/>
      <w:pPr>
        <w:tabs>
          <w:tab w:val="left" w:pos="0"/>
        </w:tabs>
        <w:ind w:left="3600" w:hanging="360"/>
      </w:pPr>
      <w:rPr>
        <w:rFonts w:hint="default"/>
      </w:rPr>
    </w:lvl>
  </w:abstractNum>
  <w:abstractNum w:abstractNumId="3">
    <w:nsid w:val="0000002F"/>
    <w:multiLevelType w:val="multilevel"/>
    <w:tmpl w:val="0000002F"/>
    <w:lvl w:ilvl="0" w:tentative="0">
      <w:start w:val="1"/>
      <w:numFmt w:val="chineseCountingThousand"/>
      <w:pStyle w:val="160"/>
      <w:suff w:val="nothing"/>
      <w:lvlText w:val="第%1部分 "/>
      <w:lvlJc w:val="center"/>
      <w:pPr>
        <w:tabs>
          <w:tab w:val="left" w:pos="0"/>
        </w:tabs>
        <w:ind w:left="3240" w:firstLine="0"/>
      </w:pPr>
      <w:rPr>
        <w:rFonts w:hint="default" w:ascii="Arial" w:hAnsi="Arial" w:eastAsia="黑体" w:cs="Arial"/>
        <w:b/>
        <w:bCs w:val="0"/>
        <w:i w:val="0"/>
        <w:iCs w:val="0"/>
        <w:caps w:val="0"/>
        <w:smallCaps w:val="0"/>
        <w:strike w:val="0"/>
        <w:dstrike w:val="0"/>
        <w:color w:val="000000"/>
        <w:spacing w:val="0"/>
        <w:kern w:val="0"/>
        <w:position w:val="0"/>
        <w:sz w:val="44"/>
        <w:szCs w:val="44"/>
        <w:u w:val="none"/>
        <w:vertAlign w:val="baseline"/>
      </w:rPr>
    </w:lvl>
    <w:lvl w:ilvl="1" w:tentative="0">
      <w:start w:val="1"/>
      <w:numFmt w:val="decimal"/>
      <w:lvlText w:val="第%2章"/>
      <w:lvlJc w:val="left"/>
      <w:pPr>
        <w:tabs>
          <w:tab w:val="left" w:pos="0"/>
        </w:tabs>
        <w:ind w:left="0" w:firstLine="0"/>
      </w:pPr>
      <w:rPr>
        <w:rFonts w:hint="eastAsia"/>
        <w:b/>
        <w:i w:val="0"/>
        <w:color w:val="000000"/>
        <w:sz w:val="36"/>
        <w:szCs w:val="32"/>
      </w:rPr>
    </w:lvl>
    <w:lvl w:ilvl="2" w:tentative="0">
      <w:start w:val="1"/>
      <w:numFmt w:val="decimal"/>
      <w:suff w:val="nothing"/>
      <w:lvlText w:val="%2.%3 "/>
      <w:lvlJc w:val="left"/>
      <w:pPr>
        <w:tabs>
          <w:tab w:val="left" w:pos="0"/>
        </w:tabs>
        <w:ind w:left="720" w:firstLine="0"/>
      </w:pPr>
      <w:rPr>
        <w:rFonts w:hint="default" w:ascii="Arial" w:hAnsi="Arial" w:eastAsia="黑体" w:cs="Arial"/>
        <w:b/>
        <w:i w:val="0"/>
        <w:color w:val="000000"/>
        <w:sz w:val="32"/>
        <w:szCs w:val="28"/>
      </w:rPr>
    </w:lvl>
    <w:lvl w:ilvl="3" w:tentative="0">
      <w:start w:val="1"/>
      <w:numFmt w:val="decimal"/>
      <w:suff w:val="nothing"/>
      <w:lvlText w:val="%2.%3.%4 "/>
      <w:lvlJc w:val="left"/>
      <w:pPr>
        <w:tabs>
          <w:tab w:val="left" w:pos="0"/>
        </w:tabs>
        <w:ind w:left="0" w:firstLine="0"/>
      </w:pPr>
      <w:rPr>
        <w:rFonts w:hint="default" w:ascii="Arial" w:hAnsi="Arial" w:eastAsia="黑体" w:cs="Times New Roman"/>
        <w:b/>
        <w:bCs w:val="0"/>
        <w:i w:val="0"/>
        <w:iCs w:val="0"/>
        <w:caps w:val="0"/>
        <w:smallCaps w:val="0"/>
        <w:strike w:val="0"/>
        <w:dstrike w:val="0"/>
        <w:color w:val="000000"/>
        <w:spacing w:val="0"/>
        <w:position w:val="0"/>
        <w:sz w:val="24"/>
        <w:szCs w:val="24"/>
        <w:u w:val="none"/>
        <w:vertAlign w:val="baseline"/>
      </w:rPr>
    </w:lvl>
    <w:lvl w:ilvl="4" w:tentative="0">
      <w:start w:val="1"/>
      <w:numFmt w:val="decimal"/>
      <w:suff w:val="nothing"/>
      <w:lvlText w:val="%2.%3.%4.%5 "/>
      <w:lvlJc w:val="left"/>
      <w:pPr>
        <w:tabs>
          <w:tab w:val="left" w:pos="0"/>
        </w:tabs>
        <w:ind w:left="1440" w:firstLine="0"/>
      </w:pPr>
      <w:rPr>
        <w:rFonts w:hint="default" w:ascii="Arial" w:hAnsi="Arial" w:eastAsia="黑体" w:cs="Arial"/>
        <w:b/>
        <w:i w:val="0"/>
        <w:sz w:val="24"/>
      </w:rPr>
    </w:lvl>
    <w:lvl w:ilvl="5" w:tentative="0">
      <w:start w:val="1"/>
      <w:numFmt w:val="decimal"/>
      <w:suff w:val="nothing"/>
      <w:lvlText w:val=" %6 "/>
      <w:lvlJc w:val="left"/>
      <w:pPr>
        <w:tabs>
          <w:tab w:val="left" w:pos="0"/>
        </w:tabs>
        <w:ind w:left="5760" w:firstLine="0"/>
      </w:pPr>
      <w:rPr>
        <w:rFonts w:hint="default" w:ascii="Arial" w:hAnsi="Arial" w:eastAsia="黑体" w:cs="Arial"/>
        <w:b/>
        <w:i w:val="0"/>
        <w:sz w:val="24"/>
      </w:rPr>
    </w:lvl>
    <w:lvl w:ilvl="6" w:tentative="0">
      <w:start w:val="1"/>
      <w:numFmt w:val="decimal"/>
      <w:suff w:val="nothing"/>
      <w:lvlText w:val="%7）"/>
      <w:lvlJc w:val="left"/>
      <w:pPr>
        <w:tabs>
          <w:tab w:val="left" w:pos="0"/>
        </w:tabs>
        <w:ind w:left="720" w:firstLine="0"/>
      </w:pPr>
      <w:rPr>
        <w:rFonts w:hint="default" w:ascii="Arial" w:hAnsi="Arial" w:eastAsia="宋体" w:cs="Arial"/>
        <w:b/>
        <w:i w:val="0"/>
        <w:sz w:val="24"/>
      </w:rPr>
    </w:lvl>
    <w:lvl w:ilvl="7" w:tentative="0">
      <w:start w:val="1"/>
      <w:numFmt w:val="upperLetter"/>
      <w:suff w:val="nothing"/>
      <w:lvlText w:val=" %8"/>
      <w:lvlJc w:val="left"/>
      <w:pPr>
        <w:tabs>
          <w:tab w:val="left" w:pos="0"/>
        </w:tabs>
        <w:ind w:left="0" w:firstLine="0"/>
      </w:pPr>
      <w:rPr>
        <w:rFonts w:hint="default" w:ascii="Arial" w:hAnsi="Arial" w:eastAsia="宋体" w:cs="Arial"/>
        <w:b/>
        <w:i w:val="0"/>
        <w:sz w:val="24"/>
      </w:rPr>
    </w:lvl>
    <w:lvl w:ilvl="8" w:tentative="0">
      <w:start w:val="1"/>
      <w:numFmt w:val="none"/>
      <w:suff w:val="nothing"/>
      <w:lvlText w:val=""/>
      <w:lvlJc w:val="left"/>
      <w:pPr>
        <w:tabs>
          <w:tab w:val="left" w:pos="0"/>
        </w:tabs>
        <w:ind w:left="360" w:firstLine="0"/>
      </w:pPr>
      <w:rPr>
        <w:rFonts w:hint="default" w:ascii="Arial" w:hAnsi="Arial" w:eastAsia="宋体" w:cs="Times New Roman"/>
        <w:b w:val="0"/>
        <w:i w:val="0"/>
        <w:sz w:val="24"/>
      </w:rPr>
    </w:lvl>
  </w:abstractNum>
  <w:abstractNum w:abstractNumId="4">
    <w:nsid w:val="66F12E54"/>
    <w:multiLevelType w:val="multilevel"/>
    <w:tmpl w:val="66F12E54"/>
    <w:lvl w:ilvl="0" w:tentative="0">
      <w:start w:val="1"/>
      <w:numFmt w:val="upperLetter"/>
      <w:lvlText w:val="%1．"/>
      <w:lvlJc w:val="left"/>
      <w:pPr>
        <w:tabs>
          <w:tab w:val="left" w:pos="360"/>
        </w:tabs>
        <w:ind w:left="360" w:hanging="360"/>
      </w:pPr>
    </w:lvl>
    <w:lvl w:ilvl="1" w:tentative="0">
      <w:start w:val="1"/>
      <w:numFmt w:val="decimal"/>
      <w:pStyle w:val="143"/>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6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NDBjMTZiYzEzMGYyMjg0ZjY5ZDcxMGYzMDM1ODkifQ=="/>
  </w:docVars>
  <w:rsids>
    <w:rsidRoot w:val="00000000"/>
    <w:rsid w:val="00225378"/>
    <w:rsid w:val="005D2854"/>
    <w:rsid w:val="008E0C60"/>
    <w:rsid w:val="00D9012D"/>
    <w:rsid w:val="014A2DD9"/>
    <w:rsid w:val="019D73AC"/>
    <w:rsid w:val="01B82399"/>
    <w:rsid w:val="027F4D04"/>
    <w:rsid w:val="02A14C7A"/>
    <w:rsid w:val="03A52548"/>
    <w:rsid w:val="03C30C20"/>
    <w:rsid w:val="03D2484F"/>
    <w:rsid w:val="0506170D"/>
    <w:rsid w:val="05483AD3"/>
    <w:rsid w:val="056D178C"/>
    <w:rsid w:val="060A6FDB"/>
    <w:rsid w:val="06677F89"/>
    <w:rsid w:val="06EA3328"/>
    <w:rsid w:val="06F45206"/>
    <w:rsid w:val="07094593"/>
    <w:rsid w:val="073F456A"/>
    <w:rsid w:val="074D3623"/>
    <w:rsid w:val="08400A92"/>
    <w:rsid w:val="08BA4CE8"/>
    <w:rsid w:val="08C87889"/>
    <w:rsid w:val="0972111F"/>
    <w:rsid w:val="0AC37758"/>
    <w:rsid w:val="0AE147AE"/>
    <w:rsid w:val="0B187AA4"/>
    <w:rsid w:val="0B2226D0"/>
    <w:rsid w:val="0B4F20DB"/>
    <w:rsid w:val="0B7C6285"/>
    <w:rsid w:val="0BC53C49"/>
    <w:rsid w:val="0C0F534B"/>
    <w:rsid w:val="0C28640C"/>
    <w:rsid w:val="0C741652"/>
    <w:rsid w:val="0CA21D1B"/>
    <w:rsid w:val="0CAC0DEC"/>
    <w:rsid w:val="0CC53C5B"/>
    <w:rsid w:val="0CCC4FEA"/>
    <w:rsid w:val="0CE02843"/>
    <w:rsid w:val="0D0B3D64"/>
    <w:rsid w:val="0D9E132B"/>
    <w:rsid w:val="0DC67C8B"/>
    <w:rsid w:val="0DD916B9"/>
    <w:rsid w:val="0E364E11"/>
    <w:rsid w:val="0E6D45AA"/>
    <w:rsid w:val="0EAD6BBB"/>
    <w:rsid w:val="0F3B1FB3"/>
    <w:rsid w:val="0FFE370C"/>
    <w:rsid w:val="10246EEB"/>
    <w:rsid w:val="103435D2"/>
    <w:rsid w:val="10A342B4"/>
    <w:rsid w:val="10B244F7"/>
    <w:rsid w:val="10D97CD5"/>
    <w:rsid w:val="119276A7"/>
    <w:rsid w:val="119A7465"/>
    <w:rsid w:val="12096398"/>
    <w:rsid w:val="122D2087"/>
    <w:rsid w:val="124F46F3"/>
    <w:rsid w:val="12801A5F"/>
    <w:rsid w:val="12FB57BF"/>
    <w:rsid w:val="13697D66"/>
    <w:rsid w:val="13D6674E"/>
    <w:rsid w:val="14DE1D5E"/>
    <w:rsid w:val="14E93A17"/>
    <w:rsid w:val="15035321"/>
    <w:rsid w:val="15A563D8"/>
    <w:rsid w:val="165B2F3A"/>
    <w:rsid w:val="165C118C"/>
    <w:rsid w:val="16E96798"/>
    <w:rsid w:val="17005388"/>
    <w:rsid w:val="17732C32"/>
    <w:rsid w:val="17B07A56"/>
    <w:rsid w:val="17C214C3"/>
    <w:rsid w:val="18115FA7"/>
    <w:rsid w:val="188449CB"/>
    <w:rsid w:val="18AC1B13"/>
    <w:rsid w:val="18D960C7"/>
    <w:rsid w:val="196B16E7"/>
    <w:rsid w:val="199E386A"/>
    <w:rsid w:val="1A3B555D"/>
    <w:rsid w:val="1A951111"/>
    <w:rsid w:val="1AA66E7A"/>
    <w:rsid w:val="1AAE3F81"/>
    <w:rsid w:val="1B065B6B"/>
    <w:rsid w:val="1B55264E"/>
    <w:rsid w:val="1BCB4CB7"/>
    <w:rsid w:val="1C6B037B"/>
    <w:rsid w:val="1CC45CDD"/>
    <w:rsid w:val="1D306ECF"/>
    <w:rsid w:val="1E390005"/>
    <w:rsid w:val="1EA336D1"/>
    <w:rsid w:val="1F6F0E0C"/>
    <w:rsid w:val="1F7667A4"/>
    <w:rsid w:val="1F784B5D"/>
    <w:rsid w:val="1FDB5818"/>
    <w:rsid w:val="1FEB0091"/>
    <w:rsid w:val="203211B0"/>
    <w:rsid w:val="20983709"/>
    <w:rsid w:val="211C60E8"/>
    <w:rsid w:val="212A4380"/>
    <w:rsid w:val="21823A71"/>
    <w:rsid w:val="21E11350"/>
    <w:rsid w:val="2309269C"/>
    <w:rsid w:val="23A4392B"/>
    <w:rsid w:val="241412F8"/>
    <w:rsid w:val="248B0E8F"/>
    <w:rsid w:val="24AB51A4"/>
    <w:rsid w:val="24CA7C09"/>
    <w:rsid w:val="255B5468"/>
    <w:rsid w:val="25626093"/>
    <w:rsid w:val="25E60B69"/>
    <w:rsid w:val="25F34F3E"/>
    <w:rsid w:val="26492DAF"/>
    <w:rsid w:val="26D60AE7"/>
    <w:rsid w:val="26DA07EE"/>
    <w:rsid w:val="274870C7"/>
    <w:rsid w:val="275F6D2E"/>
    <w:rsid w:val="27A6670B"/>
    <w:rsid w:val="27E86D24"/>
    <w:rsid w:val="28DA637F"/>
    <w:rsid w:val="29092F8B"/>
    <w:rsid w:val="2939535D"/>
    <w:rsid w:val="29B1741B"/>
    <w:rsid w:val="29D67050"/>
    <w:rsid w:val="2A04596B"/>
    <w:rsid w:val="2AC809F9"/>
    <w:rsid w:val="2ADC0696"/>
    <w:rsid w:val="2B2067D5"/>
    <w:rsid w:val="2B3D7387"/>
    <w:rsid w:val="2BA82637"/>
    <w:rsid w:val="2BC25ADE"/>
    <w:rsid w:val="2C864D5D"/>
    <w:rsid w:val="2D633562"/>
    <w:rsid w:val="2DE0049D"/>
    <w:rsid w:val="2EC27BA3"/>
    <w:rsid w:val="2EDA4EED"/>
    <w:rsid w:val="2EED69CE"/>
    <w:rsid w:val="2F2D14C0"/>
    <w:rsid w:val="2F537E44"/>
    <w:rsid w:val="2F8A6020"/>
    <w:rsid w:val="2FA5374C"/>
    <w:rsid w:val="2FE34275"/>
    <w:rsid w:val="301601A6"/>
    <w:rsid w:val="302A3C52"/>
    <w:rsid w:val="30A6777C"/>
    <w:rsid w:val="30A734F4"/>
    <w:rsid w:val="30C35226"/>
    <w:rsid w:val="30E3175A"/>
    <w:rsid w:val="30EA2940"/>
    <w:rsid w:val="30F730B3"/>
    <w:rsid w:val="318A49A8"/>
    <w:rsid w:val="318B0720"/>
    <w:rsid w:val="31D579DF"/>
    <w:rsid w:val="321C75CA"/>
    <w:rsid w:val="32D700C1"/>
    <w:rsid w:val="32E91BA2"/>
    <w:rsid w:val="336B25B7"/>
    <w:rsid w:val="33810A75"/>
    <w:rsid w:val="33837901"/>
    <w:rsid w:val="33953AD8"/>
    <w:rsid w:val="34BF0E0C"/>
    <w:rsid w:val="35030037"/>
    <w:rsid w:val="36257395"/>
    <w:rsid w:val="36462E68"/>
    <w:rsid w:val="365C6959"/>
    <w:rsid w:val="366437D7"/>
    <w:rsid w:val="36B6623F"/>
    <w:rsid w:val="36BF5C50"/>
    <w:rsid w:val="374E0226"/>
    <w:rsid w:val="387243E8"/>
    <w:rsid w:val="387E56F1"/>
    <w:rsid w:val="389820A0"/>
    <w:rsid w:val="38E928FC"/>
    <w:rsid w:val="38F35529"/>
    <w:rsid w:val="392C4597"/>
    <w:rsid w:val="393D67A4"/>
    <w:rsid w:val="398443D3"/>
    <w:rsid w:val="399D5494"/>
    <w:rsid w:val="3AA97AD1"/>
    <w:rsid w:val="3ACA4067"/>
    <w:rsid w:val="3AEA64B7"/>
    <w:rsid w:val="3B424545"/>
    <w:rsid w:val="3B691AD2"/>
    <w:rsid w:val="3B903503"/>
    <w:rsid w:val="3C2854E9"/>
    <w:rsid w:val="3C850B8E"/>
    <w:rsid w:val="3CA07775"/>
    <w:rsid w:val="3D0776D8"/>
    <w:rsid w:val="3D404AB5"/>
    <w:rsid w:val="3E09759C"/>
    <w:rsid w:val="3E1875EB"/>
    <w:rsid w:val="3E23240C"/>
    <w:rsid w:val="3EA0790B"/>
    <w:rsid w:val="3F1B30E3"/>
    <w:rsid w:val="3FBB6674"/>
    <w:rsid w:val="3FE77469"/>
    <w:rsid w:val="40320F75"/>
    <w:rsid w:val="40B82BB4"/>
    <w:rsid w:val="41452699"/>
    <w:rsid w:val="41AA074E"/>
    <w:rsid w:val="420F2CA7"/>
    <w:rsid w:val="42707BEA"/>
    <w:rsid w:val="42A96C58"/>
    <w:rsid w:val="42E47C90"/>
    <w:rsid w:val="430345BA"/>
    <w:rsid w:val="431D42DB"/>
    <w:rsid w:val="434F77FF"/>
    <w:rsid w:val="43AC4C52"/>
    <w:rsid w:val="44F05012"/>
    <w:rsid w:val="451E392D"/>
    <w:rsid w:val="45B147A1"/>
    <w:rsid w:val="468425E0"/>
    <w:rsid w:val="46FA3F26"/>
    <w:rsid w:val="480C2163"/>
    <w:rsid w:val="491868E5"/>
    <w:rsid w:val="49777AB0"/>
    <w:rsid w:val="49C32D4D"/>
    <w:rsid w:val="4A083B20"/>
    <w:rsid w:val="4A524E6F"/>
    <w:rsid w:val="4A630034"/>
    <w:rsid w:val="4AEC627C"/>
    <w:rsid w:val="4B553E21"/>
    <w:rsid w:val="4BFB6776"/>
    <w:rsid w:val="4C133023"/>
    <w:rsid w:val="4CE94821"/>
    <w:rsid w:val="4CFC32B2"/>
    <w:rsid w:val="4E65437B"/>
    <w:rsid w:val="4E74636C"/>
    <w:rsid w:val="4EA07161"/>
    <w:rsid w:val="4EF37BD9"/>
    <w:rsid w:val="4F0911AA"/>
    <w:rsid w:val="4F247D92"/>
    <w:rsid w:val="4F3501F1"/>
    <w:rsid w:val="50125E3D"/>
    <w:rsid w:val="50153B7F"/>
    <w:rsid w:val="50A05B3E"/>
    <w:rsid w:val="50AA42C7"/>
    <w:rsid w:val="50ED0658"/>
    <w:rsid w:val="513D2DE9"/>
    <w:rsid w:val="5145438A"/>
    <w:rsid w:val="5167040A"/>
    <w:rsid w:val="51D610EC"/>
    <w:rsid w:val="527252B8"/>
    <w:rsid w:val="52746462"/>
    <w:rsid w:val="52887ADE"/>
    <w:rsid w:val="529C2335"/>
    <w:rsid w:val="52D61371"/>
    <w:rsid w:val="52F201A7"/>
    <w:rsid w:val="52F21F55"/>
    <w:rsid w:val="53083527"/>
    <w:rsid w:val="532D17B5"/>
    <w:rsid w:val="53395DD6"/>
    <w:rsid w:val="534A3B3F"/>
    <w:rsid w:val="53755060"/>
    <w:rsid w:val="53CE4770"/>
    <w:rsid w:val="53F57F4F"/>
    <w:rsid w:val="54527CA3"/>
    <w:rsid w:val="54595B27"/>
    <w:rsid w:val="557342D0"/>
    <w:rsid w:val="559C06A8"/>
    <w:rsid w:val="56A87375"/>
    <w:rsid w:val="56D402F0"/>
    <w:rsid w:val="56F72230"/>
    <w:rsid w:val="5705494D"/>
    <w:rsid w:val="57063244"/>
    <w:rsid w:val="5838665C"/>
    <w:rsid w:val="58BC54DF"/>
    <w:rsid w:val="58CA0141"/>
    <w:rsid w:val="58DA784F"/>
    <w:rsid w:val="59123351"/>
    <w:rsid w:val="593C03CE"/>
    <w:rsid w:val="59592D2E"/>
    <w:rsid w:val="59A0270B"/>
    <w:rsid w:val="59AF294E"/>
    <w:rsid w:val="59B63B70"/>
    <w:rsid w:val="5A8B5169"/>
    <w:rsid w:val="5B1F14E7"/>
    <w:rsid w:val="5B4D0671"/>
    <w:rsid w:val="5B665367"/>
    <w:rsid w:val="5B702FF3"/>
    <w:rsid w:val="5BA504AD"/>
    <w:rsid w:val="5C475B3F"/>
    <w:rsid w:val="5C5D02F0"/>
    <w:rsid w:val="5CA42512"/>
    <w:rsid w:val="5D1256CE"/>
    <w:rsid w:val="5D5538EF"/>
    <w:rsid w:val="5D997B9D"/>
    <w:rsid w:val="5DA54794"/>
    <w:rsid w:val="5E2356B9"/>
    <w:rsid w:val="5E495A76"/>
    <w:rsid w:val="5E617F99"/>
    <w:rsid w:val="5EC073AC"/>
    <w:rsid w:val="5EC23124"/>
    <w:rsid w:val="5EE94B54"/>
    <w:rsid w:val="5F7A755A"/>
    <w:rsid w:val="5F944AC0"/>
    <w:rsid w:val="5FC1216C"/>
    <w:rsid w:val="60172FFB"/>
    <w:rsid w:val="605129B1"/>
    <w:rsid w:val="605A0A6A"/>
    <w:rsid w:val="60C74A21"/>
    <w:rsid w:val="60EE1FAE"/>
    <w:rsid w:val="6106379C"/>
    <w:rsid w:val="6118702B"/>
    <w:rsid w:val="612956DC"/>
    <w:rsid w:val="618D5C6B"/>
    <w:rsid w:val="62443A0E"/>
    <w:rsid w:val="62943029"/>
    <w:rsid w:val="63091321"/>
    <w:rsid w:val="633345F0"/>
    <w:rsid w:val="63C33BC6"/>
    <w:rsid w:val="63EC17B3"/>
    <w:rsid w:val="64007275"/>
    <w:rsid w:val="641C5084"/>
    <w:rsid w:val="642B3519"/>
    <w:rsid w:val="643430C3"/>
    <w:rsid w:val="65AE61B0"/>
    <w:rsid w:val="65DE4CE7"/>
    <w:rsid w:val="65FA13F5"/>
    <w:rsid w:val="660B5367"/>
    <w:rsid w:val="669E4476"/>
    <w:rsid w:val="66B772E6"/>
    <w:rsid w:val="676C00D0"/>
    <w:rsid w:val="67D85766"/>
    <w:rsid w:val="69A742C5"/>
    <w:rsid w:val="69CD476C"/>
    <w:rsid w:val="6A356EA0"/>
    <w:rsid w:val="6A58442A"/>
    <w:rsid w:val="6AB51D8E"/>
    <w:rsid w:val="6ACF10A2"/>
    <w:rsid w:val="6B106FC5"/>
    <w:rsid w:val="6BC53F82"/>
    <w:rsid w:val="6C5A499B"/>
    <w:rsid w:val="6C7041BF"/>
    <w:rsid w:val="6CDE55CC"/>
    <w:rsid w:val="6D282CEC"/>
    <w:rsid w:val="6DC5053A"/>
    <w:rsid w:val="6E1D3E88"/>
    <w:rsid w:val="6E761835"/>
    <w:rsid w:val="6E7E5907"/>
    <w:rsid w:val="6F103A37"/>
    <w:rsid w:val="6F4A6F49"/>
    <w:rsid w:val="6F4C62E1"/>
    <w:rsid w:val="6F795A80"/>
    <w:rsid w:val="6FE86762"/>
    <w:rsid w:val="700C386C"/>
    <w:rsid w:val="71121CE9"/>
    <w:rsid w:val="71184E25"/>
    <w:rsid w:val="71DE606F"/>
    <w:rsid w:val="71EE6D70"/>
    <w:rsid w:val="72395053"/>
    <w:rsid w:val="723B5B3F"/>
    <w:rsid w:val="72B8066E"/>
    <w:rsid w:val="731F06ED"/>
    <w:rsid w:val="733C129F"/>
    <w:rsid w:val="73903399"/>
    <w:rsid w:val="73B01345"/>
    <w:rsid w:val="757F4CB1"/>
    <w:rsid w:val="75B4336E"/>
    <w:rsid w:val="76375D4D"/>
    <w:rsid w:val="764D37C3"/>
    <w:rsid w:val="76C16A44"/>
    <w:rsid w:val="76C45833"/>
    <w:rsid w:val="77324E93"/>
    <w:rsid w:val="777C610E"/>
    <w:rsid w:val="77A613DD"/>
    <w:rsid w:val="77B04009"/>
    <w:rsid w:val="77E912C9"/>
    <w:rsid w:val="781E5417"/>
    <w:rsid w:val="7836450F"/>
    <w:rsid w:val="783E1615"/>
    <w:rsid w:val="7843038C"/>
    <w:rsid w:val="78465F1F"/>
    <w:rsid w:val="78866B18"/>
    <w:rsid w:val="790F6B0E"/>
    <w:rsid w:val="79892D64"/>
    <w:rsid w:val="7991326D"/>
    <w:rsid w:val="7A1E16FE"/>
    <w:rsid w:val="7A2465E9"/>
    <w:rsid w:val="7A620066"/>
    <w:rsid w:val="7AD1051F"/>
    <w:rsid w:val="7B474C85"/>
    <w:rsid w:val="7B7F7F7B"/>
    <w:rsid w:val="7C06244A"/>
    <w:rsid w:val="7C7E46D6"/>
    <w:rsid w:val="7D39684F"/>
    <w:rsid w:val="7D5E1E12"/>
    <w:rsid w:val="7DA77C5D"/>
    <w:rsid w:val="7E0D3F64"/>
    <w:rsid w:val="7E235535"/>
    <w:rsid w:val="7E8B30DA"/>
    <w:rsid w:val="7F160BF6"/>
    <w:rsid w:val="7F2063D5"/>
    <w:rsid w:val="7F517E80"/>
    <w:rsid w:val="7F531E4A"/>
    <w:rsid w:val="7F595D26"/>
    <w:rsid w:val="7F7B314F"/>
    <w:rsid w:val="7F7B7539"/>
    <w:rsid w:val="7F82097A"/>
    <w:rsid w:val="7FCA37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2" w:semiHidden="0" w:name="heading 5"/>
    <w:lsdException w:qFormat="1" w:unhideWhenUsed="0" w:uiPriority="2"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bCs/>
      <w:kern w:val="2"/>
      <w:sz w:val="28"/>
      <w:szCs w:val="24"/>
      <w:lang w:val="en-US" w:eastAsia="zh-CN" w:bidi="ar-SA"/>
    </w:rPr>
  </w:style>
  <w:style w:type="paragraph" w:styleId="2">
    <w:name w:val="heading 1"/>
    <w:basedOn w:val="1"/>
    <w:next w:val="1"/>
    <w:link w:val="70"/>
    <w:qFormat/>
    <w:uiPriority w:val="0"/>
    <w:pPr>
      <w:keepNext/>
      <w:keepLines/>
      <w:spacing w:line="360" w:lineRule="auto"/>
      <w:jc w:val="center"/>
      <w:outlineLvl w:val="0"/>
    </w:pPr>
    <w:rPr>
      <w:b/>
      <w:kern w:val="44"/>
      <w:sz w:val="36"/>
      <w:szCs w:val="44"/>
    </w:rPr>
  </w:style>
  <w:style w:type="paragraph" w:styleId="3">
    <w:name w:val="heading 2"/>
    <w:basedOn w:val="1"/>
    <w:next w:val="1"/>
    <w:link w:val="73"/>
    <w:qFormat/>
    <w:uiPriority w:val="0"/>
    <w:pPr>
      <w:widowControl/>
      <w:spacing w:beforeAutospacing="1" w:afterAutospacing="1"/>
      <w:jc w:val="left"/>
      <w:outlineLvl w:val="1"/>
    </w:pPr>
    <w:rPr>
      <w:rFonts w:hAnsi="宋体"/>
      <w:b/>
      <w:kern w:val="0"/>
      <w:szCs w:val="36"/>
    </w:rPr>
  </w:style>
  <w:style w:type="paragraph" w:styleId="4">
    <w:name w:val="heading 3"/>
    <w:basedOn w:val="1"/>
    <w:next w:val="5"/>
    <w:link w:val="79"/>
    <w:qFormat/>
    <w:uiPriority w:val="0"/>
    <w:pPr>
      <w:keepNext/>
      <w:keepLines/>
      <w:spacing w:line="416" w:lineRule="auto"/>
      <w:jc w:val="left"/>
      <w:outlineLvl w:val="2"/>
    </w:pPr>
    <w:rPr>
      <w:rFonts w:ascii="Times New Roman" w:eastAsia="黑体"/>
      <w:sz w:val="24"/>
      <w:szCs w:val="32"/>
    </w:rPr>
  </w:style>
  <w:style w:type="paragraph" w:styleId="6">
    <w:name w:val="heading 4"/>
    <w:basedOn w:val="1"/>
    <w:next w:val="5"/>
    <w:link w:val="61"/>
    <w:qFormat/>
    <w:uiPriority w:val="0"/>
    <w:pPr>
      <w:keepNext/>
      <w:keepLines/>
      <w:spacing w:before="280" w:after="290" w:line="376" w:lineRule="auto"/>
      <w:outlineLvl w:val="3"/>
    </w:pPr>
    <w:rPr>
      <w:rFonts w:ascii="Cambria" w:hAnsi="Cambria"/>
      <w:b/>
      <w:szCs w:val="28"/>
    </w:rPr>
  </w:style>
  <w:style w:type="paragraph" w:styleId="7">
    <w:name w:val="heading 5"/>
    <w:basedOn w:val="1"/>
    <w:next w:val="1"/>
    <w:qFormat/>
    <w:uiPriority w:val="2"/>
    <w:pPr>
      <w:keepNext/>
      <w:keepLines/>
      <w:numPr>
        <w:ilvl w:val="4"/>
        <w:numId w:val="1"/>
      </w:numPr>
      <w:tabs>
        <w:tab w:val="left" w:pos="1008"/>
      </w:tabs>
      <w:spacing w:before="280" w:after="290" w:line="372" w:lineRule="auto"/>
      <w:outlineLvl w:val="4"/>
    </w:pPr>
    <w:rPr>
      <w:b/>
      <w:sz w:val="28"/>
      <w:szCs w:val="28"/>
    </w:rPr>
  </w:style>
  <w:style w:type="paragraph" w:styleId="8">
    <w:name w:val="heading 6"/>
    <w:basedOn w:val="1"/>
    <w:next w:val="1"/>
    <w:qFormat/>
    <w:uiPriority w:val="2"/>
    <w:pPr>
      <w:keepNext/>
      <w:keepLines/>
      <w:tabs>
        <w:tab w:val="left" w:pos="1152"/>
      </w:tabs>
      <w:spacing w:before="240" w:after="64" w:line="316" w:lineRule="auto"/>
      <w:ind w:left="1152" w:right="0" w:hanging="1152"/>
      <w:outlineLvl w:val="5"/>
    </w:pPr>
    <w:rPr>
      <w:rFonts w:ascii="Arial" w:hAnsi="Arial" w:eastAsia="黑体" w:cs="Arial"/>
      <w:b/>
      <w:sz w:val="24"/>
    </w:rPr>
  </w:style>
  <w:style w:type="character" w:default="1" w:styleId="41">
    <w:name w:val="Default Paragraph Font"/>
    <w:qFormat/>
    <w:uiPriority w:val="1"/>
  </w:style>
  <w:style w:type="table" w:default="1" w:styleId="39">
    <w:name w:val="Normal Table"/>
    <w:qFormat/>
    <w:uiPriority w:val="99"/>
    <w:tblPr>
      <w:tblCellMar>
        <w:top w:w="0" w:type="dxa"/>
        <w:left w:w="108" w:type="dxa"/>
        <w:bottom w:w="0" w:type="dxa"/>
        <w:right w:w="108" w:type="dxa"/>
      </w:tblCellMar>
    </w:tblPr>
  </w:style>
  <w:style w:type="paragraph" w:customStyle="1" w:styleId="5">
    <w:name w:val="样式 正文缩进 + 首行缩进:  2 字符"/>
    <w:qFormat/>
    <w:uiPriority w:val="2"/>
    <w:pPr>
      <w:widowControl/>
      <w:suppressAutoHyphens/>
      <w:bidi w:val="0"/>
      <w:spacing w:line="360" w:lineRule="auto"/>
      <w:ind w:left="0" w:right="0" w:firstLine="200"/>
    </w:pPr>
    <w:rPr>
      <w:rFonts w:ascii="Times New Roman" w:hAnsi="Times New Roman" w:eastAsia="Times New Roman" w:cs="Times New Roman"/>
      <w:color w:val="auto"/>
      <w:sz w:val="24"/>
      <w:szCs w:val="20"/>
      <w:lang w:val="en-US" w:eastAsia="zh-CN" w:bidi="hi-IN"/>
    </w:rPr>
  </w:style>
  <w:style w:type="paragraph" w:styleId="9">
    <w:name w:val="List 3"/>
    <w:basedOn w:val="1"/>
    <w:qFormat/>
    <w:uiPriority w:val="0"/>
    <w:pPr>
      <w:ind w:left="100" w:leftChars="400" w:hanging="200" w:hangingChars="200"/>
    </w:pPr>
    <w:rPr>
      <w:rFonts w:ascii="Times New Roman"/>
      <w:bCs w:val="0"/>
      <w:sz w:val="21"/>
    </w:rPr>
  </w:style>
  <w:style w:type="paragraph" w:styleId="10">
    <w:name w:val="table of authorities"/>
    <w:basedOn w:val="1"/>
    <w:next w:val="1"/>
    <w:qFormat/>
    <w:uiPriority w:val="0"/>
    <w:pPr>
      <w:spacing w:before="156" w:beforeLines="50" w:after="156" w:afterLines="50" w:line="360" w:lineRule="auto"/>
      <w:ind w:left="420" w:leftChars="200" w:firstLine="480" w:firstLineChars="200"/>
    </w:pPr>
    <w:rPr>
      <w:rFonts w:ascii="Times New Roman" w:hAnsi="Times New Roman"/>
      <w:sz w:val="24"/>
      <w:szCs w:val="20"/>
    </w:rPr>
  </w:style>
  <w:style w:type="paragraph" w:styleId="11">
    <w:name w:val="Normal Indent"/>
    <w:basedOn w:val="1"/>
    <w:qFormat/>
    <w:uiPriority w:val="0"/>
    <w:pPr>
      <w:ind w:firstLine="420"/>
    </w:pPr>
    <w:rPr>
      <w:rFonts w:ascii="Times New Roman"/>
      <w:bCs w:val="0"/>
      <w:sz w:val="21"/>
      <w:szCs w:val="20"/>
    </w:rPr>
  </w:style>
  <w:style w:type="paragraph" w:styleId="12">
    <w:name w:val="caption"/>
    <w:basedOn w:val="1"/>
    <w:next w:val="1"/>
    <w:qFormat/>
    <w:uiPriority w:val="99"/>
    <w:pPr>
      <w:spacing w:before="152" w:after="160"/>
    </w:pPr>
    <w:rPr>
      <w:rFonts w:ascii="Arial" w:hAnsi="Arial" w:eastAsia="黑体" w:cs="Arial"/>
      <w:bCs w:val="0"/>
      <w:sz w:val="20"/>
      <w:szCs w:val="20"/>
    </w:rPr>
  </w:style>
  <w:style w:type="paragraph" w:styleId="13">
    <w:name w:val="Document Map"/>
    <w:basedOn w:val="1"/>
    <w:link w:val="66"/>
    <w:qFormat/>
    <w:uiPriority w:val="99"/>
    <w:rPr>
      <w:sz w:val="18"/>
      <w:szCs w:val="18"/>
    </w:rPr>
  </w:style>
  <w:style w:type="paragraph" w:styleId="14">
    <w:name w:val="toa heading"/>
    <w:basedOn w:val="1"/>
    <w:next w:val="1"/>
    <w:qFormat/>
    <w:uiPriority w:val="0"/>
    <w:pPr>
      <w:spacing w:before="120"/>
    </w:pPr>
    <w:rPr>
      <w:rFonts w:ascii="Arial" w:hAnsi="Arial" w:cs="Arial"/>
      <w:bCs w:val="0"/>
      <w:sz w:val="24"/>
    </w:rPr>
  </w:style>
  <w:style w:type="paragraph" w:styleId="15">
    <w:name w:val="annotation text"/>
    <w:basedOn w:val="1"/>
    <w:link w:val="137"/>
    <w:qFormat/>
    <w:uiPriority w:val="0"/>
    <w:pPr>
      <w:jc w:val="left"/>
    </w:pPr>
  </w:style>
  <w:style w:type="paragraph" w:styleId="16">
    <w:name w:val="Body Text"/>
    <w:basedOn w:val="1"/>
    <w:next w:val="1"/>
    <w:link w:val="53"/>
    <w:qFormat/>
    <w:uiPriority w:val="0"/>
    <w:rPr>
      <w:rFonts w:hAnsi="宋体"/>
      <w:sz w:val="32"/>
      <w:szCs w:val="20"/>
    </w:rPr>
  </w:style>
  <w:style w:type="paragraph" w:styleId="17">
    <w:name w:val="Body Text Indent"/>
    <w:basedOn w:val="1"/>
    <w:next w:val="18"/>
    <w:link w:val="54"/>
    <w:qFormat/>
    <w:uiPriority w:val="0"/>
    <w:pPr>
      <w:spacing w:line="480" w:lineRule="exact"/>
      <w:ind w:firstLine="538" w:firstLineChars="192"/>
      <w:jc w:val="left"/>
    </w:pPr>
    <w:rPr>
      <w:bCs w:val="0"/>
    </w:rPr>
  </w:style>
  <w:style w:type="paragraph" w:styleId="18">
    <w:name w:val="envelope return"/>
    <w:basedOn w:val="1"/>
    <w:qFormat/>
    <w:uiPriority w:val="0"/>
    <w:pPr>
      <w:snapToGrid w:val="0"/>
    </w:pPr>
    <w:rPr>
      <w:rFonts w:ascii="Arial" w:hAnsi="Arial"/>
    </w:rPr>
  </w:style>
  <w:style w:type="paragraph" w:styleId="19">
    <w:name w:val="List 2"/>
    <w:basedOn w:val="1"/>
    <w:qFormat/>
    <w:uiPriority w:val="0"/>
    <w:pPr>
      <w:ind w:left="100" w:leftChars="200" w:hanging="200" w:hangingChars="200"/>
    </w:pPr>
    <w:rPr>
      <w:rFonts w:ascii="Times New Roman"/>
      <w:bCs w:val="0"/>
      <w:sz w:val="21"/>
    </w:rPr>
  </w:style>
  <w:style w:type="paragraph" w:styleId="20">
    <w:name w:val="index 4"/>
    <w:basedOn w:val="1"/>
    <w:next w:val="1"/>
    <w:qFormat/>
    <w:uiPriority w:val="0"/>
    <w:pPr>
      <w:ind w:left="428" w:firstLine="140"/>
    </w:pPr>
    <w:rPr>
      <w:rFonts w:eastAsia="华文仿宋"/>
      <w:sz w:val="28"/>
    </w:rPr>
  </w:style>
  <w:style w:type="paragraph" w:styleId="21">
    <w:name w:val="toc 3"/>
    <w:basedOn w:val="1"/>
    <w:next w:val="1"/>
    <w:qFormat/>
    <w:uiPriority w:val="39"/>
    <w:pPr>
      <w:ind w:left="840" w:leftChars="400"/>
    </w:pPr>
  </w:style>
  <w:style w:type="paragraph" w:styleId="22">
    <w:name w:val="Plain Text"/>
    <w:basedOn w:val="1"/>
    <w:link w:val="74"/>
    <w:qFormat/>
    <w:uiPriority w:val="0"/>
    <w:rPr>
      <w:rFonts w:hAnsi="Courier New"/>
      <w:bCs w:val="0"/>
      <w:sz w:val="21"/>
      <w:szCs w:val="20"/>
    </w:rPr>
  </w:style>
  <w:style w:type="paragraph" w:styleId="23">
    <w:name w:val="Date"/>
    <w:basedOn w:val="1"/>
    <w:next w:val="1"/>
    <w:link w:val="69"/>
    <w:qFormat/>
    <w:uiPriority w:val="99"/>
    <w:pPr>
      <w:ind w:left="100" w:leftChars="2500"/>
    </w:pPr>
  </w:style>
  <w:style w:type="paragraph" w:styleId="24">
    <w:name w:val="Body Text Indent 2"/>
    <w:basedOn w:val="1"/>
    <w:link w:val="56"/>
    <w:qFormat/>
    <w:uiPriority w:val="0"/>
    <w:pPr>
      <w:spacing w:line="480" w:lineRule="exact"/>
      <w:ind w:firstLine="241" w:firstLineChars="100"/>
      <w:jc w:val="left"/>
    </w:pPr>
    <w:rPr>
      <w:rFonts w:ascii="黑体" w:hAnsi="宋体" w:eastAsia="黑体"/>
      <w:b/>
      <w:sz w:val="24"/>
    </w:rPr>
  </w:style>
  <w:style w:type="paragraph" w:styleId="25">
    <w:name w:val="Balloon Text"/>
    <w:basedOn w:val="1"/>
    <w:link w:val="80"/>
    <w:qFormat/>
    <w:uiPriority w:val="0"/>
    <w:rPr>
      <w:rFonts w:ascii="Times New Roman"/>
      <w:bCs w:val="0"/>
      <w:sz w:val="18"/>
      <w:szCs w:val="18"/>
    </w:rPr>
  </w:style>
  <w:style w:type="paragraph" w:styleId="26">
    <w:name w:val="footer"/>
    <w:basedOn w:val="1"/>
    <w:link w:val="67"/>
    <w:qFormat/>
    <w:uiPriority w:val="99"/>
    <w:pPr>
      <w:tabs>
        <w:tab w:val="center" w:pos="4153"/>
        <w:tab w:val="right" w:pos="8306"/>
      </w:tabs>
      <w:snapToGrid w:val="0"/>
      <w:jc w:val="left"/>
    </w:pPr>
    <w:rPr>
      <w:rFonts w:ascii="Times New Roman"/>
      <w:bCs w:val="0"/>
      <w:sz w:val="18"/>
      <w:szCs w:val="18"/>
    </w:rPr>
  </w:style>
  <w:style w:type="paragraph" w:styleId="27">
    <w:name w:val="header"/>
    <w:basedOn w:val="1"/>
    <w:link w:val="68"/>
    <w:qFormat/>
    <w:uiPriority w:val="99"/>
    <w:pPr>
      <w:pBdr>
        <w:bottom w:val="single" w:color="auto" w:sz="6" w:space="1"/>
      </w:pBdr>
      <w:tabs>
        <w:tab w:val="center" w:pos="4153"/>
        <w:tab w:val="right" w:pos="8306"/>
      </w:tabs>
      <w:snapToGrid w:val="0"/>
      <w:jc w:val="center"/>
    </w:pPr>
    <w:rPr>
      <w:rFonts w:ascii="Times New Roman"/>
      <w:bCs w:val="0"/>
      <w:sz w:val="18"/>
      <w:szCs w:val="18"/>
    </w:rPr>
  </w:style>
  <w:style w:type="paragraph" w:styleId="28">
    <w:name w:val="toc 1"/>
    <w:basedOn w:val="1"/>
    <w:next w:val="1"/>
    <w:qFormat/>
    <w:uiPriority w:val="39"/>
  </w:style>
  <w:style w:type="paragraph" w:styleId="29">
    <w:name w:val="Subtitle"/>
    <w:basedOn w:val="1"/>
    <w:next w:val="1"/>
    <w:link w:val="81"/>
    <w:qFormat/>
    <w:uiPriority w:val="0"/>
    <w:pPr>
      <w:spacing w:before="240" w:after="60" w:line="312" w:lineRule="auto"/>
      <w:jc w:val="center"/>
      <w:outlineLvl w:val="1"/>
    </w:pPr>
    <w:rPr>
      <w:rFonts w:ascii="Cambria" w:hAnsi="Cambria"/>
      <w:b/>
      <w:kern w:val="28"/>
      <w:sz w:val="32"/>
      <w:szCs w:val="32"/>
    </w:rPr>
  </w:style>
  <w:style w:type="paragraph" w:styleId="30">
    <w:name w:val="List"/>
    <w:basedOn w:val="1"/>
    <w:qFormat/>
    <w:uiPriority w:val="0"/>
    <w:pPr>
      <w:ind w:left="200" w:hanging="200" w:hangingChars="200"/>
    </w:pPr>
    <w:rPr>
      <w:rFonts w:ascii="Times New Roman"/>
      <w:bCs w:val="0"/>
      <w:sz w:val="21"/>
    </w:rPr>
  </w:style>
  <w:style w:type="paragraph" w:styleId="31">
    <w:name w:val="Body Text Indent 3"/>
    <w:basedOn w:val="1"/>
    <w:link w:val="77"/>
    <w:qFormat/>
    <w:uiPriority w:val="0"/>
    <w:pPr>
      <w:spacing w:line="360" w:lineRule="auto"/>
      <w:ind w:firstLine="480" w:firstLineChars="200"/>
    </w:pPr>
    <w:rPr>
      <w:rFonts w:hAnsi="宋体"/>
      <w:bCs w:val="0"/>
      <w:sz w:val="24"/>
      <w:szCs w:val="20"/>
    </w:rPr>
  </w:style>
  <w:style w:type="paragraph" w:styleId="32">
    <w:name w:val="toc 2"/>
    <w:basedOn w:val="1"/>
    <w:next w:val="1"/>
    <w:qFormat/>
    <w:uiPriority w:val="39"/>
    <w:pPr>
      <w:tabs>
        <w:tab w:val="right" w:leader="dot" w:pos="8857"/>
      </w:tabs>
      <w:spacing w:line="360" w:lineRule="auto"/>
      <w:ind w:left="560" w:leftChars="200"/>
    </w:pPr>
  </w:style>
  <w:style w:type="paragraph" w:styleId="33">
    <w:name w:val="Body Text 2"/>
    <w:basedOn w:val="1"/>
    <w:link w:val="64"/>
    <w:qFormat/>
    <w:uiPriority w:val="0"/>
    <w:pPr>
      <w:spacing w:after="120" w:line="480" w:lineRule="auto"/>
    </w:pPr>
  </w:style>
  <w:style w:type="paragraph" w:styleId="34">
    <w:name w:val="HTML Preformatted"/>
    <w:basedOn w:val="1"/>
    <w:link w:val="6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bCs w:val="0"/>
      <w:kern w:val="0"/>
      <w:sz w:val="24"/>
    </w:rPr>
  </w:style>
  <w:style w:type="paragraph" w:styleId="35">
    <w:name w:val="Normal (Web)"/>
    <w:basedOn w:val="1"/>
    <w:qFormat/>
    <w:uiPriority w:val="99"/>
    <w:pPr>
      <w:widowControl/>
      <w:spacing w:before="100" w:beforeAutospacing="1" w:after="100" w:afterAutospacing="1"/>
      <w:jc w:val="left"/>
    </w:pPr>
    <w:rPr>
      <w:rFonts w:ascii="Arial Unicode MS" w:hAnsi="Arial Unicode MS" w:eastAsia="Arial Unicode MS" w:cs="Arial Unicode MS"/>
      <w:bCs w:val="0"/>
      <w:kern w:val="0"/>
      <w:sz w:val="24"/>
    </w:rPr>
  </w:style>
  <w:style w:type="paragraph" w:styleId="36">
    <w:name w:val="Title"/>
    <w:basedOn w:val="1"/>
    <w:next w:val="1"/>
    <w:link w:val="78"/>
    <w:qFormat/>
    <w:uiPriority w:val="0"/>
    <w:pPr>
      <w:spacing w:before="240" w:after="60"/>
      <w:jc w:val="left"/>
      <w:outlineLvl w:val="0"/>
    </w:pPr>
    <w:rPr>
      <w:rFonts w:ascii="Cambria" w:hAnsi="Cambria"/>
      <w:b/>
      <w:szCs w:val="32"/>
    </w:rPr>
  </w:style>
  <w:style w:type="paragraph" w:styleId="37">
    <w:name w:val="annotation subject"/>
    <w:basedOn w:val="15"/>
    <w:next w:val="15"/>
    <w:qFormat/>
    <w:uiPriority w:val="0"/>
    <w:rPr>
      <w:b/>
    </w:rPr>
  </w:style>
  <w:style w:type="paragraph" w:styleId="38">
    <w:name w:val="Body Text First Indent 2"/>
    <w:basedOn w:val="17"/>
    <w:next w:val="1"/>
    <w:qFormat/>
    <w:uiPriority w:val="99"/>
    <w:pPr>
      <w:ind w:firstLine="420"/>
    </w:p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Emphasis"/>
    <w:qFormat/>
    <w:uiPriority w:val="0"/>
  </w:style>
  <w:style w:type="character" w:styleId="46">
    <w:name w:val="line number"/>
    <w:basedOn w:val="41"/>
    <w:qFormat/>
    <w:uiPriority w:val="0"/>
  </w:style>
  <w:style w:type="character" w:styleId="47">
    <w:name w:val="Hyperlink"/>
    <w:qFormat/>
    <w:uiPriority w:val="99"/>
    <w:rPr>
      <w:color w:val="0000FF"/>
      <w:u w:val="single"/>
    </w:rPr>
  </w:style>
  <w:style w:type="character" w:styleId="48">
    <w:name w:val="annotation reference"/>
    <w:qFormat/>
    <w:uiPriority w:val="99"/>
    <w:rPr>
      <w:sz w:val="21"/>
      <w:szCs w:val="21"/>
    </w:rPr>
  </w:style>
  <w:style w:type="paragraph" w:customStyle="1" w:styleId="49">
    <w:name w:val="样式 样式 左侧:  2 字符 + 左侧:  0.85 厘米 首行缩进:  2 字符1"/>
    <w:basedOn w:val="1"/>
    <w:qFormat/>
    <w:uiPriority w:val="0"/>
    <w:pPr>
      <w:ind w:left="482" w:firstLine="200" w:firstLineChars="200"/>
    </w:pPr>
    <w:rPr>
      <w:rFonts w:cs="宋体"/>
      <w:szCs w:val="20"/>
    </w:rPr>
  </w:style>
  <w:style w:type="paragraph" w:customStyle="1" w:styleId="50">
    <w:name w:val="列出段落1"/>
    <w:basedOn w:val="1"/>
    <w:qFormat/>
    <w:uiPriority w:val="0"/>
    <w:pPr>
      <w:widowControl/>
      <w:spacing w:after="200" w:line="276" w:lineRule="auto"/>
      <w:ind w:left="720"/>
      <w:contextualSpacing/>
      <w:jc w:val="left"/>
    </w:pPr>
    <w:rPr>
      <w:rFonts w:ascii="Arial" w:hAnsi="Arial"/>
      <w:bCs w:val="0"/>
      <w:kern w:val="0"/>
      <w:sz w:val="20"/>
      <w:szCs w:val="22"/>
      <w:lang w:eastAsia="de-CH"/>
    </w:rPr>
  </w:style>
  <w:style w:type="paragraph" w:customStyle="1" w:styleId="5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52">
    <w:name w:val="unnamed11"/>
    <w:qFormat/>
    <w:uiPriority w:val="0"/>
    <w:rPr>
      <w:spacing w:val="340"/>
      <w:sz w:val="18"/>
      <w:szCs w:val="18"/>
    </w:rPr>
  </w:style>
  <w:style w:type="character" w:customStyle="1" w:styleId="53">
    <w:name w:val="正文文本 Char"/>
    <w:link w:val="16"/>
    <w:qFormat/>
    <w:uiPriority w:val="0"/>
    <w:rPr>
      <w:rFonts w:ascii="宋体" w:hAnsi="宋体"/>
      <w:bCs/>
      <w:kern w:val="2"/>
      <w:sz w:val="32"/>
    </w:rPr>
  </w:style>
  <w:style w:type="character" w:customStyle="1" w:styleId="54">
    <w:name w:val="正文文本缩进 Char"/>
    <w:link w:val="17"/>
    <w:qFormat/>
    <w:uiPriority w:val="0"/>
    <w:rPr>
      <w:rFonts w:ascii="宋体"/>
      <w:kern w:val="2"/>
      <w:sz w:val="28"/>
      <w:szCs w:val="24"/>
    </w:rPr>
  </w:style>
  <w:style w:type="character" w:customStyle="1" w:styleId="55">
    <w:name w:val="14"/>
    <w:basedOn w:val="41"/>
    <w:qFormat/>
    <w:uiPriority w:val="0"/>
  </w:style>
  <w:style w:type="character" w:customStyle="1" w:styleId="56">
    <w:name w:val="正文文本缩进 2 Char"/>
    <w:link w:val="24"/>
    <w:qFormat/>
    <w:uiPriority w:val="0"/>
    <w:rPr>
      <w:rFonts w:ascii="黑体" w:hAnsi="宋体" w:eastAsia="黑体"/>
      <w:b/>
      <w:bCs/>
      <w:kern w:val="2"/>
      <w:sz w:val="24"/>
      <w:szCs w:val="24"/>
      <w:lang w:val="en-US" w:eastAsia="zh-CN"/>
    </w:rPr>
  </w:style>
  <w:style w:type="character" w:customStyle="1" w:styleId="57">
    <w:name w:val="列出段落 Char"/>
    <w:link w:val="58"/>
    <w:qFormat/>
    <w:uiPriority w:val="34"/>
    <w:rPr>
      <w:kern w:val="2"/>
      <w:sz w:val="21"/>
    </w:rPr>
  </w:style>
  <w:style w:type="paragraph" w:customStyle="1" w:styleId="58">
    <w:name w:val="List Paragraph"/>
    <w:basedOn w:val="1"/>
    <w:link w:val="57"/>
    <w:qFormat/>
    <w:uiPriority w:val="34"/>
    <w:pPr>
      <w:ind w:firstLine="420" w:firstLineChars="200"/>
    </w:pPr>
    <w:rPr>
      <w:rFonts w:ascii="Times New Roman"/>
      <w:bCs w:val="0"/>
      <w:sz w:val="21"/>
      <w:szCs w:val="20"/>
    </w:rPr>
  </w:style>
  <w:style w:type="character" w:customStyle="1" w:styleId="59">
    <w:name w:val="Char Char6"/>
    <w:qFormat/>
    <w:uiPriority w:val="0"/>
    <w:rPr>
      <w:rFonts w:ascii="宋体" w:hAnsi="宋体" w:eastAsia="宋体"/>
      <w:kern w:val="2"/>
      <w:sz w:val="24"/>
      <w:lang w:val="en-US" w:eastAsia="zh-CN" w:bidi="ar-SA"/>
    </w:rPr>
  </w:style>
  <w:style w:type="character" w:customStyle="1" w:styleId="60">
    <w:name w:val="Char Char"/>
    <w:qFormat/>
    <w:uiPriority w:val="0"/>
    <w:rPr>
      <w:rFonts w:ascii="宋体" w:hAnsi="宋体" w:eastAsia="宋体" w:cs="宋体"/>
      <w:sz w:val="24"/>
      <w:szCs w:val="24"/>
      <w:lang w:val="en-US" w:eastAsia="zh-CN" w:bidi="ar-SA"/>
    </w:rPr>
  </w:style>
  <w:style w:type="character" w:customStyle="1" w:styleId="61">
    <w:name w:val="标题 4 Char"/>
    <w:link w:val="6"/>
    <w:qFormat/>
    <w:uiPriority w:val="0"/>
    <w:rPr>
      <w:rFonts w:ascii="Cambria" w:hAnsi="Cambria" w:eastAsia="宋体" w:cs="Times New Roman"/>
      <w:b/>
      <w:bCs/>
      <w:kern w:val="2"/>
      <w:sz w:val="28"/>
      <w:szCs w:val="28"/>
    </w:rPr>
  </w:style>
  <w:style w:type="character" w:customStyle="1" w:styleId="62">
    <w:name w:val="样式 仿宋"/>
    <w:qFormat/>
    <w:uiPriority w:val="0"/>
    <w:rPr>
      <w:rFonts w:ascii="仿宋" w:hAnsi="仿宋" w:eastAsia="仿宋"/>
      <w:kern w:val="1"/>
    </w:rPr>
  </w:style>
  <w:style w:type="character" w:customStyle="1" w:styleId="63">
    <w:name w:val="ziti1"/>
    <w:basedOn w:val="41"/>
    <w:qFormat/>
    <w:uiPriority w:val="0"/>
  </w:style>
  <w:style w:type="character" w:customStyle="1" w:styleId="64">
    <w:name w:val="正文文本 2 Char"/>
    <w:link w:val="33"/>
    <w:qFormat/>
    <w:uiPriority w:val="0"/>
    <w:rPr>
      <w:rFonts w:ascii="宋体"/>
      <w:bCs/>
      <w:kern w:val="2"/>
      <w:sz w:val="28"/>
      <w:szCs w:val="24"/>
    </w:rPr>
  </w:style>
  <w:style w:type="character" w:customStyle="1" w:styleId="65">
    <w:name w:val="HTML 预设格式 Char"/>
    <w:link w:val="34"/>
    <w:qFormat/>
    <w:uiPriority w:val="0"/>
    <w:rPr>
      <w:rFonts w:ascii="宋体" w:hAnsi="宋体" w:cs="宋体"/>
      <w:sz w:val="24"/>
      <w:szCs w:val="24"/>
    </w:rPr>
  </w:style>
  <w:style w:type="character" w:customStyle="1" w:styleId="66">
    <w:name w:val="文档结构图 Char"/>
    <w:link w:val="13"/>
    <w:qFormat/>
    <w:uiPriority w:val="99"/>
    <w:rPr>
      <w:rFonts w:ascii="宋体"/>
      <w:bCs/>
      <w:kern w:val="2"/>
      <w:sz w:val="18"/>
      <w:szCs w:val="18"/>
    </w:rPr>
  </w:style>
  <w:style w:type="character" w:customStyle="1" w:styleId="67">
    <w:name w:val="页脚 Char"/>
    <w:link w:val="26"/>
    <w:qFormat/>
    <w:uiPriority w:val="99"/>
    <w:rPr>
      <w:kern w:val="2"/>
      <w:sz w:val="18"/>
      <w:szCs w:val="18"/>
    </w:rPr>
  </w:style>
  <w:style w:type="character" w:customStyle="1" w:styleId="68">
    <w:name w:val="页眉 Char"/>
    <w:link w:val="27"/>
    <w:qFormat/>
    <w:uiPriority w:val="99"/>
    <w:rPr>
      <w:kern w:val="2"/>
      <w:sz w:val="18"/>
      <w:szCs w:val="18"/>
    </w:rPr>
  </w:style>
  <w:style w:type="character" w:customStyle="1" w:styleId="69">
    <w:name w:val="日期 Char"/>
    <w:link w:val="23"/>
    <w:qFormat/>
    <w:uiPriority w:val="99"/>
    <w:rPr>
      <w:rFonts w:ascii="宋体"/>
      <w:bCs/>
      <w:kern w:val="2"/>
      <w:sz w:val="28"/>
      <w:szCs w:val="24"/>
    </w:rPr>
  </w:style>
  <w:style w:type="character" w:customStyle="1" w:styleId="70">
    <w:name w:val="标题 1 Char"/>
    <w:link w:val="2"/>
    <w:qFormat/>
    <w:uiPriority w:val="0"/>
    <w:rPr>
      <w:rFonts w:ascii="宋体"/>
      <w:b/>
      <w:bCs/>
      <w:kern w:val="44"/>
      <w:sz w:val="36"/>
      <w:szCs w:val="44"/>
    </w:rPr>
  </w:style>
  <w:style w:type="character" w:customStyle="1" w:styleId="71">
    <w:name w:val="样式3 Char"/>
    <w:link w:val="72"/>
    <w:qFormat/>
    <w:uiPriority w:val="0"/>
    <w:rPr>
      <w:rFonts w:ascii="宋体" w:hAnsi="宋体"/>
      <w:kern w:val="2"/>
      <w:sz w:val="21"/>
      <w:szCs w:val="24"/>
    </w:rPr>
  </w:style>
  <w:style w:type="paragraph" w:customStyle="1" w:styleId="72">
    <w:name w:val="样式3"/>
    <w:basedOn w:val="1"/>
    <w:link w:val="71"/>
    <w:qFormat/>
    <w:uiPriority w:val="0"/>
    <w:rPr>
      <w:rFonts w:hAnsi="宋体"/>
      <w:bCs w:val="0"/>
      <w:sz w:val="21"/>
    </w:rPr>
  </w:style>
  <w:style w:type="character" w:customStyle="1" w:styleId="73">
    <w:name w:val="标题 2 Char"/>
    <w:link w:val="3"/>
    <w:qFormat/>
    <w:uiPriority w:val="0"/>
    <w:rPr>
      <w:rFonts w:ascii="宋体" w:hAnsi="宋体" w:cs="宋体"/>
      <w:b/>
      <w:bCs/>
      <w:sz w:val="28"/>
      <w:szCs w:val="36"/>
    </w:rPr>
  </w:style>
  <w:style w:type="character" w:customStyle="1" w:styleId="74">
    <w:name w:val="纯文本 Char"/>
    <w:link w:val="22"/>
    <w:qFormat/>
    <w:uiPriority w:val="0"/>
    <w:rPr>
      <w:rFonts w:ascii="宋体" w:hAnsi="Courier New"/>
      <w:kern w:val="2"/>
      <w:sz w:val="21"/>
    </w:rPr>
  </w:style>
  <w:style w:type="character" w:customStyle="1" w:styleId="75">
    <w:name w:val="2级标题 Char"/>
    <w:link w:val="76"/>
    <w:qFormat/>
    <w:uiPriority w:val="0"/>
    <w:rPr>
      <w:rFonts w:ascii="宋体" w:hAnsi="宋体"/>
      <w:b/>
      <w:bCs/>
      <w:color w:val="000000"/>
      <w:kern w:val="2"/>
      <w:sz w:val="24"/>
      <w:szCs w:val="24"/>
    </w:rPr>
  </w:style>
  <w:style w:type="paragraph" w:customStyle="1" w:styleId="76">
    <w:name w:val="2级标题"/>
    <w:basedOn w:val="1"/>
    <w:link w:val="75"/>
    <w:qFormat/>
    <w:uiPriority w:val="0"/>
    <w:pPr>
      <w:spacing w:line="480" w:lineRule="exact"/>
      <w:ind w:firstLine="482" w:firstLineChars="200"/>
    </w:pPr>
    <w:rPr>
      <w:rFonts w:hAnsi="宋体"/>
      <w:b/>
      <w:color w:val="000000"/>
      <w:sz w:val="24"/>
    </w:rPr>
  </w:style>
  <w:style w:type="character" w:customStyle="1" w:styleId="77">
    <w:name w:val="正文文本缩进 3 Char"/>
    <w:link w:val="31"/>
    <w:qFormat/>
    <w:uiPriority w:val="0"/>
    <w:rPr>
      <w:rFonts w:ascii="宋体" w:hAnsi="宋体"/>
      <w:kern w:val="2"/>
      <w:sz w:val="24"/>
    </w:rPr>
  </w:style>
  <w:style w:type="character" w:customStyle="1" w:styleId="78">
    <w:name w:val="标题 Char"/>
    <w:link w:val="36"/>
    <w:qFormat/>
    <w:uiPriority w:val="0"/>
    <w:rPr>
      <w:rFonts w:ascii="Cambria" w:hAnsi="Cambria"/>
      <w:b/>
      <w:bCs/>
      <w:kern w:val="2"/>
      <w:sz w:val="28"/>
      <w:szCs w:val="32"/>
    </w:rPr>
  </w:style>
  <w:style w:type="character" w:customStyle="1" w:styleId="79">
    <w:name w:val="标题 3 Char"/>
    <w:link w:val="4"/>
    <w:qFormat/>
    <w:uiPriority w:val="0"/>
    <w:rPr>
      <w:rFonts w:eastAsia="黑体"/>
      <w:bCs/>
      <w:kern w:val="2"/>
      <w:sz w:val="24"/>
      <w:szCs w:val="32"/>
    </w:rPr>
  </w:style>
  <w:style w:type="character" w:customStyle="1" w:styleId="80">
    <w:name w:val="批注框文本 Char"/>
    <w:link w:val="25"/>
    <w:qFormat/>
    <w:uiPriority w:val="0"/>
    <w:rPr>
      <w:kern w:val="2"/>
      <w:sz w:val="18"/>
      <w:szCs w:val="18"/>
    </w:rPr>
  </w:style>
  <w:style w:type="character" w:customStyle="1" w:styleId="81">
    <w:name w:val="副标题 Char"/>
    <w:link w:val="29"/>
    <w:qFormat/>
    <w:uiPriority w:val="0"/>
    <w:rPr>
      <w:rFonts w:ascii="Cambria" w:hAnsi="Cambria" w:cs="Times New Roman"/>
      <w:b/>
      <w:bCs/>
      <w:kern w:val="28"/>
      <w:sz w:val="32"/>
      <w:szCs w:val="32"/>
    </w:rPr>
  </w:style>
  <w:style w:type="character" w:customStyle="1" w:styleId="82">
    <w:name w:val="font14px1"/>
    <w:qFormat/>
    <w:uiPriority w:val="0"/>
    <w:rPr>
      <w:sz w:val="21"/>
      <w:szCs w:val="21"/>
    </w:rPr>
  </w:style>
  <w:style w:type="character" w:customStyle="1" w:styleId="83">
    <w:name w:val="apple-style-span"/>
    <w:basedOn w:val="41"/>
    <w:qFormat/>
    <w:uiPriority w:val="0"/>
  </w:style>
  <w:style w:type="paragraph" w:customStyle="1" w:styleId="84">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8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86">
    <w:name w:val="font9"/>
    <w:basedOn w:val="1"/>
    <w:qFormat/>
    <w:uiPriority w:val="0"/>
    <w:pPr>
      <w:widowControl/>
      <w:spacing w:before="100" w:beforeAutospacing="1" w:after="100" w:afterAutospacing="1"/>
      <w:jc w:val="left"/>
    </w:pPr>
    <w:rPr>
      <w:rFonts w:ascii="Times New Roman"/>
      <w:bCs w:val="0"/>
      <w:kern w:val="0"/>
      <w:sz w:val="20"/>
      <w:szCs w:val="20"/>
    </w:rPr>
  </w:style>
  <w:style w:type="paragraph" w:customStyle="1" w:styleId="8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bCs w:val="0"/>
      <w:kern w:val="0"/>
      <w:sz w:val="20"/>
      <w:szCs w:val="20"/>
    </w:rPr>
  </w:style>
  <w:style w:type="paragraph" w:customStyle="1" w:styleId="88">
    <w:name w:val="ÕýÎÄ"/>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89">
    <w:name w:val="Char Char1 Char Char"/>
    <w:basedOn w:val="1"/>
    <w:qFormat/>
    <w:uiPriority w:val="0"/>
    <w:rPr>
      <w:rFonts w:ascii="Tahoma" w:hAnsi="Tahoma"/>
      <w:bCs w:val="0"/>
      <w:sz w:val="24"/>
      <w:szCs w:val="20"/>
    </w:rPr>
  </w:style>
  <w:style w:type="paragraph" w:customStyle="1" w:styleId="90">
    <w:name w:val="默认段落字体 Para Char Char Char Char Char Char Char Char Char Char Char Char Char Char Char Char"/>
    <w:basedOn w:val="1"/>
    <w:qFormat/>
    <w:uiPriority w:val="0"/>
    <w:rPr>
      <w:rFonts w:ascii="Tahoma" w:hAnsi="Tahoma"/>
      <w:bCs w:val="0"/>
      <w:sz w:val="24"/>
      <w:szCs w:val="20"/>
    </w:rPr>
  </w:style>
  <w:style w:type="paragraph" w:customStyle="1" w:styleId="91">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4"/>
    </w:rPr>
  </w:style>
  <w:style w:type="paragraph" w:customStyle="1" w:styleId="92">
    <w:name w:val="p0"/>
    <w:basedOn w:val="1"/>
    <w:qFormat/>
    <w:uiPriority w:val="0"/>
    <w:pPr>
      <w:widowControl/>
    </w:pPr>
    <w:rPr>
      <w:rFonts w:ascii="Calibri" w:hAnsi="Calibri" w:cs="宋体"/>
      <w:bCs w:val="0"/>
      <w:kern w:val="0"/>
      <w:sz w:val="21"/>
      <w:szCs w:val="21"/>
    </w:rPr>
  </w:style>
  <w:style w:type="paragraph" w:customStyle="1" w:styleId="93">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94">
    <w:name w:val="font5"/>
    <w:basedOn w:val="1"/>
    <w:qFormat/>
    <w:uiPriority w:val="0"/>
    <w:pPr>
      <w:widowControl/>
      <w:spacing w:before="100" w:beforeAutospacing="1" w:after="100" w:afterAutospacing="1"/>
      <w:jc w:val="left"/>
    </w:pPr>
    <w:rPr>
      <w:rFonts w:hint="eastAsia" w:hAnsi="宋体"/>
      <w:bCs w:val="0"/>
      <w:kern w:val="0"/>
      <w:sz w:val="24"/>
    </w:rPr>
  </w:style>
  <w:style w:type="paragraph" w:customStyle="1" w:styleId="95">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bCs w:val="0"/>
      <w:kern w:val="0"/>
      <w:sz w:val="20"/>
      <w:szCs w:val="20"/>
    </w:rPr>
  </w:style>
  <w:style w:type="paragraph" w:customStyle="1" w:styleId="97">
    <w:name w:val="Char1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98">
    <w:name w:val="列出段落2"/>
    <w:basedOn w:val="1"/>
    <w:qFormat/>
    <w:uiPriority w:val="34"/>
    <w:pPr>
      <w:widowControl/>
      <w:spacing w:before="100" w:beforeAutospacing="1" w:after="100" w:afterAutospacing="1"/>
      <w:jc w:val="left"/>
    </w:pPr>
    <w:rPr>
      <w:rFonts w:hAnsi="宋体" w:cs="宋体"/>
      <w:bCs w:val="0"/>
      <w:kern w:val="0"/>
      <w:sz w:val="24"/>
    </w:rPr>
  </w:style>
  <w:style w:type="paragraph" w:customStyle="1" w:styleId="99">
    <w:name w:val="批注框文本1"/>
    <w:basedOn w:val="1"/>
    <w:qFormat/>
    <w:uiPriority w:val="0"/>
    <w:rPr>
      <w:rFonts w:hint="eastAsia" w:ascii="Times New Roman"/>
      <w:bCs w:val="0"/>
      <w:sz w:val="18"/>
      <w:szCs w:val="20"/>
    </w:rPr>
  </w:style>
  <w:style w:type="paragraph" w:customStyle="1" w:styleId="100">
    <w:name w:val="font8"/>
    <w:basedOn w:val="1"/>
    <w:qFormat/>
    <w:uiPriority w:val="0"/>
    <w:pPr>
      <w:widowControl/>
      <w:spacing w:before="100" w:beforeAutospacing="1" w:after="100" w:afterAutospacing="1"/>
      <w:jc w:val="left"/>
    </w:pPr>
    <w:rPr>
      <w:rFonts w:hint="eastAsia" w:hAnsi="宋体"/>
      <w:bCs w:val="0"/>
      <w:kern w:val="0"/>
      <w:sz w:val="20"/>
      <w:szCs w:val="20"/>
    </w:rPr>
  </w:style>
  <w:style w:type="paragraph" w:customStyle="1" w:styleId="10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0"/>
      <w:szCs w:val="20"/>
    </w:rPr>
  </w:style>
  <w:style w:type="paragraph" w:customStyle="1" w:styleId="102">
    <w:name w:val="标准"/>
    <w:basedOn w:val="1"/>
    <w:qFormat/>
    <w:uiPriority w:val="0"/>
    <w:pPr>
      <w:adjustRightInd w:val="0"/>
      <w:spacing w:before="120" w:after="120" w:line="312" w:lineRule="atLeast"/>
    </w:pPr>
    <w:rPr>
      <w:bCs w:val="0"/>
      <w:kern w:val="0"/>
      <w:sz w:val="21"/>
      <w:szCs w:val="20"/>
    </w:rPr>
  </w:style>
  <w:style w:type="paragraph" w:customStyle="1" w:styleId="103">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4">
    <w:name w:val="Char Char Char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105">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2"/>
      <w:szCs w:val="22"/>
    </w:rPr>
  </w:style>
  <w:style w:type="paragraph" w:customStyle="1" w:styleId="107">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08">
    <w:name w:val="列出段落11"/>
    <w:basedOn w:val="1"/>
    <w:qFormat/>
    <w:uiPriority w:val="34"/>
    <w:pPr>
      <w:ind w:firstLine="420" w:firstLineChars="200"/>
    </w:pPr>
    <w:rPr>
      <w:rFonts w:ascii="Calibri" w:hAnsi="Calibri"/>
      <w:bCs w:val="0"/>
      <w:sz w:val="21"/>
    </w:rPr>
  </w:style>
  <w:style w:type="paragraph" w:customStyle="1" w:styleId="109">
    <w:name w:val="日期11"/>
    <w:basedOn w:val="1"/>
    <w:next w:val="1"/>
    <w:qFormat/>
    <w:uiPriority w:val="0"/>
    <w:pPr>
      <w:widowControl/>
      <w:adjustRightInd w:val="0"/>
      <w:snapToGrid w:val="0"/>
      <w:spacing w:line="520" w:lineRule="atLeast"/>
      <w:ind w:left="100" w:leftChars="2500"/>
    </w:pPr>
    <w:rPr>
      <w:rFonts w:ascii="Calibri" w:hAnsi="Calibri" w:cs="微软雅黑"/>
      <w:bCs w:val="0"/>
      <w:kern w:val="0"/>
      <w:sz w:val="24"/>
      <w:szCs w:val="21"/>
    </w:rPr>
  </w:style>
  <w:style w:type="paragraph" w:customStyle="1" w:styleId="11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2"/>
      <w:szCs w:val="22"/>
    </w:rPr>
  </w:style>
  <w:style w:type="paragraph" w:customStyle="1" w:styleId="111">
    <w:name w:val="Char Char Char Char Char Char Char"/>
    <w:basedOn w:val="1"/>
    <w:qFormat/>
    <w:uiPriority w:val="0"/>
    <w:rPr>
      <w:rFonts w:ascii="Tahoma" w:hAnsi="Tahoma" w:cs="仿宋_GB2312"/>
      <w:bCs w:val="0"/>
      <w:sz w:val="24"/>
      <w:szCs w:val="28"/>
    </w:rPr>
  </w:style>
  <w:style w:type="paragraph" w:customStyle="1" w:styleId="112">
    <w:name w:val="Char1 Char Char Char"/>
    <w:basedOn w:val="1"/>
    <w:qFormat/>
    <w:uiPriority w:val="0"/>
    <w:pPr>
      <w:tabs>
        <w:tab w:val="left" w:pos="900"/>
      </w:tabs>
      <w:spacing w:before="312" w:after="312" w:line="360" w:lineRule="auto"/>
      <w:ind w:left="900" w:hanging="360"/>
    </w:pPr>
    <w:rPr>
      <w:rFonts w:ascii="Times New Roman"/>
      <w:bCs w:val="0"/>
      <w:sz w:val="24"/>
    </w:rPr>
  </w:style>
  <w:style w:type="paragraph" w:customStyle="1" w:styleId="113">
    <w:name w:val="È±Ê¡ÎÄ±¾"/>
    <w:basedOn w:val="1"/>
    <w:qFormat/>
    <w:uiPriority w:val="0"/>
    <w:pPr>
      <w:widowControl/>
      <w:overflowPunct w:val="0"/>
      <w:autoSpaceDE w:val="0"/>
      <w:autoSpaceDN w:val="0"/>
      <w:adjustRightInd w:val="0"/>
      <w:jc w:val="left"/>
      <w:textAlignment w:val="baseline"/>
    </w:pPr>
    <w:rPr>
      <w:bCs w:val="0"/>
      <w:kern w:val="0"/>
      <w:sz w:val="24"/>
      <w:szCs w:val="20"/>
    </w:rPr>
  </w:style>
  <w:style w:type="paragraph" w:customStyle="1" w:styleId="11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15">
    <w:name w:val="font10"/>
    <w:basedOn w:val="1"/>
    <w:qFormat/>
    <w:uiPriority w:val="0"/>
    <w:pPr>
      <w:widowControl/>
      <w:spacing w:before="100" w:beforeAutospacing="1" w:after="100" w:afterAutospacing="1"/>
      <w:jc w:val="left"/>
    </w:pPr>
    <w:rPr>
      <w:rFonts w:ascii="Times New Roman"/>
      <w:bCs w:val="0"/>
      <w:kern w:val="0"/>
      <w:szCs w:val="28"/>
    </w:rPr>
  </w:style>
  <w:style w:type="paragraph" w:customStyle="1" w:styleId="116">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117">
    <w:name w:val="font7"/>
    <w:basedOn w:val="1"/>
    <w:qFormat/>
    <w:uiPriority w:val="0"/>
    <w:pPr>
      <w:widowControl/>
      <w:spacing w:before="100" w:beforeAutospacing="1" w:after="100" w:afterAutospacing="1"/>
      <w:jc w:val="left"/>
    </w:pPr>
    <w:rPr>
      <w:rFonts w:hint="eastAsia" w:hAnsi="宋体"/>
      <w:bCs w:val="0"/>
      <w:kern w:val="0"/>
      <w:szCs w:val="28"/>
    </w:rPr>
  </w:style>
  <w:style w:type="paragraph" w:customStyle="1" w:styleId="118">
    <w:name w:val="样式 仿宋 行距: 1.5 倍行距"/>
    <w:basedOn w:val="1"/>
    <w:qFormat/>
    <w:uiPriority w:val="0"/>
    <w:pPr>
      <w:spacing w:line="360" w:lineRule="auto"/>
    </w:pPr>
    <w:rPr>
      <w:rFonts w:ascii="仿宋" w:hAnsi="仿宋" w:eastAsia="仿宋" w:cs="宋体"/>
      <w:bCs w:val="0"/>
      <w:sz w:val="24"/>
      <w:szCs w:val="20"/>
    </w:rPr>
  </w:style>
  <w:style w:type="paragraph" w:customStyle="1" w:styleId="119">
    <w:name w:val="Char"/>
    <w:basedOn w:val="1"/>
    <w:qFormat/>
    <w:uiPriority w:val="0"/>
    <w:pPr>
      <w:snapToGrid w:val="0"/>
      <w:spacing w:line="360" w:lineRule="auto"/>
      <w:ind w:firstLine="200" w:firstLineChars="200"/>
    </w:pPr>
    <w:rPr>
      <w:rFonts w:ascii="Times New Roman" w:eastAsia="仿宋_GB2312"/>
      <w:bCs w:val="0"/>
      <w:sz w:val="24"/>
    </w:rPr>
  </w:style>
  <w:style w:type="paragraph" w:customStyle="1" w:styleId="120">
    <w:name w:val="TOC 标题1"/>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1">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
      <w:kern w:val="0"/>
      <w:sz w:val="24"/>
    </w:rPr>
  </w:style>
  <w:style w:type="paragraph" w:customStyle="1" w:styleId="12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4"/>
    </w:rPr>
  </w:style>
  <w:style w:type="paragraph" w:customStyle="1" w:styleId="123">
    <w:name w:val="编号行"/>
    <w:basedOn w:val="1"/>
    <w:qFormat/>
    <w:uiPriority w:val="0"/>
    <w:pPr>
      <w:spacing w:line="500" w:lineRule="exact"/>
      <w:jc w:val="left"/>
    </w:pPr>
    <w:rPr>
      <w:rFonts w:hAnsi="宋体" w:cs="宋体"/>
      <w:bCs w:val="0"/>
      <w:sz w:val="24"/>
      <w:lang w:bidi="th-TH"/>
    </w:rPr>
  </w:style>
  <w:style w:type="paragraph" w:customStyle="1" w:styleId="124">
    <w:name w:val="font11"/>
    <w:basedOn w:val="1"/>
    <w:qFormat/>
    <w:uiPriority w:val="0"/>
    <w:pPr>
      <w:widowControl/>
      <w:spacing w:before="100" w:beforeAutospacing="1" w:after="100" w:afterAutospacing="1"/>
      <w:jc w:val="left"/>
    </w:pPr>
    <w:rPr>
      <w:rFonts w:hAnsi="宋体" w:cs="宋体"/>
      <w:bCs w:val="0"/>
      <w:kern w:val="0"/>
      <w:sz w:val="18"/>
      <w:szCs w:val="18"/>
    </w:rPr>
  </w:style>
  <w:style w:type="paragraph" w:customStyle="1" w:styleId="12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Cs w:val="28"/>
    </w:rPr>
  </w:style>
  <w:style w:type="paragraph" w:customStyle="1" w:styleId="126">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Cs w:val="28"/>
    </w:rPr>
  </w:style>
  <w:style w:type="paragraph" w:customStyle="1" w:styleId="128">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29">
    <w:name w:val="hei"/>
    <w:basedOn w:val="1"/>
    <w:qFormat/>
    <w:uiPriority w:val="0"/>
    <w:pPr>
      <w:widowControl/>
      <w:spacing w:before="100" w:beforeAutospacing="1" w:after="100" w:afterAutospacing="1"/>
      <w:jc w:val="left"/>
    </w:pPr>
    <w:rPr>
      <w:rFonts w:hAnsi="宋体"/>
      <w:bCs w:val="0"/>
      <w:kern w:val="0"/>
      <w:sz w:val="24"/>
    </w:rPr>
  </w:style>
  <w:style w:type="paragraph" w:customStyle="1" w:styleId="130">
    <w:name w:val="潘"/>
    <w:basedOn w:val="1"/>
    <w:qFormat/>
    <w:uiPriority w:val="0"/>
    <w:pPr>
      <w:snapToGrid w:val="0"/>
      <w:spacing w:line="240" w:lineRule="atLeast"/>
      <w:jc w:val="left"/>
    </w:pPr>
    <w:rPr>
      <w:rFonts w:ascii="Arial" w:hAnsi="Arial" w:eastAsia="楷体_GB2312"/>
      <w:b/>
      <w:sz w:val="21"/>
    </w:rPr>
  </w:style>
  <w:style w:type="paragraph" w:customStyle="1" w:styleId="131">
    <w:name w:val="font6"/>
    <w:basedOn w:val="1"/>
    <w:qFormat/>
    <w:uiPriority w:val="0"/>
    <w:pPr>
      <w:widowControl/>
      <w:spacing w:before="100" w:beforeAutospacing="1" w:after="100" w:afterAutospacing="1"/>
      <w:jc w:val="left"/>
    </w:pPr>
    <w:rPr>
      <w:rFonts w:hint="eastAsia" w:hAnsi="宋体"/>
      <w:bCs w:val="0"/>
      <w:kern w:val="0"/>
      <w:sz w:val="18"/>
      <w:szCs w:val="18"/>
    </w:rPr>
  </w:style>
  <w:style w:type="paragraph" w:customStyle="1" w:styleId="13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bCs w:val="0"/>
      <w:kern w:val="0"/>
      <w:sz w:val="20"/>
      <w:szCs w:val="20"/>
    </w:rPr>
  </w:style>
  <w:style w:type="paragraph" w:customStyle="1" w:styleId="13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0"/>
      <w:szCs w:val="20"/>
    </w:rPr>
  </w:style>
  <w:style w:type="paragraph" w:customStyle="1" w:styleId="134">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Arial Unicode MS" w:hAnsi="Arial Unicode MS"/>
      <w:bCs w:val="0"/>
      <w:kern w:val="0"/>
      <w:sz w:val="22"/>
      <w:szCs w:val="22"/>
    </w:rPr>
  </w:style>
  <w:style w:type="paragraph" w:customStyle="1" w:styleId="135">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bCs w:val="0"/>
      <w:sz w:val="21"/>
      <w:szCs w:val="20"/>
    </w:rPr>
  </w:style>
  <w:style w:type="paragraph" w:customStyle="1" w:styleId="136">
    <w:name w:val="Char1"/>
    <w:basedOn w:val="1"/>
    <w:qFormat/>
    <w:uiPriority w:val="0"/>
    <w:rPr>
      <w:rFonts w:ascii="仿宋_GB2312" w:eastAsia="仿宋_GB2312"/>
      <w:b/>
      <w:bCs w:val="0"/>
      <w:sz w:val="32"/>
      <w:szCs w:val="32"/>
    </w:rPr>
  </w:style>
  <w:style w:type="character" w:customStyle="1" w:styleId="137">
    <w:name w:val="批注文字 Char"/>
    <w:link w:val="15"/>
    <w:qFormat/>
    <w:uiPriority w:val="0"/>
    <w:rPr>
      <w:rFonts w:ascii="宋体"/>
      <w:bCs/>
      <w:kern w:val="2"/>
      <w:sz w:val="28"/>
      <w:szCs w:val="24"/>
    </w:rPr>
  </w:style>
  <w:style w:type="paragraph" w:customStyle="1" w:styleId="138">
    <w:name w:val="样式 首行缩进:  2 字符"/>
    <w:basedOn w:val="1"/>
    <w:qFormat/>
    <w:uiPriority w:val="0"/>
    <w:pPr>
      <w:ind w:firstLine="560"/>
    </w:pPr>
    <w:rPr>
      <w:rFonts w:eastAsia="仿宋_GB2312" w:cs="宋体"/>
      <w:sz w:val="24"/>
      <w:szCs w:val="20"/>
    </w:rPr>
  </w:style>
  <w:style w:type="paragraph" w:customStyle="1" w:styleId="139">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Heading2"/>
    <w:basedOn w:val="1"/>
    <w:qFormat/>
    <w:uiPriority w:val="0"/>
    <w:pPr>
      <w:spacing w:beforeAutospacing="1" w:afterAutospacing="1"/>
      <w:jc w:val="left"/>
    </w:pPr>
    <w:rPr>
      <w:b/>
      <w:kern w:val="0"/>
      <w:szCs w:val="36"/>
    </w:rPr>
  </w:style>
  <w:style w:type="character" w:customStyle="1" w:styleId="141">
    <w:name w:val="NormalCharacter"/>
    <w:qFormat/>
    <w:uiPriority w:val="0"/>
  </w:style>
  <w:style w:type="paragraph" w:customStyle="1" w:styleId="142">
    <w:name w:val="列出段落3"/>
    <w:basedOn w:val="1"/>
    <w:qFormat/>
    <w:uiPriority w:val="99"/>
    <w:pPr>
      <w:ind w:firstLine="420" w:firstLineChars="200"/>
    </w:pPr>
  </w:style>
  <w:style w:type="paragraph" w:customStyle="1" w:styleId="143">
    <w:name w:val="样式 标题 2 + 宋体 五号 非加粗 黑色"/>
    <w:basedOn w:val="3"/>
    <w:qFormat/>
    <w:uiPriority w:val="0"/>
    <w:pPr>
      <w:numPr>
        <w:ilvl w:val="1"/>
        <w:numId w:val="2"/>
      </w:numPr>
      <w:spacing w:line="416" w:lineRule="atLeast"/>
    </w:pPr>
    <w:rPr>
      <w:rFonts w:ascii="宋体" w:hAnsi="宋体" w:eastAsia="宋体"/>
      <w:b w:val="0"/>
      <w:bCs w:val="0"/>
      <w:color w:val="000000"/>
      <w:kern w:val="2"/>
      <w:sz w:val="21"/>
      <w:lang w:val="en-US" w:eastAsia="zh-CN"/>
    </w:rPr>
  </w:style>
  <w:style w:type="paragraph" w:customStyle="1" w:styleId="144">
    <w:name w:val="样式29"/>
    <w:basedOn w:val="145"/>
    <w:qFormat/>
    <w:uiPriority w:val="0"/>
    <w:pPr>
      <w:widowControl/>
      <w:spacing w:line="440" w:lineRule="exact"/>
      <w:ind w:firstLine="200" w:firstLineChars="200"/>
      <w:jc w:val="left"/>
    </w:pPr>
    <w:rPr>
      <w:rFonts w:eastAsia="楷体_GB2312"/>
      <w:spacing w:val="6"/>
      <w:sz w:val="24"/>
      <w:szCs w:val="24"/>
    </w:rPr>
  </w:style>
  <w:style w:type="paragraph" w:customStyle="1" w:styleId="145">
    <w:name w:val="样式9 Char"/>
    <w:basedOn w:val="1"/>
    <w:qFormat/>
    <w:uiPriority w:val="99"/>
    <w:pPr>
      <w:spacing w:line="440" w:lineRule="exact"/>
      <w:ind w:firstLine="200" w:firstLineChars="200"/>
    </w:pPr>
    <w:rPr>
      <w:spacing w:val="6"/>
      <w:sz w:val="24"/>
    </w:rPr>
  </w:style>
  <w:style w:type="paragraph" w:customStyle="1" w:styleId="146">
    <w:name w:val="List Paragraph1"/>
    <w:basedOn w:val="1"/>
    <w:qFormat/>
    <w:uiPriority w:val="0"/>
    <w:pPr>
      <w:ind w:firstLine="420" w:firstLineChars="200"/>
    </w:pPr>
    <w:rPr>
      <w:rFonts w:ascii="Calibri" w:hAnsi="Calibri"/>
      <w:szCs w:val="22"/>
    </w:rPr>
  </w:style>
  <w:style w:type="paragraph" w:customStyle="1" w:styleId="147">
    <w:name w:val="xp正文"/>
    <w:basedOn w:val="1"/>
    <w:qFormat/>
    <w:uiPriority w:val="0"/>
    <w:pPr>
      <w:adjustRightInd w:val="0"/>
      <w:snapToGrid w:val="0"/>
      <w:spacing w:line="360" w:lineRule="auto"/>
      <w:ind w:firstLine="200" w:firstLineChars="200"/>
    </w:pPr>
    <w:rPr>
      <w:sz w:val="24"/>
    </w:rPr>
  </w:style>
  <w:style w:type="paragraph" w:customStyle="1" w:styleId="148">
    <w:name w:val="四号正文"/>
    <w:basedOn w:val="1"/>
    <w:qFormat/>
    <w:uiPriority w:val="1718"/>
    <w:pPr>
      <w:ind w:left="0" w:right="0" w:firstLine="560"/>
    </w:pPr>
    <w:rPr>
      <w:sz w:val="28"/>
      <w:szCs w:val="28"/>
    </w:rPr>
  </w:style>
  <w:style w:type="paragraph" w:customStyle="1" w:styleId="149">
    <w:name w:val="_正文段落"/>
    <w:basedOn w:val="1"/>
    <w:qFormat/>
    <w:uiPriority w:val="1624"/>
    <w:pPr>
      <w:spacing w:line="360" w:lineRule="auto"/>
      <w:ind w:left="0" w:right="0" w:firstLine="480"/>
    </w:pPr>
    <w:rPr>
      <w:rFonts w:ascii="宋体" w:hAnsi="宋体" w:cs="宋体"/>
      <w:kern w:val="0"/>
      <w:sz w:val="24"/>
    </w:rPr>
  </w:style>
  <w:style w:type="paragraph" w:customStyle="1" w:styleId="150">
    <w:name w:val="wdcj_7_p"/>
    <w:basedOn w:val="1"/>
    <w:qFormat/>
    <w:uiPriority w:val="6"/>
    <w:pPr>
      <w:jc w:val="left"/>
    </w:pPr>
    <w:rPr>
      <w:rFonts w:ascii="宋体" w:hAnsi="宋体" w:eastAsia="宋体" w:cs="宋体"/>
      <w:kern w:val="0"/>
      <w:sz w:val="24"/>
      <w:szCs w:val="24"/>
      <w:lang w:val="en-US" w:eastAsia="zh-CN" w:bidi="ar"/>
    </w:rPr>
  </w:style>
  <w:style w:type="paragraph" w:customStyle="1" w:styleId="151">
    <w:name w:val="正文首行缩进 211"/>
    <w:basedOn w:val="152"/>
    <w:qFormat/>
    <w:uiPriority w:val="2457"/>
    <w:pPr>
      <w:widowControl w:val="0"/>
      <w:ind w:left="420" w:right="0" w:firstLine="420"/>
      <w:jc w:val="both"/>
    </w:pPr>
  </w:style>
  <w:style w:type="paragraph" w:customStyle="1" w:styleId="152">
    <w:name w:val="正文文本缩进111"/>
    <w:basedOn w:val="1"/>
    <w:next w:val="153"/>
    <w:qFormat/>
    <w:uiPriority w:val="1624"/>
    <w:pPr>
      <w:spacing w:before="0" w:after="120"/>
      <w:ind w:left="420" w:right="0" w:firstLine="0"/>
    </w:pPr>
    <w:rPr>
      <w:kern w:val="0"/>
      <w:sz w:val="20"/>
      <w:szCs w:val="20"/>
    </w:rPr>
  </w:style>
  <w:style w:type="paragraph" w:customStyle="1" w:styleId="153">
    <w:name w:val="样式 正文文本缩进 + 左  0 字符"/>
    <w:basedOn w:val="1"/>
    <w:qFormat/>
    <w:uiPriority w:val="2"/>
    <w:pPr>
      <w:spacing w:line="360" w:lineRule="auto"/>
      <w:ind w:left="0" w:right="0" w:firstLine="250"/>
    </w:pPr>
    <w:rPr>
      <w:sz w:val="24"/>
      <w:szCs w:val="20"/>
    </w:rPr>
  </w:style>
  <w:style w:type="paragraph" w:customStyle="1" w:styleId="154">
    <w:name w:val="列出段落"/>
    <w:basedOn w:val="1"/>
    <w:qFormat/>
    <w:uiPriority w:val="1723"/>
    <w:pPr>
      <w:ind w:left="0" w:right="0" w:firstLine="420"/>
    </w:pPr>
    <w:rPr>
      <w:rFonts w:ascii="Calibri" w:hAnsi="Calibri" w:cs="Calibri"/>
      <w:szCs w:val="22"/>
    </w:rPr>
  </w:style>
  <w:style w:type="paragraph" w:customStyle="1" w:styleId="155">
    <w:name w:val="批注文字11"/>
    <w:basedOn w:val="1"/>
    <w:qFormat/>
    <w:uiPriority w:val="1624"/>
    <w:pPr>
      <w:jc w:val="left"/>
    </w:pPr>
  </w:style>
  <w:style w:type="paragraph" w:customStyle="1" w:styleId="156">
    <w:name w:val="普通(网站)111"/>
    <w:basedOn w:val="1"/>
    <w:qFormat/>
    <w:uiPriority w:val="2"/>
    <w:pPr>
      <w:widowControl/>
      <w:spacing w:before="100" w:after="100"/>
      <w:jc w:val="left"/>
    </w:pPr>
    <w:rPr>
      <w:rFonts w:ascii="宋体" w:hAnsi="宋体" w:cs="宋体"/>
      <w:kern w:val="0"/>
      <w:sz w:val="24"/>
    </w:rPr>
  </w:style>
  <w:style w:type="paragraph" w:customStyle="1" w:styleId="157">
    <w:name w:val="样式6"/>
    <w:basedOn w:val="158"/>
    <w:qFormat/>
    <w:uiPriority w:val="3"/>
    <w:pPr>
      <w:numPr>
        <w:ilvl w:val="0"/>
        <w:numId w:val="0"/>
      </w:numPr>
      <w:tabs>
        <w:tab w:val="left" w:pos="0"/>
        <w:tab w:val="left" w:pos="1006"/>
      </w:tabs>
      <w:spacing w:before="25" w:after="25"/>
      <w:ind w:left="0" w:right="0" w:firstLine="0"/>
      <w:jc w:val="both"/>
      <w:outlineLvl w:val="2"/>
    </w:pPr>
    <w:rPr>
      <w:rFonts w:eastAsia="黑体"/>
      <w:sz w:val="28"/>
      <w:szCs w:val="28"/>
    </w:rPr>
  </w:style>
  <w:style w:type="paragraph" w:customStyle="1" w:styleId="158">
    <w:name w:val="cr4"/>
    <w:basedOn w:val="6"/>
    <w:next w:val="159"/>
    <w:qFormat/>
    <w:uiPriority w:val="3"/>
    <w:pPr>
      <w:numPr>
        <w:ilvl w:val="0"/>
        <w:numId w:val="3"/>
      </w:numPr>
      <w:tabs>
        <w:tab w:val="left" w:pos="1006"/>
      </w:tabs>
      <w:spacing w:before="100" w:after="100" w:line="300" w:lineRule="auto"/>
      <w:jc w:val="left"/>
      <w:outlineLvl w:val="9"/>
    </w:pPr>
    <w:rPr>
      <w:rFonts w:ascii="黑体" w:hAnsi="黑体" w:cs="黑体"/>
      <w:bCs w:val="0"/>
      <w:color w:val="000000"/>
      <w:kern w:val="0"/>
    </w:rPr>
  </w:style>
  <w:style w:type="paragraph" w:customStyle="1" w:styleId="159">
    <w:name w:val="cr5"/>
    <w:basedOn w:val="7"/>
    <w:next w:val="160"/>
    <w:qFormat/>
    <w:uiPriority w:val="3"/>
    <w:pPr>
      <w:numPr>
        <w:ilvl w:val="0"/>
        <w:numId w:val="3"/>
      </w:numPr>
      <w:spacing w:line="240" w:lineRule="auto"/>
      <w:ind w:left="0" w:right="0" w:firstLine="0"/>
      <w:outlineLvl w:val="9"/>
    </w:pPr>
    <w:rPr>
      <w:rFonts w:ascii="黑体" w:hAnsi="黑体" w:eastAsia="黑体" w:cs="黑体"/>
      <w:kern w:val="0"/>
      <w:sz w:val="24"/>
      <w:szCs w:val="24"/>
    </w:rPr>
  </w:style>
  <w:style w:type="paragraph" w:customStyle="1" w:styleId="160">
    <w:name w:val="cr6"/>
    <w:basedOn w:val="159"/>
    <w:qFormat/>
    <w:uiPriority w:val="3"/>
    <w:pPr>
      <w:numPr>
        <w:ilvl w:val="0"/>
        <w:numId w:val="3"/>
      </w:numPr>
      <w:ind w:left="0" w:right="0" w:firstLine="0"/>
    </w:pPr>
  </w:style>
  <w:style w:type="paragraph" w:customStyle="1" w:styleId="161">
    <w:name w:val="正文缩进2字符"/>
    <w:basedOn w:val="153"/>
    <w:qFormat/>
    <w:uiPriority w:val="2034"/>
    <w:pPr>
      <w:ind w:left="0" w:right="0" w:firstLine="480"/>
    </w:pPr>
  </w:style>
  <w:style w:type="paragraph" w:customStyle="1" w:styleId="162">
    <w:name w:val="Table Text"/>
    <w:basedOn w:val="1"/>
    <w:semiHidden/>
    <w:qFormat/>
    <w:uiPriority w:val="0"/>
    <w:rPr>
      <w:rFonts w:ascii="仿宋" w:hAnsi="仿宋" w:eastAsia="仿宋" w:cs="仿宋"/>
      <w:sz w:val="24"/>
      <w:szCs w:val="24"/>
      <w:lang w:val="en-US" w:eastAsia="en-US" w:bidi="ar-SA"/>
    </w:rPr>
  </w:style>
  <w:style w:type="table" w:customStyle="1" w:styleId="163">
    <w:name w:val="Table Normal"/>
    <w:unhideWhenUsed/>
    <w:qFormat/>
    <w:uiPriority w:val="0"/>
    <w:tblPr>
      <w:tblCellMar>
        <w:top w:w="0" w:type="dxa"/>
        <w:left w:w="0" w:type="dxa"/>
        <w:bottom w:w="0" w:type="dxa"/>
        <w:right w:w="0" w:type="dxa"/>
      </w:tblCellMar>
    </w:tblPr>
  </w:style>
  <w:style w:type="paragraph" w:customStyle="1" w:styleId="164">
    <w:name w:val="UserStyle_93"/>
    <w:qFormat/>
    <w:uiPriority w:val="0"/>
    <w:pPr>
      <w:jc w:val="both"/>
      <w:textAlignment w:val="baseline"/>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57</Pages>
  <Words>22558</Words>
  <Characters>23780</Characters>
  <Lines>0</Lines>
  <Paragraphs>1425</Paragraphs>
  <TotalTime>6</TotalTime>
  <ScaleCrop>false</ScaleCrop>
  <LinksUpToDate>false</LinksUpToDate>
  <CharactersWithSpaces>24295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2020-06-10T17:50:00Z</dcterms:created>
  <dc:creator>wulai</dc:creator>
  <cp:lastModifiedBy>许铖铖</cp:lastModifiedBy>
  <cp:lastPrinted>2025-01-08T07:54:00Z</cp:lastPrinted>
  <dcterms:modified xsi:type="dcterms:W3CDTF">2025-02-10T01:23:16Z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837ED9E8C6BA4A599FF15AC42A0413D1_13</vt:lpwstr>
  </property>
  <property fmtid="{D5CDD505-2E9C-101B-9397-08002B2CF9AE}" pid="4" name="KSOTemplateDocerSaveRecord">
    <vt:lpwstr>eyJoZGlkIjoiNDY4YzY2NGZlNzgxMWNhZThmM2Q5NTA0NjgyZjRlNWQiLCJ1c2VySWQiOiI3NDkzOTY2NTUifQ==</vt:lpwstr>
  </property>
</Properties>
</file>