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p>
    <w:p>
      <w:pPr>
        <w:pageBreakBefore w:val="0"/>
        <w:kinsoku/>
        <w:overflowPunct/>
        <w:topLinePunct w:val="0"/>
        <w:bidi w:val="0"/>
        <w:snapToGrid/>
        <w:spacing w:line="360" w:lineRule="auto"/>
        <w:ind w:right="1120"/>
        <w:jc w:val="right"/>
        <w:rPr>
          <w:rFonts w:hint="default" w:ascii="仿宋" w:hAnsi="仿宋" w:eastAsia="仿宋" w:cs="仿宋"/>
          <w:sz w:val="28"/>
          <w:szCs w:val="28"/>
          <w:highlight w:val="none"/>
          <w:lang w:val="en-US" w:eastAsia="zh-CN"/>
        </w:rPr>
      </w:pPr>
      <w:bookmarkStart w:id="0" w:name="_Toc325731733"/>
      <w:bookmarkStart w:id="1" w:name="_Toc325446794"/>
      <w:bookmarkStart w:id="2" w:name="_Toc326783408"/>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SDSHZB2022-307</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754"/>
      <w:bookmarkEnd w:id="3"/>
      <w:bookmarkStart w:id="4" w:name="_Toc519840552"/>
      <w:bookmarkEnd w:id="4"/>
      <w:bookmarkStart w:id="5" w:name="_Toc375561633"/>
      <w:r>
        <w:rPr>
          <w:rFonts w:hint="eastAsia" w:ascii="仿宋" w:hAnsi="仿宋" w:eastAsia="仿宋" w:cs="仿宋"/>
          <w:b/>
          <w:sz w:val="48"/>
          <w:szCs w:val="48"/>
          <w:highlight w:val="none"/>
          <w:lang w:eastAsia="zh-CN"/>
        </w:rPr>
        <w:t>山东大学第二医院疏肝利胆方预防胆石症术后复发RCT研究相关测试加工服务</w:t>
      </w:r>
      <w:r>
        <w:rPr>
          <w:rFonts w:hint="eastAsia" w:ascii="仿宋" w:hAnsi="仿宋" w:eastAsia="仿宋" w:cs="仿宋"/>
          <w:b/>
          <w:sz w:val="48"/>
          <w:szCs w:val="48"/>
          <w:highlight w:val="none"/>
        </w:rPr>
        <w:t>项目公开招标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7337024"/>
      <w:bookmarkStart w:id="7" w:name="_Toc11323381"/>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415058500"/>
      <w:bookmarkStart w:id="9" w:name="_Toc415058576"/>
      <w:bookmarkStart w:id="10" w:name="_Toc22573"/>
      <w:bookmarkStart w:id="11" w:name="_Toc11323382"/>
      <w:bookmarkStart w:id="12" w:name="_Toc7337025"/>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lang w:eastAsia="zh-CN"/>
        </w:rPr>
        <w:t>山东大学第二医院疏肝利胆方预防胆石症术后复发RCT研究相关测试加工服务</w:t>
      </w:r>
      <w:r>
        <w:rPr>
          <w:rFonts w:hint="eastAsia" w:ascii="仿宋" w:hAnsi="仿宋" w:eastAsia="仿宋" w:cs="仿宋"/>
          <w:bCs w:val="0"/>
          <w:sz w:val="28"/>
          <w:szCs w:val="28"/>
          <w:highlight w:val="none"/>
          <w:u w:val="single"/>
        </w:rPr>
        <w:t>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5446795"/>
      <w:bookmarkStart w:id="14" w:name="_Toc325731734"/>
      <w:bookmarkStart w:id="15" w:name="_Toc326783409"/>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年</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25</w:t>
      </w:r>
      <w:r>
        <w:rPr>
          <w:rFonts w:hint="eastAsia" w:ascii="仿宋" w:hAnsi="仿宋" w:eastAsia="仿宋" w:cs="仿宋"/>
          <w:iCs/>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57793028"/>
      <w:bookmarkStart w:id="17" w:name="_Toc415058577"/>
      <w:bookmarkStart w:id="18" w:name="_Toc375561634"/>
      <w:bookmarkStart w:id="19" w:name="_Toc362625917"/>
      <w:r>
        <w:rPr>
          <w:rFonts w:hint="eastAsia" w:ascii="仿宋" w:hAnsi="仿宋" w:eastAsia="仿宋" w:cs="仿宋"/>
          <w:b/>
          <w:bCs w:val="0"/>
          <w:sz w:val="28"/>
          <w:szCs w:val="28"/>
          <w:highlight w:val="none"/>
        </w:rPr>
        <w:t>目录</w:t>
      </w:r>
      <w:bookmarkEnd w:id="16"/>
      <w:bookmarkEnd w:id="17"/>
      <w:bookmarkEnd w:id="18"/>
      <w:bookmarkEnd w:id="19"/>
    </w:p>
    <w:p>
      <w:pPr>
        <w:pStyle w:val="25"/>
        <w:tabs>
          <w:tab w:val="right" w:leader="dot" w:pos="8867"/>
        </w:tabs>
      </w:pPr>
      <w:bookmarkStart w:id="20" w:name="_Toc14684"/>
      <w:r>
        <w:fldChar w:fldCharType="begin"/>
      </w:r>
      <w:r>
        <w:instrText xml:space="preserve">TOC \o "1-3" \h \u </w:instrText>
      </w:r>
      <w:r>
        <w:fldChar w:fldCharType="separate"/>
      </w:r>
      <w:r>
        <w:fldChar w:fldCharType="begin"/>
      </w:r>
      <w:r>
        <w:instrText xml:space="preserve"> HYPERLINK \l _Toc8255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_Toc8255 \h </w:instrText>
      </w:r>
      <w:r>
        <w:fldChar w:fldCharType="separate"/>
      </w:r>
      <w:r>
        <w:t>4</w:t>
      </w:r>
      <w:r>
        <w:fldChar w:fldCharType="end"/>
      </w:r>
      <w:r>
        <w:fldChar w:fldCharType="end"/>
      </w:r>
    </w:p>
    <w:p>
      <w:pPr>
        <w:pStyle w:val="25"/>
        <w:tabs>
          <w:tab w:val="right" w:leader="dot" w:pos="8867"/>
        </w:tabs>
      </w:pPr>
      <w:r>
        <w:fldChar w:fldCharType="begin"/>
      </w:r>
      <w:r>
        <w:instrText xml:space="preserve"> HYPERLINK \l _Toc5932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_Toc5932 \h </w:instrText>
      </w:r>
      <w:r>
        <w:fldChar w:fldCharType="separate"/>
      </w:r>
      <w:r>
        <w:t>7</w:t>
      </w:r>
      <w:r>
        <w:fldChar w:fldCharType="end"/>
      </w:r>
      <w:r>
        <w:fldChar w:fldCharType="end"/>
      </w:r>
    </w:p>
    <w:p>
      <w:pPr>
        <w:pStyle w:val="29"/>
        <w:tabs>
          <w:tab w:val="right" w:leader="dot" w:pos="8867"/>
          <w:tab w:val="clear" w:pos="8857"/>
        </w:tabs>
      </w:pPr>
      <w:r>
        <w:fldChar w:fldCharType="begin"/>
      </w:r>
      <w:r>
        <w:instrText xml:space="preserve"> HYPERLINK \l _Toc14490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_Toc14490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_Toc20636 </w:instrText>
      </w:r>
      <w:r>
        <w:fldChar w:fldCharType="separate"/>
      </w:r>
      <w:r>
        <w:rPr>
          <w:rFonts w:hint="eastAsia" w:ascii="仿宋" w:hAnsi="仿宋" w:eastAsia="仿宋" w:cs="仿宋"/>
          <w:szCs w:val="28"/>
          <w:highlight w:val="none"/>
        </w:rPr>
        <w:t>二、定义</w:t>
      </w:r>
      <w:r>
        <w:tab/>
      </w:r>
      <w:r>
        <w:fldChar w:fldCharType="begin"/>
      </w:r>
      <w:r>
        <w:instrText xml:space="preserve"> PAGEREF _Toc20636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_Toc9956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_Toc9956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_Toc20367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_Toc20367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_Toc32693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_Toc32693 \h </w:instrText>
      </w:r>
      <w:r>
        <w:fldChar w:fldCharType="separate"/>
      </w:r>
      <w:r>
        <w:t>13</w:t>
      </w:r>
      <w:r>
        <w:fldChar w:fldCharType="end"/>
      </w:r>
      <w:r>
        <w:fldChar w:fldCharType="end"/>
      </w:r>
    </w:p>
    <w:p>
      <w:pPr>
        <w:pStyle w:val="29"/>
        <w:tabs>
          <w:tab w:val="right" w:leader="dot" w:pos="8867"/>
          <w:tab w:val="clear" w:pos="8857"/>
        </w:tabs>
      </w:pPr>
      <w:r>
        <w:fldChar w:fldCharType="begin"/>
      </w:r>
      <w:r>
        <w:instrText xml:space="preserve"> HYPERLINK \l _Toc10945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_Toc10945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_Toc2385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_Toc2385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_Toc22518 </w:instrText>
      </w:r>
      <w:r>
        <w:fldChar w:fldCharType="separate"/>
      </w:r>
      <w:r>
        <w:rPr>
          <w:rFonts w:hint="eastAsia" w:ascii="仿宋" w:hAnsi="仿宋" w:eastAsia="仿宋" w:cs="仿宋"/>
          <w:szCs w:val="28"/>
          <w:highlight w:val="none"/>
        </w:rPr>
        <w:t>八、保证金</w:t>
      </w:r>
      <w:r>
        <w:tab/>
      </w:r>
      <w:r>
        <w:fldChar w:fldCharType="begin"/>
      </w:r>
      <w:r>
        <w:instrText xml:space="preserve"> PAGEREF _Toc22518 \h </w:instrText>
      </w:r>
      <w:r>
        <w:fldChar w:fldCharType="separate"/>
      </w:r>
      <w:r>
        <w:t>19</w:t>
      </w:r>
      <w:r>
        <w:fldChar w:fldCharType="end"/>
      </w:r>
      <w:r>
        <w:fldChar w:fldCharType="end"/>
      </w:r>
    </w:p>
    <w:p>
      <w:pPr>
        <w:pStyle w:val="29"/>
        <w:tabs>
          <w:tab w:val="right" w:leader="dot" w:pos="8867"/>
          <w:tab w:val="clear" w:pos="8857"/>
        </w:tabs>
      </w:pPr>
      <w:r>
        <w:fldChar w:fldCharType="begin"/>
      </w:r>
      <w:r>
        <w:instrText xml:space="preserve"> HYPERLINK \l _Toc20666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_Toc20666 \h </w:instrText>
      </w:r>
      <w:r>
        <w:fldChar w:fldCharType="separate"/>
      </w:r>
      <w:r>
        <w:t>20</w:t>
      </w:r>
      <w:r>
        <w:fldChar w:fldCharType="end"/>
      </w:r>
      <w:r>
        <w:fldChar w:fldCharType="end"/>
      </w:r>
    </w:p>
    <w:p>
      <w:pPr>
        <w:pStyle w:val="29"/>
        <w:tabs>
          <w:tab w:val="right" w:leader="dot" w:pos="8867"/>
          <w:tab w:val="clear" w:pos="8857"/>
        </w:tabs>
      </w:pPr>
      <w:r>
        <w:fldChar w:fldCharType="begin"/>
      </w:r>
      <w:r>
        <w:instrText xml:space="preserve"> HYPERLINK \l _Toc9258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_Toc9258 \h </w:instrText>
      </w:r>
      <w:r>
        <w:fldChar w:fldCharType="separate"/>
      </w:r>
      <w:r>
        <w:t>21</w:t>
      </w:r>
      <w:r>
        <w:fldChar w:fldCharType="end"/>
      </w:r>
      <w:r>
        <w:fldChar w:fldCharType="end"/>
      </w:r>
    </w:p>
    <w:p>
      <w:pPr>
        <w:pStyle w:val="29"/>
        <w:tabs>
          <w:tab w:val="right" w:leader="dot" w:pos="8867"/>
          <w:tab w:val="clear" w:pos="8857"/>
        </w:tabs>
      </w:pPr>
      <w:r>
        <w:fldChar w:fldCharType="begin"/>
      </w:r>
      <w:r>
        <w:instrText xml:space="preserve"> HYPERLINK \l _Toc30274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_Toc30274 \h </w:instrText>
      </w:r>
      <w:r>
        <w:fldChar w:fldCharType="separate"/>
      </w:r>
      <w:r>
        <w:t>23</w:t>
      </w:r>
      <w:r>
        <w:fldChar w:fldCharType="end"/>
      </w:r>
      <w:r>
        <w:fldChar w:fldCharType="end"/>
      </w:r>
    </w:p>
    <w:p>
      <w:pPr>
        <w:pStyle w:val="29"/>
        <w:tabs>
          <w:tab w:val="right" w:leader="dot" w:pos="8867"/>
          <w:tab w:val="clear" w:pos="8857"/>
        </w:tabs>
      </w:pPr>
      <w:r>
        <w:fldChar w:fldCharType="begin"/>
      </w:r>
      <w:r>
        <w:instrText xml:space="preserve"> HYPERLINK \l _Toc1681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_Toc1681 \h </w:instrText>
      </w:r>
      <w:r>
        <w:fldChar w:fldCharType="separate"/>
      </w:r>
      <w:r>
        <w:t>23</w:t>
      </w:r>
      <w:r>
        <w:fldChar w:fldCharType="end"/>
      </w:r>
      <w:r>
        <w:fldChar w:fldCharType="end"/>
      </w:r>
    </w:p>
    <w:p>
      <w:pPr>
        <w:pStyle w:val="25"/>
        <w:tabs>
          <w:tab w:val="right" w:leader="dot" w:pos="8867"/>
        </w:tabs>
      </w:pPr>
      <w:r>
        <w:fldChar w:fldCharType="begin"/>
      </w:r>
      <w:r>
        <w:instrText xml:space="preserve"> HYPERLINK \l _Toc8653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_Toc8653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_Toc3019 </w:instrText>
      </w:r>
      <w:r>
        <w:fldChar w:fldCharType="separate"/>
      </w:r>
      <w:r>
        <w:rPr>
          <w:rFonts w:hint="eastAsia" w:ascii="仿宋" w:hAnsi="仿宋" w:eastAsia="仿宋" w:cs="仿宋"/>
          <w:szCs w:val="28"/>
          <w:highlight w:val="none"/>
        </w:rPr>
        <w:t>一、开标</w:t>
      </w:r>
      <w:r>
        <w:tab/>
      </w:r>
      <w:r>
        <w:fldChar w:fldCharType="begin"/>
      </w:r>
      <w:r>
        <w:instrText xml:space="preserve"> PAGEREF _Toc3019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_Toc31277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_Toc31277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_Toc19361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_Toc19361 \h </w:instrText>
      </w:r>
      <w:r>
        <w:fldChar w:fldCharType="separate"/>
      </w:r>
      <w:r>
        <w:t>24</w:t>
      </w:r>
      <w:r>
        <w:fldChar w:fldCharType="end"/>
      </w:r>
      <w:r>
        <w:fldChar w:fldCharType="end"/>
      </w:r>
    </w:p>
    <w:p>
      <w:pPr>
        <w:pStyle w:val="29"/>
        <w:tabs>
          <w:tab w:val="right" w:leader="dot" w:pos="8867"/>
          <w:tab w:val="clear" w:pos="8857"/>
        </w:tabs>
      </w:pPr>
      <w:r>
        <w:fldChar w:fldCharType="begin"/>
      </w:r>
      <w:r>
        <w:instrText xml:space="preserve"> HYPERLINK \l _Toc23656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_Toc23656 \h </w:instrText>
      </w:r>
      <w:r>
        <w:fldChar w:fldCharType="separate"/>
      </w:r>
      <w:r>
        <w:t>25</w:t>
      </w:r>
      <w:r>
        <w:fldChar w:fldCharType="end"/>
      </w:r>
      <w:r>
        <w:fldChar w:fldCharType="end"/>
      </w:r>
    </w:p>
    <w:p>
      <w:pPr>
        <w:pStyle w:val="29"/>
        <w:tabs>
          <w:tab w:val="right" w:leader="dot" w:pos="8867"/>
          <w:tab w:val="clear" w:pos="8857"/>
        </w:tabs>
      </w:pPr>
      <w:r>
        <w:fldChar w:fldCharType="begin"/>
      </w:r>
      <w:r>
        <w:instrText xml:space="preserve"> HYPERLINK \l _Toc18910 </w:instrText>
      </w:r>
      <w:r>
        <w:fldChar w:fldCharType="separate"/>
      </w:r>
      <w:r>
        <w:rPr>
          <w:rFonts w:hint="eastAsia" w:ascii="仿宋" w:hAnsi="仿宋" w:eastAsia="仿宋" w:cs="仿宋"/>
          <w:szCs w:val="28"/>
          <w:highlight w:val="none"/>
        </w:rPr>
        <w:t>五、废标</w:t>
      </w:r>
      <w:r>
        <w:tab/>
      </w:r>
      <w:r>
        <w:fldChar w:fldCharType="begin"/>
      </w:r>
      <w:r>
        <w:instrText xml:space="preserve"> PAGEREF _Toc18910 \h </w:instrText>
      </w:r>
      <w:r>
        <w:fldChar w:fldCharType="separate"/>
      </w:r>
      <w:r>
        <w:t>29</w:t>
      </w:r>
      <w:r>
        <w:fldChar w:fldCharType="end"/>
      </w:r>
      <w:r>
        <w:fldChar w:fldCharType="end"/>
      </w:r>
    </w:p>
    <w:p>
      <w:pPr>
        <w:pStyle w:val="29"/>
        <w:tabs>
          <w:tab w:val="right" w:leader="dot" w:pos="8867"/>
          <w:tab w:val="clear" w:pos="8857"/>
        </w:tabs>
      </w:pPr>
      <w:r>
        <w:fldChar w:fldCharType="begin"/>
      </w:r>
      <w:r>
        <w:instrText xml:space="preserve"> HYPERLINK \l _Toc21644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_Toc21644 \h </w:instrText>
      </w:r>
      <w:r>
        <w:fldChar w:fldCharType="separate"/>
      </w:r>
      <w:r>
        <w:t>29</w:t>
      </w:r>
      <w:r>
        <w:fldChar w:fldCharType="end"/>
      </w:r>
      <w:r>
        <w:fldChar w:fldCharType="end"/>
      </w:r>
    </w:p>
    <w:p>
      <w:pPr>
        <w:pStyle w:val="25"/>
        <w:tabs>
          <w:tab w:val="right" w:leader="dot" w:pos="8867"/>
        </w:tabs>
      </w:pPr>
      <w:r>
        <w:fldChar w:fldCharType="begin"/>
      </w:r>
      <w:r>
        <w:instrText xml:space="preserve"> HYPERLINK \l _Toc25596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_Toc25596 \h </w:instrText>
      </w:r>
      <w:r>
        <w:fldChar w:fldCharType="separate"/>
      </w:r>
      <w:r>
        <w:t>30</w:t>
      </w:r>
      <w:r>
        <w:fldChar w:fldCharType="end"/>
      </w:r>
      <w:r>
        <w:fldChar w:fldCharType="end"/>
      </w:r>
    </w:p>
    <w:p>
      <w:pPr>
        <w:pStyle w:val="29"/>
        <w:tabs>
          <w:tab w:val="right" w:leader="dot" w:pos="8867"/>
          <w:tab w:val="clear" w:pos="8857"/>
        </w:tabs>
      </w:pPr>
      <w:r>
        <w:fldChar w:fldCharType="begin"/>
      </w:r>
      <w:r>
        <w:instrText xml:space="preserve"> HYPERLINK \l _Toc27955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_Toc27955 \h </w:instrText>
      </w:r>
      <w:r>
        <w:fldChar w:fldCharType="separate"/>
      </w:r>
      <w:r>
        <w:t>30</w:t>
      </w:r>
      <w:r>
        <w:fldChar w:fldCharType="end"/>
      </w:r>
      <w:r>
        <w:fldChar w:fldCharType="end"/>
      </w:r>
    </w:p>
    <w:p>
      <w:pPr>
        <w:pStyle w:val="29"/>
        <w:tabs>
          <w:tab w:val="right" w:leader="dot" w:pos="8867"/>
          <w:tab w:val="clear" w:pos="8857"/>
        </w:tabs>
      </w:pPr>
      <w:r>
        <w:fldChar w:fldCharType="begin"/>
      </w:r>
      <w:r>
        <w:instrText xml:space="preserve"> HYPERLINK \l _Toc6445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_Toc6445 \h </w:instrText>
      </w:r>
      <w:r>
        <w:fldChar w:fldCharType="separate"/>
      </w:r>
      <w:r>
        <w:t>30</w:t>
      </w:r>
      <w:r>
        <w:fldChar w:fldCharType="end"/>
      </w:r>
      <w:r>
        <w:fldChar w:fldCharType="end"/>
      </w:r>
    </w:p>
    <w:p>
      <w:pPr>
        <w:pStyle w:val="25"/>
        <w:tabs>
          <w:tab w:val="right" w:leader="dot" w:pos="8867"/>
        </w:tabs>
      </w:pPr>
      <w:r>
        <w:fldChar w:fldCharType="begin"/>
      </w:r>
      <w:r>
        <w:instrText xml:space="preserve"> HYPERLINK \l _Toc13266 </w:instrText>
      </w:r>
      <w:r>
        <w:fldChar w:fldCharType="separate"/>
      </w:r>
      <w:r>
        <w:rPr>
          <w:rFonts w:hint="eastAsia" w:ascii="仿宋" w:hAnsi="仿宋" w:eastAsia="仿宋" w:cs="仿宋"/>
          <w:bCs w:val="0"/>
          <w:szCs w:val="32"/>
          <w:highlight w:val="none"/>
        </w:rPr>
        <w:t>第五部分 项目说明及要求</w:t>
      </w:r>
      <w:r>
        <w:tab/>
      </w:r>
      <w:r>
        <w:fldChar w:fldCharType="begin"/>
      </w:r>
      <w:r>
        <w:instrText xml:space="preserve"> PAGEREF _Toc13266 \h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_Toc26582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_Toc26582 \h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_Toc24799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_Toc24799 \h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_Toc5044 </w:instrText>
      </w:r>
      <w:r>
        <w:fldChar w:fldCharType="separate"/>
      </w:r>
      <w:r>
        <w:rPr>
          <w:rFonts w:hint="eastAsia" w:ascii="仿宋" w:hAnsi="仿宋" w:eastAsia="仿宋" w:cs="仿宋"/>
          <w:szCs w:val="28"/>
          <w:highlight w:val="none"/>
        </w:rPr>
        <w:t>三、商务条件</w:t>
      </w:r>
      <w:r>
        <w:tab/>
      </w:r>
      <w:r>
        <w:fldChar w:fldCharType="begin"/>
      </w:r>
      <w:r>
        <w:instrText xml:space="preserve"> PAGEREF _Toc5044 \h </w:instrText>
      </w:r>
      <w:r>
        <w:fldChar w:fldCharType="separate"/>
      </w:r>
      <w:r>
        <w:t>35</w:t>
      </w:r>
      <w:r>
        <w:fldChar w:fldCharType="end"/>
      </w:r>
      <w:r>
        <w:fldChar w:fldCharType="end"/>
      </w:r>
    </w:p>
    <w:p>
      <w:pPr>
        <w:pStyle w:val="29"/>
        <w:tabs>
          <w:tab w:val="right" w:leader="dot" w:pos="8867"/>
          <w:tab w:val="clear" w:pos="8857"/>
        </w:tabs>
      </w:pPr>
      <w:r>
        <w:fldChar w:fldCharType="begin"/>
      </w:r>
      <w:r>
        <w:instrText xml:space="preserve"> HYPERLINK \l _Toc18902 </w:instrText>
      </w:r>
      <w:r>
        <w:fldChar w:fldCharType="separate"/>
      </w:r>
      <w:r>
        <w:rPr>
          <w:rFonts w:hint="eastAsia" w:ascii="仿宋" w:hAnsi="仿宋" w:eastAsia="仿宋" w:cs="仿宋"/>
          <w:szCs w:val="28"/>
          <w:lang w:val="en-US" w:eastAsia="zh-CN"/>
        </w:rPr>
        <w:t xml:space="preserve">四、 </w:t>
      </w:r>
      <w:r>
        <w:rPr>
          <w:rFonts w:hint="eastAsia" w:ascii="仿宋" w:hAnsi="仿宋" w:eastAsia="仿宋" w:cs="仿宋"/>
          <w:szCs w:val="28"/>
          <w:highlight w:val="none"/>
          <w:lang w:val="en-US" w:eastAsia="zh-CN"/>
        </w:rPr>
        <w:t>采购要求</w:t>
      </w:r>
      <w:r>
        <w:tab/>
      </w:r>
      <w:r>
        <w:fldChar w:fldCharType="begin"/>
      </w:r>
      <w:r>
        <w:instrText xml:space="preserve"> PAGEREF _Toc18902 \h </w:instrText>
      </w:r>
      <w:r>
        <w:fldChar w:fldCharType="separate"/>
      </w:r>
      <w:r>
        <w:t>36</w:t>
      </w:r>
      <w:r>
        <w:fldChar w:fldCharType="end"/>
      </w:r>
      <w:r>
        <w:fldChar w:fldCharType="end"/>
      </w:r>
    </w:p>
    <w:p>
      <w:pPr>
        <w:pStyle w:val="29"/>
        <w:tabs>
          <w:tab w:val="right" w:leader="dot" w:pos="8867"/>
          <w:tab w:val="clear" w:pos="8857"/>
        </w:tabs>
      </w:pPr>
      <w:r>
        <w:fldChar w:fldCharType="begin"/>
      </w:r>
      <w:r>
        <w:instrText xml:space="preserve"> HYPERLINK \l _Toc572 </w:instrText>
      </w:r>
      <w:r>
        <w:fldChar w:fldCharType="separate"/>
      </w:r>
      <w:r>
        <w:rPr>
          <w:rFonts w:hint="eastAsia" w:ascii="仿宋" w:hAnsi="仿宋" w:eastAsia="仿宋" w:cs="仿宋"/>
          <w:bCs w:val="0"/>
          <w:szCs w:val="28"/>
          <w:highlight w:val="none"/>
          <w:lang w:val="en-US" w:eastAsia="zh-CN"/>
        </w:rPr>
        <w:t>（一）采购明细</w:t>
      </w:r>
      <w:r>
        <w:tab/>
      </w:r>
      <w:r>
        <w:fldChar w:fldCharType="begin"/>
      </w:r>
      <w:r>
        <w:instrText xml:space="preserve"> PAGEREF _Toc572 \h </w:instrText>
      </w:r>
      <w:r>
        <w:fldChar w:fldCharType="separate"/>
      </w:r>
      <w:r>
        <w:t>36</w:t>
      </w:r>
      <w:r>
        <w:fldChar w:fldCharType="end"/>
      </w:r>
      <w:r>
        <w:fldChar w:fldCharType="end"/>
      </w:r>
    </w:p>
    <w:p>
      <w:pPr>
        <w:pStyle w:val="29"/>
        <w:tabs>
          <w:tab w:val="right" w:leader="dot" w:pos="8867"/>
          <w:tab w:val="clear" w:pos="8857"/>
        </w:tabs>
      </w:pPr>
      <w:r>
        <w:fldChar w:fldCharType="begin"/>
      </w:r>
      <w:r>
        <w:instrText xml:space="preserve"> HYPERLINK \l _Toc13467 </w:instrText>
      </w:r>
      <w:r>
        <w:fldChar w:fldCharType="separate"/>
      </w:r>
      <w:r>
        <w:rPr>
          <w:rFonts w:hint="eastAsia" w:ascii="仿宋" w:hAnsi="仿宋" w:eastAsia="仿宋" w:cs="仿宋"/>
          <w:bCs w:val="0"/>
          <w:szCs w:val="28"/>
          <w:highlight w:val="none"/>
          <w:lang w:val="en-US" w:eastAsia="zh-CN"/>
        </w:rPr>
        <w:t>（二）技术参数</w:t>
      </w:r>
      <w:r>
        <w:tab/>
      </w:r>
      <w:r>
        <w:fldChar w:fldCharType="begin"/>
      </w:r>
      <w:r>
        <w:instrText xml:space="preserve"> PAGEREF _Toc13467 \h </w:instrText>
      </w:r>
      <w:r>
        <w:fldChar w:fldCharType="separate"/>
      </w:r>
      <w:r>
        <w:t>36</w:t>
      </w:r>
      <w:r>
        <w:fldChar w:fldCharType="end"/>
      </w:r>
      <w:r>
        <w:fldChar w:fldCharType="end"/>
      </w:r>
    </w:p>
    <w:p>
      <w:pPr>
        <w:pStyle w:val="25"/>
        <w:tabs>
          <w:tab w:val="right" w:leader="dot" w:pos="8867"/>
        </w:tabs>
      </w:pPr>
      <w:r>
        <w:fldChar w:fldCharType="begin"/>
      </w:r>
      <w:r>
        <w:instrText xml:space="preserve"> HYPERLINK \l _Toc1787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_Toc1787 \h </w:instrText>
      </w:r>
      <w:r>
        <w:fldChar w:fldCharType="separate"/>
      </w:r>
      <w:r>
        <w:t>39</w:t>
      </w:r>
      <w:r>
        <w:fldChar w:fldCharType="end"/>
      </w:r>
      <w:r>
        <w:fldChar w:fldCharType="end"/>
      </w:r>
    </w:p>
    <w:p>
      <w:pPr>
        <w:pStyle w:val="29"/>
        <w:tabs>
          <w:tab w:val="right" w:leader="dot" w:pos="8867"/>
          <w:tab w:val="clear" w:pos="8857"/>
        </w:tabs>
      </w:pPr>
      <w:r>
        <w:fldChar w:fldCharType="begin"/>
      </w:r>
      <w:r>
        <w:instrText xml:space="preserve"> HYPERLINK \l _Toc7894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_Toc7894 \h </w:instrText>
      </w:r>
      <w:r>
        <w:fldChar w:fldCharType="separate"/>
      </w:r>
      <w:r>
        <w:t>39</w:t>
      </w:r>
      <w:r>
        <w:fldChar w:fldCharType="end"/>
      </w:r>
      <w:r>
        <w:fldChar w:fldCharType="end"/>
      </w:r>
    </w:p>
    <w:p>
      <w:pPr>
        <w:pStyle w:val="29"/>
        <w:tabs>
          <w:tab w:val="right" w:leader="dot" w:pos="8867"/>
          <w:tab w:val="clear" w:pos="8857"/>
        </w:tabs>
      </w:pPr>
      <w:r>
        <w:fldChar w:fldCharType="begin"/>
      </w:r>
      <w:r>
        <w:instrText xml:space="preserve"> HYPERLINK \l _Toc2051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_Toc2051 \h </w:instrText>
      </w:r>
      <w:r>
        <w:fldChar w:fldCharType="separate"/>
      </w:r>
      <w:r>
        <w:t>41</w:t>
      </w:r>
      <w:r>
        <w:fldChar w:fldCharType="end"/>
      </w:r>
      <w:r>
        <w:fldChar w:fldCharType="end"/>
      </w:r>
    </w:p>
    <w:p>
      <w:pPr>
        <w:pStyle w:val="29"/>
        <w:tabs>
          <w:tab w:val="right" w:leader="dot" w:pos="8867"/>
          <w:tab w:val="clear" w:pos="8857"/>
        </w:tabs>
      </w:pPr>
      <w:r>
        <w:fldChar w:fldCharType="begin"/>
      </w:r>
      <w:r>
        <w:instrText xml:space="preserve"> HYPERLINK \l _Toc24885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_Toc24885 \h </w:instrText>
      </w:r>
      <w:r>
        <w:fldChar w:fldCharType="separate"/>
      </w:r>
      <w:r>
        <w:t>42</w:t>
      </w:r>
      <w:r>
        <w:fldChar w:fldCharType="end"/>
      </w:r>
      <w:r>
        <w:fldChar w:fldCharType="end"/>
      </w:r>
    </w:p>
    <w:p>
      <w:pPr>
        <w:pStyle w:val="29"/>
        <w:tabs>
          <w:tab w:val="right" w:leader="dot" w:pos="8867"/>
          <w:tab w:val="clear" w:pos="8857"/>
        </w:tabs>
      </w:pPr>
      <w:r>
        <w:fldChar w:fldCharType="begin"/>
      </w:r>
      <w:r>
        <w:instrText xml:space="preserve"> HYPERLINK \l _Toc25251 </w:instrText>
      </w:r>
      <w:r>
        <w:fldChar w:fldCharType="separate"/>
      </w:r>
      <w:r>
        <w:rPr>
          <w:rFonts w:hint="eastAsia" w:ascii="仿宋" w:hAnsi="仿宋" w:eastAsia="仿宋" w:cs="仿宋"/>
          <w:szCs w:val="28"/>
          <w:highlight w:val="none"/>
        </w:rPr>
        <w:t>附件四：报  价 一 览 表</w:t>
      </w:r>
      <w:r>
        <w:tab/>
      </w:r>
      <w:r>
        <w:fldChar w:fldCharType="begin"/>
      </w:r>
      <w:r>
        <w:instrText xml:space="preserve"> PAGEREF _Toc25251 \h </w:instrText>
      </w:r>
      <w:r>
        <w:fldChar w:fldCharType="separate"/>
      </w:r>
      <w:r>
        <w:t>43</w:t>
      </w:r>
      <w:r>
        <w:fldChar w:fldCharType="end"/>
      </w:r>
      <w:r>
        <w:fldChar w:fldCharType="end"/>
      </w:r>
    </w:p>
    <w:p>
      <w:pPr>
        <w:pStyle w:val="29"/>
        <w:tabs>
          <w:tab w:val="right" w:leader="dot" w:pos="8867"/>
          <w:tab w:val="clear" w:pos="8857"/>
        </w:tabs>
      </w:pPr>
      <w:r>
        <w:fldChar w:fldCharType="begin"/>
      </w:r>
      <w:r>
        <w:instrText xml:space="preserve"> HYPERLINK \l _Toc5563 </w:instrText>
      </w:r>
      <w:r>
        <w:fldChar w:fldCharType="separate"/>
      </w:r>
      <w:r>
        <w:rPr>
          <w:rFonts w:hint="eastAsia" w:ascii="仿宋" w:hAnsi="仿宋" w:eastAsia="仿宋" w:cs="仿宋"/>
          <w:szCs w:val="28"/>
          <w:highlight w:val="none"/>
        </w:rPr>
        <w:t>附件五：</w:t>
      </w:r>
      <w:r>
        <w:rPr>
          <w:rFonts w:hint="eastAsia" w:ascii="仿宋" w:hAnsi="仿宋" w:eastAsia="仿宋" w:cs="仿宋"/>
          <w:szCs w:val="28"/>
          <w:highlight w:val="none"/>
          <w:lang w:val="en-US" w:eastAsia="zh-CN"/>
        </w:rPr>
        <w:t>报价明细表</w:t>
      </w:r>
      <w:r>
        <w:tab/>
      </w:r>
      <w:r>
        <w:fldChar w:fldCharType="begin"/>
      </w:r>
      <w:r>
        <w:instrText xml:space="preserve"> PAGEREF _Toc5563 \h </w:instrText>
      </w:r>
      <w:r>
        <w:fldChar w:fldCharType="separate"/>
      </w:r>
      <w:r>
        <w:t>44</w:t>
      </w:r>
      <w:r>
        <w:fldChar w:fldCharType="end"/>
      </w:r>
      <w:r>
        <w:fldChar w:fldCharType="end"/>
      </w:r>
    </w:p>
    <w:p>
      <w:pPr>
        <w:pStyle w:val="29"/>
        <w:tabs>
          <w:tab w:val="right" w:leader="dot" w:pos="8867"/>
          <w:tab w:val="clear" w:pos="8857"/>
        </w:tabs>
      </w:pPr>
      <w:r>
        <w:fldChar w:fldCharType="begin"/>
      </w:r>
      <w:r>
        <w:instrText xml:space="preserve"> HYPERLINK \l _Toc31486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：投 标 偏 离 表</w:t>
      </w:r>
      <w:r>
        <w:tab/>
      </w:r>
      <w:r>
        <w:fldChar w:fldCharType="begin"/>
      </w:r>
      <w:r>
        <w:instrText xml:space="preserve"> PAGEREF _Toc31486 \h </w:instrText>
      </w:r>
      <w:r>
        <w:fldChar w:fldCharType="separate"/>
      </w:r>
      <w:r>
        <w:t>45</w:t>
      </w:r>
      <w:r>
        <w:fldChar w:fldCharType="end"/>
      </w:r>
      <w:r>
        <w:fldChar w:fldCharType="end"/>
      </w:r>
    </w:p>
    <w:p>
      <w:pPr>
        <w:pStyle w:val="29"/>
        <w:tabs>
          <w:tab w:val="right" w:leader="dot" w:pos="8867"/>
          <w:tab w:val="clear" w:pos="8857"/>
        </w:tabs>
      </w:pPr>
      <w:r>
        <w:fldChar w:fldCharType="begin"/>
      </w:r>
      <w:r>
        <w:instrText xml:space="preserve"> HYPERLINK \l _Toc8578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拟投入本项目人员情况一览表</w:t>
      </w:r>
      <w:r>
        <w:tab/>
      </w:r>
      <w:r>
        <w:fldChar w:fldCharType="begin"/>
      </w:r>
      <w:r>
        <w:instrText xml:space="preserve"> PAGEREF _Toc8578 \h </w:instrText>
      </w:r>
      <w:r>
        <w:fldChar w:fldCharType="separate"/>
      </w:r>
      <w:r>
        <w:t>46</w:t>
      </w:r>
      <w:r>
        <w:fldChar w:fldCharType="end"/>
      </w:r>
      <w:r>
        <w:fldChar w:fldCharType="end"/>
      </w:r>
    </w:p>
    <w:p>
      <w:pPr>
        <w:pStyle w:val="29"/>
        <w:tabs>
          <w:tab w:val="right" w:leader="dot" w:pos="8867"/>
          <w:tab w:val="clear" w:pos="8857"/>
        </w:tabs>
      </w:pPr>
      <w:r>
        <w:fldChar w:fldCharType="begin"/>
      </w:r>
      <w:r>
        <w:instrText xml:space="preserve"> HYPERLINK \l _Toc30014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拟投入本项目仪器设备情况一览表</w:t>
      </w:r>
      <w:r>
        <w:tab/>
      </w:r>
      <w:r>
        <w:fldChar w:fldCharType="begin"/>
      </w:r>
      <w:r>
        <w:instrText xml:space="preserve"> PAGEREF _Toc30014 \h </w:instrText>
      </w:r>
      <w:r>
        <w:fldChar w:fldCharType="separate"/>
      </w:r>
      <w:r>
        <w:t>47</w:t>
      </w:r>
      <w:r>
        <w:fldChar w:fldCharType="end"/>
      </w:r>
      <w:r>
        <w:fldChar w:fldCharType="end"/>
      </w:r>
    </w:p>
    <w:p>
      <w:pPr>
        <w:pStyle w:val="29"/>
        <w:tabs>
          <w:tab w:val="right" w:leader="dot" w:pos="8867"/>
          <w:tab w:val="clear" w:pos="8857"/>
        </w:tabs>
      </w:pPr>
      <w:r>
        <w:fldChar w:fldCharType="begin"/>
      </w:r>
      <w:r>
        <w:instrText xml:space="preserve"> HYPERLINK \l _Toc1438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：201</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年1月1日至今以来签订的同类业绩一览表</w:t>
      </w:r>
      <w:r>
        <w:tab/>
      </w:r>
      <w:r>
        <w:fldChar w:fldCharType="begin"/>
      </w:r>
      <w:r>
        <w:instrText xml:space="preserve"> PAGEREF _Toc1438 \h </w:instrText>
      </w:r>
      <w:r>
        <w:fldChar w:fldCharType="separate"/>
      </w:r>
      <w:r>
        <w:t>48</w:t>
      </w:r>
      <w:r>
        <w:fldChar w:fldCharType="end"/>
      </w:r>
      <w:r>
        <w:fldChar w:fldCharType="end"/>
      </w:r>
    </w:p>
    <w:p>
      <w:pPr>
        <w:pStyle w:val="29"/>
        <w:tabs>
          <w:tab w:val="right" w:leader="dot" w:pos="8867"/>
          <w:tab w:val="clear" w:pos="8857"/>
        </w:tabs>
      </w:pPr>
      <w:r>
        <w:fldChar w:fldCharType="begin"/>
      </w:r>
      <w:r>
        <w:instrText xml:space="preserve"> HYPERLINK \l _Toc19828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政策功能体现</w:t>
      </w:r>
      <w:r>
        <w:tab/>
      </w:r>
      <w:r>
        <w:fldChar w:fldCharType="begin"/>
      </w:r>
      <w:r>
        <w:instrText xml:space="preserve"> PAGEREF _Toc19828 \h </w:instrText>
      </w:r>
      <w:r>
        <w:fldChar w:fldCharType="separate"/>
      </w:r>
      <w:r>
        <w:t>49</w:t>
      </w:r>
      <w:r>
        <w:fldChar w:fldCharType="end"/>
      </w:r>
      <w:r>
        <w:fldChar w:fldCharType="end"/>
      </w:r>
    </w:p>
    <w:p>
      <w:pPr>
        <w:pStyle w:val="29"/>
        <w:tabs>
          <w:tab w:val="right" w:leader="dot" w:pos="8867"/>
          <w:tab w:val="clear" w:pos="8857"/>
        </w:tabs>
      </w:pPr>
      <w:r>
        <w:fldChar w:fldCharType="begin"/>
      </w:r>
      <w:r>
        <w:instrText xml:space="preserve"> HYPERLINK \l _Toc30721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：封面格式</w:t>
      </w:r>
      <w:r>
        <w:tab/>
      </w:r>
      <w:r>
        <w:fldChar w:fldCharType="begin"/>
      </w:r>
      <w:r>
        <w:instrText xml:space="preserve"> PAGEREF _Toc30721 \h </w:instrText>
      </w:r>
      <w:r>
        <w:fldChar w:fldCharType="separate"/>
      </w:r>
      <w:r>
        <w:t>51</w:t>
      </w:r>
      <w:r>
        <w:fldChar w:fldCharType="end"/>
      </w:r>
      <w:r>
        <w:fldChar w:fldCharType="end"/>
      </w:r>
    </w:p>
    <w:p>
      <w:pPr>
        <w:spacing w:line="240" w:lineRule="auto"/>
      </w:pPr>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356491305"/>
      <w:bookmarkStart w:id="22" w:name="_Toc5365"/>
      <w:bookmarkStart w:id="23" w:name="_Toc8255"/>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582066"/>
      <w:bookmarkStart w:id="25" w:name="_Toc325620702"/>
      <w:bookmarkStart w:id="26" w:name="_Toc325582571"/>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山东大学第二医院疏肝利胆方预防胆石症术后复发RCT研究相关测试加工服务</w:t>
      </w:r>
      <w:r>
        <w:rPr>
          <w:rFonts w:hint="eastAsia" w:ascii="仿宋" w:hAnsi="仿宋" w:eastAsia="仿宋" w:cs="仿宋"/>
          <w:sz w:val="28"/>
          <w:szCs w:val="28"/>
          <w:highlight w:val="none"/>
        </w:rPr>
        <w:t>项目的潜在投标人应在山东济南唐冶西路868号山东设计创意产业园南区B1楼获取招标文件，并于</w:t>
      </w: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3</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24</w:t>
      </w:r>
      <w:r>
        <w:rPr>
          <w:rFonts w:hint="eastAsia" w:ascii="仿宋" w:hAnsi="仿宋" w:eastAsia="仿宋" w:cs="仿宋"/>
          <w:bCs/>
          <w:color w:val="000000"/>
          <w:sz w:val="28"/>
          <w:szCs w:val="28"/>
          <w:highlight w:val="none"/>
          <w:u w:val="single"/>
        </w:rPr>
        <w:t>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bCs w:val="0"/>
          <w:sz w:val="28"/>
          <w:szCs w:val="28"/>
          <w:highlight w:val="none"/>
        </w:rPr>
      </w:pPr>
      <w:bookmarkStart w:id="27" w:name="_Toc28359079"/>
      <w:bookmarkStart w:id="28" w:name="_Toc35393621"/>
      <w:bookmarkStart w:id="29" w:name="_Toc35393790"/>
      <w:bookmarkStart w:id="30" w:name="_Toc28359002"/>
      <w:bookmarkStart w:id="31" w:name="_Hlk24379207"/>
      <w:r>
        <w:rPr>
          <w:rFonts w:hint="eastAsia" w:ascii="仿宋" w:hAnsi="仿宋" w:eastAsia="仿宋" w:cs="仿宋"/>
          <w:b/>
          <w:bCs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SDSHZB2022-307</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山东大学第二医院疏肝利胆方预防胆石症术后复发RCT研究相关测试加工服务</w:t>
      </w:r>
      <w:r>
        <w:rPr>
          <w:rFonts w:hint="eastAsia" w:ascii="仿宋" w:hAnsi="仿宋" w:eastAsia="仿宋" w:cs="仿宋"/>
          <w:sz w:val="28"/>
          <w:szCs w:val="28"/>
          <w:highlight w:val="none"/>
        </w:rPr>
        <w:t>项目</w:t>
      </w:r>
    </w:p>
    <w:bookmarkEnd w:id="31"/>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229.5万元/3年。</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229.5/3年。</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6"/>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948"/>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58"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3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40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58" w:type="pct"/>
            <w:vAlign w:val="center"/>
          </w:tcPr>
          <w:p>
            <w:pPr>
              <w:pStyle w:val="17"/>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z w:val="28"/>
                <w:szCs w:val="28"/>
                <w:highlight w:val="none"/>
                <w:lang w:eastAsia="zh-CN"/>
              </w:rPr>
              <w:t>疏肝利胆方预防胆石症术后复发RCT研究相关测试加工服务</w:t>
            </w:r>
          </w:p>
        </w:tc>
        <w:tc>
          <w:tcPr>
            <w:tcW w:w="539" w:type="pct"/>
            <w:vAlign w:val="center"/>
          </w:tcPr>
          <w:p>
            <w:pPr>
              <w:pStyle w:val="17"/>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401" w:type="pct"/>
          </w:tcPr>
          <w:p>
            <w:pPr>
              <w:widowControl/>
              <w:spacing w:line="24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为疏肝利胆方预防胆石症术后复发RCT研究相关测试加工服务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bCs w:val="0"/>
          <w:sz w:val="28"/>
          <w:szCs w:val="28"/>
          <w:highlight w:val="none"/>
        </w:rPr>
      </w:pPr>
      <w:bookmarkStart w:id="32" w:name="_Toc35393791"/>
      <w:bookmarkStart w:id="33" w:name="_Toc35393622"/>
      <w:bookmarkStart w:id="34" w:name="_Toc28359080"/>
      <w:bookmarkStart w:id="35" w:name="_Toc28359003"/>
      <w:r>
        <w:rPr>
          <w:rFonts w:hint="eastAsia" w:ascii="仿宋" w:hAnsi="仿宋" w:eastAsia="仿宋" w:cs="仿宋"/>
          <w:b/>
          <w:bCs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2.本项目的特定资格要求：无</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bookmarkStart w:id="36" w:name="_Toc28359081"/>
      <w:bookmarkStart w:id="37" w:name="_Toc28359004"/>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default"/>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bookmarkStart w:id="38" w:name="_Toc35393792"/>
      <w:bookmarkStart w:id="39" w:name="_Toc35393623"/>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日，每天上午8:30至12:00，下午12:00至17:30（北京时间，法定节假日除外）</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、公司名称、联系人、联系电话、邮箱、营业执照副本扫描件、标书费汇款底单发送至山东盛和招标代理有限公司邮箱cnshzb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@163.com，邮件名称命名为</w:t>
      </w:r>
      <w:r>
        <w:rPr>
          <w:rFonts w:hint="eastAsia" w:ascii="仿宋" w:hAnsi="仿宋" w:eastAsia="仿宋" w:cs="仿宋"/>
          <w:sz w:val="28"/>
          <w:szCs w:val="28"/>
          <w:highlight w:val="none"/>
          <w:lang w:eastAsia="zh-CN"/>
        </w:rPr>
        <w:t>山东大学第二医院疏肝利胆方预防胆石症术后复发RCT研究相关测试加工服务</w:t>
      </w:r>
      <w:r>
        <w:rPr>
          <w:rFonts w:hint="eastAsia" w:ascii="仿宋" w:hAnsi="仿宋" w:eastAsia="仿宋" w:cs="仿宋"/>
          <w:sz w:val="28"/>
          <w:szCs w:val="28"/>
          <w:highlight w:val="none"/>
        </w:rPr>
        <w:t>项目-报名-“</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05"/>
      <w:bookmarkStart w:id="41" w:name="_Toc28359082"/>
      <w:bookmarkStart w:id="42" w:name="_Toc35393624"/>
      <w:bookmarkStart w:id="43" w:name="_Toc35393793"/>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eastAsia" w:ascii="仿宋" w:hAnsi="仿宋" w:eastAsia="仿宋" w:cs="仿宋"/>
          <w:bCs/>
          <w:color w:val="000000"/>
          <w:sz w:val="28"/>
          <w:szCs w:val="28"/>
          <w:highlight w:val="none"/>
          <w:u w:val="single"/>
          <w:lang w:val="en-US" w:eastAsia="zh-CN"/>
        </w:rPr>
        <w:t>3</w:t>
      </w:r>
      <w:r>
        <w:rPr>
          <w:rFonts w:hint="eastAsia" w:ascii="仿宋" w:hAnsi="仿宋" w:eastAsia="仿宋" w:cs="仿宋"/>
          <w:bCs/>
          <w:color w:val="000000"/>
          <w:sz w:val="28"/>
          <w:szCs w:val="28"/>
          <w:highlight w:val="none"/>
          <w:u w:val="single"/>
        </w:rPr>
        <w:t>月</w:t>
      </w:r>
      <w:r>
        <w:rPr>
          <w:rFonts w:hint="eastAsia" w:ascii="仿宋" w:hAnsi="仿宋" w:eastAsia="仿宋" w:cs="仿宋"/>
          <w:bCs/>
          <w:color w:val="000000"/>
          <w:sz w:val="28"/>
          <w:szCs w:val="28"/>
          <w:highlight w:val="none"/>
          <w:u w:val="single"/>
          <w:lang w:val="en-US" w:eastAsia="zh-CN"/>
        </w:rPr>
        <w:t>24</w:t>
      </w:r>
      <w:r>
        <w:rPr>
          <w:rFonts w:hint="eastAsia" w:ascii="仿宋" w:hAnsi="仿宋" w:eastAsia="仿宋" w:cs="仿宋"/>
          <w:bCs/>
          <w:color w:val="000000"/>
          <w:sz w:val="28"/>
          <w:szCs w:val="28"/>
          <w:highlight w:val="none"/>
          <w:u w:val="single"/>
        </w:rPr>
        <w:t>日</w:t>
      </w:r>
      <w:r>
        <w:rPr>
          <w:rFonts w:hint="eastAsia" w:ascii="仿宋" w:hAnsi="仿宋" w:eastAsia="仿宋" w:cs="仿宋"/>
          <w:bCs/>
          <w:color w:val="000000"/>
          <w:sz w:val="28"/>
          <w:szCs w:val="28"/>
          <w:highlight w:val="none"/>
          <w:u w:val="single"/>
          <w:lang w:val="en-US" w:eastAsia="zh-CN"/>
        </w:rPr>
        <w:t>09</w:t>
      </w:r>
      <w:r>
        <w:rPr>
          <w:rFonts w:hint="eastAsia" w:ascii="仿宋" w:hAnsi="仿宋" w:eastAsia="仿宋" w:cs="仿宋"/>
          <w:bCs/>
          <w:color w:val="000000"/>
          <w:sz w:val="28"/>
          <w:szCs w:val="28"/>
          <w:highlight w:val="none"/>
          <w:u w:val="single"/>
        </w:rPr>
        <w:t>点</w:t>
      </w:r>
      <w:r>
        <w:rPr>
          <w:rFonts w:hint="eastAsia" w:ascii="仿宋" w:hAnsi="仿宋" w:eastAsia="仿宋" w:cs="仿宋"/>
          <w:bCs/>
          <w:color w:val="000000"/>
          <w:sz w:val="28"/>
          <w:szCs w:val="28"/>
          <w:highlight w:val="none"/>
          <w:u w:val="single"/>
          <w:lang w:val="en-US" w:eastAsia="zh-CN"/>
        </w:rPr>
        <w:t>00</w:t>
      </w:r>
      <w:r>
        <w:rPr>
          <w:rFonts w:hint="eastAsia" w:ascii="仿宋" w:hAnsi="仿宋" w:eastAsia="仿宋" w:cs="仿宋"/>
          <w:bCs/>
          <w:color w:val="000000"/>
          <w:sz w:val="28"/>
          <w:szCs w:val="28"/>
          <w:highlight w:val="none"/>
          <w:u w:val="single"/>
        </w:rPr>
        <w:t>分</w:t>
      </w:r>
      <w:r>
        <w:rPr>
          <w:rFonts w:hint="eastAsia" w:ascii="仿宋" w:hAnsi="仿宋" w:eastAsia="仿宋" w:cs="仿宋"/>
          <w:bCs/>
          <w:color w:val="000000"/>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地点：山东大学第二医院文</w:t>
      </w:r>
      <w:r>
        <w:rPr>
          <w:rFonts w:hint="eastAsia" w:ascii="仿宋" w:hAnsi="仿宋" w:eastAsia="仿宋" w:cs="仿宋"/>
          <w:sz w:val="28"/>
          <w:szCs w:val="28"/>
          <w:highlight w:val="none"/>
          <w:lang w:val="en-US" w:eastAsia="zh-CN"/>
        </w:rPr>
        <w:t>会</w:t>
      </w:r>
      <w:r>
        <w:rPr>
          <w:rFonts w:hint="eastAsia" w:ascii="仿宋" w:hAnsi="仿宋" w:eastAsia="仿宋" w:cs="仿宋"/>
          <w:sz w:val="28"/>
          <w:szCs w:val="28"/>
          <w:highlight w:val="none"/>
        </w:rPr>
        <w:t>学堂（地址：济南市天桥区北园大街247号）。</w:t>
      </w:r>
    </w:p>
    <w:p>
      <w:pPr>
        <w:spacing w:line="360" w:lineRule="auto"/>
        <w:outlineLvl w:val="9"/>
        <w:rPr>
          <w:rFonts w:hint="eastAsia" w:ascii="仿宋" w:hAnsi="仿宋" w:eastAsia="仿宋" w:cs="仿宋"/>
          <w:b/>
          <w:bCs w:val="0"/>
          <w:sz w:val="28"/>
          <w:szCs w:val="28"/>
          <w:highlight w:val="none"/>
        </w:rPr>
      </w:pPr>
      <w:bookmarkStart w:id="44" w:name="_Toc28359084"/>
      <w:bookmarkStart w:id="45" w:name="_Toc35393794"/>
      <w:bookmarkStart w:id="46" w:name="_Toc35393625"/>
      <w:bookmarkStart w:id="47" w:name="_Toc28359007"/>
      <w:r>
        <w:rPr>
          <w:rFonts w:hint="eastAsia" w:ascii="仿宋" w:hAnsi="仿宋" w:eastAsia="仿宋" w:cs="仿宋"/>
          <w:b/>
          <w:bCs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bCs w:val="0"/>
          <w:sz w:val="28"/>
          <w:szCs w:val="28"/>
          <w:highlight w:val="none"/>
        </w:rPr>
      </w:pPr>
      <w:bookmarkStart w:id="48" w:name="_Toc35393626"/>
      <w:bookmarkStart w:id="49" w:name="_Toc35393795"/>
      <w:r>
        <w:rPr>
          <w:rFonts w:hint="eastAsia" w:ascii="仿宋" w:hAnsi="仿宋" w:eastAsia="仿宋" w:cs="仿宋"/>
          <w:b/>
          <w:bCs w:val="0"/>
          <w:sz w:val="28"/>
          <w:szCs w:val="28"/>
          <w:highlight w:val="none"/>
        </w:rPr>
        <w:t>六、其他补充事宜</w:t>
      </w:r>
      <w:bookmarkEnd w:id="48"/>
      <w:bookmarkEnd w:id="49"/>
    </w:p>
    <w:p>
      <w:pPr>
        <w:spacing w:line="360" w:lineRule="auto"/>
        <w:outlineLvl w:val="9"/>
        <w:rPr>
          <w:rFonts w:hint="eastAsia" w:ascii="仿宋" w:hAnsi="仿宋" w:eastAsia="仿宋" w:cs="仿宋"/>
          <w:b w:val="0"/>
          <w:sz w:val="28"/>
          <w:szCs w:val="28"/>
          <w:highlight w:val="none"/>
        </w:rPr>
      </w:pPr>
      <w:bookmarkStart w:id="50" w:name="_Toc11380"/>
      <w:bookmarkStart w:id="51" w:name="_Toc8523"/>
      <w:bookmarkStart w:id="52" w:name="_Toc9359"/>
      <w:bookmarkStart w:id="53" w:name="_Toc27247"/>
      <w:bookmarkStart w:id="54" w:name="_Toc27143"/>
      <w:bookmarkStart w:id="55" w:name="_Toc13738"/>
      <w:bookmarkStart w:id="56" w:name="_Toc28359085"/>
      <w:bookmarkStart w:id="57" w:name="_Toc35393796"/>
      <w:bookmarkStart w:id="58" w:name="_Toc35393627"/>
      <w:bookmarkStart w:id="59" w:name="_Toc28359008"/>
      <w:r>
        <w:rPr>
          <w:rFonts w:hint="eastAsia" w:ascii="仿宋" w:hAnsi="仿宋" w:eastAsia="仿宋" w:cs="仿宋"/>
          <w:b w:val="0"/>
          <w:sz w:val="28"/>
          <w:szCs w:val="28"/>
          <w:highlight w:val="none"/>
        </w:rPr>
        <w:t>采购项目需要落实的政府采购政策</w:t>
      </w:r>
      <w:bookmarkEnd w:id="50"/>
      <w:bookmarkEnd w:id="51"/>
      <w:bookmarkEnd w:id="52"/>
      <w:bookmarkEnd w:id="53"/>
      <w:bookmarkEnd w:id="54"/>
      <w:bookmarkEnd w:id="55"/>
    </w:p>
    <w:p>
      <w:pPr>
        <w:spacing w:line="360" w:lineRule="auto"/>
        <w:outlineLvl w:val="9"/>
        <w:rPr>
          <w:rFonts w:hint="eastAsia" w:ascii="仿宋" w:hAnsi="仿宋" w:eastAsia="仿宋" w:cs="仿宋"/>
          <w:b w:val="0"/>
          <w:sz w:val="28"/>
          <w:szCs w:val="28"/>
          <w:highlight w:val="none"/>
        </w:rPr>
      </w:pPr>
      <w:bookmarkStart w:id="60" w:name="_Toc32511"/>
      <w:bookmarkStart w:id="61" w:name="_Toc4986"/>
      <w:bookmarkStart w:id="62" w:name="_Toc13114"/>
      <w:bookmarkStart w:id="63" w:name="_Toc21415"/>
      <w:bookmarkStart w:id="64" w:name="_Toc5740"/>
      <w:bookmarkStart w:id="65" w:name="_Toc25231"/>
      <w:r>
        <w:rPr>
          <w:rFonts w:hint="eastAsia" w:ascii="仿宋" w:hAnsi="仿宋" w:eastAsia="仿宋" w:cs="仿宋"/>
          <w:b w:val="0"/>
          <w:sz w:val="28"/>
          <w:szCs w:val="28"/>
          <w:highlight w:val="none"/>
        </w:rPr>
        <w:t>（一）中小微型企业政府采购政策</w:t>
      </w:r>
      <w:bookmarkEnd w:id="60"/>
      <w:bookmarkEnd w:id="61"/>
      <w:bookmarkEnd w:id="62"/>
      <w:bookmarkEnd w:id="63"/>
      <w:bookmarkEnd w:id="64"/>
      <w:bookmarkEnd w:id="65"/>
    </w:p>
    <w:p>
      <w:pPr>
        <w:spacing w:line="360" w:lineRule="auto"/>
        <w:outlineLvl w:val="9"/>
        <w:rPr>
          <w:rFonts w:hint="eastAsia" w:ascii="仿宋" w:hAnsi="仿宋" w:eastAsia="仿宋" w:cs="仿宋"/>
          <w:b w:val="0"/>
          <w:sz w:val="28"/>
          <w:szCs w:val="28"/>
          <w:highlight w:val="none"/>
        </w:rPr>
      </w:pPr>
      <w:bookmarkStart w:id="66" w:name="_Toc18856"/>
      <w:bookmarkStart w:id="67" w:name="_Toc27124"/>
      <w:bookmarkStart w:id="68" w:name="_Toc16973"/>
      <w:bookmarkStart w:id="69" w:name="_Toc2425"/>
      <w:bookmarkStart w:id="70" w:name="_Toc6934"/>
      <w:bookmarkStart w:id="71" w:name="_Toc24918"/>
      <w:r>
        <w:rPr>
          <w:rFonts w:hint="eastAsia" w:ascii="仿宋" w:hAnsi="仿宋" w:eastAsia="仿宋" w:cs="仿宋"/>
          <w:b w:val="0"/>
          <w:sz w:val="28"/>
          <w:szCs w:val="28"/>
          <w:highlight w:val="none"/>
        </w:rPr>
        <w:t>（二）监狱企业政府采购政策</w:t>
      </w:r>
      <w:bookmarkEnd w:id="66"/>
      <w:bookmarkEnd w:id="67"/>
      <w:bookmarkEnd w:id="68"/>
      <w:bookmarkEnd w:id="69"/>
      <w:bookmarkEnd w:id="70"/>
      <w:bookmarkEnd w:id="71"/>
    </w:p>
    <w:p>
      <w:pPr>
        <w:spacing w:line="360" w:lineRule="auto"/>
        <w:outlineLvl w:val="9"/>
        <w:rPr>
          <w:rFonts w:hint="eastAsia" w:ascii="仿宋" w:hAnsi="仿宋" w:eastAsia="仿宋" w:cs="仿宋"/>
          <w:b w:val="0"/>
          <w:sz w:val="28"/>
          <w:szCs w:val="28"/>
          <w:highlight w:val="none"/>
        </w:rPr>
      </w:pPr>
      <w:bookmarkStart w:id="72" w:name="_Toc18488"/>
      <w:bookmarkStart w:id="73" w:name="_Toc19142"/>
      <w:bookmarkStart w:id="74" w:name="_Toc25943"/>
      <w:bookmarkStart w:id="75" w:name="_Toc28309"/>
      <w:bookmarkStart w:id="76" w:name="_Toc19604"/>
      <w:bookmarkStart w:id="77" w:name="_Toc32242"/>
      <w:r>
        <w:rPr>
          <w:rFonts w:hint="eastAsia" w:ascii="仿宋" w:hAnsi="仿宋" w:eastAsia="仿宋" w:cs="仿宋"/>
          <w:b w:val="0"/>
          <w:sz w:val="28"/>
          <w:szCs w:val="28"/>
          <w:highlight w:val="none"/>
        </w:rPr>
        <w:t>（三）促进残疾人就业政府采购政策</w:t>
      </w:r>
      <w:bookmarkEnd w:id="72"/>
      <w:bookmarkEnd w:id="73"/>
      <w:bookmarkEnd w:id="74"/>
      <w:bookmarkEnd w:id="75"/>
      <w:bookmarkEnd w:id="76"/>
      <w:bookmarkEnd w:id="77"/>
    </w:p>
    <w:p>
      <w:pPr>
        <w:spacing w:line="360" w:lineRule="auto"/>
        <w:ind w:firstLine="280" w:firstLineChars="100"/>
        <w:outlineLvl w:val="9"/>
        <w:rPr>
          <w:rFonts w:hint="eastAsia" w:ascii="仿宋" w:hAnsi="仿宋" w:eastAsia="仿宋" w:cs="仿宋"/>
          <w:b w:val="0"/>
          <w:sz w:val="28"/>
          <w:szCs w:val="28"/>
          <w:highlight w:val="none"/>
        </w:rPr>
      </w:pPr>
      <w:bookmarkStart w:id="78" w:name="_Toc24173"/>
      <w:bookmarkStart w:id="79" w:name="_Toc27218"/>
      <w:bookmarkStart w:id="80" w:name="_Toc26675"/>
      <w:bookmarkStart w:id="81" w:name="_Toc31679"/>
      <w:bookmarkStart w:id="82" w:name="_Toc2163"/>
      <w:bookmarkStart w:id="83" w:name="_Toc21956"/>
      <w:r>
        <w:rPr>
          <w:rFonts w:hint="eastAsia" w:ascii="仿宋" w:hAnsi="仿宋" w:eastAsia="仿宋" w:cs="仿宋"/>
          <w:b w:val="0"/>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bCs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84" w:name="_Toc28359086"/>
      <w:bookmarkStart w:id="85" w:name="_Toc28359009"/>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4"/>
      <w:bookmarkEnd w:id="85"/>
    </w:p>
    <w:p>
      <w:pPr>
        <w:spacing w:line="360" w:lineRule="auto"/>
        <w:ind w:firstLine="840" w:firstLineChars="300"/>
        <w:rPr>
          <w:rFonts w:hint="eastAsia" w:ascii="仿宋" w:hAnsi="仿宋" w:eastAsia="仿宋" w:cs="仿宋"/>
          <w:sz w:val="28"/>
          <w:szCs w:val="28"/>
          <w:highlight w:val="none"/>
        </w:rPr>
      </w:pPr>
      <w:bookmarkStart w:id="86" w:name="_Toc28359087"/>
      <w:bookmarkStart w:id="87"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6"/>
      <w:bookmarkEnd w:id="87"/>
    </w:p>
    <w:p>
      <w:pPr>
        <w:spacing w:line="360" w:lineRule="auto"/>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0531-88260506、15264153233、</w:t>
      </w:r>
      <w:r>
        <w:rPr>
          <w:rFonts w:hint="eastAsia" w:ascii="仿宋" w:hAnsi="仿宋" w:eastAsia="仿宋" w:cs="仿宋"/>
          <w:sz w:val="28"/>
          <w:szCs w:val="28"/>
          <w:highlight w:val="none"/>
        </w:rPr>
        <w:t>15153117917</w:t>
      </w:r>
    </w:p>
    <w:p>
      <w:pPr>
        <w:spacing w:line="360" w:lineRule="auto"/>
        <w:ind w:firstLine="840" w:firstLineChars="3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8" w:name="_Toc356491306"/>
      <w:bookmarkStart w:id="89" w:name="_Toc5932"/>
      <w:bookmarkStart w:id="90" w:name="_Toc6660"/>
      <w:bookmarkStart w:id="91" w:name="_Toc13436"/>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6"/>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山东大学第二医院疏肝利胆方预防胆石症术后复发RCT研究相关测试加工服务</w:t>
            </w:r>
            <w:r>
              <w:rPr>
                <w:rFonts w:hint="eastAsia" w:ascii="仿宋" w:hAnsi="仿宋" w:eastAsia="仿宋" w:cs="仿宋"/>
                <w:color w:val="000000"/>
                <w:sz w:val="24"/>
                <w:szCs w:val="24"/>
              </w:rPr>
              <w:t>项目</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lang w:eastAsia="zh-CN"/>
              </w:rPr>
              <w:t>SDSHZB2022-307</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4"/>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4"/>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229.5万元/3年。</w:t>
            </w:r>
          </w:p>
          <w:p>
            <w:pPr>
              <w:pStyle w:val="14"/>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229.5万元/3年。</w:t>
            </w:r>
          </w:p>
          <w:tbl>
            <w:tblPr>
              <w:tblStyle w:val="36"/>
              <w:tblW w:w="5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32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2984"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1324"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580" w:type="dxa"/>
                  <w:vAlign w:val="center"/>
                </w:tcPr>
                <w:p>
                  <w:pPr>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预算</w:t>
                  </w:r>
                  <w:r>
                    <w:rPr>
                      <w:rFonts w:hint="eastAsia" w:ascii="仿宋" w:hAnsi="仿宋" w:eastAsia="仿宋" w:cs="仿宋"/>
                      <w:b/>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984" w:type="dxa"/>
                  <w:vAlign w:val="center"/>
                </w:tcPr>
                <w:p>
                  <w:pPr>
                    <w:pStyle w:val="17"/>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color w:val="000000"/>
                      <w:sz w:val="24"/>
                      <w:szCs w:val="24"/>
                      <w:lang w:eastAsia="zh-CN"/>
                    </w:rPr>
                    <w:t>疏肝利胆方预防胆石症术后复发RCT研究相关测试加工服务</w:t>
                  </w:r>
                </w:p>
              </w:tc>
              <w:tc>
                <w:tcPr>
                  <w:tcW w:w="1324" w:type="dxa"/>
                  <w:vAlign w:val="center"/>
                </w:tcPr>
                <w:p>
                  <w:pPr>
                    <w:pStyle w:val="17"/>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580" w:type="dxa"/>
                  <w:vAlign w:val="center"/>
                </w:tcPr>
                <w:p>
                  <w:pPr>
                    <w:pStyle w:val="17"/>
                    <w:spacing w:line="240" w:lineRule="auto"/>
                    <w:ind w:left="0" w:leftChars="0" w:firstLine="0" w:firstLineChars="0"/>
                    <w:jc w:val="center"/>
                    <w:rPr>
                      <w:rFonts w:hint="eastAsia" w:ascii="仿宋" w:hAnsi="仿宋" w:eastAsia="仿宋" w:cs="仿宋"/>
                      <w:bCs/>
                      <w:kern w:val="0"/>
                      <w:sz w:val="24"/>
                      <w:szCs w:val="24"/>
                      <w:lang w:val="en-US" w:eastAsia="zh-CN"/>
                    </w:rPr>
                  </w:pPr>
                  <w:r>
                    <w:rPr>
                      <w:rFonts w:hint="eastAsia" w:ascii="仿宋" w:hAnsi="仿宋" w:eastAsia="仿宋" w:cs="仿宋"/>
                      <w:bCs/>
                      <w:sz w:val="24"/>
                      <w:szCs w:val="24"/>
                      <w:lang w:val="en-US" w:eastAsia="zh-CN"/>
                    </w:rPr>
                    <w:t>229.5万元/3年</w:t>
                  </w:r>
                </w:p>
              </w:tc>
            </w:tr>
          </w:tbl>
          <w:p>
            <w:pPr>
              <w:pStyle w:val="14"/>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w:t>
            </w:r>
            <w:r>
              <w:rPr>
                <w:rFonts w:hint="eastAsia" w:ascii="仿宋" w:hAnsi="仿宋" w:eastAsia="仿宋" w:cs="仿宋"/>
                <w:b/>
                <w:sz w:val="24"/>
                <w:szCs w:val="24"/>
                <w:lang w:val="en-US" w:eastAsia="zh-CN"/>
              </w:rPr>
              <w:t>或各项目单价报价不得超过单价最高控制价的，</w:t>
            </w:r>
            <w:r>
              <w:rPr>
                <w:rFonts w:hint="eastAsia" w:ascii="仿宋" w:hAnsi="仿宋" w:eastAsia="仿宋" w:cs="仿宋"/>
                <w:b/>
                <w:sz w:val="24"/>
                <w:szCs w:val="24"/>
              </w:rPr>
              <w:t>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w:t>
            </w:r>
            <w:r>
              <w:rPr>
                <w:rFonts w:hint="eastAsia" w:ascii="仿宋" w:hAnsi="仿宋" w:eastAsia="仿宋" w:cs="仿宋"/>
                <w:sz w:val="24"/>
                <w:szCs w:val="24"/>
                <w:lang w:val="en-US" w:eastAsia="zh-CN"/>
              </w:rPr>
              <w:t>或2021年</w:t>
            </w:r>
            <w:r>
              <w:rPr>
                <w:rFonts w:hint="eastAsia" w:ascii="仿宋" w:hAnsi="仿宋" w:eastAsia="仿宋" w:cs="仿宋"/>
                <w:sz w:val="24"/>
                <w:szCs w:val="24"/>
              </w:rPr>
              <w:t>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供应商是法人的，缴纳税收的证明材料，应提供开标前三个月内任意一个月的依法缴税凭据复印件；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供应商是法人的，缴纳社会保障资金的证明材料，应提供开标前三个月内任意一个月的缴纳社会保险的凭据（专用收据或社会保险缴纳清单）复印件；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供应商是其他组织和自然人的，需要提供开标前三个月内任意一个月的缴纳税收和社会保险的凭据。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（7）单位负责人为同一人或者存在直接控股、管理关系的不同供应商，不得参加同一包的投标或者未划分包的同一招标项目的投标，供应商须提供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本项目的特定资格要求的资质证明材料；</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提交疑问时间：</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2年3月7日12:00</w:t>
            </w:r>
            <w:r>
              <w:rPr>
                <w:rFonts w:hint="eastAsia" w:ascii="仿宋" w:hAnsi="仿宋" w:eastAsia="仿宋" w:cs="仿宋"/>
                <w:color w:val="000000"/>
                <w:sz w:val="24"/>
                <w:szCs w:val="24"/>
              </w:rPr>
              <w:t>前。</w:t>
            </w:r>
          </w:p>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提交疑问方式：发电子邮件至</w:t>
            </w:r>
            <w:r>
              <w:rPr>
                <w:rFonts w:hint="eastAsia" w:ascii="仿宋" w:hAnsi="仿宋" w:eastAsia="仿宋" w:cs="仿宋"/>
                <w:color w:val="000000"/>
                <w:sz w:val="24"/>
                <w:szCs w:val="24"/>
                <w:u w:val="single"/>
              </w:rPr>
              <w:t>cnshzb</w:t>
            </w:r>
            <w:r>
              <w:rPr>
                <w:rFonts w:hint="eastAsia" w:ascii="仿宋" w:hAnsi="仿宋" w:eastAsia="仿宋" w:cs="仿宋"/>
                <w:color w:val="000000"/>
                <w:sz w:val="24"/>
                <w:szCs w:val="24"/>
                <w:u w:val="single"/>
                <w:lang w:val="en-US" w:eastAsia="zh-CN"/>
              </w:rPr>
              <w:t>egs</w:t>
            </w:r>
            <w:r>
              <w:rPr>
                <w:rFonts w:hint="eastAsia" w:ascii="仿宋" w:hAnsi="仿宋" w:eastAsia="仿宋" w:cs="仿宋"/>
                <w:color w:val="000000"/>
                <w:sz w:val="24"/>
                <w:szCs w:val="24"/>
                <w:u w:val="single"/>
              </w:rPr>
              <w:t>@163.com</w:t>
            </w:r>
            <w:r>
              <w:rPr>
                <w:rFonts w:hint="eastAsia" w:ascii="仿宋" w:hAnsi="仿宋" w:eastAsia="仿宋" w:cs="仿宋"/>
                <w:color w:val="000000"/>
                <w:sz w:val="24"/>
                <w:szCs w:val="24"/>
              </w:rPr>
              <w:t>（word文档及加盖公章的扫描件各一份），邮件主题为“ XX公司关于XX项目的疑问”</w:t>
            </w:r>
            <w:r>
              <w:rPr>
                <w:rFonts w:hint="eastAsia" w:ascii="仿宋" w:hAnsi="仿宋" w:eastAsia="仿宋" w:cs="仿宋"/>
                <w:color w:val="00000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澄清和修改文件发送时间（如有）</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2年3月7日17:00</w:t>
            </w:r>
            <w:r>
              <w:rPr>
                <w:rFonts w:hint="eastAsia" w:ascii="仿宋" w:hAnsi="仿宋" w:eastAsia="仿宋" w:cs="仿宋"/>
                <w:color w:val="000000"/>
                <w:sz w:val="24"/>
                <w:szCs w:val="24"/>
              </w:rPr>
              <w:t>前。</w:t>
            </w:r>
          </w:p>
          <w:p>
            <w:pPr>
              <w:pStyle w:val="14"/>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澄清和修改文件发送方式：</w:t>
            </w:r>
            <w:r>
              <w:rPr>
                <w:rFonts w:hint="eastAsia" w:ascii="仿宋" w:hAnsi="仿宋" w:eastAsia="仿宋" w:cs="仿宋"/>
                <w:color w:val="000000"/>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4"/>
              <w:spacing w:after="0" w:line="360" w:lineRule="auto"/>
              <w:ind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rPr>
              <w:t>份；</w:t>
            </w:r>
          </w:p>
          <w:p>
            <w:pPr>
              <w:pStyle w:val="14"/>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4"/>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4"/>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4"/>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4"/>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4"/>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4"/>
              <w:spacing w:line="360" w:lineRule="auto"/>
              <w:ind w:firstLine="482" w:firstLineChars="200"/>
              <w:rPr>
                <w:rFonts w:hint="eastAsia" w:ascii="仿宋" w:hAnsi="仿宋" w:eastAsia="仿宋" w:cs="仿宋"/>
                <w:snapToGrid w:val="0"/>
                <w:sz w:val="24"/>
                <w:szCs w:val="24"/>
              </w:rPr>
            </w:pPr>
            <w:r>
              <w:rPr>
                <w:rFonts w:hint="eastAsia" w:ascii="仿宋" w:hAnsi="仿宋" w:eastAsia="仿宋" w:cs="仿宋"/>
                <w:b/>
                <w:bCs/>
                <w:snapToGrid w:val="0"/>
                <w:color w:val="000000"/>
                <w:sz w:val="24"/>
                <w:szCs w:val="24"/>
                <w:lang w:val="en-US" w:eastAsia="zh-CN"/>
              </w:rPr>
              <w:t>投标保证金金额：肆万元整</w:t>
            </w:r>
            <w:r>
              <w:rPr>
                <w:rFonts w:hint="eastAsia" w:ascii="仿宋" w:hAnsi="仿宋" w:eastAsia="仿宋" w:cs="仿宋"/>
                <w:snapToGrid w:val="0"/>
                <w:sz w:val="24"/>
                <w:szCs w:val="24"/>
              </w:rPr>
              <w:t>；</w:t>
            </w:r>
          </w:p>
          <w:p>
            <w:pPr>
              <w:pStyle w:val="14"/>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lang w:eastAsia="zh-CN"/>
              </w:rPr>
            </w:pPr>
            <w:r>
              <w:rPr>
                <w:rFonts w:hint="eastAsia" w:ascii="仿宋" w:hAnsi="仿宋" w:eastAsia="仿宋" w:cs="仿宋"/>
                <w:sz w:val="24"/>
                <w:szCs w:val="24"/>
              </w:rPr>
              <w:t>投标文件递交地点：山东大学第二医院文</w:t>
            </w:r>
            <w:r>
              <w:rPr>
                <w:rFonts w:hint="eastAsia" w:ascii="仿宋" w:hAnsi="仿宋" w:eastAsia="仿宋" w:cs="仿宋"/>
                <w:sz w:val="24"/>
                <w:szCs w:val="24"/>
                <w:lang w:val="en-US" w:eastAsia="zh-CN"/>
              </w:rPr>
              <w:t>会</w:t>
            </w:r>
            <w:r>
              <w:rPr>
                <w:rFonts w:hint="eastAsia" w:ascii="仿宋" w:hAnsi="仿宋" w:eastAsia="仿宋" w:cs="仿宋"/>
                <w:sz w:val="24"/>
                <w:szCs w:val="24"/>
              </w:rPr>
              <w:t>学堂（地址：济南市天桥区北园大街247号）</w:t>
            </w:r>
            <w:r>
              <w:rPr>
                <w:rFonts w:hint="eastAsia" w:ascii="仿宋" w:hAnsi="仿宋" w:eastAsia="仿宋" w:cs="仿宋"/>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rPr>
            </w:pPr>
            <w:r>
              <w:rPr>
                <w:rFonts w:hint="eastAsia" w:ascii="仿宋" w:hAnsi="仿宋" w:eastAsia="仿宋" w:cs="仿宋"/>
                <w:color w:val="000000"/>
                <w:sz w:val="24"/>
                <w:szCs w:val="24"/>
              </w:rPr>
              <w:t>财务状况年份要求：2020年</w:t>
            </w:r>
            <w:r>
              <w:rPr>
                <w:rFonts w:hint="eastAsia" w:ascii="仿宋" w:hAnsi="仿宋" w:eastAsia="仿宋" w:cs="仿宋"/>
                <w:color w:val="000000"/>
                <w:sz w:val="24"/>
                <w:szCs w:val="24"/>
                <w:lang w:val="en-US" w:eastAsia="zh-CN"/>
              </w:rPr>
              <w:t>或2021年</w:t>
            </w:r>
            <w:r>
              <w:rPr>
                <w:rFonts w:hint="eastAsia" w:ascii="仿宋" w:hAnsi="仿宋" w:eastAsia="仿宋" w:cs="仿宋"/>
                <w:color w:val="000000"/>
                <w:sz w:val="24"/>
                <w:szCs w:val="24"/>
              </w:rPr>
              <w:t xml:space="preserve">； </w:t>
            </w:r>
          </w:p>
          <w:p>
            <w:pPr>
              <w:pStyle w:val="14"/>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近三年：201</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年1月1日至今；</w:t>
            </w:r>
          </w:p>
          <w:p>
            <w:pPr>
              <w:pStyle w:val="14"/>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3年</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该招标合同经费由山东省中西医结合胆石症防治方案项目支出，测试加工经费以银行转账的方式分两次进行拨付，具体如下：合同生效后先拨付研究经费的50%，中标单位需提交同等金额预付款保函，当测序量完成总量的50%后解除保函。项目结束后结果交由专家认证合格后支付剩余50%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rPr>
              <w:t>1</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4"/>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4"/>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46"/>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2" w:name="_Toc14490"/>
      <w:bookmarkStart w:id="93" w:name="_Toc26394"/>
      <w:bookmarkStart w:id="94" w:name="_Toc407632769"/>
      <w:bookmarkStart w:id="95" w:name="_Toc356490368"/>
      <w:bookmarkStart w:id="96" w:name="_Toc325620703"/>
      <w:bookmarkStart w:id="97" w:name="_Toc356491307"/>
      <w:bookmarkStart w:id="98" w:name="_Toc24644"/>
      <w:r>
        <w:rPr>
          <w:rFonts w:hint="eastAsia" w:ascii="仿宋" w:hAnsi="仿宋" w:eastAsia="仿宋" w:cs="仿宋"/>
          <w:sz w:val="28"/>
          <w:szCs w:val="28"/>
          <w:highlight w:val="none"/>
        </w:rPr>
        <w:t>一、适用范围</w:t>
      </w:r>
      <w:bookmarkEnd w:id="92"/>
      <w:bookmarkEnd w:id="93"/>
      <w:bookmarkEnd w:id="94"/>
      <w:bookmarkEnd w:id="95"/>
      <w:bookmarkEnd w:id="96"/>
      <w:bookmarkEnd w:id="97"/>
      <w:bookmarkEnd w:id="98"/>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9" w:name="_Toc20636"/>
      <w:bookmarkStart w:id="100" w:name="_Toc356490369"/>
      <w:bookmarkStart w:id="101" w:name="_Toc20395"/>
      <w:bookmarkStart w:id="102" w:name="_Toc1696"/>
      <w:bookmarkStart w:id="103" w:name="_Toc325620704"/>
      <w:bookmarkStart w:id="104" w:name="_Toc356491308"/>
      <w:bookmarkStart w:id="105" w:name="_Toc407632770"/>
      <w:r>
        <w:rPr>
          <w:rFonts w:hint="eastAsia" w:ascii="仿宋" w:hAnsi="仿宋" w:eastAsia="仿宋" w:cs="仿宋"/>
          <w:sz w:val="28"/>
          <w:szCs w:val="28"/>
          <w:highlight w:val="none"/>
        </w:rPr>
        <w:t>二、定义</w:t>
      </w:r>
      <w:bookmarkEnd w:id="99"/>
      <w:bookmarkEnd w:id="100"/>
      <w:bookmarkEnd w:id="101"/>
      <w:bookmarkEnd w:id="102"/>
      <w:bookmarkEnd w:id="103"/>
      <w:bookmarkEnd w:id="104"/>
      <w:bookmarkEnd w:id="105"/>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1"/>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1"/>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1"/>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1"/>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1"/>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07" w:name="_Toc478"/>
      <w:bookmarkStart w:id="108" w:name="_Toc356491309"/>
      <w:bookmarkStart w:id="109" w:name="_Toc9956"/>
      <w:bookmarkStart w:id="110" w:name="_Toc407632771"/>
      <w:bookmarkStart w:id="111" w:name="_Toc356490370"/>
      <w:bookmarkStart w:id="112" w:name="_Toc13233"/>
      <w:r>
        <w:rPr>
          <w:rFonts w:hint="eastAsia" w:ascii="仿宋" w:hAnsi="仿宋" w:eastAsia="仿宋" w:cs="仿宋"/>
          <w:sz w:val="28"/>
          <w:szCs w:val="28"/>
          <w:highlight w:val="none"/>
        </w:rPr>
        <w:t>三、投标人具备的条件</w:t>
      </w:r>
      <w:bookmarkEnd w:id="106"/>
      <w:bookmarkEnd w:id="107"/>
      <w:bookmarkEnd w:id="108"/>
      <w:bookmarkEnd w:id="109"/>
      <w:bookmarkEnd w:id="110"/>
      <w:bookmarkEnd w:id="111"/>
      <w:bookmarkEnd w:id="112"/>
    </w:p>
    <w:p>
      <w:pPr>
        <w:pStyle w:val="71"/>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356491310"/>
      <w:bookmarkStart w:id="114" w:name="_Toc407632772"/>
      <w:bookmarkStart w:id="115" w:name="_Toc356490371"/>
      <w:bookmarkStart w:id="116" w:name="_Toc325620706"/>
      <w:bookmarkStart w:id="117" w:name="_Toc18137"/>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18" w:name="_Toc20367"/>
      <w:bookmarkStart w:id="119" w:name="_Toc17118"/>
      <w:r>
        <w:rPr>
          <w:rFonts w:hint="eastAsia" w:ascii="仿宋" w:hAnsi="仿宋" w:eastAsia="仿宋" w:cs="仿宋"/>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20" w:name="_Toc3557"/>
      <w:bookmarkStart w:id="121" w:name="_Toc325620707"/>
      <w:bookmarkStart w:id="122" w:name="_Toc356491311"/>
      <w:bookmarkStart w:id="123" w:name="_Toc356490372"/>
      <w:bookmarkStart w:id="124" w:name="_Toc26403"/>
      <w:bookmarkStart w:id="125" w:name="_Toc407632773"/>
      <w:bookmarkStart w:id="126" w:name="_Toc32693"/>
      <w:r>
        <w:rPr>
          <w:rFonts w:hint="eastAsia" w:ascii="仿宋" w:hAnsi="仿宋" w:eastAsia="仿宋" w:cs="仿宋"/>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三</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3.4.1</w:t>
      </w:r>
      <w:r>
        <w:rPr>
          <w:rFonts w:hint="eastAsia" w:ascii="仿宋" w:hAnsi="仿宋" w:eastAsia="仿宋" w:cs="仿宋"/>
          <w:sz w:val="28"/>
          <w:szCs w:val="28"/>
          <w:highlight w:val="none"/>
        </w:rPr>
        <w:t>供应商须具有独立承担民事责任的能力，向采购人提供服务的法人、其他组织或自然人，须提供相关证明材料，其中：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供应商是企业（包括合伙企业）的，应提供其在工商部门注册的有效“企业法人营业执照”或“营业执照”的复印件；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3.4.2法定代表人参加的，提供法定代表人相关证明材料；法定代表人不能参加的，提供法定代表人授权委托书（附件二）、被授权代表人的身份证；</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3.4.3</w:t>
      </w:r>
      <w:r>
        <w:rPr>
          <w:rFonts w:hint="eastAsia" w:ascii="仿宋" w:hAnsi="仿宋" w:eastAsia="仿宋" w:cs="仿宋"/>
          <w:sz w:val="28"/>
          <w:szCs w:val="28"/>
          <w:highlight w:val="none"/>
        </w:rPr>
        <w:t>供应商须具有良好的商业信誉和健全的财务会计制度，须提供相关证明材料，其中：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供应商是法人的，应提供2020年</w:t>
      </w:r>
      <w:r>
        <w:rPr>
          <w:rFonts w:hint="eastAsia" w:ascii="仿宋" w:hAnsi="仿宋" w:eastAsia="仿宋" w:cs="仿宋"/>
          <w:sz w:val="28"/>
          <w:szCs w:val="28"/>
          <w:highlight w:val="none"/>
          <w:lang w:val="en-US" w:eastAsia="zh-CN"/>
        </w:rPr>
        <w:t>或2021年</w:t>
      </w:r>
      <w:r>
        <w:rPr>
          <w:rFonts w:hint="eastAsia" w:ascii="仿宋" w:hAnsi="仿宋" w:eastAsia="仿宋" w:cs="仿宋"/>
          <w:sz w:val="28"/>
          <w:szCs w:val="28"/>
          <w:highlight w:val="none"/>
        </w:rPr>
        <w:t>经审计的财务报告复印件，或其基本开户银行出具的资信证明原件；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3.4.4</w:t>
      </w:r>
      <w:r>
        <w:rPr>
          <w:rFonts w:hint="eastAsia" w:ascii="仿宋" w:hAnsi="仿宋" w:eastAsia="仿宋" w:cs="仿宋"/>
          <w:sz w:val="28"/>
          <w:szCs w:val="28"/>
          <w:highlight w:val="none"/>
        </w:rPr>
        <w:t xml:space="preserve">供应商须具有履行合同所必需的设备和专业技术能力，须附相关证明材料或书面声明。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3.4.5</w:t>
      </w:r>
      <w:r>
        <w:rPr>
          <w:rFonts w:hint="eastAsia" w:ascii="仿宋" w:hAnsi="仿宋" w:eastAsia="仿宋" w:cs="仿宋"/>
          <w:sz w:val="28"/>
          <w:szCs w:val="28"/>
          <w:highlight w:val="none"/>
        </w:rPr>
        <w:t>供应商须具有依法缴纳税收和社会保障资金的良好记录，须提供相关证明材料，其中：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供应商是法人的，缴纳税收的证明材料，应提供开标前三个月内任意一个月的依法缴税凭据复印件；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供应商是法人的，缴纳社会保障资金的证明材料，应提供开标前三个月内任意一个月的缴纳社会保险的凭据（专用收据或社会保险缴纳清单）复印件；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供应商是其他组织和自然人的，需要提供开标前三个月内任意一个月的缴纳税收和社会保险的凭据。</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注：依法免税或不需要缴纳社会保障资金的供应商，须提供相应文件证明其依法免税或不需要缴纳社会保障资金。</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3.4.6</w:t>
      </w:r>
      <w:r>
        <w:rPr>
          <w:rFonts w:hint="eastAsia" w:ascii="仿宋" w:hAnsi="仿宋" w:eastAsia="仿宋" w:cs="仿宋"/>
          <w:sz w:val="28"/>
          <w:szCs w:val="28"/>
          <w:highlight w:val="none"/>
        </w:rPr>
        <w:t>近三年内（本项目投标截止日前）供应商在经营活动中没有重大违法记录，其中：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3.4.7</w:t>
      </w:r>
      <w:r>
        <w:rPr>
          <w:rFonts w:hint="eastAsia" w:ascii="仿宋" w:hAnsi="仿宋" w:eastAsia="仿宋" w:cs="仿宋"/>
          <w:sz w:val="28"/>
          <w:szCs w:val="28"/>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单位负责人为同一人或者存在直接控股、管理关系的不同供应商，不得参加同一包的投标或者未划分包的同一招标项目的投标，供应商须提供书面声明。</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val="en-US" w:eastAsia="zh-CN"/>
        </w:rPr>
        <w:t>3.4.9</w:t>
      </w:r>
      <w:r>
        <w:rPr>
          <w:rFonts w:hint="eastAsia" w:ascii="仿宋" w:hAnsi="仿宋" w:eastAsia="仿宋" w:cs="仿宋"/>
          <w:sz w:val="28"/>
          <w:szCs w:val="28"/>
          <w:highlight w:val="none"/>
        </w:rPr>
        <w:t>供应商符合法律、行政法规规定的其它要求。</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w:t>
      </w:r>
      <w:r>
        <w:rPr>
          <w:rFonts w:hint="eastAsia" w:ascii="仿宋" w:hAnsi="仿宋" w:eastAsia="仿宋" w:cs="仿宋"/>
          <w:color w:val="auto"/>
          <w:sz w:val="28"/>
          <w:szCs w:val="28"/>
          <w:highlight w:val="none"/>
          <w:lang w:val="en-US" w:eastAsia="zh-CN"/>
        </w:rPr>
        <w:t>项目理解</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w:t>
      </w:r>
      <w:r>
        <w:rPr>
          <w:rFonts w:hint="eastAsia" w:ascii="仿宋" w:hAnsi="仿宋" w:eastAsia="仿宋" w:cs="仿宋"/>
          <w:color w:val="auto"/>
          <w:sz w:val="28"/>
          <w:szCs w:val="28"/>
          <w:highlight w:val="none"/>
          <w:lang w:val="en-US" w:eastAsia="zh-CN"/>
        </w:rPr>
        <w:t>服务方案及保证措施</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3.6.3应急处理方案；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3.6.4拟投入人员安排；</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3.6.5拟投入仪器设备情况；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3.6.6服务承诺；</w:t>
      </w:r>
    </w:p>
    <w:p>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3.6.7投标人认为需要说明的其他</w:t>
      </w:r>
      <w:r>
        <w:rPr>
          <w:rFonts w:hint="eastAsia" w:ascii="仿宋" w:hAnsi="仿宋" w:eastAsia="仿宋" w:cs="仿宋"/>
          <w:color w:val="auto"/>
          <w:sz w:val="28"/>
          <w:szCs w:val="28"/>
          <w:highlight w:val="none"/>
        </w:rPr>
        <w:t>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 合理化建议、优惠条款；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 xml:space="preserve">3 </w:t>
      </w:r>
      <w:r>
        <w:rPr>
          <w:rFonts w:hint="eastAsia" w:ascii="仿宋" w:hAnsi="仿宋" w:eastAsia="仿宋" w:cs="仿宋"/>
          <w:sz w:val="28"/>
          <w:szCs w:val="28"/>
          <w:highlight w:val="none"/>
        </w:rPr>
        <w:t>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3.8.2本项目各项目单价报价不得超过单价最高控制价，否则作无效报价处理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价和报价总价，如果分项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val="en-US" w:eastAsia="zh-CN"/>
        </w:rPr>
        <w:t>合计</w:t>
      </w:r>
      <w:r>
        <w:rPr>
          <w:rFonts w:hint="eastAsia" w:ascii="仿宋" w:hAnsi="仿宋" w:eastAsia="仿宋" w:cs="仿宋"/>
          <w:sz w:val="28"/>
          <w:szCs w:val="28"/>
          <w:highlight w:val="none"/>
        </w:rPr>
        <w:t>结果为准，分项报价小数点有明显错位的，应以总价为准，并修改分项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7" w:name="_Toc325620708"/>
      <w:bookmarkStart w:id="128" w:name="_Toc10945"/>
      <w:bookmarkStart w:id="129" w:name="_Toc1590"/>
      <w:bookmarkStart w:id="130" w:name="_Toc356491312"/>
      <w:bookmarkStart w:id="131" w:name="_Toc15530"/>
      <w:bookmarkStart w:id="132" w:name="_Toc356490373"/>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33" w:name="_Toc325620709"/>
      <w:bookmarkStart w:id="134" w:name="_Toc356491313"/>
      <w:bookmarkStart w:id="135" w:name="_Toc356490374"/>
      <w:bookmarkStart w:id="136" w:name="_Toc2385"/>
      <w:bookmarkStart w:id="137" w:name="_Toc21586"/>
      <w:bookmarkStart w:id="138" w:name="_Toc73"/>
      <w:r>
        <w:rPr>
          <w:rFonts w:hint="eastAsia" w:ascii="仿宋" w:hAnsi="仿宋" w:eastAsia="仿宋" w:cs="仿宋"/>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9" w:name="_Toc529777140"/>
      <w:bookmarkStart w:id="140" w:name="_Toc325620710"/>
      <w:bookmarkStart w:id="141" w:name="_Toc445997425"/>
      <w:bookmarkStart w:id="142" w:name="_Toc325620711"/>
      <w:bookmarkStart w:id="143" w:name="_Toc356490376"/>
      <w:bookmarkStart w:id="144" w:name="_Toc356491315"/>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 </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w:t>
      </w:r>
      <w:r>
        <w:rPr>
          <w:rFonts w:hint="default" w:ascii="仿宋" w:hAnsi="仿宋" w:eastAsia="仿宋" w:cs="仿宋"/>
          <w:color w:val="000000"/>
          <w:sz w:val="28"/>
          <w:szCs w:val="28"/>
          <w:highlight w:val="none"/>
          <w:lang w:val="en-US" w:eastAsia="zh-CN"/>
        </w:rPr>
        <w:t>40</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5" w:name="_Toc21092"/>
      <w:bookmarkStart w:id="146" w:name="_Toc22518"/>
      <w:bookmarkStart w:id="147" w:name="_Toc23393"/>
      <w:r>
        <w:rPr>
          <w:rFonts w:hint="eastAsia" w:ascii="仿宋" w:hAnsi="仿宋" w:eastAsia="仿宋" w:cs="仿宋"/>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参与本项目供应商应于2022年3月24日上午9:00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40000元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8" w:name="_Toc13888"/>
      <w:bookmarkStart w:id="149" w:name="_Toc16530"/>
      <w:bookmarkStart w:id="150" w:name="_Toc20666"/>
      <w:r>
        <w:rPr>
          <w:rFonts w:hint="eastAsia" w:ascii="仿宋" w:hAnsi="仿宋" w:eastAsia="仿宋" w:cs="仿宋"/>
          <w:sz w:val="28"/>
          <w:szCs w:val="28"/>
          <w:highlight w:val="none"/>
        </w:rPr>
        <w:t>九、无效</w:t>
      </w:r>
      <w:bookmarkEnd w:id="142"/>
      <w:bookmarkEnd w:id="143"/>
      <w:bookmarkEnd w:id="144"/>
      <w:r>
        <w:rPr>
          <w:rFonts w:hint="eastAsia" w:ascii="仿宋" w:hAnsi="仿宋" w:eastAsia="仿宋" w:cs="仿宋"/>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51" w:name="_Toc356490377"/>
      <w:bookmarkStart w:id="152" w:name="_Toc356491316"/>
      <w:bookmarkStart w:id="153" w:name="_Toc325620712"/>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51"/>
    <w:bookmarkEnd w:id="152"/>
    <w:bookmarkEnd w:id="153"/>
    <w:p>
      <w:pPr>
        <w:pStyle w:val="4"/>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54" w:name="_Toc9258"/>
      <w:bookmarkStart w:id="155" w:name="_Toc325582572"/>
      <w:bookmarkStart w:id="156" w:name="_Toc325620713"/>
      <w:bookmarkStart w:id="157" w:name="_Toc323129563"/>
      <w:bookmarkStart w:id="158" w:name="_Toc325582067"/>
      <w:r>
        <w:rPr>
          <w:rFonts w:hint="eastAsia" w:ascii="仿宋" w:hAnsi="仿宋" w:eastAsia="仿宋" w:cs="仿宋"/>
          <w:sz w:val="28"/>
          <w:szCs w:val="28"/>
          <w:highlight w:val="none"/>
          <w:lang w:eastAsia="zh-CN"/>
        </w:rPr>
        <w:t>十、质疑的提出与答复</w:t>
      </w:r>
      <w:bookmarkEnd w:id="154"/>
    </w:p>
    <w:p>
      <w:pPr>
        <w:pStyle w:val="14"/>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转8830）,通讯地址：济南市历城区唐冶西路868号东8区企业公馆B1号楼。不符合规定的质疑采购代理机构有权不接收。</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4"/>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59" w:name="_Toc30273"/>
      <w:bookmarkStart w:id="160" w:name="_Toc10465"/>
      <w:bookmarkStart w:id="161" w:name="_Toc30274"/>
      <w:r>
        <w:rPr>
          <w:rFonts w:hint="eastAsia" w:ascii="仿宋" w:hAnsi="仿宋" w:eastAsia="仿宋" w:cs="仿宋"/>
          <w:sz w:val="28"/>
          <w:szCs w:val="28"/>
          <w:highlight w:val="none"/>
        </w:rPr>
        <w:t>十</w:t>
      </w:r>
      <w:bookmarkStart w:id="162" w:name="_Toc259000653"/>
      <w:bookmarkStart w:id="163" w:name="_Toc304901697"/>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1681"/>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7" w:name="_Toc356490378"/>
      <w:bookmarkStart w:id="168" w:name="_Toc14247"/>
      <w:bookmarkStart w:id="169" w:name="_Toc3341"/>
      <w:bookmarkStart w:id="170" w:name="_Toc356491317"/>
      <w:bookmarkStart w:id="171" w:name="_Toc8653"/>
      <w:r>
        <w:rPr>
          <w:rFonts w:hint="eastAsia" w:ascii="仿宋" w:hAnsi="仿宋" w:eastAsia="仿宋" w:cs="仿宋"/>
          <w:sz w:val="28"/>
          <w:szCs w:val="28"/>
          <w:highlight w:val="none"/>
        </w:rPr>
        <w:t>第三部分 开标、评审、</w:t>
      </w:r>
      <w:bookmarkEnd w:id="155"/>
      <w:bookmarkEnd w:id="156"/>
      <w:bookmarkEnd w:id="157"/>
      <w:bookmarkEnd w:id="158"/>
      <w:r>
        <w:rPr>
          <w:rFonts w:hint="eastAsia" w:ascii="仿宋" w:hAnsi="仿宋" w:eastAsia="仿宋" w:cs="仿宋"/>
          <w:sz w:val="28"/>
          <w:szCs w:val="28"/>
          <w:highlight w:val="none"/>
        </w:rPr>
        <w:t>中标</w:t>
      </w:r>
      <w:bookmarkEnd w:id="167"/>
      <w:bookmarkEnd w:id="168"/>
      <w:bookmarkEnd w:id="169"/>
      <w:bookmarkEnd w:id="170"/>
      <w:bookmarkEnd w:id="17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72" w:name="_Toc1361"/>
      <w:bookmarkStart w:id="173" w:name="_Toc10319"/>
      <w:bookmarkStart w:id="174" w:name="_Toc325620714"/>
      <w:bookmarkStart w:id="175" w:name="_Toc332979555"/>
      <w:bookmarkStart w:id="176" w:name="_Toc3019"/>
      <w:bookmarkStart w:id="177" w:name="_Toc356491321"/>
      <w:bookmarkStart w:id="178" w:name="_Toc356490382"/>
      <w:bookmarkStart w:id="179" w:name="_Toc325620717"/>
      <w:bookmarkStart w:id="180" w:name="_Toc325582573"/>
      <w:bookmarkStart w:id="181" w:name="_Toc325620720"/>
      <w:bookmarkStart w:id="182" w:name="_Toc323129564"/>
      <w:bookmarkStart w:id="183" w:name="_Toc356491324"/>
      <w:bookmarkStart w:id="184" w:name="_Toc325582068"/>
      <w:bookmarkStart w:id="185" w:name="_Toc356490385"/>
      <w:r>
        <w:rPr>
          <w:rFonts w:hint="eastAsia" w:ascii="仿宋" w:hAnsi="仿宋" w:eastAsia="仿宋" w:cs="仿宋"/>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6" w:name="_Toc332979556"/>
      <w:bookmarkStart w:id="187" w:name="_Toc325620715"/>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88" w:name="_Toc9360"/>
      <w:bookmarkStart w:id="189" w:name="_Toc19305"/>
      <w:bookmarkStart w:id="190" w:name="_Toc31277"/>
      <w:r>
        <w:rPr>
          <w:rFonts w:hint="eastAsia" w:ascii="仿宋" w:hAnsi="仿宋" w:eastAsia="仿宋" w:cs="仿宋"/>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1" w:name="_Toc24299"/>
      <w:bookmarkStart w:id="192" w:name="_Toc325620716"/>
      <w:bookmarkStart w:id="193" w:name="_Toc19361"/>
      <w:bookmarkStart w:id="194" w:name="_Toc28432"/>
      <w:bookmarkStart w:id="195" w:name="_Toc332979557"/>
      <w:r>
        <w:rPr>
          <w:rFonts w:hint="eastAsia" w:ascii="仿宋" w:hAnsi="仿宋" w:eastAsia="仿宋" w:cs="仿宋"/>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6" w:name="_Toc23461"/>
      <w:bookmarkStart w:id="197" w:name="_Toc5126"/>
      <w:bookmarkStart w:id="198" w:name="_Toc23656"/>
      <w:r>
        <w:rPr>
          <w:rFonts w:hint="eastAsia" w:ascii="仿宋" w:hAnsi="仿宋" w:eastAsia="仿宋" w:cs="仿宋"/>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pStyle w:val="46"/>
        <w:rPr>
          <w:rFonts w:hint="eastAsia" w:ascii="仿宋" w:hAnsi="仿宋" w:eastAsia="仿宋" w:cs="仿宋"/>
          <w:sz w:val="28"/>
          <w:szCs w:val="28"/>
          <w:highlight w:val="none"/>
        </w:rPr>
      </w:pPr>
      <w:bookmarkStart w:id="199" w:name="_Toc17551"/>
      <w:bookmarkStart w:id="200" w:name="_Toc30373"/>
      <w:bookmarkStart w:id="201" w:name="_Toc23776"/>
      <w:bookmarkStart w:id="202" w:name="_Toc24623"/>
      <w:bookmarkStart w:id="203" w:name="_Toc9035"/>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9"/>
      <w:bookmarkEnd w:id="200"/>
      <w:bookmarkEnd w:id="201"/>
      <w:bookmarkEnd w:id="202"/>
      <w:bookmarkEnd w:id="203"/>
    </w:p>
    <w:tbl>
      <w:tblPr>
        <w:tblStyle w:val="36"/>
        <w:tblW w:w="93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7"/>
        <w:gridCol w:w="6617"/>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74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kern w:val="0"/>
                <w:sz w:val="24"/>
                <w:szCs w:val="24"/>
              </w:rPr>
            </w:pPr>
            <w:bookmarkStart w:id="204" w:name="_Toc204537203"/>
            <w:r>
              <w:rPr>
                <w:rFonts w:hint="eastAsia" w:ascii="仿宋" w:hAnsi="仿宋" w:eastAsia="仿宋" w:cs="仿宋"/>
                <w:b/>
                <w:kern w:val="0"/>
                <w:sz w:val="24"/>
                <w:szCs w:val="24"/>
              </w:rPr>
              <w:t>内  容</w:t>
            </w:r>
          </w:p>
        </w:tc>
        <w:tc>
          <w:tcPr>
            <w:tcW w:w="661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kern w:val="0"/>
                <w:sz w:val="24"/>
                <w:szCs w:val="24"/>
              </w:rPr>
            </w:pPr>
            <w:r>
              <w:rPr>
                <w:rFonts w:hint="eastAsia" w:ascii="仿宋" w:hAnsi="仿宋" w:eastAsia="仿宋" w:cs="仿宋"/>
                <w:b/>
                <w:kern w:val="0"/>
                <w:sz w:val="24"/>
                <w:szCs w:val="24"/>
              </w:rPr>
              <w:t>评分原则</w:t>
            </w:r>
          </w:p>
        </w:tc>
        <w:tc>
          <w:tcPr>
            <w:tcW w:w="992" w:type="dxa"/>
            <w:tcBorders>
              <w:top w:val="single" w:color="auto" w:sz="4" w:space="0"/>
            </w:tcBorders>
            <w:vAlign w:val="center"/>
          </w:tcPr>
          <w:p>
            <w:pPr>
              <w:widowControl/>
              <w:adjustRightInd w:val="0"/>
              <w:snapToGrid w:val="0"/>
              <w:spacing w:line="360" w:lineRule="auto"/>
              <w:ind w:right="-67" w:rightChars="-24" w:firstLine="118" w:firstLineChars="49"/>
              <w:rPr>
                <w:rFonts w:hint="eastAsia" w:ascii="仿宋" w:hAnsi="仿宋" w:eastAsia="仿宋" w:cs="仿宋"/>
                <w:b/>
                <w:kern w:val="0"/>
                <w:sz w:val="24"/>
                <w:szCs w:val="24"/>
              </w:rPr>
            </w:pPr>
            <w:r>
              <w:rPr>
                <w:rFonts w:hint="eastAsia" w:ascii="仿宋" w:hAnsi="仿宋" w:eastAsia="仿宋" w:cs="仿宋"/>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报  价</w:t>
            </w:r>
          </w:p>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以满足</w:t>
            </w:r>
            <w:r>
              <w:rPr>
                <w:rFonts w:hint="eastAsia" w:ascii="仿宋" w:hAnsi="仿宋" w:eastAsia="仿宋" w:cs="仿宋"/>
                <w:color w:val="000000"/>
                <w:sz w:val="24"/>
                <w:szCs w:val="24"/>
                <w:lang w:eastAsia="zh-CN"/>
              </w:rPr>
              <w:t>招标文件</w:t>
            </w:r>
            <w:r>
              <w:rPr>
                <w:rFonts w:hint="eastAsia" w:ascii="仿宋" w:hAnsi="仿宋" w:eastAsia="仿宋" w:cs="仿宋"/>
                <w:color w:val="000000"/>
                <w:sz w:val="24"/>
                <w:szCs w:val="24"/>
              </w:rPr>
              <w:t>要求且最终报价最低的</w:t>
            </w:r>
            <w:bookmarkStart w:id="347" w:name="_GoBack"/>
            <w:r>
              <w:rPr>
                <w:rFonts w:hint="eastAsia" w:ascii="仿宋" w:hAnsi="仿宋" w:eastAsia="仿宋" w:cs="仿宋"/>
                <w:color w:val="000000"/>
                <w:sz w:val="24"/>
                <w:szCs w:val="24"/>
              </w:rPr>
              <w:t>响应</w:t>
            </w:r>
            <w:bookmarkEnd w:id="347"/>
            <w:r>
              <w:rPr>
                <w:rFonts w:hint="eastAsia" w:ascii="仿宋" w:hAnsi="仿宋" w:eastAsia="仿宋" w:cs="仿宋"/>
                <w:color w:val="000000"/>
                <w:sz w:val="24"/>
                <w:szCs w:val="24"/>
              </w:rPr>
              <w:t>报价为评审基准价，其价格分为满分</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分，其他供应商的价格分按照下列公式计算：</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rPr>
              <w:t>报价得分=（评审基准价/</w:t>
            </w:r>
            <w:r>
              <w:rPr>
                <w:rFonts w:hint="eastAsia" w:ascii="仿宋" w:hAnsi="仿宋" w:eastAsia="仿宋" w:cs="仿宋"/>
                <w:color w:val="000000"/>
                <w:sz w:val="24"/>
                <w:szCs w:val="24"/>
                <w:lang w:eastAsia="zh-CN"/>
              </w:rPr>
              <w:t>投标</w:t>
            </w:r>
            <w:r>
              <w:rPr>
                <w:rFonts w:hint="eastAsia" w:ascii="仿宋" w:hAnsi="仿宋" w:eastAsia="仿宋" w:cs="仿宋"/>
                <w:color w:val="000000"/>
                <w:sz w:val="24"/>
                <w:szCs w:val="24"/>
              </w:rPr>
              <w:t>报价）×</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%×100。</w:t>
            </w:r>
          </w:p>
        </w:tc>
        <w:tc>
          <w:tcPr>
            <w:tcW w:w="992" w:type="dxa"/>
            <w:vAlign w:val="center"/>
          </w:tcPr>
          <w:p>
            <w:pPr>
              <w:widowControl/>
              <w:adjustRightInd w:val="0"/>
              <w:snapToGrid w:val="0"/>
              <w:spacing w:line="360" w:lineRule="auto"/>
              <w:ind w:right="-67" w:rightChars="-24"/>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技术响应情况</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34</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对照</w:t>
            </w:r>
            <w:r>
              <w:rPr>
                <w:rFonts w:hint="eastAsia" w:ascii="仿宋" w:hAnsi="仿宋" w:eastAsia="仿宋" w:cs="仿宋"/>
                <w:color w:val="000000"/>
                <w:sz w:val="24"/>
                <w:szCs w:val="24"/>
                <w:lang w:val="en-US" w:eastAsia="zh-CN"/>
              </w:rPr>
              <w:t>招标文件“第五部分 项目说明及要求  四、采购要求”</w:t>
            </w:r>
            <w:r>
              <w:rPr>
                <w:rFonts w:hint="eastAsia" w:ascii="仿宋" w:hAnsi="仿宋" w:eastAsia="仿宋" w:cs="仿宋"/>
                <w:color w:val="000000"/>
                <w:sz w:val="24"/>
                <w:szCs w:val="24"/>
              </w:rPr>
              <w:t>技术参数进行评审，每有1条满足或优于采购文件要求的，得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分，满分3</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注：未应答视同不符合招标要求，按上述办法处理。</w:t>
            </w:r>
          </w:p>
        </w:tc>
        <w:tc>
          <w:tcPr>
            <w:tcW w:w="992" w:type="dxa"/>
            <w:vAlign w:val="center"/>
          </w:tcPr>
          <w:p>
            <w:pPr>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项目理解（</w:t>
            </w:r>
            <w:r>
              <w:rPr>
                <w:rFonts w:hint="eastAsia" w:ascii="仿宋" w:hAnsi="仿宋" w:eastAsia="仿宋" w:cs="仿宋"/>
                <w:sz w:val="24"/>
                <w:szCs w:val="24"/>
                <w:lang w:val="en-US" w:eastAsia="zh-CN"/>
              </w:rPr>
              <w:t>6分</w:t>
            </w:r>
            <w:r>
              <w:rPr>
                <w:rFonts w:hint="eastAsia" w:ascii="仿宋" w:hAnsi="仿宋" w:eastAsia="仿宋" w:cs="仿宋"/>
                <w:sz w:val="24"/>
                <w:szCs w:val="24"/>
                <w:lang w:eastAsia="zh-CN"/>
              </w:rPr>
              <w:t>）</w:t>
            </w:r>
          </w:p>
        </w:tc>
        <w:tc>
          <w:tcPr>
            <w:tcW w:w="6617" w:type="dxa"/>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对投标供应商投标文件中针对本项目整体服务方案及项目理解进行评审，最高得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分，每有一项缺陷或不足扣1分，扣完为止。</w:t>
            </w:r>
          </w:p>
        </w:tc>
        <w:tc>
          <w:tcPr>
            <w:tcW w:w="992" w:type="dxa"/>
            <w:vAlign w:val="center"/>
          </w:tcPr>
          <w:p>
            <w:pPr>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服务方案及</w:t>
            </w:r>
            <w:r>
              <w:rPr>
                <w:rFonts w:hint="eastAsia" w:ascii="仿宋" w:hAnsi="仿宋" w:eastAsia="仿宋" w:cs="仿宋"/>
                <w:sz w:val="24"/>
                <w:szCs w:val="24"/>
              </w:rPr>
              <w:t>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w:t>
            </w:r>
            <w:r>
              <w:rPr>
                <w:rFonts w:hint="eastAsia" w:ascii="仿宋" w:hAnsi="仿宋" w:eastAsia="仿宋" w:cs="仿宋"/>
                <w:sz w:val="24"/>
                <w:szCs w:val="24"/>
                <w:lang w:val="en-US" w:eastAsia="zh-CN"/>
              </w:rPr>
              <w:t>提供的测试加工服务方案及</w:t>
            </w:r>
            <w:r>
              <w:rPr>
                <w:rFonts w:hint="eastAsia" w:ascii="仿宋" w:hAnsi="仿宋" w:eastAsia="仿宋" w:cs="仿宋"/>
                <w:sz w:val="24"/>
                <w:szCs w:val="24"/>
              </w:rPr>
              <w:t>保证措施</w:t>
            </w:r>
            <w:r>
              <w:rPr>
                <w:rFonts w:hint="eastAsia" w:ascii="仿宋" w:hAnsi="仿宋" w:eastAsia="仿宋" w:cs="仿宋"/>
                <w:sz w:val="24"/>
                <w:szCs w:val="24"/>
                <w:lang w:val="en-US" w:eastAsia="zh-CN"/>
              </w:rPr>
              <w:t>的</w:t>
            </w:r>
            <w:r>
              <w:rPr>
                <w:rFonts w:hint="eastAsia" w:ascii="仿宋" w:hAnsi="仿宋" w:eastAsia="仿宋" w:cs="仿宋"/>
                <w:sz w:val="24"/>
                <w:szCs w:val="24"/>
              </w:rPr>
              <w:t>合理</w:t>
            </w:r>
            <w:r>
              <w:rPr>
                <w:rFonts w:hint="eastAsia" w:ascii="仿宋" w:hAnsi="仿宋" w:eastAsia="仿宋" w:cs="仿宋"/>
                <w:sz w:val="24"/>
                <w:szCs w:val="24"/>
                <w:lang w:val="en-US" w:eastAsia="zh-CN"/>
              </w:rPr>
              <w:t>性</w:t>
            </w:r>
            <w:r>
              <w:rPr>
                <w:rFonts w:hint="eastAsia" w:ascii="仿宋" w:hAnsi="仿宋" w:eastAsia="仿宋" w:cs="仿宋"/>
                <w:sz w:val="24"/>
                <w:szCs w:val="24"/>
              </w:rPr>
              <w:t>、</w:t>
            </w:r>
            <w:r>
              <w:rPr>
                <w:rFonts w:hint="eastAsia" w:ascii="仿宋" w:hAnsi="仿宋" w:eastAsia="仿宋" w:cs="仿宋"/>
                <w:sz w:val="24"/>
                <w:szCs w:val="24"/>
                <w:lang w:val="en-US" w:eastAsia="zh-CN"/>
              </w:rPr>
              <w:t>有效性</w:t>
            </w:r>
            <w:r>
              <w:rPr>
                <w:rFonts w:hint="eastAsia" w:ascii="仿宋" w:hAnsi="仿宋" w:eastAsia="仿宋" w:cs="仿宋"/>
                <w:sz w:val="24"/>
                <w:szCs w:val="24"/>
              </w:rPr>
              <w:t>、</w:t>
            </w:r>
            <w:r>
              <w:rPr>
                <w:rFonts w:hint="eastAsia" w:ascii="仿宋" w:hAnsi="仿宋" w:eastAsia="仿宋" w:cs="仿宋"/>
                <w:sz w:val="24"/>
                <w:szCs w:val="24"/>
                <w:lang w:val="en-US" w:eastAsia="zh-CN"/>
              </w:rPr>
              <w:t>有针对性</w:t>
            </w:r>
            <w:r>
              <w:rPr>
                <w:rFonts w:hint="eastAsia" w:ascii="仿宋" w:hAnsi="仿宋" w:eastAsia="仿宋" w:cs="仿宋"/>
                <w:sz w:val="24"/>
                <w:szCs w:val="24"/>
              </w:rPr>
              <w:t>等情况</w:t>
            </w:r>
            <w:r>
              <w:rPr>
                <w:rFonts w:hint="eastAsia" w:ascii="仿宋" w:hAnsi="仿宋" w:eastAsia="仿宋" w:cs="仿宋"/>
                <w:sz w:val="24"/>
                <w:szCs w:val="24"/>
                <w:lang w:val="en-US" w:eastAsia="zh-CN"/>
              </w:rPr>
              <w:t>打分</w:t>
            </w:r>
            <w:r>
              <w:rPr>
                <w:rFonts w:hint="eastAsia" w:ascii="仿宋" w:hAnsi="仿宋" w:eastAsia="仿宋" w:cs="仿宋"/>
                <w:sz w:val="24"/>
                <w:szCs w:val="24"/>
              </w:rPr>
              <w:t>，满分</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一处缺陷或不足扣2分。</w:t>
            </w:r>
          </w:p>
        </w:tc>
        <w:tc>
          <w:tcPr>
            <w:tcW w:w="992"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应急处理</w:t>
            </w:r>
            <w:r>
              <w:rPr>
                <w:rFonts w:hint="eastAsia" w:ascii="仿宋" w:hAnsi="仿宋" w:eastAsia="仿宋" w:cs="仿宋"/>
                <w:sz w:val="24"/>
                <w:szCs w:val="24"/>
                <w:lang w:val="en-US" w:eastAsia="zh-CN"/>
              </w:rPr>
              <w:t>方案</w:t>
            </w:r>
            <w:r>
              <w:rPr>
                <w:rFonts w:hint="eastAsia" w:ascii="仿宋" w:hAnsi="仿宋" w:eastAsia="仿宋" w:cs="仿宋"/>
                <w:sz w:val="24"/>
                <w:szCs w:val="24"/>
              </w:rPr>
              <w:t>（5分）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供应商提供的</w:t>
            </w:r>
            <w:r>
              <w:rPr>
                <w:rFonts w:hint="eastAsia" w:ascii="仿宋" w:hAnsi="仿宋" w:eastAsia="仿宋" w:cs="仿宋"/>
                <w:sz w:val="24"/>
                <w:szCs w:val="24"/>
              </w:rPr>
              <w:t>突发事件应急处理</w:t>
            </w:r>
            <w:r>
              <w:rPr>
                <w:rFonts w:hint="eastAsia" w:ascii="仿宋" w:hAnsi="仿宋" w:eastAsia="仿宋" w:cs="仿宋"/>
                <w:sz w:val="24"/>
                <w:szCs w:val="24"/>
                <w:lang w:val="en-US" w:eastAsia="zh-CN"/>
              </w:rPr>
              <w:t>方案进行</w:t>
            </w:r>
            <w:r>
              <w:rPr>
                <w:rFonts w:hint="eastAsia" w:ascii="仿宋" w:hAnsi="仿宋" w:eastAsia="仿宋" w:cs="仿宋"/>
                <w:sz w:val="24"/>
                <w:szCs w:val="24"/>
              </w:rPr>
              <w:t>打分，满分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一处缺陷或不足扣1分</w:t>
            </w:r>
            <w:r>
              <w:rPr>
                <w:rFonts w:hint="eastAsia" w:ascii="仿宋" w:hAnsi="仿宋" w:eastAsia="仿宋" w:cs="仿宋"/>
                <w:sz w:val="24"/>
                <w:szCs w:val="24"/>
              </w:rPr>
              <w:t>。</w:t>
            </w:r>
          </w:p>
        </w:tc>
        <w:tc>
          <w:tcPr>
            <w:tcW w:w="992"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拟投入</w:t>
            </w:r>
            <w:r>
              <w:rPr>
                <w:rFonts w:hint="eastAsia" w:ascii="仿宋" w:hAnsi="仿宋" w:eastAsia="仿宋" w:cs="仿宋"/>
                <w:sz w:val="24"/>
                <w:szCs w:val="24"/>
              </w:rPr>
              <w:t>人员安排（1</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根据供应商提供的</w:t>
            </w:r>
            <w:r>
              <w:rPr>
                <w:rFonts w:hint="eastAsia" w:ascii="仿宋" w:hAnsi="仿宋" w:eastAsia="仿宋" w:cs="仿宋"/>
                <w:sz w:val="24"/>
                <w:szCs w:val="24"/>
                <w:lang w:val="en-US" w:eastAsia="zh-CN"/>
              </w:rPr>
              <w:t>服务团队配备情况（须提供相关人员得上岗证明）进行评审，</w:t>
            </w:r>
            <w:r>
              <w:rPr>
                <w:rFonts w:hint="eastAsia" w:ascii="仿宋" w:hAnsi="仿宋" w:eastAsia="仿宋" w:cs="仿宋"/>
                <w:sz w:val="24"/>
                <w:szCs w:val="24"/>
              </w:rPr>
              <w:t>满分10分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一处缺陷或不足扣2分</w:t>
            </w:r>
            <w:r>
              <w:rPr>
                <w:rFonts w:hint="eastAsia" w:ascii="仿宋" w:hAnsi="仿宋" w:eastAsia="仿宋" w:cs="仿宋"/>
                <w:sz w:val="24"/>
                <w:szCs w:val="24"/>
              </w:rPr>
              <w:t>。</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bCs/>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宋体" w:hAnsi="Times New Roman" w:eastAsia="宋体" w:cs="Times New Roman"/>
                <w:bCs/>
                <w:kern w:val="2"/>
                <w:sz w:val="24"/>
                <w:szCs w:val="24"/>
                <w:lang w:val="en-US" w:eastAsia="zh-CN" w:bidi="ar-SA"/>
              </w:rPr>
            </w:pPr>
            <w:r>
              <w:rPr>
                <w:rFonts w:hint="eastAsia" w:ascii="仿宋" w:hAnsi="仿宋" w:eastAsia="仿宋" w:cs="仿宋"/>
                <w:sz w:val="24"/>
                <w:szCs w:val="24"/>
                <w:lang w:val="en-US" w:eastAsia="zh-CN"/>
              </w:rPr>
              <w:t>拟投入设备配备（5分）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根据供应商提供的</w:t>
            </w:r>
            <w:r>
              <w:rPr>
                <w:rFonts w:hint="eastAsia" w:ascii="仿宋" w:hAnsi="仿宋" w:eastAsia="仿宋" w:cs="仿宋"/>
                <w:sz w:val="24"/>
                <w:szCs w:val="24"/>
                <w:lang w:val="en-US" w:eastAsia="zh-CN"/>
              </w:rPr>
              <w:t>相关仪器设备配备情况进行评审，</w:t>
            </w:r>
            <w:r>
              <w:rPr>
                <w:rFonts w:hint="eastAsia" w:ascii="仿宋" w:hAnsi="仿宋" w:eastAsia="仿宋" w:cs="仿宋"/>
                <w:sz w:val="24"/>
                <w:szCs w:val="24"/>
              </w:rPr>
              <w:t>满分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一处缺陷或不足扣1分</w:t>
            </w:r>
            <w:r>
              <w:rPr>
                <w:rFonts w:hint="eastAsia" w:ascii="仿宋" w:hAnsi="仿宋" w:eastAsia="仿宋" w:cs="仿宋"/>
                <w:sz w:val="24"/>
                <w:szCs w:val="24"/>
              </w:rPr>
              <w:t>。</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bCs/>
                <w:kern w:val="0"/>
                <w:sz w:val="24"/>
                <w:szCs w:val="24"/>
                <w:lang w:val="en-US" w:eastAsia="zh-CN" w:bidi="ar-SA"/>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服务承诺</w:t>
            </w:r>
          </w:p>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根据供应商提供的服务承诺情况，酌情打分，评委根据</w:t>
            </w:r>
            <w:r>
              <w:rPr>
                <w:rFonts w:hint="eastAsia" w:ascii="仿宋" w:hAnsi="仿宋" w:eastAsia="仿宋" w:cs="仿宋"/>
                <w:sz w:val="24"/>
                <w:szCs w:val="24"/>
                <w:lang w:eastAsia="zh-CN"/>
              </w:rPr>
              <w:t>投标</w:t>
            </w:r>
            <w:r>
              <w:rPr>
                <w:rFonts w:hint="eastAsia" w:ascii="仿宋" w:hAnsi="仿宋" w:eastAsia="仿宋" w:cs="仿宋"/>
                <w:sz w:val="24"/>
                <w:szCs w:val="24"/>
              </w:rPr>
              <w:t>文件情况综合评审，每有一项相对弱势减1分，满分</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747"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业绩</w:t>
            </w:r>
            <w:r>
              <w:rPr>
                <w:rFonts w:hint="eastAsia" w:ascii="仿宋" w:hAnsi="仿宋" w:eastAsia="仿宋" w:cs="仿宋"/>
                <w:sz w:val="24"/>
                <w:szCs w:val="24"/>
              </w:rPr>
              <w:t>（10分）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供应商需提供自201</w:t>
            </w:r>
            <w:r>
              <w:rPr>
                <w:rFonts w:hint="eastAsia" w:ascii="仿宋" w:hAnsi="仿宋" w:eastAsia="仿宋" w:cs="仿宋"/>
                <w:sz w:val="24"/>
                <w:szCs w:val="24"/>
                <w:lang w:val="en-US" w:eastAsia="zh-CN"/>
              </w:rPr>
              <w:t>9</w:t>
            </w:r>
            <w:r>
              <w:rPr>
                <w:rFonts w:hint="eastAsia" w:ascii="仿宋" w:hAnsi="仿宋" w:eastAsia="仿宋" w:cs="仿宋"/>
                <w:sz w:val="24"/>
                <w:szCs w:val="24"/>
              </w:rPr>
              <w:t>年1月1日以来所投同类项目业绩每提供一份案例（包含：合同全部页）得2分，最多10分</w:t>
            </w:r>
            <w:r>
              <w:rPr>
                <w:rFonts w:hint="eastAsia" w:ascii="仿宋" w:hAnsi="仿宋" w:eastAsia="仿宋" w:cs="仿宋"/>
                <w:sz w:val="24"/>
                <w:szCs w:val="24"/>
                <w:lang w:eastAsia="zh-CN"/>
              </w:rPr>
              <w:t>。</w:t>
            </w:r>
            <w:r>
              <w:rPr>
                <w:rFonts w:hint="eastAsia" w:ascii="仿宋" w:hAnsi="仿宋" w:eastAsia="仿宋" w:cs="仿宋"/>
                <w:sz w:val="24"/>
              </w:rPr>
              <w:t>（以合同签订日期为准，相应完整合同复印件装订于投标文件中，否则不得分）</w:t>
            </w:r>
          </w:p>
        </w:tc>
        <w:tc>
          <w:tcPr>
            <w:tcW w:w="992"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合理化建议</w:t>
            </w:r>
            <w:r>
              <w:rPr>
                <w:rFonts w:hint="eastAsia" w:ascii="仿宋" w:hAnsi="仿宋" w:eastAsia="仿宋" w:cs="仿宋"/>
                <w:sz w:val="24"/>
                <w:szCs w:val="24"/>
                <w:lang w:val="en-US" w:eastAsia="zh-CN"/>
              </w:rPr>
              <w:t>及优惠条款</w:t>
            </w:r>
            <w:r>
              <w:rPr>
                <w:rFonts w:hint="eastAsia" w:ascii="仿宋" w:hAnsi="仿宋" w:eastAsia="仿宋" w:cs="仿宋"/>
                <w:sz w:val="24"/>
                <w:szCs w:val="24"/>
              </w:rPr>
              <w:t>（</w:t>
            </w:r>
            <w:r>
              <w:rPr>
                <w:rFonts w:hint="default" w:ascii="仿宋" w:hAnsi="仿宋" w:eastAsia="仿宋" w:cs="仿宋"/>
                <w:sz w:val="24"/>
                <w:szCs w:val="24"/>
                <w:lang w:val="en-US"/>
              </w:rPr>
              <w:t>2</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针对本项目的</w:t>
            </w:r>
            <w:r>
              <w:rPr>
                <w:rFonts w:hint="eastAsia" w:ascii="仿宋" w:hAnsi="仿宋" w:eastAsia="仿宋" w:cs="仿宋"/>
                <w:sz w:val="24"/>
                <w:szCs w:val="24"/>
              </w:rPr>
              <w:t>合理化建议</w:t>
            </w:r>
            <w:r>
              <w:rPr>
                <w:rFonts w:hint="eastAsia" w:ascii="仿宋" w:hAnsi="仿宋" w:eastAsia="仿宋" w:cs="仿宋"/>
                <w:sz w:val="24"/>
                <w:szCs w:val="24"/>
                <w:lang w:val="en-US" w:eastAsia="zh-CN"/>
              </w:rPr>
              <w:t>以及优惠条款情况进行</w:t>
            </w:r>
            <w:r>
              <w:rPr>
                <w:rFonts w:hint="eastAsia" w:ascii="仿宋" w:hAnsi="仿宋" w:eastAsia="仿宋" w:cs="仿宋"/>
                <w:sz w:val="24"/>
                <w:szCs w:val="24"/>
              </w:rPr>
              <w:t>评</w:t>
            </w:r>
            <w:r>
              <w:rPr>
                <w:rFonts w:hint="eastAsia" w:ascii="仿宋" w:hAnsi="仿宋" w:eastAsia="仿宋" w:cs="仿宋"/>
                <w:sz w:val="24"/>
                <w:szCs w:val="24"/>
                <w:lang w:val="en-US" w:eastAsia="zh-CN"/>
              </w:rPr>
              <w:t>审，经评审委员会认定的，每条得1分</w:t>
            </w:r>
            <w:r>
              <w:rPr>
                <w:rFonts w:hint="eastAsia" w:ascii="仿宋" w:hAnsi="仿宋" w:eastAsia="仿宋" w:cs="仿宋"/>
                <w:sz w:val="24"/>
                <w:szCs w:val="24"/>
              </w:rPr>
              <w:t>，满分</w:t>
            </w:r>
            <w:r>
              <w:rPr>
                <w:rFonts w:hint="default" w:ascii="仿宋" w:hAnsi="仿宋" w:eastAsia="仿宋" w:cs="仿宋"/>
                <w:sz w:val="24"/>
                <w:szCs w:val="24"/>
                <w:lang w:val="en-US"/>
              </w:rPr>
              <w:t>2</w:t>
            </w:r>
            <w:r>
              <w:rPr>
                <w:rFonts w:hint="eastAsia" w:ascii="仿宋" w:hAnsi="仿宋" w:eastAsia="仿宋" w:cs="仿宋"/>
                <w:sz w:val="24"/>
                <w:szCs w:val="24"/>
              </w:rPr>
              <w:t>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kern w:val="0"/>
                <w:sz w:val="24"/>
                <w:szCs w:val="24"/>
                <w:lang w:eastAsia="zh-CN"/>
              </w:rPr>
            </w:pPr>
            <w:r>
              <w:rPr>
                <w:rFonts w:hint="default" w:ascii="仿宋" w:hAnsi="仿宋" w:eastAsia="仿宋" w:cs="仿宋"/>
                <w:kern w:val="0"/>
                <w:sz w:val="24"/>
                <w:szCs w:val="24"/>
                <w:lang w:val="en-US" w:eastAsia="zh-CN"/>
              </w:rPr>
              <w:t>2</w:t>
            </w:r>
          </w:p>
        </w:tc>
      </w:tr>
      <w:bookmarkEnd w:id="204"/>
    </w:tbl>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5" w:name="_Toc12613"/>
      <w:bookmarkStart w:id="206" w:name="_Toc3404"/>
      <w:bookmarkStart w:id="207" w:name="_Toc18910"/>
      <w:bookmarkStart w:id="208" w:name="_Toc332979559"/>
      <w:r>
        <w:rPr>
          <w:rFonts w:hint="eastAsia" w:ascii="仿宋" w:hAnsi="仿宋" w:eastAsia="仿宋" w:cs="仿宋"/>
          <w:sz w:val="28"/>
          <w:szCs w:val="28"/>
          <w:highlight w:val="none"/>
        </w:rPr>
        <w:t>五、废标</w:t>
      </w:r>
      <w:bookmarkEnd w:id="205"/>
      <w:bookmarkEnd w:id="206"/>
      <w:bookmarkEnd w:id="207"/>
      <w:bookmarkEnd w:id="20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7"/>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（一）在投标截止时间后参加投标的</w:t>
      </w:r>
      <w:r>
        <w:rPr>
          <w:rStyle w:val="57"/>
          <w:rFonts w:hint="eastAsia" w:ascii="仿宋" w:hAnsi="仿宋" w:eastAsia="仿宋" w:cs="仿宋"/>
          <w:sz w:val="28"/>
          <w:szCs w:val="28"/>
          <w:highlight w:val="none"/>
          <w:lang w:val="en-US" w:eastAsia="zh-CN"/>
        </w:rPr>
        <w:t>供应商少于3</w:t>
      </w:r>
      <w:r>
        <w:rPr>
          <w:rStyle w:val="57"/>
          <w:rFonts w:hint="eastAsia" w:ascii="仿宋" w:hAnsi="仿宋" w:eastAsia="仿宋" w:cs="仿宋"/>
          <w:sz w:val="28"/>
          <w:szCs w:val="28"/>
          <w:highlight w:val="none"/>
        </w:rPr>
        <w:t>家</w:t>
      </w:r>
      <w:r>
        <w:rPr>
          <w:rStyle w:val="57"/>
          <w:rFonts w:hint="eastAsia" w:ascii="仿宋" w:hAnsi="仿宋" w:eastAsia="仿宋" w:cs="仿宋"/>
          <w:sz w:val="28"/>
          <w:szCs w:val="28"/>
          <w:highlight w:val="none"/>
          <w:lang w:val="en-US" w:eastAsia="zh-CN"/>
        </w:rPr>
        <w:t>的</w:t>
      </w:r>
      <w:r>
        <w:rPr>
          <w:rStyle w:val="57"/>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7"/>
          <w:rFonts w:hint="eastAsia" w:ascii="仿宋" w:hAnsi="仿宋" w:eastAsia="仿宋" w:cs="仿宋"/>
          <w:sz w:val="28"/>
          <w:szCs w:val="28"/>
          <w:highlight w:val="none"/>
        </w:rPr>
      </w:pPr>
      <w:r>
        <w:rPr>
          <w:rStyle w:val="57"/>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7"/>
          <w:rFonts w:hint="eastAsia" w:ascii="仿宋" w:hAnsi="仿宋" w:eastAsia="仿宋" w:cs="仿宋"/>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9" w:name="_Toc21644"/>
      <w:bookmarkStart w:id="210" w:name="_Toc332979560"/>
      <w:bookmarkStart w:id="211" w:name="_Toc325620719"/>
      <w:bookmarkStart w:id="212" w:name="_Toc206"/>
      <w:bookmarkStart w:id="213" w:name="_Toc10557"/>
      <w:r>
        <w:rPr>
          <w:rFonts w:hint="eastAsia" w:ascii="仿宋" w:hAnsi="仿宋" w:eastAsia="仿宋" w:cs="仿宋"/>
          <w:sz w:val="28"/>
          <w:szCs w:val="28"/>
          <w:highlight w:val="none"/>
        </w:rPr>
        <w:t>六、中标通知书</w:t>
      </w:r>
      <w:bookmarkEnd w:id="209"/>
      <w:bookmarkEnd w:id="210"/>
      <w:bookmarkEnd w:id="211"/>
      <w:bookmarkEnd w:id="212"/>
      <w:bookmarkEnd w:id="21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14" w:name="_Toc25596"/>
      <w:bookmarkStart w:id="215" w:name="_Toc29849"/>
      <w:bookmarkStart w:id="216" w:name="_Toc7131"/>
      <w:r>
        <w:rPr>
          <w:rFonts w:hint="eastAsia" w:ascii="仿宋" w:hAnsi="仿宋" w:eastAsia="仿宋" w:cs="仿宋"/>
          <w:sz w:val="28"/>
          <w:szCs w:val="28"/>
          <w:highlight w:val="none"/>
        </w:rPr>
        <w:t>第四部分 授予合同</w:t>
      </w:r>
      <w:bookmarkEnd w:id="180"/>
      <w:bookmarkEnd w:id="181"/>
      <w:bookmarkEnd w:id="182"/>
      <w:bookmarkEnd w:id="183"/>
      <w:bookmarkEnd w:id="184"/>
      <w:bookmarkEnd w:id="185"/>
      <w:bookmarkEnd w:id="214"/>
      <w:bookmarkEnd w:id="215"/>
      <w:bookmarkEnd w:id="216"/>
    </w:p>
    <w:p>
      <w:pPr>
        <w:pStyle w:val="4"/>
        <w:pageBreakBefore w:val="0"/>
        <w:kinsoku/>
        <w:overflowPunct/>
        <w:topLinePunct w:val="0"/>
        <w:bidi w:val="0"/>
        <w:snapToGrid/>
        <w:spacing w:line="360" w:lineRule="auto"/>
        <w:rPr>
          <w:rStyle w:val="57"/>
          <w:rFonts w:hint="eastAsia" w:ascii="仿宋" w:hAnsi="仿宋" w:eastAsia="仿宋" w:cs="仿宋"/>
          <w:b/>
          <w:bCs w:val="0"/>
          <w:sz w:val="28"/>
          <w:szCs w:val="28"/>
          <w:highlight w:val="none"/>
          <w:lang w:val="en-US" w:eastAsia="zh-CN" w:bidi="ar-SA"/>
        </w:rPr>
      </w:pPr>
      <w:bookmarkStart w:id="217" w:name="_Toc325620721"/>
      <w:bookmarkStart w:id="218" w:name="_Toc8163"/>
      <w:bookmarkStart w:id="219" w:name="_Toc356491325"/>
      <w:bookmarkStart w:id="220" w:name="_Toc27955"/>
      <w:bookmarkStart w:id="221" w:name="_Toc356490386"/>
      <w:bookmarkStart w:id="222" w:name="_Toc4152"/>
      <w:r>
        <w:rPr>
          <w:rStyle w:val="57"/>
          <w:rFonts w:hint="eastAsia" w:ascii="仿宋" w:hAnsi="仿宋" w:eastAsia="仿宋" w:cs="仿宋"/>
          <w:b/>
          <w:bCs w:val="0"/>
          <w:sz w:val="28"/>
          <w:szCs w:val="28"/>
          <w:highlight w:val="none"/>
          <w:lang w:val="en-US" w:eastAsia="zh-CN" w:bidi="ar-SA"/>
        </w:rPr>
        <w:t>一、签订合同</w:t>
      </w:r>
      <w:bookmarkEnd w:id="217"/>
      <w:bookmarkEnd w:id="218"/>
      <w:bookmarkEnd w:id="219"/>
      <w:bookmarkEnd w:id="220"/>
      <w:bookmarkEnd w:id="221"/>
      <w:bookmarkEnd w:id="222"/>
    </w:p>
    <w:p>
      <w:pPr>
        <w:pageBreakBefore w:val="0"/>
        <w:kinsoku/>
        <w:overflowPunct/>
        <w:topLinePunct w:val="0"/>
        <w:bidi w:val="0"/>
        <w:snapToGrid/>
        <w:spacing w:line="360" w:lineRule="auto"/>
        <w:ind w:firstLine="560" w:firstLineChars="200"/>
        <w:outlineLvl w:val="9"/>
        <w:rPr>
          <w:rStyle w:val="57"/>
          <w:rFonts w:hint="eastAsia" w:ascii="仿宋" w:hAnsi="仿宋" w:eastAsia="仿宋" w:cs="仿宋"/>
          <w:b w:val="0"/>
          <w:bCs/>
          <w:sz w:val="28"/>
          <w:szCs w:val="28"/>
          <w:highlight w:val="none"/>
          <w:lang w:val="en-US" w:eastAsia="zh-CN" w:bidi="ar-SA"/>
        </w:rPr>
      </w:pPr>
      <w:bookmarkStart w:id="223" w:name="_Toc19586"/>
      <w:bookmarkStart w:id="224" w:name="_Toc7493"/>
      <w:bookmarkStart w:id="225" w:name="_Toc32207"/>
      <w:bookmarkStart w:id="226" w:name="_Toc25947"/>
      <w:bookmarkStart w:id="227" w:name="_Toc88"/>
      <w:bookmarkStart w:id="228" w:name="_Toc3313"/>
      <w:r>
        <w:rPr>
          <w:rStyle w:val="57"/>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23"/>
      <w:bookmarkEnd w:id="224"/>
      <w:bookmarkEnd w:id="225"/>
      <w:bookmarkEnd w:id="226"/>
      <w:bookmarkEnd w:id="227"/>
      <w:bookmarkEnd w:id="228"/>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9" w:name="_Toc356491326"/>
      <w:bookmarkStart w:id="230" w:name="_Toc356490387"/>
      <w:bookmarkStart w:id="231" w:name="_Toc6445"/>
      <w:bookmarkStart w:id="232" w:name="_Toc29321"/>
      <w:bookmarkStart w:id="233" w:name="_Toc27885"/>
      <w:bookmarkStart w:id="234" w:name="_Toc325620722"/>
      <w:r>
        <w:rPr>
          <w:rFonts w:hint="eastAsia" w:ascii="仿宋" w:hAnsi="仿宋" w:eastAsia="仿宋" w:cs="仿宋"/>
          <w:sz w:val="28"/>
          <w:szCs w:val="28"/>
          <w:highlight w:val="none"/>
        </w:rPr>
        <w:t>二、合同格式</w:t>
      </w:r>
      <w:bookmarkEnd w:id="229"/>
      <w:bookmarkEnd w:id="230"/>
      <w:bookmarkEnd w:id="231"/>
      <w:bookmarkEnd w:id="232"/>
      <w:bookmarkEnd w:id="233"/>
      <w:bookmarkEnd w:id="23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9"/>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9"/>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4"/>
        <w:pageBreakBefore w:val="0"/>
        <w:numPr>
          <w:ilvl w:val="0"/>
          <w:numId w:val="3"/>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该招标合同经费由山东省中西医结合胆石症防治方案项目支出，测试加工经费以银行转账的方式分两次进行拨付，具体如下：合同生效后先拨付研究经费的50%，中标单位需提交同等金额预付款保函，当测序量完成总量的50%后解除保函。项目结束后结果交由专家认证合格后支付剩余50%经费。</w:t>
      </w:r>
    </w:p>
    <w:p>
      <w:pPr>
        <w:pStyle w:val="14"/>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eastAsia" w:ascii="仿宋" w:hAnsi="仿宋" w:eastAsia="仿宋" w:cs="仿宋"/>
          <w:color w:val="auto"/>
          <w:sz w:val="28"/>
          <w:szCs w:val="28"/>
          <w:highlight w:val="none"/>
          <w:lang w:val="en-US" w:eastAsia="zh-CN"/>
        </w:rPr>
        <w:t>3年</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Style w:val="14"/>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、乙方履行合同不符合规定，除应按合同约定及时调换外，在调换货物期间，应按调换货物金额每日0.3‰向甲方支付违约金。</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3</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4</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14"/>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5</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4"/>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5"/>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4"/>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ageBreakBefore w:val="0"/>
        <w:kinsoku/>
        <w:overflowPunct/>
        <w:topLinePunct w:val="0"/>
        <w:bidi w:val="0"/>
        <w:snapToGrid/>
        <w:spacing w:line="360" w:lineRule="auto"/>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注：最终合同内容以采购人签署的合同为准。</w:t>
      </w:r>
    </w:p>
    <w:p>
      <w:pPr>
        <w:pageBreakBefore w:val="0"/>
        <w:kinsoku/>
        <w:overflowPunct/>
        <w:topLinePunct w:val="0"/>
        <w:bidi w:val="0"/>
        <w:snapToGrid/>
        <w:spacing w:line="360" w:lineRule="auto"/>
        <w:jc w:val="center"/>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35" w:name="_Toc7549"/>
      <w:bookmarkStart w:id="236" w:name="_Toc28705"/>
      <w:bookmarkStart w:id="237" w:name="_Toc13266"/>
      <w:r>
        <w:rPr>
          <w:rFonts w:hint="eastAsia" w:ascii="仿宋" w:hAnsi="仿宋" w:eastAsia="仿宋" w:cs="仿宋"/>
          <w:b/>
          <w:bCs w:val="0"/>
          <w:sz w:val="32"/>
          <w:szCs w:val="32"/>
          <w:highlight w:val="none"/>
        </w:rPr>
        <w:t>第五部分 项目说明及要求</w:t>
      </w:r>
      <w:bookmarkEnd w:id="235"/>
      <w:bookmarkEnd w:id="236"/>
      <w:bookmarkEnd w:id="23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38" w:name="_Toc29518"/>
      <w:bookmarkStart w:id="239" w:name="_Toc42877310"/>
      <w:bookmarkStart w:id="240" w:name="_Toc407632791"/>
      <w:bookmarkStart w:id="241" w:name="_Toc356491328"/>
      <w:bookmarkStart w:id="242" w:name="_Toc4764"/>
      <w:bookmarkStart w:id="243" w:name="_Toc356490389"/>
      <w:bookmarkStart w:id="244" w:name="_Toc325620724"/>
      <w:bookmarkStart w:id="245" w:name="_Toc26582"/>
      <w:r>
        <w:rPr>
          <w:rFonts w:hint="eastAsia" w:ascii="仿宋" w:hAnsi="仿宋" w:eastAsia="仿宋" w:cs="仿宋"/>
          <w:sz w:val="28"/>
          <w:szCs w:val="28"/>
          <w:highlight w:val="none"/>
        </w:rPr>
        <w:t>一、项目名称</w:t>
      </w:r>
      <w:bookmarkEnd w:id="238"/>
      <w:bookmarkEnd w:id="239"/>
      <w:bookmarkEnd w:id="240"/>
      <w:bookmarkEnd w:id="241"/>
      <w:bookmarkEnd w:id="242"/>
      <w:bookmarkEnd w:id="243"/>
      <w:bookmarkEnd w:id="244"/>
      <w:bookmarkEnd w:id="245"/>
      <w:bookmarkStart w:id="246" w:name="_Toc325620725"/>
    </w:p>
    <w:bookmarkEnd w:id="246"/>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bookmarkStart w:id="247" w:name="_Toc356491329"/>
      <w:bookmarkStart w:id="248" w:name="_Toc356490390"/>
      <w:bookmarkStart w:id="249" w:name="_Toc407632792"/>
      <w:r>
        <w:rPr>
          <w:rFonts w:hint="eastAsia" w:ascii="仿宋" w:hAnsi="仿宋" w:eastAsia="仿宋" w:cs="仿宋"/>
          <w:sz w:val="28"/>
          <w:szCs w:val="28"/>
          <w:highlight w:val="none"/>
          <w:lang w:eastAsia="zh-CN"/>
        </w:rPr>
        <w:t>山东大学第二医院疏肝利胆方预防胆石症术后复发RCT研究相关测试加工服务项目</w:t>
      </w:r>
      <w:r>
        <w:rPr>
          <w:rFonts w:hint="eastAsia" w:ascii="仿宋" w:hAnsi="仿宋" w:eastAsia="仿宋" w:cs="仿宋"/>
          <w:sz w:val="28"/>
          <w:szCs w:val="28"/>
          <w:highlight w:val="none"/>
          <w:lang w:val="en-US" w:eastAsia="zh-CN"/>
        </w:rPr>
        <w:t>公开招标</w:t>
      </w:r>
    </w:p>
    <w:p>
      <w:pPr>
        <w:pStyle w:val="4"/>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50" w:name="_Toc2073"/>
      <w:bookmarkStart w:id="251" w:name="_Toc42877311"/>
      <w:bookmarkStart w:id="252" w:name="_Toc24799"/>
      <w:bookmarkStart w:id="253" w:name="_Toc20032"/>
      <w:r>
        <w:rPr>
          <w:rFonts w:hint="eastAsia" w:ascii="仿宋" w:hAnsi="仿宋" w:eastAsia="仿宋" w:cs="仿宋"/>
          <w:sz w:val="28"/>
          <w:szCs w:val="28"/>
          <w:highlight w:val="none"/>
        </w:rPr>
        <w:t>二、项目说明</w:t>
      </w:r>
      <w:bookmarkEnd w:id="247"/>
      <w:bookmarkEnd w:id="248"/>
      <w:bookmarkEnd w:id="249"/>
      <w:bookmarkEnd w:id="250"/>
      <w:bookmarkEnd w:id="251"/>
      <w:bookmarkEnd w:id="252"/>
      <w:bookmarkEnd w:id="25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54" w:name="_Toc356490391"/>
      <w:bookmarkStart w:id="255" w:name="_Toc325620726"/>
      <w:bookmarkStart w:id="256" w:name="_Toc356491330"/>
      <w:r>
        <w:rPr>
          <w:rFonts w:hint="eastAsia" w:ascii="仿宋" w:hAnsi="仿宋" w:eastAsia="仿宋" w:cs="仿宋"/>
          <w:sz w:val="28"/>
          <w:szCs w:val="28"/>
          <w:highlight w:val="none"/>
        </w:rPr>
        <w:t>1.本项目共</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各项目</w:t>
      </w:r>
      <w:r>
        <w:rPr>
          <w:rFonts w:hint="eastAsia" w:ascii="仿宋" w:hAnsi="仿宋" w:eastAsia="仿宋" w:cs="仿宋"/>
          <w:sz w:val="28"/>
          <w:szCs w:val="28"/>
          <w:highlight w:val="none"/>
          <w:lang w:val="en-US" w:eastAsia="zh-CN"/>
        </w:rPr>
        <w:t>单价</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不得超过单价最高控制价，否则作无效报价处理。</w:t>
      </w:r>
      <w:r>
        <w:rPr>
          <w:rFonts w:hint="eastAsia" w:ascii="仿宋" w:hAnsi="仿宋" w:eastAsia="仿宋" w:cs="仿宋"/>
          <w:bCs/>
          <w:sz w:val="28"/>
          <w:szCs w:val="28"/>
          <w:highlight w:val="none"/>
        </w:rPr>
        <w:t xml:space="preserve"> </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7" w:name="_Toc24750"/>
      <w:bookmarkStart w:id="258" w:name="_Toc5044"/>
      <w:bookmarkStart w:id="259" w:name="_Toc42877312"/>
      <w:bookmarkStart w:id="260" w:name="_Toc407632793"/>
      <w:bookmarkStart w:id="261" w:name="_Toc4994"/>
      <w:r>
        <w:rPr>
          <w:rFonts w:hint="eastAsia" w:ascii="仿宋" w:hAnsi="仿宋" w:eastAsia="仿宋" w:cs="仿宋"/>
          <w:color w:val="auto"/>
          <w:sz w:val="28"/>
          <w:szCs w:val="28"/>
          <w:highlight w:val="none"/>
        </w:rPr>
        <w:t>三、商务条件</w:t>
      </w:r>
      <w:bookmarkEnd w:id="254"/>
      <w:bookmarkEnd w:id="255"/>
      <w:bookmarkEnd w:id="256"/>
      <w:bookmarkEnd w:id="257"/>
      <w:bookmarkEnd w:id="258"/>
      <w:bookmarkEnd w:id="259"/>
      <w:bookmarkEnd w:id="260"/>
      <w:bookmarkEnd w:id="261"/>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1、服务期：3年。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付款方式：该招标合同经费由山东省中西医结合胆石症防治方案项目支出，测试加工经费以银行转账的方式分两次进行拨付，具体如下：合同生效后先拨付研究经费的50%，中标单位需提交同等金额预付款保函，当测序量完成总量的50%后解除保函。项目结束后结果交由专家认证合格后支付剩余50%经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4、本项目预算：</w:t>
      </w:r>
      <w:bookmarkStart w:id="262" w:name="_Toc356491341"/>
      <w:bookmarkStart w:id="263" w:name="_Toc356490393"/>
      <w:r>
        <w:rPr>
          <w:rFonts w:hint="eastAsia" w:ascii="仿宋" w:hAnsi="仿宋" w:eastAsia="仿宋" w:cs="仿宋"/>
          <w:bCs w:val="0"/>
          <w:color w:val="auto"/>
          <w:sz w:val="28"/>
          <w:szCs w:val="28"/>
          <w:highlight w:val="none"/>
          <w:lang w:val="en-US" w:eastAsia="zh-CN"/>
        </w:rPr>
        <w:t>229.5万元/3年。</w:t>
      </w:r>
      <w:r>
        <w:rPr>
          <w:rFonts w:hint="eastAsia" w:ascii="仿宋" w:hAnsi="仿宋" w:eastAsia="仿宋" w:cs="仿宋"/>
          <w:color w:val="auto"/>
          <w:sz w:val="28"/>
          <w:szCs w:val="28"/>
          <w:highlight w:val="none"/>
          <w:lang w:val="en-US" w:eastAsia="zh-CN"/>
        </w:rPr>
        <w:br w:type="page"/>
      </w:r>
    </w:p>
    <w:p>
      <w:pPr>
        <w:pStyle w:val="4"/>
        <w:pageBreakBefore w:val="0"/>
        <w:numPr>
          <w:ilvl w:val="0"/>
          <w:numId w:val="4"/>
        </w:numPr>
        <w:kinsoku/>
        <w:overflowPunct/>
        <w:topLinePunct w:val="0"/>
        <w:bidi w:val="0"/>
        <w:snapToGrid/>
        <w:spacing w:line="240" w:lineRule="auto"/>
        <w:rPr>
          <w:rFonts w:hint="eastAsia" w:ascii="仿宋" w:hAnsi="仿宋" w:eastAsia="仿宋" w:cs="仿宋"/>
          <w:color w:val="auto"/>
          <w:sz w:val="28"/>
          <w:szCs w:val="28"/>
          <w:highlight w:val="none"/>
          <w:lang w:val="en-US" w:eastAsia="zh-CN"/>
        </w:rPr>
      </w:pPr>
      <w:bookmarkStart w:id="264" w:name="_Toc18902"/>
      <w:bookmarkStart w:id="265" w:name="_Toc31810"/>
      <w:bookmarkStart w:id="266" w:name="_Toc16289"/>
      <w:r>
        <w:rPr>
          <w:rFonts w:hint="eastAsia" w:ascii="仿宋" w:hAnsi="仿宋" w:eastAsia="仿宋" w:cs="仿宋"/>
          <w:color w:val="auto"/>
          <w:sz w:val="28"/>
          <w:szCs w:val="28"/>
          <w:highlight w:val="none"/>
          <w:lang w:val="en-US" w:eastAsia="zh-CN"/>
        </w:rPr>
        <w:t>采购要求</w:t>
      </w:r>
      <w:bookmarkEnd w:id="264"/>
      <w:bookmarkEnd w:id="265"/>
      <w:bookmarkEnd w:id="266"/>
    </w:p>
    <w:p>
      <w:pPr>
        <w:pStyle w:val="4"/>
        <w:pageBreakBefore w:val="0"/>
        <w:numPr>
          <w:ilvl w:val="0"/>
          <w:numId w:val="0"/>
        </w:numPr>
        <w:kinsoku/>
        <w:overflowPunct/>
        <w:topLinePunct w:val="0"/>
        <w:bidi w:val="0"/>
        <w:snapToGrid/>
        <w:spacing w:line="240" w:lineRule="auto"/>
        <w:rPr>
          <w:rFonts w:hint="default" w:ascii="仿宋" w:hAnsi="仿宋" w:eastAsia="仿宋" w:cs="仿宋"/>
          <w:b w:val="0"/>
          <w:bCs w:val="0"/>
          <w:color w:val="auto"/>
          <w:sz w:val="28"/>
          <w:szCs w:val="28"/>
          <w:highlight w:val="none"/>
          <w:lang w:val="en-US" w:eastAsia="zh-CN"/>
        </w:rPr>
      </w:pPr>
      <w:bookmarkStart w:id="267" w:name="_Toc572"/>
      <w:r>
        <w:rPr>
          <w:rFonts w:hint="eastAsia" w:ascii="仿宋" w:hAnsi="仿宋" w:eastAsia="仿宋" w:cs="仿宋"/>
          <w:b w:val="0"/>
          <w:bCs w:val="0"/>
          <w:color w:val="auto"/>
          <w:sz w:val="28"/>
          <w:szCs w:val="28"/>
          <w:highlight w:val="none"/>
          <w:lang w:val="en-US" w:eastAsia="zh-CN"/>
        </w:rPr>
        <w:t>（一）采购明细</w:t>
      </w:r>
      <w:bookmarkEnd w:id="267"/>
    </w:p>
    <w:tbl>
      <w:tblPr>
        <w:tblStyle w:val="36"/>
        <w:tblW w:w="4741" w:type="pct"/>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3622"/>
        <w:gridCol w:w="1346"/>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样本类型</w:t>
            </w:r>
          </w:p>
        </w:tc>
        <w:tc>
          <w:tcPr>
            <w:tcW w:w="210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实验平台</w:t>
            </w:r>
          </w:p>
        </w:tc>
        <w:tc>
          <w:tcPr>
            <w:tcW w:w="7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0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tLeast"/>
              <w:jc w:val="center"/>
              <w:rPr>
                <w:rFonts w:hint="eastAsia" w:ascii="仿宋" w:hAnsi="仿宋" w:eastAsia="仿宋" w:cs="仿宋"/>
                <w:b/>
                <w:kern w:val="0"/>
                <w:sz w:val="24"/>
                <w:szCs w:val="24"/>
              </w:rPr>
            </w:pPr>
            <w:r>
              <w:rPr>
                <w:rFonts w:hint="eastAsia" w:ascii="仿宋" w:hAnsi="仿宋" w:eastAsia="仿宋" w:cs="仿宋"/>
                <w:b/>
                <w:kern w:val="0"/>
                <w:sz w:val="24"/>
                <w:szCs w:val="24"/>
              </w:rPr>
              <w:t>单价最高</w:t>
            </w:r>
          </w:p>
          <w:p>
            <w:pPr>
              <w:autoSpaceDE w:val="0"/>
              <w:autoSpaceDN w:val="0"/>
              <w:adjustRightInd w:val="0"/>
              <w:snapToGrid w:val="0"/>
              <w:spacing w:line="240" w:lineRule="atLeast"/>
              <w:jc w:val="center"/>
              <w:rPr>
                <w:rFonts w:hint="eastAsia" w:ascii="仿宋" w:hAnsi="仿宋" w:eastAsia="仿宋" w:cs="仿宋"/>
                <w:b/>
                <w:kern w:val="0"/>
                <w:sz w:val="24"/>
                <w:szCs w:val="24"/>
                <w:lang w:eastAsia="zh-CN"/>
              </w:rPr>
            </w:pPr>
            <w:r>
              <w:rPr>
                <w:rFonts w:hint="eastAsia" w:ascii="仿宋" w:hAnsi="仿宋" w:eastAsia="仿宋" w:cs="仿宋"/>
                <w:b/>
                <w:kern w:val="0"/>
                <w:sz w:val="24"/>
                <w:szCs w:val="24"/>
              </w:rPr>
              <w:t>控制价</w:t>
            </w:r>
            <w:r>
              <w:rPr>
                <w:rFonts w:hint="eastAsia" w:ascii="仿宋" w:hAnsi="仿宋" w:eastAsia="仿宋" w:cs="仿宋"/>
                <w:b/>
                <w:kern w:val="0"/>
                <w:sz w:val="24"/>
                <w:szCs w:val="24"/>
                <w:lang w:eastAsia="zh-CN"/>
              </w:rPr>
              <w:t>（</w:t>
            </w:r>
            <w:r>
              <w:rPr>
                <w:rFonts w:hint="eastAsia" w:ascii="仿宋" w:hAnsi="仿宋" w:eastAsia="仿宋" w:cs="仿宋"/>
                <w:b/>
                <w:kern w:val="0"/>
                <w:sz w:val="24"/>
                <w:szCs w:val="24"/>
                <w:lang w:val="en-US" w:eastAsia="zh-CN"/>
              </w:rPr>
              <w:t>元</w:t>
            </w:r>
            <w:r>
              <w:rPr>
                <w:rFonts w:hint="eastAsia" w:ascii="仿宋" w:hAnsi="仿宋" w:eastAsia="仿宋" w:cs="仿宋"/>
                <w:b/>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血清</w:t>
            </w:r>
          </w:p>
        </w:tc>
        <w:tc>
          <w:tcPr>
            <w:tcW w:w="210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高覆盖度全代谢组</w:t>
            </w:r>
          </w:p>
        </w:tc>
        <w:tc>
          <w:tcPr>
            <w:tcW w:w="7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600</w:t>
            </w:r>
          </w:p>
        </w:tc>
        <w:tc>
          <w:tcPr>
            <w:tcW w:w="10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粪便</w:t>
            </w:r>
          </w:p>
        </w:tc>
        <w:tc>
          <w:tcPr>
            <w:tcW w:w="210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宏基因组测序10G</w:t>
            </w:r>
          </w:p>
        </w:tc>
        <w:tc>
          <w:tcPr>
            <w:tcW w:w="7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600</w:t>
            </w:r>
          </w:p>
        </w:tc>
        <w:tc>
          <w:tcPr>
            <w:tcW w:w="10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全血</w:t>
            </w:r>
          </w:p>
        </w:tc>
        <w:tc>
          <w:tcPr>
            <w:tcW w:w="210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转录组测序6G</w:t>
            </w:r>
          </w:p>
        </w:tc>
        <w:tc>
          <w:tcPr>
            <w:tcW w:w="7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600</w:t>
            </w:r>
          </w:p>
        </w:tc>
        <w:tc>
          <w:tcPr>
            <w:tcW w:w="10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7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血清</w:t>
            </w:r>
          </w:p>
        </w:tc>
        <w:tc>
          <w:tcPr>
            <w:tcW w:w="210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全定量代谢组学</w:t>
            </w:r>
          </w:p>
        </w:tc>
        <w:tc>
          <w:tcPr>
            <w:tcW w:w="78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10</w:t>
            </w:r>
          </w:p>
        </w:tc>
        <w:tc>
          <w:tcPr>
            <w:tcW w:w="10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1500</w:t>
            </w:r>
          </w:p>
        </w:tc>
      </w:tr>
    </w:tbl>
    <w:p>
      <w:pPr>
        <w:pStyle w:val="4"/>
        <w:pageBreakBefore w:val="0"/>
        <w:numPr>
          <w:ilvl w:val="0"/>
          <w:numId w:val="0"/>
        </w:numPr>
        <w:kinsoku/>
        <w:overflowPunct/>
        <w:topLinePunct w:val="0"/>
        <w:bidi w:val="0"/>
        <w:snapToGrid/>
        <w:spacing w:line="240" w:lineRule="auto"/>
        <w:rPr>
          <w:rFonts w:hint="default" w:ascii="仿宋" w:hAnsi="仿宋" w:eastAsia="仿宋" w:cs="仿宋"/>
          <w:b w:val="0"/>
          <w:bCs w:val="0"/>
          <w:color w:val="auto"/>
          <w:sz w:val="28"/>
          <w:szCs w:val="28"/>
          <w:highlight w:val="none"/>
          <w:lang w:val="en-US" w:eastAsia="zh-CN"/>
        </w:rPr>
      </w:pPr>
      <w:bookmarkStart w:id="268" w:name="_Toc13467"/>
      <w:r>
        <w:rPr>
          <w:rFonts w:hint="eastAsia" w:ascii="仿宋" w:hAnsi="仿宋" w:eastAsia="仿宋" w:cs="仿宋"/>
          <w:b w:val="0"/>
          <w:bCs w:val="0"/>
          <w:color w:val="auto"/>
          <w:sz w:val="28"/>
          <w:szCs w:val="28"/>
          <w:highlight w:val="none"/>
          <w:lang w:val="en-US" w:eastAsia="zh-CN"/>
        </w:rPr>
        <w:t>（二）技术参数</w:t>
      </w:r>
      <w:bookmarkEnd w:id="268"/>
    </w:p>
    <w:tbl>
      <w:tblPr>
        <w:tblStyle w:val="3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30"/>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730" w:type="dxa"/>
            <w:vAlign w:val="center"/>
          </w:tcPr>
          <w:p>
            <w:pPr>
              <w:autoSpaceDE w:val="0"/>
              <w:autoSpaceDN w:val="0"/>
              <w:adjustRightIn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采购明细</w:t>
            </w:r>
          </w:p>
        </w:tc>
        <w:tc>
          <w:tcPr>
            <w:tcW w:w="7321" w:type="dxa"/>
            <w:vAlign w:val="center"/>
          </w:tcPr>
          <w:p>
            <w:pPr>
              <w:autoSpaceDE w:val="0"/>
              <w:autoSpaceDN w:val="0"/>
              <w:adjustRightIn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704" w:type="dxa"/>
            <w:vAlign w:val="center"/>
          </w:tcPr>
          <w:p>
            <w:pPr>
              <w:autoSpaceDE w:val="0"/>
              <w:autoSpaceDN w:val="0"/>
              <w:adjustRightIn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1</w:t>
            </w:r>
          </w:p>
        </w:tc>
        <w:tc>
          <w:tcPr>
            <w:tcW w:w="730" w:type="dxa"/>
            <w:vAlign w:val="center"/>
          </w:tcPr>
          <w:p>
            <w:pPr>
              <w:autoSpaceDE w:val="0"/>
              <w:autoSpaceDN w:val="0"/>
              <w:adjustRightInd w:val="0"/>
              <w:spacing w:line="360" w:lineRule="auto"/>
              <w:jc w:val="center"/>
              <w:rPr>
                <w:rFonts w:hint="eastAsia" w:ascii="仿宋" w:hAnsi="仿宋" w:eastAsia="仿宋" w:cs="仿宋"/>
                <w:b/>
                <w:bCs/>
                <w:kern w:val="0"/>
                <w:sz w:val="24"/>
                <w:szCs w:val="24"/>
              </w:rPr>
            </w:pPr>
            <w:r>
              <w:rPr>
                <w:rFonts w:hint="eastAsia" w:ascii="仿宋" w:hAnsi="仿宋" w:eastAsia="仿宋" w:cs="仿宋"/>
                <w:bCs/>
                <w:kern w:val="0"/>
                <w:sz w:val="24"/>
                <w:szCs w:val="24"/>
              </w:rPr>
              <w:t>高覆盖度全代谢组</w:t>
            </w:r>
          </w:p>
        </w:tc>
        <w:tc>
          <w:tcPr>
            <w:tcW w:w="7321" w:type="dxa"/>
            <w:vAlign w:val="center"/>
          </w:tcPr>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1.为减少长时间检测，由仪器波动带来的检测差异，单个样本的检测时间小于20min（POS+NEG）；</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2.MS2匹配定性的物质数量需要大于1500个</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3.MS2物质定性时需要综合考量两种或以上算法的匹配结果</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4.样本中需要添加3种或以上同位素内标用于监控样本实时监测状态，批内QC样本间所有内标峰高差不大于30%；批内内标的保留时间漂移中位数不超过30s；批内内标峰面积RSD中位数不大于15%；</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5.样本间需要穿插空白样本用以监控检测中残留情况，所有空白样本中均无内标峰检出；</w:t>
            </w:r>
          </w:p>
          <w:p>
            <w:pPr>
              <w:autoSpaceDE w:val="0"/>
              <w:autoSpaceDN w:val="0"/>
              <w:adjustRightInd w:val="0"/>
              <w:spacing w:line="360" w:lineRule="auto"/>
              <w:jc w:val="left"/>
              <w:rPr>
                <w:rFonts w:hint="eastAsia" w:ascii="仿宋" w:hAnsi="仿宋" w:eastAsia="仿宋" w:cs="仿宋"/>
                <w:b/>
                <w:bCs/>
                <w:kern w:val="0"/>
                <w:sz w:val="24"/>
                <w:szCs w:val="24"/>
              </w:rPr>
            </w:pPr>
            <w:r>
              <w:rPr>
                <w:rFonts w:hint="eastAsia" w:ascii="仿宋" w:hAnsi="仿宋" w:eastAsia="仿宋" w:cs="仿宋"/>
                <w:kern w:val="0"/>
                <w:sz w:val="24"/>
                <w:szCs w:val="24"/>
              </w:rPr>
              <w:t>6.样本中需要穿插QC，QC在一维PCA中需要分布在±2STD以内；QC样本相关性不小于0.8；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730" w:type="dxa"/>
            <w:vAlign w:val="center"/>
          </w:tcPr>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宏基因组测序10G</w:t>
            </w:r>
          </w:p>
        </w:tc>
        <w:tc>
          <w:tcPr>
            <w:tcW w:w="7321" w:type="dxa"/>
          </w:tcPr>
          <w:p>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1.测序要求使用 Illumina NovaSeq 6000测序平台进行测序，测序读长为 2X150bp，所建文库为 350bp小片段文库， 测序质量 Q20≥ 95%、 Q30 ≥90%</w:t>
            </w:r>
          </w:p>
          <w:p>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2.基因预测及丰度分析： gene catalogue 基本信息统计；core-pan 基因分析；基因数目差异分析(组间基因数目差异箱图、 Venn 图/花瓣图)；基因数目的样品间相关性分析。</w:t>
            </w:r>
          </w:p>
          <w:p>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3.物种注释及统计： 物种相对丰度概况；注释基因数目及相对丰度聚类分析；基于物种丰度的降维分析；基于物种丰度的 Anosim 分析；基于物种丰度的样品聚类分析；组间差异物种的 Metastat 分析；组间差异物种的 LEfSe 分析。</w:t>
            </w:r>
          </w:p>
          <w:p>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4.常 用 功 能 数 据 库 注 释 ：KEGG、 eggNOG、 CAZy； 注释基因数目分析； 功能相对丰度概况；功能相对丰度聚类分析；基于功能丰度的降维分析；基于功能丰度的Anosim 分析； 基于功能丰度的样品聚类分析； 代谢通路比较分析： 代谢通路比较分析、 代谢通路注释基因数。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730" w:type="dxa"/>
            <w:vAlign w:val="center"/>
          </w:tcPr>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转录组测序6G</w:t>
            </w:r>
          </w:p>
        </w:tc>
        <w:tc>
          <w:tcPr>
            <w:tcW w:w="7321" w:type="dxa"/>
          </w:tcPr>
          <w:p>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1.测序要求使用 Illumina NovaSeq 6000测序平台进行测序；</w:t>
            </w:r>
          </w:p>
          <w:p>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2．数据质控：测序片段被高通量测序仪测得的图像数据经CASAVA 碱基识别转化为序列数据（reads），对原始数据进行过滤。主要包括去除带接头(adapter)的reads、去除含N(N 表示无法确定碱基信息)的reads、去除低质量reads。同时，对clean data 进行Q20，Q30 和GC 含量计算。后续所有分析均是基于clean data进行的高质量分析；</w:t>
            </w:r>
          </w:p>
          <w:p>
            <w:pPr>
              <w:autoSpaceDE w:val="0"/>
              <w:autoSpaceDN w:val="0"/>
              <w:adjustRightIn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3.基因表达水平定量；差异表达分析；差异基因富集分析，基于KEGG GO数据库进行差异基因功能注释；差异基因蛋白网络互作分析，基于STRING 数据库对已知和预测蛋白质-蛋白质相互作用的；可变剪切分析、SNP分析等。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4" w:type="dxa"/>
            <w:vAlign w:val="center"/>
          </w:tcPr>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730" w:type="dxa"/>
            <w:vAlign w:val="center"/>
          </w:tcPr>
          <w:p>
            <w:pPr>
              <w:autoSpaceDE w:val="0"/>
              <w:autoSpaceDN w:val="0"/>
              <w:adjustRightInd w:val="0"/>
              <w:spacing w:line="360" w:lineRule="auto"/>
              <w:jc w:val="center"/>
              <w:rPr>
                <w:rFonts w:hint="eastAsia" w:ascii="仿宋" w:hAnsi="仿宋" w:eastAsia="仿宋" w:cs="仿宋"/>
                <w:kern w:val="0"/>
                <w:sz w:val="24"/>
                <w:szCs w:val="24"/>
              </w:rPr>
            </w:pPr>
            <w:r>
              <w:rPr>
                <w:rFonts w:hint="eastAsia" w:ascii="仿宋" w:hAnsi="仿宋" w:eastAsia="仿宋" w:cs="仿宋"/>
                <w:bCs/>
                <w:kern w:val="0"/>
                <w:sz w:val="24"/>
                <w:szCs w:val="24"/>
              </w:rPr>
              <w:t>全定量代谢组学</w:t>
            </w:r>
          </w:p>
        </w:tc>
        <w:tc>
          <w:tcPr>
            <w:tcW w:w="7321" w:type="dxa"/>
            <w:vAlign w:val="center"/>
          </w:tcPr>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1.实验使用的MRM靶向检测方法所包含的物质数量应不少于500种，血浆样本最终检测结果应保证不低于300种；</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2.所有物质需全部提供绝对定量结果，并提供每个物质对应的标准曲线；</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MRM方法中所涉及的物质种类应至少包含以下种类：氨基酸及其衍生物、核苷酸及其衍生物、亚磺酸及其衍生物、吡啶及其衍生物、酚类、哌啶类、有机硫酸及其衍生物、有机磺酸及其衍生物、有机磷酸及其衍生物、有机碳酸及其衍生物、酮酸及其衍生物、吲哚及其衍生物、羟基酸及其衍生物、脂肪酰类、肉桂酸及其衍生物、羧酸及其衍生物、羧酰亚胺酸及其衍生物、苯和取代衍生物、唑烷类；</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MRM方法中所涉及的代谢通路应至少包含以下通路：嘧啶代谢通路、精氨酸合成代谢通路、缬氨酸、亮氨酸和异亮氨酸合成代谢、甘氨酸、丝氨酸和苏氨酸代谢、嘌呤代谢、丙氨酸、天冬氨酸和谷氨酸代谢、柠檬酸循环（TCA 循环）、精氨酸和脯氨酸代谢、乙醛酸和二羧酸代谢、组氨酸代谢、苯丙氨酸、酪氨酸和色氨酸合成代谢、烟酸和烟酰胺代谢、氨酰-tRNA合成代谢、酮体的合成与降解、半胱氨酸和蛋氨酸代谢、牛磺酸和亚牛磺酸代谢、抗坏血酸和醛糖酸盐代谢、泛酸和辅酶A合成代谢、酪氨酸代谢、缬氨酸、亮氨酸和异亮氨酸降解、色氨酸代谢、氨基糖和核苷酸糖代谢、叶酸生物合成、赖氨酸降解、戊糖和葡萄糖醛酸的转化途径、甘油脂代谢、果糖和甘露糖代谢、类固醇生物合成、初级胆汁酸生物合成、花生四烯酸代谢、类固醇激素生物合成、脂肪酸合成代谢、脂肪酸延长代谢。</w:t>
            </w:r>
          </w:p>
        </w:tc>
      </w:tr>
    </w:tbl>
    <w:p>
      <w:pPr>
        <w:spacing w:line="360" w:lineRule="auto"/>
        <w:rPr>
          <w:b/>
          <w:bCs/>
          <w:sz w:val="24"/>
          <w:szCs w:val="24"/>
        </w:rPr>
      </w:pPr>
    </w:p>
    <w:p>
      <w:pPr>
        <w:pStyle w:val="35"/>
        <w:ind w:left="0" w:leftChars="0" w:firstLine="0" w:firstLineChars="0"/>
        <w:rPr>
          <w:rFonts w:hint="default" w:eastAsia="宋体"/>
          <w:lang w:val="en-US" w:eastAsia="zh-CN"/>
        </w:rPr>
      </w:pPr>
    </w:p>
    <w:p>
      <w:pPr>
        <w:rPr>
          <w:rFonts w:hint="eastAsia"/>
          <w:lang w:val="en-US" w:eastAsia="zh-CN"/>
        </w:rPr>
      </w:pPr>
    </w:p>
    <w:p>
      <w:pPr>
        <w:pStyle w:val="4"/>
        <w:pageBreakBefore w:val="0"/>
        <w:numPr>
          <w:ilvl w:val="0"/>
          <w:numId w:val="0"/>
        </w:numPr>
        <w:kinsoku/>
        <w:overflowPunct/>
        <w:topLinePunct w:val="0"/>
        <w:bidi w:val="0"/>
        <w:snapToGrid/>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9" w:name="_Toc23109"/>
      <w:bookmarkStart w:id="270" w:name="_Toc15105"/>
      <w:bookmarkStart w:id="271" w:name="_Toc1787"/>
      <w:r>
        <w:rPr>
          <w:rFonts w:hint="eastAsia" w:ascii="仿宋" w:hAnsi="仿宋" w:eastAsia="仿宋" w:cs="仿宋"/>
          <w:b/>
          <w:bCs w:val="0"/>
          <w:sz w:val="28"/>
          <w:szCs w:val="28"/>
          <w:highlight w:val="none"/>
        </w:rPr>
        <w:t>第六部分  附件</w:t>
      </w:r>
      <w:bookmarkEnd w:id="262"/>
      <w:bookmarkEnd w:id="263"/>
      <w:bookmarkEnd w:id="269"/>
      <w:bookmarkEnd w:id="270"/>
      <w:bookmarkEnd w:id="27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72" w:name="_Toc7894"/>
      <w:bookmarkStart w:id="273" w:name="_Toc13636"/>
      <w:bookmarkStart w:id="274" w:name="_Toc356491342"/>
      <w:bookmarkStart w:id="275" w:name="_Toc1537"/>
      <w:bookmarkStart w:id="276" w:name="_Toc356490394"/>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72"/>
      <w:bookmarkEnd w:id="273"/>
      <w:bookmarkEnd w:id="274"/>
      <w:bookmarkEnd w:id="275"/>
      <w:bookmarkEnd w:id="276"/>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77" w:name="_Toc323130135"/>
      <w:bookmarkStart w:id="278" w:name="_Toc323129568"/>
      <w:bookmarkStart w:id="279" w:name="_Toc356491343"/>
      <w:bookmarkStart w:id="280" w:name="_Toc19377"/>
      <w:bookmarkStart w:id="281" w:name="_Toc2051"/>
      <w:bookmarkStart w:id="282" w:name="_Toc7221"/>
      <w:bookmarkStart w:id="283" w:name="_Toc325620729"/>
      <w:r>
        <w:rPr>
          <w:rFonts w:hint="eastAsia" w:ascii="仿宋" w:hAnsi="仿宋" w:eastAsia="仿宋" w:cs="仿宋"/>
          <w:sz w:val="28"/>
          <w:szCs w:val="28"/>
          <w:highlight w:val="none"/>
        </w:rPr>
        <w:t>附件二</w:t>
      </w:r>
      <w:bookmarkEnd w:id="277"/>
      <w:bookmarkEnd w:id="278"/>
      <w:r>
        <w:rPr>
          <w:rFonts w:hint="eastAsia" w:ascii="仿宋" w:hAnsi="仿宋" w:eastAsia="仿宋" w:cs="仿宋"/>
          <w:sz w:val="28"/>
          <w:szCs w:val="28"/>
          <w:highlight w:val="none"/>
        </w:rPr>
        <w:t>：法定代表人授权委托书</w:t>
      </w:r>
      <w:bookmarkEnd w:id="279"/>
      <w:bookmarkEnd w:id="280"/>
      <w:bookmarkEnd w:id="281"/>
      <w:bookmarkEnd w:id="282"/>
      <w:bookmarkEnd w:id="28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4"/>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284" w:name="_Toc11320305"/>
      <w:bookmarkStart w:id="285" w:name="_Toc323129569"/>
      <w:bookmarkStart w:id="286" w:name="_Toc323130136"/>
      <w:bookmarkStart w:id="287" w:name="_Toc356490395"/>
      <w:bookmarkStart w:id="288" w:name="_Toc325620730"/>
      <w:bookmarkStart w:id="289" w:name="_Toc356491344"/>
    </w:p>
    <w:p>
      <w:pPr>
        <w:pStyle w:val="14"/>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sz w:val="28"/>
          <w:szCs w:val="28"/>
          <w:highlight w:val="none"/>
        </w:rPr>
      </w:pPr>
      <w:bookmarkStart w:id="290" w:name="_Toc22936"/>
      <w:bookmarkStart w:id="291" w:name="_Toc24885"/>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84"/>
      <w:bookmarkEnd w:id="290"/>
      <w:bookmarkEnd w:id="291"/>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4"/>
        <w:pageBreakBefore w:val="0"/>
        <w:kinsoku/>
        <w:overflowPunct/>
        <w:topLinePunct w:val="0"/>
        <w:bidi w:val="0"/>
        <w:snapToGrid/>
        <w:spacing w:line="360" w:lineRule="auto"/>
        <w:rPr>
          <w:rFonts w:hint="eastAsia" w:ascii="仿宋" w:hAnsi="仿宋" w:eastAsia="仿宋" w:cs="仿宋"/>
          <w:b/>
          <w:sz w:val="28"/>
          <w:szCs w:val="28"/>
          <w:highlight w:val="none"/>
        </w:rPr>
      </w:pPr>
      <w:r>
        <w:rPr>
          <w:rFonts w:hint="eastAsia" w:ascii="仿宋" w:hAnsi="仿宋" w:eastAsia="仿宋" w:cs="仿宋"/>
          <w:b w:val="0"/>
          <w:bCs w:val="0"/>
          <w:kern w:val="2"/>
          <w:sz w:val="28"/>
          <w:szCs w:val="28"/>
          <w:highlight w:val="none"/>
        </w:rPr>
        <w:br w:type="page"/>
      </w:r>
      <w:bookmarkStart w:id="292" w:name="_Toc9736"/>
      <w:bookmarkStart w:id="293" w:name="_Toc25251"/>
      <w:bookmarkStart w:id="294" w:name="_Toc3372"/>
      <w:r>
        <w:rPr>
          <w:rFonts w:hint="eastAsia" w:ascii="仿宋" w:hAnsi="仿宋" w:eastAsia="仿宋" w:cs="仿宋"/>
          <w:sz w:val="28"/>
          <w:szCs w:val="28"/>
          <w:highlight w:val="none"/>
        </w:rPr>
        <w:t>附件</w:t>
      </w:r>
      <w:bookmarkEnd w:id="285"/>
      <w:bookmarkEnd w:id="286"/>
      <w:r>
        <w:rPr>
          <w:rFonts w:hint="eastAsia" w:ascii="仿宋" w:hAnsi="仿宋" w:eastAsia="仿宋" w:cs="仿宋"/>
          <w:sz w:val="28"/>
          <w:szCs w:val="28"/>
          <w:highlight w:val="none"/>
        </w:rPr>
        <w:t>四：报  价 一 览 表</w:t>
      </w:r>
      <w:bookmarkEnd w:id="287"/>
      <w:bookmarkEnd w:id="288"/>
      <w:bookmarkEnd w:id="289"/>
      <w:bookmarkEnd w:id="292"/>
      <w:bookmarkEnd w:id="293"/>
      <w:bookmarkEnd w:id="294"/>
    </w:p>
    <w:p>
      <w:pPr>
        <w:pStyle w:val="14"/>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highlight w:val="none"/>
        </w:rPr>
      </w:pPr>
      <w:r>
        <w:rPr>
          <w:rFonts w:hint="eastAsia" w:ascii="仿宋" w:hAnsi="仿宋" w:eastAsia="仿宋" w:cs="仿宋"/>
          <w:bCs w:val="0"/>
          <w:sz w:val="28"/>
          <w:szCs w:val="28"/>
          <w:highlight w:val="none"/>
        </w:rPr>
        <w:t>投标人名称（公章）：   法定代表人或授权代理人签字：</w:t>
      </w:r>
      <w:r>
        <w:rPr>
          <w:rFonts w:hint="eastAsia" w:ascii="仿宋" w:hAnsi="仿宋" w:eastAsia="仿宋" w:cs="仿宋"/>
          <w:b/>
          <w:highlight w:val="none"/>
        </w:rPr>
        <w:t xml:space="preserve">                                            </w:t>
      </w:r>
    </w:p>
    <w:tbl>
      <w:tblPr>
        <w:tblStyle w:val="3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项目名称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总报价</w:t>
            </w:r>
          </w:p>
        </w:tc>
        <w:tc>
          <w:tcPr>
            <w:tcW w:w="6365" w:type="dxa"/>
            <w:vAlign w:val="center"/>
          </w:tcPr>
          <w:p>
            <w:pPr>
              <w:spacing w:line="4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总报价：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服务期</w:t>
            </w:r>
          </w:p>
        </w:tc>
        <w:tc>
          <w:tcPr>
            <w:tcW w:w="6365" w:type="dxa"/>
            <w:vAlign w:val="center"/>
          </w:tcPr>
          <w:p>
            <w:pPr>
              <w:spacing w:line="48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供应商对</w:t>
            </w:r>
            <w:r>
              <w:rPr>
                <w:rFonts w:hint="eastAsia" w:ascii="仿宋" w:hAnsi="仿宋" w:eastAsia="仿宋" w:cs="仿宋"/>
                <w:bCs/>
                <w:sz w:val="24"/>
                <w:highlight w:val="none"/>
                <w:lang w:eastAsia="zh-CN"/>
              </w:rPr>
              <w:t>招标文件</w:t>
            </w:r>
            <w:r>
              <w:rPr>
                <w:rFonts w:hint="eastAsia" w:ascii="仿宋" w:hAnsi="仿宋" w:eastAsia="仿宋" w:cs="仿宋"/>
                <w:bCs/>
                <w:sz w:val="24"/>
                <w:highlight w:val="none"/>
              </w:rPr>
              <w:t>的</w:t>
            </w:r>
          </w:p>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认同情况</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6365" w:type="dxa"/>
            <w:vAlign w:val="center"/>
          </w:tcPr>
          <w:p>
            <w:pPr>
              <w:spacing w:line="480" w:lineRule="exact"/>
              <w:rPr>
                <w:rFonts w:hint="eastAsia" w:ascii="仿宋" w:hAnsi="仿宋" w:eastAsia="仿宋" w:cs="仿宋"/>
                <w:bCs/>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执行过程中产生的一切费用</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295" w:name="_Toc323129570"/>
      <w:bookmarkStart w:id="296" w:name="_Toc323130137"/>
      <w:bookmarkStart w:id="297" w:name="_Toc356491345"/>
      <w:bookmarkStart w:id="298" w:name="_Toc24894"/>
      <w:bookmarkStart w:id="299" w:name="_Toc5119"/>
      <w:bookmarkStart w:id="300" w:name="_Toc325620731"/>
      <w:bookmarkStart w:id="301" w:name="_Toc356490396"/>
      <w:bookmarkStart w:id="302" w:name="_Toc5563"/>
      <w:r>
        <w:rPr>
          <w:rFonts w:hint="eastAsia" w:ascii="仿宋" w:hAnsi="仿宋" w:eastAsia="仿宋" w:cs="仿宋"/>
          <w:sz w:val="28"/>
          <w:szCs w:val="28"/>
          <w:highlight w:val="none"/>
        </w:rPr>
        <w:t>附件</w:t>
      </w:r>
      <w:bookmarkEnd w:id="295"/>
      <w:bookmarkEnd w:id="296"/>
      <w:r>
        <w:rPr>
          <w:rFonts w:hint="eastAsia" w:ascii="仿宋" w:hAnsi="仿宋" w:eastAsia="仿宋" w:cs="仿宋"/>
          <w:sz w:val="28"/>
          <w:szCs w:val="28"/>
          <w:highlight w:val="none"/>
        </w:rPr>
        <w:t>五：</w:t>
      </w:r>
      <w:bookmarkEnd w:id="297"/>
      <w:bookmarkEnd w:id="298"/>
      <w:bookmarkEnd w:id="299"/>
      <w:bookmarkEnd w:id="300"/>
      <w:bookmarkEnd w:id="301"/>
      <w:r>
        <w:rPr>
          <w:rFonts w:hint="eastAsia" w:ascii="仿宋" w:hAnsi="仿宋" w:eastAsia="仿宋" w:cs="仿宋"/>
          <w:sz w:val="28"/>
          <w:szCs w:val="28"/>
          <w:highlight w:val="none"/>
          <w:lang w:val="en-US" w:eastAsia="zh-CN"/>
        </w:rPr>
        <w:t>报价明细表</w:t>
      </w:r>
      <w:bookmarkEnd w:id="302"/>
    </w:p>
    <w:p>
      <w:pPr>
        <w:pStyle w:val="14"/>
        <w:spacing w:after="0" w:line="480" w:lineRule="exact"/>
        <w:jc w:val="center"/>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报价明细表</w:t>
      </w:r>
    </w:p>
    <w:p>
      <w:pPr>
        <w:tabs>
          <w:tab w:val="left" w:pos="1785"/>
        </w:tabs>
        <w:spacing w:line="480" w:lineRule="exact"/>
        <w:rPr>
          <w:rFonts w:hint="eastAsia" w:ascii="仿宋" w:hAnsi="仿宋" w:eastAsia="仿宋" w:cs="仿宋"/>
          <w:b/>
          <w:sz w:val="24"/>
          <w:highlight w:val="none"/>
        </w:rPr>
      </w:pPr>
      <w:r>
        <w:rPr>
          <w:rFonts w:hint="eastAsia" w:ascii="仿宋" w:hAnsi="仿宋" w:eastAsia="仿宋" w:cs="仿宋"/>
          <w:b/>
          <w:sz w:val="24"/>
          <w:highlight w:val="none"/>
        </w:rPr>
        <w:t xml:space="preserve">项目名称 :                                                                                      </w:t>
      </w:r>
    </w:p>
    <w:tbl>
      <w:tblPr>
        <w:tblStyle w:val="36"/>
        <w:tblW w:w="98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1"/>
        <w:gridCol w:w="1577"/>
        <w:gridCol w:w="3412"/>
        <w:gridCol w:w="945"/>
        <w:gridCol w:w="887"/>
        <w:gridCol w:w="952"/>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1091"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577"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3412" w:type="dxa"/>
            <w:tcBorders>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技术参数</w:t>
            </w:r>
          </w:p>
        </w:tc>
        <w:tc>
          <w:tcPr>
            <w:tcW w:w="945" w:type="dxa"/>
            <w:tcBorders>
              <w:left w:val="single" w:color="auto" w:sz="4" w:space="0"/>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887" w:type="dxa"/>
            <w:tcBorders>
              <w:lef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952" w:type="dxa"/>
            <w:tcBorders>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合计（元）</w:t>
            </w:r>
          </w:p>
        </w:tc>
        <w:tc>
          <w:tcPr>
            <w:tcW w:w="941" w:type="dxa"/>
            <w:tcBorders>
              <w:lef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服务</w:t>
            </w:r>
            <w:r>
              <w:rPr>
                <w:rFonts w:hint="eastAsia" w:ascii="仿宋" w:hAnsi="仿宋" w:eastAsia="仿宋" w:cs="仿宋"/>
                <w:sz w:val="24"/>
                <w:szCs w:val="24"/>
                <w:lang w:val="zh-CN"/>
              </w:rPr>
              <w:t>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77" w:type="dxa"/>
          </w:tcPr>
          <w:p>
            <w:pPr>
              <w:autoSpaceDE w:val="0"/>
              <w:autoSpaceDN w:val="0"/>
              <w:adjustRightInd w:val="0"/>
              <w:spacing w:line="440" w:lineRule="exact"/>
              <w:rPr>
                <w:rFonts w:hint="eastAsia" w:ascii="仿宋" w:hAnsi="仿宋" w:eastAsia="仿宋" w:cs="仿宋"/>
                <w:sz w:val="24"/>
                <w:szCs w:val="24"/>
              </w:rPr>
            </w:pPr>
          </w:p>
        </w:tc>
        <w:tc>
          <w:tcPr>
            <w:tcW w:w="341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5"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77" w:type="dxa"/>
          </w:tcPr>
          <w:p>
            <w:pPr>
              <w:autoSpaceDE w:val="0"/>
              <w:autoSpaceDN w:val="0"/>
              <w:adjustRightInd w:val="0"/>
              <w:spacing w:line="440" w:lineRule="exact"/>
              <w:rPr>
                <w:rFonts w:hint="eastAsia" w:ascii="仿宋" w:hAnsi="仿宋" w:eastAsia="仿宋" w:cs="仿宋"/>
                <w:sz w:val="24"/>
                <w:szCs w:val="24"/>
              </w:rPr>
            </w:pPr>
          </w:p>
        </w:tc>
        <w:tc>
          <w:tcPr>
            <w:tcW w:w="341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5"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77" w:type="dxa"/>
          </w:tcPr>
          <w:p>
            <w:pPr>
              <w:autoSpaceDE w:val="0"/>
              <w:autoSpaceDN w:val="0"/>
              <w:adjustRightInd w:val="0"/>
              <w:spacing w:line="440" w:lineRule="exact"/>
              <w:rPr>
                <w:rFonts w:hint="eastAsia" w:ascii="仿宋" w:hAnsi="仿宋" w:eastAsia="仿宋" w:cs="仿宋"/>
                <w:sz w:val="24"/>
                <w:szCs w:val="24"/>
              </w:rPr>
            </w:pPr>
          </w:p>
        </w:tc>
        <w:tc>
          <w:tcPr>
            <w:tcW w:w="341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5"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p>
        </w:tc>
        <w:tc>
          <w:tcPr>
            <w:tcW w:w="1577" w:type="dxa"/>
            <w:vAlign w:val="center"/>
          </w:tcPr>
          <w:p>
            <w:pPr>
              <w:pStyle w:val="113"/>
              <w:spacing w:line="440" w:lineRule="exact"/>
              <w:rPr>
                <w:rFonts w:hint="eastAsia" w:ascii="仿宋" w:hAnsi="仿宋" w:eastAsia="仿宋" w:cs="仿宋"/>
                <w:szCs w:val="24"/>
                <w:lang w:val="zh-CN"/>
              </w:rPr>
            </w:pPr>
            <w:r>
              <w:rPr>
                <w:rFonts w:hint="eastAsia" w:ascii="仿宋" w:hAnsi="仿宋" w:eastAsia="仿宋" w:cs="仿宋"/>
                <w:szCs w:val="24"/>
                <w:lang w:val="zh-CN"/>
              </w:rPr>
              <w:t>……</w:t>
            </w:r>
          </w:p>
        </w:tc>
        <w:tc>
          <w:tcPr>
            <w:tcW w:w="341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5" w:type="dxa"/>
            <w:tcBorders>
              <w:left w:val="single" w:color="auto" w:sz="4" w:space="0"/>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887"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2668" w:type="dxa"/>
            <w:gridSpan w:val="2"/>
            <w:vAlign w:val="center"/>
          </w:tcPr>
          <w:p>
            <w:pPr>
              <w:pStyle w:val="113"/>
              <w:spacing w:line="440" w:lineRule="exact"/>
              <w:rPr>
                <w:rFonts w:hint="eastAsia" w:ascii="仿宋" w:hAnsi="仿宋" w:eastAsia="仿宋" w:cs="仿宋"/>
                <w:szCs w:val="24"/>
                <w:lang w:val="zh-CN"/>
              </w:rPr>
            </w:pPr>
            <w:r>
              <w:rPr>
                <w:rFonts w:hint="eastAsia" w:ascii="仿宋" w:hAnsi="仿宋" w:eastAsia="仿宋" w:cs="仿宋"/>
                <w:szCs w:val="24"/>
                <w:lang w:val="zh-CN"/>
              </w:rPr>
              <w:t>合计总报价（元）</w:t>
            </w:r>
          </w:p>
        </w:tc>
        <w:tc>
          <w:tcPr>
            <w:tcW w:w="7137" w:type="dxa"/>
            <w:gridSpan w:val="5"/>
          </w:tcPr>
          <w:p>
            <w:pPr>
              <w:autoSpaceDE w:val="0"/>
              <w:autoSpaceDN w:val="0"/>
              <w:adjustRightInd w:val="0"/>
              <w:spacing w:line="440" w:lineRule="exact"/>
              <w:rPr>
                <w:rFonts w:hint="eastAsia" w:ascii="仿宋" w:hAnsi="仿宋" w:eastAsia="仿宋" w:cs="仿宋"/>
                <w:sz w:val="24"/>
                <w:szCs w:val="24"/>
              </w:rPr>
            </w:pPr>
          </w:p>
        </w:tc>
      </w:tr>
    </w:tbl>
    <w:p>
      <w:pPr>
        <w:tabs>
          <w:tab w:val="left" w:pos="1785"/>
        </w:tabs>
        <w:spacing w:line="48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供应商名称（盖章）：</w:t>
      </w: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授权代表（签字或盖章）：</w:t>
      </w:r>
    </w:p>
    <w:p>
      <w:pPr>
        <w:pStyle w:val="141"/>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303" w:name="_Toc323129572"/>
      <w:bookmarkStart w:id="304" w:name="_Toc323130139"/>
      <w:bookmarkStart w:id="305" w:name="_Toc325620733"/>
      <w:bookmarkStart w:id="306" w:name="_Toc31486"/>
      <w:bookmarkStart w:id="307" w:name="_Toc356490397"/>
      <w:bookmarkStart w:id="308" w:name="_Toc1344"/>
      <w:bookmarkStart w:id="309" w:name="_Toc21772"/>
      <w:bookmarkStart w:id="310" w:name="_Toc356491346"/>
      <w:r>
        <w:rPr>
          <w:rFonts w:hint="eastAsia" w:ascii="仿宋" w:hAnsi="仿宋" w:eastAsia="仿宋" w:cs="仿宋"/>
          <w:sz w:val="28"/>
          <w:szCs w:val="28"/>
          <w:highlight w:val="none"/>
        </w:rPr>
        <w:t>附件</w:t>
      </w:r>
      <w:bookmarkEnd w:id="303"/>
      <w:bookmarkEnd w:id="304"/>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：投 标 偏 离 表</w:t>
      </w:r>
      <w:bookmarkEnd w:id="305"/>
      <w:bookmarkEnd w:id="306"/>
      <w:bookmarkEnd w:id="307"/>
      <w:bookmarkEnd w:id="308"/>
      <w:bookmarkEnd w:id="309"/>
      <w:bookmarkEnd w:id="310"/>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311" w:name="_Toc356491029"/>
      <w:bookmarkStart w:id="312" w:name="_Toc357793072"/>
      <w:bookmarkStart w:id="313" w:name="_Toc356491347"/>
      <w:bookmarkStart w:id="314" w:name="_Toc362625957"/>
      <w:bookmarkStart w:id="315" w:name="_Toc415058612"/>
      <w:bookmarkStart w:id="316" w:name="_Toc375561669"/>
      <w:r>
        <w:rPr>
          <w:rFonts w:hint="eastAsia" w:ascii="仿宋" w:hAnsi="仿宋" w:eastAsia="仿宋" w:cs="仿宋"/>
          <w:b/>
          <w:sz w:val="28"/>
          <w:szCs w:val="28"/>
          <w:highlight w:val="none"/>
        </w:rPr>
        <w:t>投  标 偏 离 表</w:t>
      </w:r>
      <w:bookmarkEnd w:id="311"/>
      <w:bookmarkEnd w:id="312"/>
      <w:bookmarkEnd w:id="313"/>
      <w:bookmarkEnd w:id="314"/>
      <w:bookmarkEnd w:id="315"/>
      <w:bookmarkEnd w:id="316"/>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投标人名称：（公章）法定代表人或授权代理人签字：</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57"/>
        <w:gridCol w:w="1853"/>
        <w:gridCol w:w="1782"/>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853"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78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317" w:name="_Toc12990"/>
      <w:bookmarkStart w:id="318" w:name="_Toc10566"/>
      <w:bookmarkStart w:id="319" w:name="_Toc8578"/>
      <w:bookmarkStart w:id="320" w:name="_Toc323129573"/>
      <w:bookmarkStart w:id="321" w:name="_Toc7098148"/>
      <w:bookmarkStart w:id="322" w:name="_Toc356491348"/>
      <w:bookmarkStart w:id="323" w:name="_Toc323130140"/>
      <w:bookmarkStart w:id="324" w:name="_Toc325620734"/>
      <w:bookmarkStart w:id="325" w:name="_Toc356490398"/>
      <w:bookmarkStart w:id="326" w:name="_Toc6566"/>
      <w:bookmarkStart w:id="327" w:name="_Toc525996982"/>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bookmarkEnd w:id="317"/>
      <w:bookmarkEnd w:id="318"/>
      <w:r>
        <w:rPr>
          <w:rFonts w:hint="eastAsia" w:ascii="仿宋" w:hAnsi="仿宋" w:eastAsia="仿宋" w:cs="仿宋"/>
          <w:sz w:val="28"/>
          <w:szCs w:val="28"/>
          <w:highlight w:val="none"/>
          <w:lang w:val="en-US" w:eastAsia="zh-CN"/>
        </w:rPr>
        <w:t>拟投入本项目人员情况一览表</w:t>
      </w:r>
      <w:bookmarkEnd w:id="319"/>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拟投入本项目人员情况一览表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姓名</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所获得证书或资质</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说明：后附证书</w:t>
      </w:r>
      <w:r>
        <w:rPr>
          <w:rFonts w:hint="eastAsia" w:ascii="仿宋" w:hAnsi="仿宋" w:eastAsia="仿宋" w:cs="仿宋"/>
          <w:bCs w:val="0"/>
          <w:sz w:val="28"/>
          <w:szCs w:val="28"/>
          <w:highlight w:val="none"/>
          <w:lang w:val="en-US" w:eastAsia="zh-CN"/>
        </w:rPr>
        <w:t>或资质</w:t>
      </w:r>
      <w:r>
        <w:rPr>
          <w:rFonts w:hint="eastAsia" w:ascii="仿宋" w:hAnsi="仿宋" w:eastAsia="仿宋" w:cs="仿宋"/>
          <w:bCs w:val="0"/>
          <w:sz w:val="28"/>
          <w:szCs w:val="28"/>
          <w:highlight w:val="none"/>
        </w:rPr>
        <w:t>和社保缴纳证明</w:t>
      </w:r>
      <w:r>
        <w:rPr>
          <w:rFonts w:hint="eastAsia" w:ascii="仿宋" w:hAnsi="仿宋" w:eastAsia="仿宋" w:cs="仿宋"/>
          <w:bCs w:val="0"/>
          <w:sz w:val="28"/>
          <w:szCs w:val="28"/>
          <w:highlight w:val="none"/>
          <w:lang w:val="en-US" w:eastAsia="zh-CN"/>
        </w:rPr>
        <w:t>复印件</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u w:val="single"/>
        </w:rPr>
        <w:br w:type="page"/>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bookmarkStart w:id="328" w:name="_Toc30014"/>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拟投入本项目仪器设备情况一览表</w:t>
      </w:r>
      <w:bookmarkEnd w:id="328"/>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拟投入本项目仪器设备情况一览表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rPr>
            </w:pPr>
            <w:r>
              <w:rPr>
                <w:rFonts w:hint="eastAsia" w:ascii="仿宋" w:hAnsi="仿宋" w:eastAsia="仿宋" w:cs="仿宋"/>
                <w:bCs w:val="0"/>
                <w:sz w:val="28"/>
                <w:szCs w:val="28"/>
                <w:highlight w:val="none"/>
                <w:lang w:val="en-US" w:eastAsia="zh-CN"/>
              </w:rPr>
              <w:t>设备名称</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品牌</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规格型号</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w:t>
      </w:r>
      <w:r>
        <w:rPr>
          <w:rFonts w:hint="eastAsia" w:ascii="仿宋" w:hAnsi="仿宋" w:eastAsia="仿宋" w:cs="仿宋"/>
          <w:bCs w:val="0"/>
          <w:sz w:val="28"/>
          <w:szCs w:val="28"/>
          <w:highlight w:val="none"/>
          <w:lang w:val="en-US" w:eastAsia="zh-CN"/>
        </w:rPr>
        <w:t>设备照片及其他证明材料</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ind w:right="480"/>
        <w:jc w:val="right"/>
        <w:outlineLvl w:val="9"/>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bookmarkStart w:id="329" w:name="_Toc20069"/>
      <w:bookmarkStart w:id="330" w:name="_Toc24232"/>
    </w:p>
    <w:p>
      <w:pPr>
        <w:pStyle w:val="4"/>
        <w:pageBreakBefore w:val="0"/>
        <w:kinsoku/>
        <w:overflowPunct/>
        <w:topLinePunct w:val="0"/>
        <w:bidi w:val="0"/>
        <w:snapToGrid/>
        <w:spacing w:line="360" w:lineRule="auto"/>
        <w:ind w:right="480"/>
        <w:jc w:val="right"/>
        <w:rPr>
          <w:rFonts w:hint="eastAsia" w:ascii="仿宋" w:hAnsi="仿宋" w:eastAsia="仿宋" w:cs="仿宋"/>
          <w:bCs w:val="0"/>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29"/>
    <w:bookmarkEnd w:id="330"/>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1" w:name="_Toc3028"/>
      <w:bookmarkStart w:id="332" w:name="_Toc14828"/>
      <w:bookmarkStart w:id="333" w:name="_Toc1438"/>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w:t>
      </w:r>
      <w:bookmarkEnd w:id="331"/>
      <w:bookmarkEnd w:id="332"/>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bookmarkEnd w:id="333"/>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5"/>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20"/>
    <w:bookmarkEnd w:id="321"/>
    <w:bookmarkEnd w:id="322"/>
    <w:bookmarkEnd w:id="323"/>
    <w:bookmarkEnd w:id="324"/>
    <w:bookmarkEnd w:id="325"/>
    <w:bookmarkEnd w:id="326"/>
    <w:bookmarkEnd w:id="327"/>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34" w:name="_Toc19828"/>
      <w:bookmarkStart w:id="335" w:name="_Toc4839"/>
      <w:bookmarkStart w:id="336" w:name="_Toc16991"/>
      <w:bookmarkStart w:id="337" w:name="_Toc481499180"/>
      <w:bookmarkStart w:id="338" w:name="_Toc501386372"/>
      <w:bookmarkStart w:id="339" w:name="_Toc323129574"/>
      <w:bookmarkStart w:id="340" w:name="_Toc323130141"/>
      <w:bookmarkStart w:id="341" w:name="_Toc325620735"/>
      <w:bookmarkStart w:id="342" w:name="_Toc356490399"/>
      <w:bookmarkStart w:id="343" w:name="_Toc356491349"/>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政策功能体现</w:t>
      </w:r>
      <w:bookmarkEnd w:id="334"/>
      <w:bookmarkEnd w:id="335"/>
      <w:bookmarkEnd w:id="336"/>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5"/>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37"/>
    <w:bookmarkEnd w:id="338"/>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44" w:name="_Toc28370"/>
      <w:bookmarkStart w:id="345" w:name="_Toc15273"/>
      <w:bookmarkStart w:id="346" w:name="_Toc30721"/>
      <w:r>
        <w:rPr>
          <w:rFonts w:hint="eastAsia" w:ascii="仿宋" w:hAnsi="仿宋" w:eastAsia="仿宋" w:cs="仿宋"/>
          <w:sz w:val="28"/>
          <w:szCs w:val="28"/>
          <w:highlight w:val="none"/>
        </w:rPr>
        <w:t>附件</w:t>
      </w:r>
      <w:bookmarkEnd w:id="339"/>
      <w:bookmarkEnd w:id="340"/>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：封面格</w:t>
      </w:r>
      <w:bookmarkEnd w:id="341"/>
      <w:r>
        <w:rPr>
          <w:rFonts w:hint="eastAsia" w:ascii="仿宋" w:hAnsi="仿宋" w:eastAsia="仿宋" w:cs="仿宋"/>
          <w:sz w:val="28"/>
          <w:szCs w:val="28"/>
          <w:highlight w:val="none"/>
        </w:rPr>
        <w:t>式</w:t>
      </w:r>
      <w:bookmarkEnd w:id="342"/>
      <w:bookmarkEnd w:id="343"/>
      <w:bookmarkEnd w:id="344"/>
      <w:bookmarkEnd w:id="345"/>
      <w:bookmarkEnd w:id="346"/>
    </w:p>
    <w:tbl>
      <w:tblPr>
        <w:tblStyle w:val="36"/>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6"/>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5"/>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5"/>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4" w:type="first"/>
      <w:headerReference r:id="rId3" w:type="default"/>
      <w:footerReference r:id="rId5" w:type="default"/>
      <w:footerReference r:id="rId6"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0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3"/>
                      <w:ind w:right="360"/>
                      <w:jc w:val="both"/>
                    </w:pPr>
                    <w:r>
                      <w:fldChar w:fldCharType="begin"/>
                    </w:r>
                    <w:r>
                      <w:rPr>
                        <w:rStyle w:val="40"/>
                      </w:rPr>
                      <w:instrText xml:space="preserve"> PAGE </w:instrText>
                    </w:r>
                    <w:r>
                      <w:fldChar w:fldCharType="separate"/>
                    </w:r>
                    <w:r>
                      <w:rPr>
                        <w:rStyle w:val="40"/>
                      </w:rPr>
                      <w:t>53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0"/>
      </w:rPr>
    </w:pPr>
    <w:r>
      <w:fldChar w:fldCharType="begin"/>
    </w:r>
    <w:r>
      <w:rPr>
        <w:rStyle w:val="40"/>
      </w:rPr>
      <w:instrText xml:space="preserve">PAGE  </w:instrText>
    </w:r>
    <w:r>
      <w:fldChar w:fldCharType="separate"/>
    </w:r>
    <w:r>
      <w:rPr>
        <w:rStyle w:val="40"/>
      </w:rPr>
      <w:t>32</w: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56DAEAFB"/>
    <w:multiLevelType w:val="singleLevel"/>
    <w:tmpl w:val="56DAEAFB"/>
    <w:lvl w:ilvl="0" w:tentative="0">
      <w:start w:val="4"/>
      <w:numFmt w:val="chineseCounting"/>
      <w:suff w:val="nothing"/>
      <w:lvlText w:val="%1、"/>
      <w:lvlJc w:val="left"/>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3F84"/>
    <w:rsid w:val="03AD58A1"/>
    <w:rsid w:val="04614DE0"/>
    <w:rsid w:val="047D5273"/>
    <w:rsid w:val="04AE18D1"/>
    <w:rsid w:val="05121E5F"/>
    <w:rsid w:val="058A5E9A"/>
    <w:rsid w:val="06293905"/>
    <w:rsid w:val="06E40469"/>
    <w:rsid w:val="06E635A4"/>
    <w:rsid w:val="07767B70"/>
    <w:rsid w:val="09287EA3"/>
    <w:rsid w:val="09F242F0"/>
    <w:rsid w:val="0A32430B"/>
    <w:rsid w:val="0E56100F"/>
    <w:rsid w:val="0F0767AD"/>
    <w:rsid w:val="0F0D2DD4"/>
    <w:rsid w:val="10523A58"/>
    <w:rsid w:val="11A01078"/>
    <w:rsid w:val="1235718D"/>
    <w:rsid w:val="138E4DA7"/>
    <w:rsid w:val="13F13588"/>
    <w:rsid w:val="15013259"/>
    <w:rsid w:val="16EE31A4"/>
    <w:rsid w:val="17C3523B"/>
    <w:rsid w:val="1E0C793C"/>
    <w:rsid w:val="20016901"/>
    <w:rsid w:val="22407BB4"/>
    <w:rsid w:val="22CA3922"/>
    <w:rsid w:val="26213859"/>
    <w:rsid w:val="268F756E"/>
    <w:rsid w:val="26A56238"/>
    <w:rsid w:val="29695C42"/>
    <w:rsid w:val="2A5A57FB"/>
    <w:rsid w:val="30896BCA"/>
    <w:rsid w:val="31B639EF"/>
    <w:rsid w:val="3253123E"/>
    <w:rsid w:val="32F50547"/>
    <w:rsid w:val="33EF31E8"/>
    <w:rsid w:val="34317CEA"/>
    <w:rsid w:val="34F8431E"/>
    <w:rsid w:val="36EF2CB4"/>
    <w:rsid w:val="37D270A9"/>
    <w:rsid w:val="37F54B45"/>
    <w:rsid w:val="38E10CD9"/>
    <w:rsid w:val="3CC505A5"/>
    <w:rsid w:val="3E157CEF"/>
    <w:rsid w:val="3E8B7FB1"/>
    <w:rsid w:val="3FDF05B5"/>
    <w:rsid w:val="408A49C4"/>
    <w:rsid w:val="4162324B"/>
    <w:rsid w:val="42ED2FE9"/>
    <w:rsid w:val="42EF6D61"/>
    <w:rsid w:val="441C0554"/>
    <w:rsid w:val="44E403F6"/>
    <w:rsid w:val="451C7BB5"/>
    <w:rsid w:val="452A22D2"/>
    <w:rsid w:val="46AD3C25"/>
    <w:rsid w:val="46FA3F26"/>
    <w:rsid w:val="48C60564"/>
    <w:rsid w:val="48E94252"/>
    <w:rsid w:val="49CC797E"/>
    <w:rsid w:val="4A227A1C"/>
    <w:rsid w:val="4B571947"/>
    <w:rsid w:val="4BDE782F"/>
    <w:rsid w:val="538C5F06"/>
    <w:rsid w:val="5449029B"/>
    <w:rsid w:val="556E7FB9"/>
    <w:rsid w:val="557563E4"/>
    <w:rsid w:val="573174F0"/>
    <w:rsid w:val="58C6010C"/>
    <w:rsid w:val="594F0101"/>
    <w:rsid w:val="59D16D68"/>
    <w:rsid w:val="613C71BD"/>
    <w:rsid w:val="6397692D"/>
    <w:rsid w:val="64752C57"/>
    <w:rsid w:val="668D2269"/>
    <w:rsid w:val="68394457"/>
    <w:rsid w:val="68790CF7"/>
    <w:rsid w:val="695452C0"/>
    <w:rsid w:val="69FE7930"/>
    <w:rsid w:val="6CFB440E"/>
    <w:rsid w:val="6EFB0410"/>
    <w:rsid w:val="70161521"/>
    <w:rsid w:val="70EE7DA8"/>
    <w:rsid w:val="71882BA4"/>
    <w:rsid w:val="72C07522"/>
    <w:rsid w:val="739A5FC5"/>
    <w:rsid w:val="74AA048A"/>
    <w:rsid w:val="75020B54"/>
    <w:rsid w:val="75ED3F1E"/>
    <w:rsid w:val="76FD0D45"/>
    <w:rsid w:val="77F2017E"/>
    <w:rsid w:val="79256331"/>
    <w:rsid w:val="7956298E"/>
    <w:rsid w:val="7AA716F4"/>
    <w:rsid w:val="7AC8166A"/>
    <w:rsid w:val="7C773348"/>
    <w:rsid w:val="7CA0464C"/>
    <w:rsid w:val="7E123328"/>
    <w:rsid w:val="7E6B0C8A"/>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5"/>
    <w:qFormat/>
    <w:uiPriority w:val="0"/>
    <w:pPr>
      <w:keepNext/>
      <w:keepLines/>
      <w:spacing w:line="360" w:lineRule="auto"/>
      <w:jc w:val="center"/>
      <w:outlineLvl w:val="0"/>
    </w:pPr>
    <w:rPr>
      <w:b/>
      <w:kern w:val="44"/>
      <w:sz w:val="36"/>
      <w:szCs w:val="44"/>
    </w:rPr>
  </w:style>
  <w:style w:type="paragraph" w:styleId="4">
    <w:name w:val="heading 2"/>
    <w:basedOn w:val="1"/>
    <w:next w:val="1"/>
    <w:link w:val="68"/>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4"/>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6"/>
    <w:qFormat/>
    <w:uiPriority w:val="0"/>
    <w:pPr>
      <w:keepNext/>
      <w:keepLines/>
      <w:spacing w:before="280" w:after="290" w:line="376" w:lineRule="auto"/>
      <w:outlineLvl w:val="3"/>
    </w:pPr>
    <w:rPr>
      <w:rFonts w:ascii="Cambria" w:hAnsi="Cambria"/>
      <w:b/>
      <w:szCs w:val="28"/>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customStyle="1" w:styleId="2">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1"/>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2"/>
    <w:qFormat/>
    <w:uiPriority w:val="0"/>
    <w:pPr>
      <w:jc w:val="left"/>
    </w:pPr>
  </w:style>
  <w:style w:type="paragraph" w:styleId="14">
    <w:name w:val="Body Text"/>
    <w:basedOn w:val="1"/>
    <w:next w:val="1"/>
    <w:link w:val="48"/>
    <w:qFormat/>
    <w:uiPriority w:val="0"/>
    <w:rPr>
      <w:rFonts w:hAnsi="宋体"/>
      <w:sz w:val="32"/>
      <w:szCs w:val="20"/>
    </w:rPr>
  </w:style>
  <w:style w:type="paragraph" w:styleId="15">
    <w:name w:val="Body Text Indent"/>
    <w:basedOn w:val="1"/>
    <w:link w:val="49"/>
    <w:qFormat/>
    <w:uiPriority w:val="0"/>
    <w:pPr>
      <w:spacing w:line="480" w:lineRule="exact"/>
      <w:ind w:firstLine="538" w:firstLineChars="192"/>
      <w:jc w:val="left"/>
    </w:pPr>
    <w:rPr>
      <w:bCs w:val="0"/>
    </w:rPr>
  </w:style>
  <w:style w:type="paragraph" w:styleId="16">
    <w:name w:val="List 2"/>
    <w:basedOn w:val="1"/>
    <w:qFormat/>
    <w:uiPriority w:val="0"/>
    <w:pPr>
      <w:ind w:left="100" w:leftChars="200" w:hanging="200" w:hangingChars="200"/>
    </w:pPr>
    <w:rPr>
      <w:rFonts w:ascii="Times New Roman"/>
      <w:bCs w:val="0"/>
      <w:sz w:val="21"/>
    </w:rPr>
  </w:style>
  <w:style w:type="paragraph" w:styleId="17">
    <w:name w:val="index 4"/>
    <w:basedOn w:val="1"/>
    <w:next w:val="1"/>
    <w:qFormat/>
    <w:uiPriority w:val="0"/>
    <w:pPr>
      <w:ind w:left="428" w:firstLine="140"/>
    </w:pPr>
    <w:rPr>
      <w:rFonts w:eastAsia="华文仿宋"/>
      <w:sz w:val="28"/>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hAnsi="Courier New"/>
      <w:bCs w:val="0"/>
      <w:sz w:val="21"/>
      <w:szCs w:val="20"/>
    </w:rPr>
  </w:style>
  <w:style w:type="paragraph" w:styleId="20">
    <w:name w:val="Date"/>
    <w:basedOn w:val="1"/>
    <w:next w:val="1"/>
    <w:link w:val="64"/>
    <w:qFormat/>
    <w:uiPriority w:val="99"/>
    <w:pPr>
      <w:ind w:left="100" w:leftChars="2500"/>
    </w:pPr>
  </w:style>
  <w:style w:type="paragraph" w:styleId="21">
    <w:name w:val="Body Text Indent 2"/>
    <w:basedOn w:val="1"/>
    <w:link w:val="51"/>
    <w:qFormat/>
    <w:uiPriority w:val="0"/>
    <w:pPr>
      <w:spacing w:line="480" w:lineRule="exact"/>
      <w:ind w:firstLine="241" w:firstLineChars="100"/>
      <w:jc w:val="left"/>
    </w:pPr>
    <w:rPr>
      <w:rFonts w:ascii="黑体" w:hAnsi="宋体" w:eastAsia="黑体"/>
      <w:b/>
      <w:sz w:val="24"/>
    </w:rPr>
  </w:style>
  <w:style w:type="paragraph" w:styleId="22">
    <w:name w:val="Balloon Text"/>
    <w:basedOn w:val="1"/>
    <w:link w:val="75"/>
    <w:qFormat/>
    <w:uiPriority w:val="0"/>
    <w:rPr>
      <w:rFonts w:ascii="Times New Roman"/>
      <w:bCs w:val="0"/>
      <w:sz w:val="18"/>
      <w:szCs w:val="18"/>
    </w:rPr>
  </w:style>
  <w:style w:type="paragraph" w:styleId="23">
    <w:name w:val="footer"/>
    <w:basedOn w:val="1"/>
    <w:link w:val="62"/>
    <w:qFormat/>
    <w:uiPriority w:val="99"/>
    <w:pPr>
      <w:tabs>
        <w:tab w:val="center" w:pos="4153"/>
        <w:tab w:val="right" w:pos="8306"/>
      </w:tabs>
      <w:snapToGrid w:val="0"/>
      <w:jc w:val="left"/>
    </w:pPr>
    <w:rPr>
      <w:rFonts w:ascii="Times New Roman"/>
      <w:bCs w:val="0"/>
      <w:sz w:val="18"/>
      <w:szCs w:val="18"/>
    </w:rPr>
  </w:style>
  <w:style w:type="paragraph" w:styleId="24">
    <w:name w:val="header"/>
    <w:basedOn w:val="1"/>
    <w:link w:val="63"/>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5">
    <w:name w:val="toc 1"/>
    <w:basedOn w:val="1"/>
    <w:next w:val="1"/>
    <w:qFormat/>
    <w:uiPriority w:val="39"/>
  </w:style>
  <w:style w:type="paragraph" w:styleId="26">
    <w:name w:val="Subtitle"/>
    <w:basedOn w:val="1"/>
    <w:next w:val="1"/>
    <w:link w:val="76"/>
    <w:qFormat/>
    <w:uiPriority w:val="0"/>
    <w:pPr>
      <w:spacing w:before="240" w:after="60" w:line="312" w:lineRule="auto"/>
      <w:jc w:val="center"/>
      <w:outlineLvl w:val="1"/>
    </w:pPr>
    <w:rPr>
      <w:rFonts w:ascii="Cambria" w:hAnsi="Cambria"/>
      <w:b/>
      <w:kern w:val="28"/>
      <w:sz w:val="32"/>
      <w:szCs w:val="32"/>
    </w:rPr>
  </w:style>
  <w:style w:type="paragraph" w:styleId="27">
    <w:name w:val="List"/>
    <w:basedOn w:val="1"/>
    <w:qFormat/>
    <w:uiPriority w:val="0"/>
    <w:pPr>
      <w:ind w:left="200" w:hanging="200" w:hangingChars="200"/>
    </w:pPr>
    <w:rPr>
      <w:rFonts w:ascii="Times New Roman"/>
      <w:bCs w:val="0"/>
      <w:sz w:val="21"/>
    </w:rPr>
  </w:style>
  <w:style w:type="paragraph" w:styleId="28">
    <w:name w:val="Body Text Indent 3"/>
    <w:basedOn w:val="1"/>
    <w:link w:val="72"/>
    <w:qFormat/>
    <w:uiPriority w:val="0"/>
    <w:pPr>
      <w:spacing w:line="360" w:lineRule="auto"/>
      <w:ind w:firstLine="480" w:firstLineChars="200"/>
    </w:pPr>
    <w:rPr>
      <w:rFonts w:hAnsi="宋体"/>
      <w:bCs w:val="0"/>
      <w:sz w:val="24"/>
      <w:szCs w:val="20"/>
    </w:rPr>
  </w:style>
  <w:style w:type="paragraph" w:styleId="29">
    <w:name w:val="toc 2"/>
    <w:basedOn w:val="1"/>
    <w:next w:val="1"/>
    <w:qFormat/>
    <w:uiPriority w:val="39"/>
    <w:pPr>
      <w:tabs>
        <w:tab w:val="right" w:leader="dot" w:pos="8857"/>
      </w:tabs>
      <w:spacing w:line="360" w:lineRule="auto"/>
      <w:ind w:left="560" w:leftChars="200"/>
    </w:pPr>
  </w:style>
  <w:style w:type="paragraph" w:styleId="30">
    <w:name w:val="Body Text 2"/>
    <w:basedOn w:val="1"/>
    <w:link w:val="59"/>
    <w:qFormat/>
    <w:uiPriority w:val="0"/>
    <w:pPr>
      <w:spacing w:after="120" w:line="480" w:lineRule="auto"/>
    </w:pPr>
  </w:style>
  <w:style w:type="paragraph" w:styleId="31">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3">
    <w:name w:val="Title"/>
    <w:basedOn w:val="1"/>
    <w:next w:val="1"/>
    <w:link w:val="73"/>
    <w:qFormat/>
    <w:uiPriority w:val="0"/>
    <w:pPr>
      <w:spacing w:before="240" w:after="60"/>
      <w:jc w:val="left"/>
      <w:outlineLvl w:val="0"/>
    </w:pPr>
    <w:rPr>
      <w:rFonts w:ascii="Cambria" w:hAnsi="Cambria"/>
      <w:b/>
      <w:szCs w:val="32"/>
    </w:rPr>
  </w:style>
  <w:style w:type="paragraph" w:styleId="34">
    <w:name w:val="annotation subject"/>
    <w:basedOn w:val="13"/>
    <w:next w:val="13"/>
    <w:qFormat/>
    <w:uiPriority w:val="0"/>
    <w:rPr>
      <w:b/>
    </w:rPr>
  </w:style>
  <w:style w:type="paragraph" w:styleId="35">
    <w:name w:val="Body Text First Indent 2"/>
    <w:basedOn w:val="15"/>
    <w:qFormat/>
    <w:uiPriority w:val="99"/>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qFormat/>
    <w:uiPriority w:val="0"/>
  </w:style>
  <w:style w:type="character" w:styleId="43">
    <w:name w:val="line number"/>
    <w:basedOn w:val="38"/>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7">
    <w:name w:val="unnamed11"/>
    <w:qFormat/>
    <w:uiPriority w:val="0"/>
    <w:rPr>
      <w:spacing w:val="340"/>
      <w:sz w:val="18"/>
      <w:szCs w:val="18"/>
    </w:rPr>
  </w:style>
  <w:style w:type="character" w:customStyle="1" w:styleId="48">
    <w:name w:val="正文文本 Char"/>
    <w:link w:val="14"/>
    <w:qFormat/>
    <w:uiPriority w:val="0"/>
    <w:rPr>
      <w:rFonts w:ascii="宋体" w:hAnsi="宋体"/>
      <w:bCs/>
      <w:kern w:val="2"/>
      <w:sz w:val="32"/>
    </w:rPr>
  </w:style>
  <w:style w:type="character" w:customStyle="1" w:styleId="49">
    <w:name w:val="正文文本缩进 Char"/>
    <w:link w:val="15"/>
    <w:qFormat/>
    <w:uiPriority w:val="0"/>
    <w:rPr>
      <w:rFonts w:ascii="宋体"/>
      <w:kern w:val="2"/>
      <w:sz w:val="28"/>
      <w:szCs w:val="24"/>
    </w:rPr>
  </w:style>
  <w:style w:type="character" w:customStyle="1" w:styleId="50">
    <w:name w:val="14"/>
    <w:basedOn w:val="38"/>
    <w:qFormat/>
    <w:uiPriority w:val="0"/>
  </w:style>
  <w:style w:type="character" w:customStyle="1" w:styleId="51">
    <w:name w:val="正文文本缩进 2 Char"/>
    <w:link w:val="21"/>
    <w:qFormat/>
    <w:uiPriority w:val="0"/>
    <w:rPr>
      <w:rFonts w:ascii="黑体" w:hAnsi="宋体" w:eastAsia="黑体"/>
      <w:b/>
      <w:bCs/>
      <w:kern w:val="2"/>
      <w:sz w:val="24"/>
      <w:szCs w:val="24"/>
      <w:lang w:val="en-US" w:eastAsia="zh-CN"/>
    </w:rPr>
  </w:style>
  <w:style w:type="character" w:customStyle="1" w:styleId="52">
    <w:name w:val="列出段落 Char"/>
    <w:link w:val="53"/>
    <w:qFormat/>
    <w:uiPriority w:val="34"/>
    <w:rPr>
      <w:kern w:val="2"/>
      <w:sz w:val="21"/>
    </w:rPr>
  </w:style>
  <w:style w:type="paragraph" w:styleId="53">
    <w:name w:val="List Paragraph"/>
    <w:basedOn w:val="1"/>
    <w:link w:val="52"/>
    <w:qFormat/>
    <w:uiPriority w:val="34"/>
    <w:pPr>
      <w:ind w:firstLine="420" w:firstLineChars="200"/>
    </w:pPr>
    <w:rPr>
      <w:rFonts w:ascii="Times New Roman"/>
      <w:bCs w:val="0"/>
      <w:sz w:val="21"/>
      <w:szCs w:val="20"/>
    </w:rPr>
  </w:style>
  <w:style w:type="character" w:customStyle="1" w:styleId="54">
    <w:name w:val="Char Char6"/>
    <w:qFormat/>
    <w:uiPriority w:val="0"/>
    <w:rPr>
      <w:rFonts w:ascii="宋体" w:hAnsi="宋体" w:eastAsia="宋体"/>
      <w:kern w:val="2"/>
      <w:sz w:val="24"/>
      <w:lang w:val="en-US" w:eastAsia="zh-CN" w:bidi="ar-SA"/>
    </w:rPr>
  </w:style>
  <w:style w:type="character" w:customStyle="1" w:styleId="55">
    <w:name w:val="Char Char"/>
    <w:qFormat/>
    <w:uiPriority w:val="0"/>
    <w:rPr>
      <w:rFonts w:ascii="宋体" w:hAnsi="宋体" w:eastAsia="宋体" w:cs="宋体"/>
      <w:sz w:val="24"/>
      <w:szCs w:val="24"/>
      <w:lang w:val="en-US" w:eastAsia="zh-CN" w:bidi="ar-SA"/>
    </w:rPr>
  </w:style>
  <w:style w:type="character" w:customStyle="1" w:styleId="56">
    <w:name w:val="标题 4 Char"/>
    <w:link w:val="6"/>
    <w:qFormat/>
    <w:uiPriority w:val="0"/>
    <w:rPr>
      <w:rFonts w:ascii="Cambria" w:hAnsi="Cambria" w:eastAsia="宋体" w:cs="Times New Roman"/>
      <w:b/>
      <w:bCs/>
      <w:kern w:val="2"/>
      <w:sz w:val="28"/>
      <w:szCs w:val="28"/>
    </w:rPr>
  </w:style>
  <w:style w:type="character" w:customStyle="1" w:styleId="57">
    <w:name w:val="样式 仿宋"/>
    <w:qFormat/>
    <w:uiPriority w:val="0"/>
    <w:rPr>
      <w:rFonts w:ascii="仿宋" w:hAnsi="仿宋" w:eastAsia="仿宋"/>
      <w:kern w:val="1"/>
    </w:rPr>
  </w:style>
  <w:style w:type="character" w:customStyle="1" w:styleId="58">
    <w:name w:val="ziti1"/>
    <w:basedOn w:val="38"/>
    <w:qFormat/>
    <w:uiPriority w:val="0"/>
  </w:style>
  <w:style w:type="character" w:customStyle="1" w:styleId="59">
    <w:name w:val="正文文本 2 Char"/>
    <w:link w:val="30"/>
    <w:qFormat/>
    <w:uiPriority w:val="0"/>
    <w:rPr>
      <w:rFonts w:ascii="宋体"/>
      <w:bCs/>
      <w:kern w:val="2"/>
      <w:sz w:val="28"/>
      <w:szCs w:val="24"/>
    </w:rPr>
  </w:style>
  <w:style w:type="character" w:customStyle="1" w:styleId="60">
    <w:name w:val="HTML 预设格式 Char"/>
    <w:link w:val="31"/>
    <w:qFormat/>
    <w:uiPriority w:val="0"/>
    <w:rPr>
      <w:rFonts w:ascii="宋体" w:hAnsi="宋体" w:cs="宋体"/>
      <w:sz w:val="24"/>
      <w:szCs w:val="24"/>
    </w:rPr>
  </w:style>
  <w:style w:type="character" w:customStyle="1" w:styleId="61">
    <w:name w:val="文档结构图 Char"/>
    <w:link w:val="11"/>
    <w:qFormat/>
    <w:uiPriority w:val="99"/>
    <w:rPr>
      <w:rFonts w:ascii="宋体"/>
      <w:bCs/>
      <w:kern w:val="2"/>
      <w:sz w:val="18"/>
      <w:szCs w:val="18"/>
    </w:rPr>
  </w:style>
  <w:style w:type="character" w:customStyle="1" w:styleId="62">
    <w:name w:val="页脚 Char"/>
    <w:link w:val="23"/>
    <w:qFormat/>
    <w:uiPriority w:val="99"/>
    <w:rPr>
      <w:kern w:val="2"/>
      <w:sz w:val="18"/>
      <w:szCs w:val="18"/>
    </w:rPr>
  </w:style>
  <w:style w:type="character" w:customStyle="1" w:styleId="63">
    <w:name w:val="页眉 Char"/>
    <w:link w:val="24"/>
    <w:qFormat/>
    <w:uiPriority w:val="99"/>
    <w:rPr>
      <w:kern w:val="2"/>
      <w:sz w:val="18"/>
      <w:szCs w:val="18"/>
    </w:rPr>
  </w:style>
  <w:style w:type="character" w:customStyle="1" w:styleId="64">
    <w:name w:val="日期 Char"/>
    <w:link w:val="20"/>
    <w:qFormat/>
    <w:uiPriority w:val="99"/>
    <w:rPr>
      <w:rFonts w:ascii="宋体"/>
      <w:bCs/>
      <w:kern w:val="2"/>
      <w:sz w:val="28"/>
      <w:szCs w:val="24"/>
    </w:rPr>
  </w:style>
  <w:style w:type="character" w:customStyle="1" w:styleId="65">
    <w:name w:val="标题 1 Char"/>
    <w:link w:val="3"/>
    <w:qFormat/>
    <w:uiPriority w:val="0"/>
    <w:rPr>
      <w:rFonts w:ascii="宋体"/>
      <w:b/>
      <w:bCs/>
      <w:kern w:val="44"/>
      <w:sz w:val="36"/>
      <w:szCs w:val="44"/>
    </w:rPr>
  </w:style>
  <w:style w:type="character" w:customStyle="1" w:styleId="66">
    <w:name w:val="样式3 Char"/>
    <w:link w:val="67"/>
    <w:qFormat/>
    <w:uiPriority w:val="0"/>
    <w:rPr>
      <w:rFonts w:ascii="宋体" w:hAnsi="宋体"/>
      <w:kern w:val="2"/>
      <w:sz w:val="21"/>
      <w:szCs w:val="24"/>
    </w:rPr>
  </w:style>
  <w:style w:type="paragraph" w:customStyle="1" w:styleId="67">
    <w:name w:val="样式3"/>
    <w:basedOn w:val="1"/>
    <w:link w:val="66"/>
    <w:qFormat/>
    <w:uiPriority w:val="0"/>
    <w:rPr>
      <w:rFonts w:hAnsi="宋体"/>
      <w:bCs w:val="0"/>
      <w:sz w:val="21"/>
    </w:rPr>
  </w:style>
  <w:style w:type="character" w:customStyle="1" w:styleId="68">
    <w:name w:val="标题 2 Char"/>
    <w:link w:val="4"/>
    <w:qFormat/>
    <w:uiPriority w:val="0"/>
    <w:rPr>
      <w:rFonts w:ascii="宋体" w:hAnsi="宋体" w:cs="宋体"/>
      <w:b/>
      <w:bCs/>
      <w:sz w:val="28"/>
      <w:szCs w:val="36"/>
    </w:rPr>
  </w:style>
  <w:style w:type="character" w:customStyle="1" w:styleId="69">
    <w:name w:val="纯文本 Char"/>
    <w:link w:val="19"/>
    <w:qFormat/>
    <w:uiPriority w:val="0"/>
    <w:rPr>
      <w:rFonts w:ascii="宋体" w:hAnsi="Courier New"/>
      <w:kern w:val="2"/>
      <w:sz w:val="21"/>
    </w:rPr>
  </w:style>
  <w:style w:type="character" w:customStyle="1" w:styleId="70">
    <w:name w:val="2级标题 Char"/>
    <w:link w:val="71"/>
    <w:qFormat/>
    <w:uiPriority w:val="0"/>
    <w:rPr>
      <w:rFonts w:ascii="宋体" w:hAnsi="宋体"/>
      <w:b/>
      <w:bCs/>
      <w:color w:val="000000"/>
      <w:kern w:val="2"/>
      <w:sz w:val="24"/>
      <w:szCs w:val="24"/>
    </w:rPr>
  </w:style>
  <w:style w:type="paragraph" w:customStyle="1" w:styleId="71">
    <w:name w:val="2级标题"/>
    <w:basedOn w:val="1"/>
    <w:link w:val="70"/>
    <w:qFormat/>
    <w:uiPriority w:val="0"/>
    <w:pPr>
      <w:spacing w:line="480" w:lineRule="exact"/>
      <w:ind w:firstLine="482" w:firstLineChars="200"/>
    </w:pPr>
    <w:rPr>
      <w:rFonts w:hAnsi="宋体"/>
      <w:b/>
      <w:color w:val="000000"/>
      <w:sz w:val="24"/>
    </w:rPr>
  </w:style>
  <w:style w:type="character" w:customStyle="1" w:styleId="72">
    <w:name w:val="正文文本缩进 3 Char"/>
    <w:link w:val="28"/>
    <w:qFormat/>
    <w:uiPriority w:val="0"/>
    <w:rPr>
      <w:rFonts w:ascii="宋体" w:hAnsi="宋体"/>
      <w:kern w:val="2"/>
      <w:sz w:val="24"/>
    </w:rPr>
  </w:style>
  <w:style w:type="character" w:customStyle="1" w:styleId="73">
    <w:name w:val="标题 Char"/>
    <w:link w:val="33"/>
    <w:qFormat/>
    <w:uiPriority w:val="0"/>
    <w:rPr>
      <w:rFonts w:ascii="Cambria" w:hAnsi="Cambria"/>
      <w:b/>
      <w:bCs/>
      <w:kern w:val="2"/>
      <w:sz w:val="28"/>
      <w:szCs w:val="32"/>
    </w:rPr>
  </w:style>
  <w:style w:type="character" w:customStyle="1" w:styleId="74">
    <w:name w:val="标题 3 Char"/>
    <w:link w:val="5"/>
    <w:qFormat/>
    <w:uiPriority w:val="0"/>
    <w:rPr>
      <w:rFonts w:eastAsia="黑体"/>
      <w:bCs/>
      <w:kern w:val="2"/>
      <w:sz w:val="24"/>
      <w:szCs w:val="32"/>
    </w:rPr>
  </w:style>
  <w:style w:type="character" w:customStyle="1" w:styleId="75">
    <w:name w:val="批注框文本 Char"/>
    <w:link w:val="22"/>
    <w:qFormat/>
    <w:uiPriority w:val="0"/>
    <w:rPr>
      <w:kern w:val="2"/>
      <w:sz w:val="18"/>
      <w:szCs w:val="18"/>
    </w:rPr>
  </w:style>
  <w:style w:type="character" w:customStyle="1" w:styleId="76">
    <w:name w:val="副标题 Char"/>
    <w:link w:val="26"/>
    <w:qFormat/>
    <w:uiPriority w:val="0"/>
    <w:rPr>
      <w:rFonts w:ascii="Cambria" w:hAnsi="Cambria" w:cs="Times New Roman"/>
      <w:b/>
      <w:bCs/>
      <w:kern w:val="28"/>
      <w:sz w:val="32"/>
      <w:szCs w:val="32"/>
    </w:rPr>
  </w:style>
  <w:style w:type="character" w:customStyle="1" w:styleId="77">
    <w:name w:val="font14px1"/>
    <w:qFormat/>
    <w:uiPriority w:val="0"/>
    <w:rPr>
      <w:sz w:val="21"/>
      <w:szCs w:val="21"/>
    </w:rPr>
  </w:style>
  <w:style w:type="character" w:customStyle="1" w:styleId="78">
    <w:name w:val="apple-style-span"/>
    <w:basedOn w:val="38"/>
    <w:qFormat/>
    <w:uiPriority w:val="0"/>
  </w:style>
  <w:style w:type="paragraph" w:customStyle="1" w:styleId="7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1">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3">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4">
    <w:name w:val="Char Char1 Char Char"/>
    <w:basedOn w:val="1"/>
    <w:qFormat/>
    <w:uiPriority w:val="0"/>
    <w:rPr>
      <w:rFonts w:ascii="Tahoma" w:hAnsi="Tahoma"/>
      <w:bCs w:val="0"/>
      <w:sz w:val="24"/>
      <w:szCs w:val="20"/>
    </w:rPr>
  </w:style>
  <w:style w:type="paragraph" w:customStyle="1" w:styleId="85">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6">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7">
    <w:name w:val="p0"/>
    <w:basedOn w:val="1"/>
    <w:qFormat/>
    <w:uiPriority w:val="0"/>
    <w:pPr>
      <w:widowControl/>
    </w:pPr>
    <w:rPr>
      <w:rFonts w:ascii="Calibri" w:hAnsi="Calibri" w:cs="宋体"/>
      <w:bCs w:val="0"/>
      <w:kern w:val="0"/>
      <w:sz w:val="21"/>
      <w:szCs w:val="21"/>
    </w:rPr>
  </w:style>
  <w:style w:type="paragraph" w:customStyle="1" w:styleId="88">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9">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2">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3">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4">
    <w:name w:val="批注框文本1"/>
    <w:basedOn w:val="1"/>
    <w:qFormat/>
    <w:uiPriority w:val="0"/>
    <w:rPr>
      <w:rFonts w:hint="eastAsia" w:ascii="Times New Roman"/>
      <w:bCs w:val="0"/>
      <w:sz w:val="18"/>
      <w:szCs w:val="20"/>
    </w:rPr>
  </w:style>
  <w:style w:type="paragraph" w:customStyle="1" w:styleId="95">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7">
    <w:name w:val="标准"/>
    <w:basedOn w:val="1"/>
    <w:qFormat/>
    <w:uiPriority w:val="0"/>
    <w:pPr>
      <w:adjustRightInd w:val="0"/>
      <w:spacing w:before="120" w:after="120" w:line="312" w:lineRule="atLeast"/>
    </w:pPr>
    <w:rPr>
      <w:bCs w:val="0"/>
      <w:kern w:val="0"/>
      <w:sz w:val="21"/>
      <w:szCs w:val="20"/>
    </w:rPr>
  </w:style>
  <w:style w:type="paragraph" w:customStyle="1" w:styleId="9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9">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0">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3">
    <w:name w:val="列出段落11"/>
    <w:basedOn w:val="1"/>
    <w:qFormat/>
    <w:uiPriority w:val="34"/>
    <w:pPr>
      <w:ind w:firstLine="420" w:firstLineChars="200"/>
    </w:pPr>
    <w:rPr>
      <w:rFonts w:ascii="Calibri" w:hAnsi="Calibri"/>
      <w:bCs w:val="0"/>
      <w:sz w:val="21"/>
    </w:rPr>
  </w:style>
  <w:style w:type="paragraph" w:customStyle="1" w:styleId="104">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6">
    <w:name w:val="Char Char Char Char Char Char Char"/>
    <w:basedOn w:val="1"/>
    <w:qFormat/>
    <w:uiPriority w:val="0"/>
    <w:rPr>
      <w:rFonts w:ascii="Tahoma" w:hAnsi="Tahoma" w:cs="仿宋_GB2312"/>
      <w:bCs w:val="0"/>
      <w:sz w:val="24"/>
      <w:szCs w:val="28"/>
    </w:rPr>
  </w:style>
  <w:style w:type="paragraph" w:customStyle="1" w:styleId="107">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8">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0">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1">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2">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3">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4">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5">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8">
    <w:name w:val="编号行"/>
    <w:basedOn w:val="1"/>
    <w:qFormat/>
    <w:uiPriority w:val="0"/>
    <w:pPr>
      <w:spacing w:line="500" w:lineRule="exact"/>
      <w:jc w:val="left"/>
    </w:pPr>
    <w:rPr>
      <w:rFonts w:hAnsi="宋体" w:cs="宋体"/>
      <w:bCs w:val="0"/>
      <w:sz w:val="24"/>
      <w:lang w:bidi="th-TH"/>
    </w:rPr>
  </w:style>
  <w:style w:type="paragraph" w:customStyle="1" w:styleId="119">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4">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5">
    <w:name w:val="潘"/>
    <w:basedOn w:val="1"/>
    <w:qFormat/>
    <w:uiPriority w:val="0"/>
    <w:pPr>
      <w:snapToGrid w:val="0"/>
      <w:spacing w:line="240" w:lineRule="atLeast"/>
      <w:jc w:val="left"/>
    </w:pPr>
    <w:rPr>
      <w:rFonts w:ascii="Arial" w:hAnsi="Arial" w:eastAsia="楷体_GB2312"/>
      <w:b/>
      <w:sz w:val="21"/>
    </w:rPr>
  </w:style>
  <w:style w:type="paragraph" w:customStyle="1" w:styleId="126">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1">
    <w:name w:val="Char1"/>
    <w:basedOn w:val="1"/>
    <w:qFormat/>
    <w:uiPriority w:val="0"/>
    <w:rPr>
      <w:rFonts w:ascii="仿宋_GB2312" w:eastAsia="仿宋_GB2312"/>
      <w:b/>
      <w:bCs w:val="0"/>
      <w:sz w:val="32"/>
      <w:szCs w:val="32"/>
    </w:rPr>
  </w:style>
  <w:style w:type="character" w:customStyle="1" w:styleId="132">
    <w:name w:val="批注文字 Char"/>
    <w:link w:val="13"/>
    <w:qFormat/>
    <w:uiPriority w:val="0"/>
    <w:rPr>
      <w:rFonts w:ascii="宋体"/>
      <w:bCs/>
      <w:kern w:val="2"/>
      <w:sz w:val="28"/>
      <w:szCs w:val="24"/>
    </w:rPr>
  </w:style>
  <w:style w:type="paragraph" w:customStyle="1" w:styleId="133">
    <w:name w:val="样式 首行缩进:  2 字符"/>
    <w:basedOn w:val="1"/>
    <w:qFormat/>
    <w:uiPriority w:val="0"/>
    <w:pPr>
      <w:ind w:firstLine="560"/>
    </w:pPr>
    <w:rPr>
      <w:rFonts w:eastAsia="仿宋_GB2312" w:cs="宋体"/>
      <w:sz w:val="24"/>
      <w:szCs w:val="20"/>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 w:type="paragraph" w:customStyle="1" w:styleId="139">
    <w:name w:val="样式29"/>
    <w:basedOn w:val="1"/>
    <w:qFormat/>
    <w:uiPriority w:val="0"/>
    <w:pPr>
      <w:widowControl/>
      <w:spacing w:line="440" w:lineRule="exact"/>
      <w:ind w:firstLine="200" w:firstLineChars="200"/>
      <w:jc w:val="left"/>
    </w:pPr>
    <w:rPr>
      <w:rFonts w:eastAsia="楷体_GB2312"/>
      <w:spacing w:val="6"/>
      <w:sz w:val="24"/>
      <w:szCs w:val="24"/>
    </w:rPr>
  </w:style>
  <w:style w:type="paragraph" w:customStyle="1" w:styleId="140">
    <w:name w:val="List Paragraph1"/>
    <w:basedOn w:val="1"/>
    <w:qFormat/>
    <w:uiPriority w:val="0"/>
    <w:pPr>
      <w:ind w:firstLine="420" w:firstLineChars="200"/>
    </w:pPr>
    <w:rPr>
      <w:rFonts w:ascii="Calibri" w:hAnsi="Calibri"/>
      <w:szCs w:val="22"/>
    </w:rPr>
  </w:style>
  <w:style w:type="paragraph" w:customStyle="1" w:styleId="141">
    <w:name w:val="样式9 Char"/>
    <w:basedOn w:val="1"/>
    <w:qFormat/>
    <w:uiPriority w:val="99"/>
    <w:pPr>
      <w:spacing w:line="440" w:lineRule="exact"/>
      <w:ind w:firstLine="200" w:firstLineChars="200"/>
    </w:pPr>
    <w:rPr>
      <w:spacing w:val="6"/>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51</Pages>
  <Words>20456</Words>
  <Characters>21812</Characters>
  <Paragraphs>1425</Paragraphs>
  <TotalTime>50</TotalTime>
  <ScaleCrop>false</ScaleCrop>
  <LinksUpToDate>false</LinksUpToDate>
  <CharactersWithSpaces>23001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zhaobiao</cp:lastModifiedBy>
  <cp:lastPrinted>2022-02-15T05:33:00Z</cp:lastPrinted>
  <dcterms:modified xsi:type="dcterms:W3CDTF">2022-02-28T07:25:07Z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644A9AC54F6744F79980025E33D26ADF</vt:lpwstr>
  </property>
</Properties>
</file>