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0"/>
          <w:szCs w:val="22"/>
          <w:highlight w:val="none"/>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0"/>
          <w:szCs w:val="22"/>
          <w:highlight w:val="none"/>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0"/>
          <w:szCs w:val="22"/>
          <w:highlight w:val="none"/>
        </w:rPr>
      </w:pPr>
    </w:p>
    <w:p>
      <w:pPr>
        <w:keepNext w:val="0"/>
        <w:keepLines w:val="0"/>
        <w:pageBreakBefore w:val="0"/>
        <w:widowControl w:val="0"/>
        <w:kinsoku/>
        <w:wordWrap/>
        <w:overflowPunct/>
        <w:topLinePunct w:val="0"/>
        <w:bidi w:val="0"/>
        <w:adjustRightInd/>
        <w:spacing w:line="360" w:lineRule="auto"/>
        <w:jc w:val="center"/>
        <w:textAlignment w:val="auto"/>
        <w:rPr>
          <w:rFonts w:hint="default" w:ascii="华文中宋" w:hAnsi="华文中宋" w:eastAsia="华文中宋" w:cs="华文中宋"/>
          <w:spacing w:val="11"/>
          <w:sz w:val="44"/>
          <w:szCs w:val="44"/>
          <w:highlight w:val="none"/>
          <w:lang w:val="en-US"/>
        </w:rPr>
      </w:pPr>
      <w:r>
        <w:rPr>
          <w:rFonts w:hint="eastAsia" w:ascii="华文中宋" w:hAnsi="华文中宋" w:eastAsia="华文中宋" w:cs="华文中宋"/>
          <w:spacing w:val="11"/>
          <w:sz w:val="44"/>
          <w:szCs w:val="44"/>
          <w:highlight w:val="none"/>
        </w:rPr>
        <w:t>山东大学第二医院</w:t>
      </w:r>
      <w:r>
        <w:rPr>
          <w:rFonts w:hint="eastAsia" w:ascii="华文中宋" w:hAnsi="华文中宋" w:eastAsia="华文中宋" w:cs="华文中宋"/>
          <w:spacing w:val="11"/>
          <w:sz w:val="44"/>
          <w:szCs w:val="44"/>
          <w:highlight w:val="none"/>
          <w:lang w:val="en-US" w:eastAsia="zh-CN"/>
        </w:rPr>
        <w:t>荧光内窥镜采购</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48"/>
          <w:szCs w:val="48"/>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56"/>
          <w:szCs w:val="56"/>
          <w:highlight w:val="none"/>
          <w:lang w:val="en-US" w:eastAsia="zh-CN"/>
        </w:rPr>
      </w:pPr>
      <w:r>
        <w:rPr>
          <w:rFonts w:hint="eastAsia" w:ascii="华文中宋" w:hAnsi="华文中宋" w:eastAsia="华文中宋" w:cs="华文中宋"/>
          <w:sz w:val="56"/>
          <w:szCs w:val="56"/>
          <w:highlight w:val="none"/>
          <w:lang w:val="en-US" w:eastAsia="zh-CN"/>
        </w:rPr>
        <w:t>招 标 文 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项目编号：TCZX-HW-2022-016</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default" w:ascii="华文中宋" w:hAnsi="华文中宋" w:eastAsia="华文中宋" w:cs="华文中宋"/>
          <w:sz w:val="24"/>
          <w:szCs w:val="24"/>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华文中宋" w:hAnsi="华文中宋" w:eastAsia="华文中宋" w:cs="华文中宋"/>
          <w:spacing w:val="11"/>
          <w:sz w:val="28"/>
          <w:szCs w:val="28"/>
          <w:highlight w:val="none"/>
        </w:rPr>
      </w:pPr>
      <w:r>
        <w:rPr>
          <w:rFonts w:hint="eastAsia" w:ascii="华文中宋" w:hAnsi="华文中宋" w:eastAsia="华文中宋" w:cs="华文中宋"/>
          <w:spacing w:val="110"/>
          <w:kern w:val="0"/>
          <w:sz w:val="28"/>
          <w:szCs w:val="28"/>
          <w:highlight w:val="none"/>
          <w:fitText w:val="1280" w:id="1277978666"/>
          <w:lang w:val="en-US" w:eastAsia="zh-CN"/>
        </w:rPr>
        <w:t>采购</w:t>
      </w:r>
      <w:r>
        <w:rPr>
          <w:rFonts w:hint="eastAsia" w:ascii="华文中宋" w:hAnsi="华文中宋" w:eastAsia="华文中宋" w:cs="华文中宋"/>
          <w:spacing w:val="0"/>
          <w:kern w:val="0"/>
          <w:sz w:val="28"/>
          <w:szCs w:val="28"/>
          <w:highlight w:val="none"/>
          <w:fitText w:val="1280" w:id="1277978666"/>
          <w:lang w:val="en-US" w:eastAsia="zh-CN"/>
        </w:rPr>
        <w:t>人</w:t>
      </w:r>
      <w:r>
        <w:rPr>
          <w:rFonts w:hint="eastAsia" w:ascii="华文中宋" w:hAnsi="华文中宋" w:eastAsia="华文中宋" w:cs="华文中宋"/>
          <w:spacing w:val="11"/>
          <w:sz w:val="28"/>
          <w:szCs w:val="28"/>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华文中宋" w:hAnsi="华文中宋" w:eastAsia="华文中宋" w:cs="华文中宋"/>
          <w:spacing w:val="11"/>
          <w:sz w:val="28"/>
          <w:szCs w:val="28"/>
          <w:highlight w:val="none"/>
          <w:lang w:val="en-US" w:eastAsia="zh-CN"/>
        </w:rPr>
      </w:pPr>
      <w:r>
        <w:rPr>
          <w:rFonts w:hint="eastAsia" w:ascii="华文中宋" w:hAnsi="华文中宋" w:eastAsia="华文中宋" w:cs="华文中宋"/>
          <w:spacing w:val="26"/>
          <w:kern w:val="0"/>
          <w:sz w:val="28"/>
          <w:szCs w:val="28"/>
          <w:highlight w:val="none"/>
          <w:fitText w:val="1280" w:id="1672817252"/>
          <w:lang w:val="en-US" w:eastAsia="zh-CN"/>
        </w:rPr>
        <w:t>代理机</w:t>
      </w:r>
      <w:r>
        <w:rPr>
          <w:rFonts w:hint="eastAsia" w:ascii="华文中宋" w:hAnsi="华文中宋" w:eastAsia="华文中宋" w:cs="华文中宋"/>
          <w:spacing w:val="2"/>
          <w:kern w:val="0"/>
          <w:sz w:val="28"/>
          <w:szCs w:val="28"/>
          <w:highlight w:val="none"/>
          <w:fitText w:val="1280" w:id="1672817252"/>
          <w:lang w:val="en-US" w:eastAsia="zh-CN"/>
        </w:rPr>
        <w:t>构</w:t>
      </w:r>
      <w:r>
        <w:rPr>
          <w:rFonts w:hint="eastAsia" w:ascii="华文中宋" w:hAnsi="华文中宋" w:eastAsia="华文中宋" w:cs="华文中宋"/>
          <w:spacing w:val="11"/>
          <w:sz w:val="28"/>
          <w:szCs w:val="28"/>
          <w:highlight w:val="none"/>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sz w:val="20"/>
          <w:szCs w:val="22"/>
          <w:highlight w:val="none"/>
          <w:lang w:val="en-US" w:eastAsia="zh-CN"/>
        </w:rPr>
      </w:pPr>
      <w:r>
        <w:rPr>
          <w:rFonts w:hint="eastAsia" w:ascii="华文中宋" w:hAnsi="华文中宋" w:eastAsia="华文中宋" w:cs="华文中宋"/>
          <w:spacing w:val="360"/>
          <w:kern w:val="0"/>
          <w:sz w:val="28"/>
          <w:szCs w:val="28"/>
          <w:highlight w:val="none"/>
          <w:fitText w:val="1280" w:id="666510277"/>
          <w:lang w:val="en-US" w:eastAsia="zh-CN"/>
        </w:rPr>
        <w:t>日</w:t>
      </w:r>
      <w:r>
        <w:rPr>
          <w:rFonts w:hint="eastAsia" w:ascii="华文中宋" w:hAnsi="华文中宋" w:eastAsia="华文中宋" w:cs="华文中宋"/>
          <w:spacing w:val="0"/>
          <w:kern w:val="0"/>
          <w:sz w:val="28"/>
          <w:szCs w:val="28"/>
          <w:highlight w:val="none"/>
          <w:fitText w:val="1280" w:id="666510277"/>
          <w:lang w:val="en-US" w:eastAsia="zh-CN"/>
        </w:rPr>
        <w:t>期</w:t>
      </w:r>
      <w:r>
        <w:rPr>
          <w:rFonts w:hint="eastAsia" w:ascii="华文中宋" w:hAnsi="华文中宋" w:eastAsia="华文中宋" w:cs="华文中宋"/>
          <w:spacing w:val="11"/>
          <w:sz w:val="28"/>
          <w:szCs w:val="28"/>
          <w:highlight w:val="none"/>
          <w:lang w:val="en-US" w:eastAsia="zh-CN"/>
        </w:rPr>
        <w:t>：2022年4月</w:t>
      </w:r>
    </w:p>
    <w:p>
      <w:pPr>
        <w:keepNext w:val="0"/>
        <w:keepLines w:val="0"/>
        <w:pageBreakBefore w:val="0"/>
        <w:widowControl w:val="0"/>
        <w:kinsoku/>
        <w:wordWrap/>
        <w:overflowPunct/>
        <w:topLinePunct w:val="0"/>
        <w:bidi w:val="0"/>
        <w:adjustRightInd/>
        <w:spacing w:line="360" w:lineRule="auto"/>
        <w:textAlignment w:val="auto"/>
        <w:rPr>
          <w:rFonts w:hint="eastAsia"/>
          <w:sz w:val="20"/>
          <w:szCs w:val="22"/>
          <w:highlight w:val="none"/>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0"/>
          <w:szCs w:val="40"/>
          <w:highlight w:val="none"/>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0"/>
          <w:szCs w:val="40"/>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360" w:lineRule="auto"/>
            <w:ind w:left="0" w:leftChars="0" w:right="0" w:rightChars="0" w:firstLine="0" w:firstLineChars="0"/>
            <w:jc w:val="center"/>
            <w:textAlignment w:val="auto"/>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b w:val="0"/>
              <w:bCs w:val="0"/>
              <w:sz w:val="20"/>
              <w:szCs w:val="22"/>
              <w:highlight w:val="none"/>
            </w:rPr>
            <w:fldChar w:fldCharType="begin"/>
          </w:r>
          <w:r>
            <w:rPr>
              <w:b w:val="0"/>
              <w:bCs w:val="0"/>
              <w:sz w:val="20"/>
              <w:szCs w:val="22"/>
              <w:highlight w:val="none"/>
            </w:rPr>
            <w:instrText xml:space="preserve">TOC \o "1-3" \h \u </w:instrText>
          </w:r>
          <w:r>
            <w:rPr>
              <w:b w:val="0"/>
              <w:bCs w:val="0"/>
              <w:sz w:val="20"/>
              <w:szCs w:val="22"/>
              <w:highlight w:val="none"/>
            </w:rPr>
            <w:fldChar w:fldCharType="separate"/>
          </w: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_Toc21713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第一部分 招标公告</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_Toc21713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_Toc25958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一、 项目基本情况</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_Toc25958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_Toc23673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二、 供应商资格要求</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_Toc23673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_Toc16954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三、 投标参与（报名）及招标文件获取</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_Toc16954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_Toc8125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四、 投标文件的递交</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_Toc8125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- 2 -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_Toc19407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五、 公告期限</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_Toc19407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- 2 -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_Toc26363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六、 其他补充事宜</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_Toc26363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- 2 -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_Toc12221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七、 对本次招标提出询问，请按以下方式联系</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_Toc12221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_Toc23894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第二章 投标须知</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_Toc23894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_Toc30943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48"/>
              <w:highlight w:val="none"/>
              <w:lang w:val="en-US" w:eastAsia="zh-CN"/>
            </w:rPr>
            <w:t>供应商须知前附表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_Toc30943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_Toc17782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48"/>
              <w:highlight w:val="none"/>
              <w:lang w:val="en-US" w:eastAsia="zh-CN"/>
            </w:rPr>
            <w:t>供应商须知正文</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_Toc17782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- 17 -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_Toc2534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第三章 评分办法</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_Toc2534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_Toc19583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一、 评标方法</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_Toc19583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_Toc4998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二、 评审细则</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_Toc4998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_Toc23021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三、 评审执行的政府采购政策</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_Toc23021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- 36 -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_Toc22715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第四章 采购内容及项目要求</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_Toc22715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- 38 -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_Toc28115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第五章 合同格式</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_Toc28115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1"/>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_Toc29975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第六章 投标文件格式</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_Toc29975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- 45 -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_Toc3606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附件一：投标函</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_Toc3606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- 46 -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_Toc15950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附件二：法定代表人身份证明</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_Toc15950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- 47 -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_Toc24503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附件三：法定代表人授权委托书</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_Toc24503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- 48 -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_Toc14908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附件四：开标一览表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_Toc14908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- 49 -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_Toc12194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附件五：主要设备及配件报价明细表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_Toc12194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- 50 -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_Toc15617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附件六：设备维保明细表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_Toc15617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_Toc5851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附件七：质保期内供应的备品备件、易损件、耗材、专用工具价格表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_Toc5851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- 52 -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_Toc25433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附件八：质保期满后长期供应的备品备件、易损件、耗材、专用工具价格表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_Toc25433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- 53 -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_Toc4081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附件九：商务响应一览表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_Toc4081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- 54 -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_Toc13157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附件十：技术响应一览表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_Toc13157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- 55 -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_Toc28417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附件十一：近年业绩一览表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_Toc28417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- 56 -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_Toc9521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附件十二：中小企业声明函（如有）</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_Toc9521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- 57 -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_Toc30411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附件十三：残疾人福利性单位声明函（如有）</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_Toc30411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- 58 -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_Toc22511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附件十四：环境标志产品明细表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_Toc22511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- 59 -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_Toc23388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附件十五：节能产品明细表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_Toc23388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- 60 -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_Toc8827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附件十六：政府强制采购节能产品明细表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_Toc8827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- 61 -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rFonts w:hint="eastAsia" w:ascii="仿宋" w:hAnsi="仿宋" w:eastAsia="仿宋" w:cs="仿宋"/>
              <w:sz w:val="22"/>
              <w:szCs w:val="28"/>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_Toc18203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附件十七：资格证明材料格式（参考）</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_Toc18203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- 62 -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pStyle w:val="12"/>
            <w:keepNext w:val="0"/>
            <w:keepLines w:val="0"/>
            <w:pageBreakBefore w:val="0"/>
            <w:widowControl w:val="0"/>
            <w:tabs>
              <w:tab w:val="right" w:leader="dot" w:pos="8306"/>
            </w:tabs>
            <w:kinsoku/>
            <w:wordWrap/>
            <w:overflowPunct/>
            <w:topLinePunct w:val="0"/>
            <w:bidi w:val="0"/>
            <w:adjustRightInd/>
            <w:spacing w:line="360" w:lineRule="auto"/>
            <w:textAlignment w:val="auto"/>
            <w:rPr>
              <w:sz w:val="20"/>
              <w:szCs w:val="22"/>
              <w:highlight w:val="none"/>
            </w:rPr>
          </w:pPr>
          <w:r>
            <w:rPr>
              <w:rFonts w:hint="eastAsia" w:ascii="仿宋" w:hAnsi="仿宋" w:eastAsia="仿宋" w:cs="仿宋"/>
              <w:bCs w:val="0"/>
              <w:sz w:val="22"/>
              <w:szCs w:val="28"/>
              <w:highlight w:val="none"/>
            </w:rPr>
            <w:fldChar w:fldCharType="begin"/>
          </w:r>
          <w:r>
            <w:rPr>
              <w:rFonts w:hint="eastAsia" w:ascii="仿宋" w:hAnsi="仿宋" w:eastAsia="仿宋" w:cs="仿宋"/>
              <w:bCs w:val="0"/>
              <w:sz w:val="22"/>
              <w:szCs w:val="28"/>
              <w:highlight w:val="none"/>
            </w:rPr>
            <w:instrText xml:space="preserve"> HYPERLINK \l _Toc19709 </w:instrText>
          </w:r>
          <w:r>
            <w:rPr>
              <w:rFonts w:hint="eastAsia" w:ascii="仿宋" w:hAnsi="仿宋" w:eastAsia="仿宋" w:cs="仿宋"/>
              <w:bCs w:val="0"/>
              <w:sz w:val="22"/>
              <w:szCs w:val="28"/>
              <w:highlight w:val="none"/>
            </w:rPr>
            <w:fldChar w:fldCharType="separate"/>
          </w:r>
          <w:r>
            <w:rPr>
              <w:rFonts w:hint="eastAsia" w:ascii="仿宋" w:hAnsi="仿宋" w:eastAsia="仿宋" w:cs="仿宋"/>
              <w:sz w:val="22"/>
              <w:szCs w:val="28"/>
              <w:highlight w:val="none"/>
              <w:lang w:val="en-US" w:eastAsia="zh-CN"/>
            </w:rPr>
            <w:t>附件十八：投标文件密封封套标记格式</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_Toc19709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- 75 -</w:t>
          </w:r>
          <w:r>
            <w:rPr>
              <w:rFonts w:hint="eastAsia" w:ascii="仿宋" w:hAnsi="仿宋" w:eastAsia="仿宋" w:cs="仿宋"/>
              <w:sz w:val="22"/>
              <w:szCs w:val="28"/>
              <w:highlight w:val="none"/>
            </w:rPr>
            <w:fldChar w:fldCharType="end"/>
          </w:r>
          <w:r>
            <w:rPr>
              <w:rFonts w:hint="eastAsia" w:ascii="仿宋" w:hAnsi="仿宋" w:eastAsia="仿宋" w:cs="仿宋"/>
              <w:bCs w:val="0"/>
              <w:sz w:val="22"/>
              <w:szCs w:val="28"/>
              <w:highlight w:val="none"/>
            </w:rPr>
            <w:fldChar w:fldCharType="end"/>
          </w:r>
        </w:p>
        <w:p>
          <w:pPr>
            <w:keepNext w:val="0"/>
            <w:keepLines w:val="0"/>
            <w:pageBreakBefore w:val="0"/>
            <w:widowControl w:val="0"/>
            <w:kinsoku/>
            <w:wordWrap/>
            <w:overflowPunct/>
            <w:topLinePunct w:val="0"/>
            <w:bidi w:val="0"/>
            <w:adjustRightInd/>
            <w:spacing w:line="360" w:lineRule="auto"/>
            <w:textAlignment w:val="auto"/>
            <w:rPr>
              <w:b w:val="0"/>
              <w:bCs w:val="0"/>
              <w:sz w:val="20"/>
              <w:szCs w:val="22"/>
              <w:highlight w:val="none"/>
            </w:rPr>
          </w:pPr>
          <w:r>
            <w:rPr>
              <w:bCs w:val="0"/>
              <w:sz w:val="20"/>
              <w:szCs w:val="22"/>
              <w:highlight w:val="none"/>
            </w:rPr>
            <w:fldChar w:fldCharType="end"/>
          </w:r>
        </w:p>
      </w:sdtContent>
    </w:sdt>
    <w:p>
      <w:pPr>
        <w:pStyle w:val="3"/>
        <w:keepNext w:val="0"/>
        <w:keepLines w:val="0"/>
        <w:pageBreakBefore w:val="0"/>
        <w:widowControl w:val="0"/>
        <w:numPr>
          <w:ilvl w:val="0"/>
          <w:numId w:val="1"/>
        </w:numPr>
        <w:kinsoku/>
        <w:wordWrap/>
        <w:overflowPunct/>
        <w:topLinePunct w:val="0"/>
        <w:bidi w:val="0"/>
        <w:adjustRightInd/>
        <w:spacing w:line="360" w:lineRule="auto"/>
        <w:textAlignment w:val="auto"/>
        <w:rPr>
          <w:rFonts w:hint="eastAsia"/>
          <w:sz w:val="40"/>
          <w:szCs w:val="22"/>
          <w:highlight w:val="none"/>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val="0"/>
        <w:numPr>
          <w:ilvl w:val="0"/>
          <w:numId w:val="1"/>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0" w:name="_Toc16040"/>
      <w:bookmarkStart w:id="1" w:name="_Toc12214"/>
      <w:bookmarkStart w:id="2" w:name="_Toc21713"/>
      <w:r>
        <w:rPr>
          <w:rFonts w:hint="eastAsia"/>
          <w:sz w:val="40"/>
          <w:szCs w:val="22"/>
          <w:highlight w:val="none"/>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sz w:val="40"/>
          <w:szCs w:val="40"/>
          <w:highlight w:val="none"/>
          <w:lang w:val="en-US" w:eastAsia="zh-CN"/>
        </w:rPr>
      </w:pPr>
      <w:r>
        <w:rPr>
          <w:rFonts w:hint="eastAsia"/>
          <w:sz w:val="36"/>
          <w:szCs w:val="36"/>
          <w:highlight w:val="none"/>
          <w:lang w:eastAsia="zh-CN"/>
        </w:rPr>
        <w:t>山东大学第二医院荧光内窥镜采购</w:t>
      </w:r>
      <w:r>
        <w:rPr>
          <w:rFonts w:hint="eastAsia"/>
          <w:sz w:val="36"/>
          <w:szCs w:val="36"/>
          <w:highlight w:val="none"/>
          <w:lang w:val="en-US" w:eastAsia="zh-CN"/>
        </w:rPr>
        <w:t>招标公告</w:t>
      </w:r>
    </w:p>
    <w:tbl>
      <w:tblPr>
        <w:tblStyle w:val="1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140" w:type="dxa"/>
          </w:tcPr>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single"/>
                <w:vertAlign w:val="baseline"/>
                <w:lang w:val="en-US" w:eastAsia="zh-CN"/>
              </w:rPr>
              <w:t>山东大学第二医院荧光内窥镜采购</w:t>
            </w:r>
            <w:r>
              <w:rPr>
                <w:rFonts w:hint="eastAsia" w:ascii="仿宋" w:hAnsi="仿宋" w:eastAsia="仿宋" w:cs="仿宋"/>
                <w:sz w:val="24"/>
                <w:szCs w:val="24"/>
                <w:highlight w:val="none"/>
                <w:vertAlign w:val="baseline"/>
                <w:lang w:val="en-US" w:eastAsia="zh-CN"/>
              </w:rPr>
              <w:t>招标项目的潜在供应商应在</w:t>
            </w:r>
            <w:r>
              <w:rPr>
                <w:rFonts w:hint="eastAsia" w:ascii="仿宋" w:hAnsi="仿宋" w:eastAsia="仿宋" w:cs="仿宋"/>
                <w:sz w:val="24"/>
                <w:szCs w:val="24"/>
                <w:highlight w:val="none"/>
                <w:u w:val="single"/>
                <w:vertAlign w:val="baseline"/>
                <w:lang w:val="en-US" w:eastAsia="zh-CN"/>
              </w:rPr>
              <w:t>济南市历城区万科海右府8号楼102</w:t>
            </w:r>
            <w:r>
              <w:rPr>
                <w:rFonts w:hint="eastAsia" w:ascii="仿宋" w:hAnsi="仿宋" w:eastAsia="仿宋" w:cs="仿宋"/>
                <w:sz w:val="24"/>
                <w:szCs w:val="24"/>
                <w:highlight w:val="none"/>
                <w:vertAlign w:val="baseline"/>
                <w:lang w:val="en-US" w:eastAsia="zh-CN"/>
              </w:rPr>
              <w:t>获取招标文件，并于</w:t>
            </w:r>
            <w:r>
              <w:rPr>
                <w:rFonts w:hint="eastAsia" w:ascii="仿宋" w:hAnsi="仿宋" w:eastAsia="仿宋" w:cs="仿宋"/>
                <w:sz w:val="24"/>
                <w:szCs w:val="24"/>
                <w:highlight w:val="none"/>
                <w:u w:val="single"/>
                <w:vertAlign w:val="baseline"/>
                <w:lang w:val="en-US" w:eastAsia="zh-CN"/>
              </w:rPr>
              <w:t>2022年5月7日9点00分</w:t>
            </w:r>
            <w:r>
              <w:rPr>
                <w:rFonts w:hint="eastAsia" w:ascii="仿宋" w:hAnsi="仿宋" w:eastAsia="仿宋" w:cs="仿宋"/>
                <w:sz w:val="24"/>
                <w:szCs w:val="24"/>
                <w:highlight w:val="none"/>
                <w:vertAlign w:val="baseline"/>
                <w:lang w:val="en-US" w:eastAsia="zh-CN"/>
              </w:rPr>
              <w:t>（北京时间）前递交投标文件。</w:t>
            </w:r>
          </w:p>
        </w:tc>
      </w:tr>
    </w:tbl>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sz w:val="32"/>
          <w:szCs w:val="24"/>
          <w:highlight w:val="none"/>
          <w:lang w:val="en-US" w:eastAsia="zh-CN"/>
        </w:rPr>
      </w:pPr>
      <w:bookmarkStart w:id="3" w:name="_Toc25958"/>
      <w:r>
        <w:rPr>
          <w:rFonts w:hint="eastAsia"/>
          <w:sz w:val="32"/>
          <w:szCs w:val="24"/>
          <w:highlight w:val="none"/>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项目编号：（TCZX-HW-2022-016）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项目名称：山东大学第二医院荧光内窥镜采购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预算金额：190万元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最高限价：190万元</w:t>
      </w:r>
    </w:p>
    <w:p>
      <w:pPr>
        <w:keepNext w:val="0"/>
        <w:keepLines w:val="0"/>
        <w:pageBreakBefore w:val="0"/>
        <w:widowControl w:val="0"/>
        <w:kinsoku/>
        <w:wordWrap/>
        <w:overflowPunct/>
        <w:topLinePunct w:val="0"/>
        <w:bidi w:val="0"/>
        <w:adjustRightInd/>
        <w:spacing w:line="360" w:lineRule="auto"/>
        <w:ind w:left="1679" w:leftChars="228" w:hanging="1200" w:hangingChars="5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采购需求：本项目采购荧光内窥镜系统一批，用于在内窥镜手术中提供实时的荧光图像。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标段划分：1个标段</w:t>
      </w:r>
    </w:p>
    <w:p>
      <w:pPr>
        <w:keepNext w:val="0"/>
        <w:keepLines w:val="0"/>
        <w:pageBreakBefore w:val="0"/>
        <w:widowControl w:val="0"/>
        <w:kinsoku/>
        <w:wordWrap/>
        <w:overflowPunct/>
        <w:topLinePunct w:val="0"/>
        <w:autoSpaceDE/>
        <w:autoSpaceDN/>
        <w:bidi w:val="0"/>
        <w:adjustRightInd/>
        <w:snapToGrid/>
        <w:spacing w:line="360" w:lineRule="auto"/>
        <w:ind w:left="3359" w:leftChars="228" w:hanging="2880" w:hangingChars="1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合同履行期限（质保期）：</w:t>
      </w:r>
      <w:r>
        <w:rPr>
          <w:rFonts w:hint="eastAsia" w:ascii="仿宋" w:hAnsi="仿宋" w:eastAsia="仿宋" w:cs="仿宋"/>
          <w:sz w:val="24"/>
          <w:szCs w:val="24"/>
          <w:highlight w:val="none"/>
          <w:vertAlign w:val="baseline"/>
          <w:lang w:val="en-US" w:eastAsia="zh-CN"/>
        </w:rPr>
        <w:t>自设备交付验收合格之日起3年（不少于3年，可竞报），</w:t>
      </w:r>
      <w:r>
        <w:rPr>
          <w:rFonts w:hint="eastAsia" w:ascii="仿宋" w:hAnsi="仿宋" w:eastAsia="仿宋" w:cs="仿宋"/>
          <w:sz w:val="24"/>
          <w:szCs w:val="24"/>
          <w:highlight w:val="none"/>
          <w:lang w:val="en-US" w:eastAsia="zh-CN"/>
        </w:rPr>
        <w:t>提供质保函</w:t>
      </w:r>
      <w:r>
        <w:rPr>
          <w:rFonts w:hint="eastAsia" w:ascii="仿宋" w:hAnsi="仿宋" w:eastAsia="仿宋" w:cs="仿宋"/>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本项目（不接受）联合体投标。</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sz w:val="32"/>
          <w:szCs w:val="24"/>
          <w:highlight w:val="none"/>
          <w:lang w:val="en-US" w:eastAsia="zh-CN"/>
        </w:rPr>
      </w:pPr>
      <w:bookmarkStart w:id="4" w:name="_Toc23673"/>
      <w:r>
        <w:rPr>
          <w:rFonts w:hint="eastAsia"/>
          <w:sz w:val="32"/>
          <w:szCs w:val="24"/>
          <w:highlight w:val="none"/>
          <w:lang w:val="en-US" w:eastAsia="zh-CN"/>
        </w:rPr>
        <w:t>申请人的资格要求</w:t>
      </w:r>
      <w:bookmarkEnd w:id="4"/>
      <w:bookmarkStart w:id="72" w:name="_GoBack"/>
      <w:bookmarkEnd w:id="72"/>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本项目的特定资格要求：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0"/>
          <w:highlight w:val="none"/>
          <w:lang w:val="en-US" w:eastAsia="zh-CN"/>
        </w:rPr>
        <w:t>具有医疗器械经营许可证或医疗器械生产许可证、所报产品具有医疗器械注册证或医疗器械备案凭证。</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default"/>
          <w:sz w:val="32"/>
          <w:szCs w:val="24"/>
          <w:highlight w:val="none"/>
          <w:lang w:val="en-US" w:eastAsia="zh-CN"/>
        </w:rPr>
      </w:pPr>
      <w:bookmarkStart w:id="5" w:name="_Toc16954"/>
      <w:r>
        <w:rPr>
          <w:rFonts w:hint="eastAsia"/>
          <w:sz w:val="32"/>
          <w:szCs w:val="24"/>
          <w:highlight w:val="none"/>
          <w:lang w:val="en-US" w:eastAsia="zh-CN"/>
        </w:rPr>
        <w:t>获取招标文件</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时间：2022年4月13日09:00至2022年4月19日17:00止。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地点：同诚工程咨询集团股份有限公司（济南市历城区万科海右府8号102）。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方式：</w:t>
      </w:r>
      <w:r>
        <w:rPr>
          <w:rFonts w:hint="eastAsia" w:ascii="仿宋" w:hAnsi="仿宋" w:eastAsia="仿宋" w:cs="仿宋"/>
          <w:b/>
          <w:bCs/>
          <w:sz w:val="24"/>
          <w:szCs w:val="24"/>
          <w:highlight w:val="none"/>
          <w:lang w:val="en-US" w:eastAsia="zh-CN"/>
        </w:rPr>
        <w:t>（疫情期间不需到现场获取招标文件）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highlight w:val="none"/>
          <w:lang w:val="en-US" w:eastAsia="zh-CN"/>
        </w:rPr>
        <w:t xml:space="preserve">凡有意参加本次采购的供应商须在获取招标文件的期限内联系代理机构（联系人：张文龙  0531-85819159  15165115618  </w:t>
      </w:r>
      <w:r>
        <w:rPr>
          <w:rFonts w:hint="eastAsia" w:ascii="仿宋" w:hAnsi="仿宋" w:eastAsia="仿宋" w:cs="仿宋"/>
          <w:color w:val="auto"/>
          <w:sz w:val="24"/>
          <w:szCs w:val="24"/>
          <w:highlight w:val="none"/>
          <w:u w:val="none"/>
          <w:lang w:val="en-US" w:eastAsia="zh-CN"/>
        </w:rPr>
        <w:t>tongchengjn@163.com）</w:t>
      </w:r>
      <w:r>
        <w:rPr>
          <w:rFonts w:hint="eastAsia" w:ascii="仿宋" w:hAnsi="仿宋" w:eastAsia="仿宋" w:cs="仿宋"/>
          <w:sz w:val="24"/>
          <w:szCs w:val="24"/>
          <w:highlight w:val="none"/>
          <w:lang w:val="en-US" w:eastAsia="zh-CN"/>
        </w:rPr>
        <w:t>，并明确所投项目名称及项目确认，并在邮件中注明单位名称，联系人，联系电话</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供应商在汇款时须</w:t>
      </w:r>
      <w:r>
        <w:rPr>
          <w:rFonts w:hint="eastAsia" w:ascii="仿宋" w:hAnsi="仿宋" w:eastAsia="仿宋" w:cs="仿宋"/>
          <w:b/>
          <w:bCs/>
          <w:sz w:val="24"/>
          <w:szCs w:val="24"/>
          <w:highlight w:val="none"/>
          <w:lang w:val="en-US" w:eastAsia="zh-CN"/>
        </w:rPr>
        <w:t>注明项目编号</w:t>
      </w:r>
      <w:r>
        <w:rPr>
          <w:rFonts w:hint="eastAsia" w:ascii="仿宋" w:hAnsi="仿宋" w:eastAsia="仿宋" w:cs="仿宋"/>
          <w:sz w:val="24"/>
          <w:szCs w:val="24"/>
          <w:highlight w:val="none"/>
          <w:lang w:val="en-US" w:eastAsia="zh-CN"/>
        </w:rPr>
        <w:t>，并电话通知代理机构确认，招标文件售后不退。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3" w:firstLineChars="350"/>
        <w:textAlignment w:val="auto"/>
        <w:rPr>
          <w:rFonts w:hint="eastAsia"/>
          <w:sz w:val="20"/>
          <w:szCs w:val="22"/>
          <w:highlight w:val="none"/>
          <w:lang w:val="en-US" w:eastAsia="zh-CN"/>
        </w:rPr>
      </w:pPr>
      <w:r>
        <w:rPr>
          <w:rFonts w:hint="eastAsia" w:ascii="仿宋" w:hAnsi="仿宋" w:eastAsia="仿宋" w:cs="仿宋"/>
          <w:b/>
          <w:bCs/>
          <w:sz w:val="24"/>
          <w:szCs w:val="24"/>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售价：300元/份，本公告包含的招标文件售价总和</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sz w:val="32"/>
          <w:szCs w:val="24"/>
          <w:highlight w:val="none"/>
          <w:lang w:val="en-US" w:eastAsia="zh-CN"/>
        </w:rPr>
      </w:pPr>
      <w:bookmarkStart w:id="6" w:name="_Toc8125"/>
      <w:r>
        <w:rPr>
          <w:rFonts w:hint="eastAsia"/>
          <w:sz w:val="32"/>
          <w:szCs w:val="24"/>
          <w:highlight w:val="none"/>
          <w:lang w:val="en-US" w:eastAsia="zh-CN"/>
        </w:rPr>
        <w:t>提交投标文件</w:t>
      </w:r>
      <w:bookmarkEnd w:id="6"/>
      <w:r>
        <w:rPr>
          <w:rFonts w:hint="eastAsia"/>
          <w:sz w:val="32"/>
          <w:szCs w:val="24"/>
          <w:highlight w:val="none"/>
          <w:lang w:val="en-US" w:eastAsia="zh-CN"/>
        </w:rPr>
        <w:t>截止时间、开标时间和地点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投标文件递交的截止时间及开标时间：</w:t>
      </w:r>
      <w:r>
        <w:rPr>
          <w:rFonts w:hint="eastAsia" w:ascii="仿宋" w:hAnsi="仿宋" w:eastAsia="仿宋" w:cs="仿宋"/>
          <w:sz w:val="24"/>
          <w:szCs w:val="24"/>
          <w:highlight w:val="none"/>
          <w:u w:val="single"/>
          <w:vertAlign w:val="baseline"/>
          <w:lang w:val="en-US" w:eastAsia="zh-CN"/>
        </w:rPr>
        <w:t>2022年5月7日9点00分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投标文件递交的地点：山东大学第二医院文会学堂会议室（地址：济南市天桥区北园大街247号），逾期送达的或者未送达指定地点的投标文件，采购人不予受理。</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default"/>
          <w:sz w:val="32"/>
          <w:szCs w:val="24"/>
          <w:highlight w:val="none"/>
          <w:lang w:val="en-US" w:eastAsia="zh-CN"/>
        </w:rPr>
      </w:pPr>
      <w:bookmarkStart w:id="7" w:name="_Toc19407"/>
      <w:r>
        <w:rPr>
          <w:rFonts w:hint="eastAsia"/>
          <w:sz w:val="32"/>
          <w:szCs w:val="24"/>
          <w:highlight w:val="none"/>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自本公告发布之日起五个工作日。</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sz w:val="32"/>
          <w:szCs w:val="24"/>
          <w:highlight w:val="none"/>
          <w:lang w:val="en-US" w:eastAsia="zh-CN"/>
        </w:rPr>
      </w:pPr>
      <w:bookmarkStart w:id="8" w:name="_Toc26363"/>
      <w:r>
        <w:rPr>
          <w:rFonts w:hint="eastAsia"/>
          <w:sz w:val="32"/>
          <w:szCs w:val="24"/>
          <w:highlight w:val="none"/>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采购项目需要落实的政府采购政策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中小微型企业政府采购政策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监狱企业政府采购政策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促进残疾人就业政府采购政策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详见招标文件</w:t>
      </w:r>
    </w:p>
    <w:p>
      <w:pPr>
        <w:pStyle w:val="4"/>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sz w:val="32"/>
          <w:szCs w:val="24"/>
          <w:highlight w:val="none"/>
          <w:lang w:val="en-US" w:eastAsia="zh-CN"/>
        </w:rPr>
      </w:pPr>
      <w:bookmarkStart w:id="9" w:name="_Toc12221"/>
      <w:r>
        <w:rPr>
          <w:rFonts w:hint="eastAsia"/>
          <w:sz w:val="32"/>
          <w:szCs w:val="24"/>
          <w:highlight w:val="none"/>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  话：15165115618</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3"/>
        <w:keepNext w:val="0"/>
        <w:keepLines w:val="0"/>
        <w:pageBreakBefore w:val="0"/>
        <w:widowControl w:val="0"/>
        <w:numPr>
          <w:ilvl w:val="0"/>
          <w:numId w:val="6"/>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10" w:name="_Toc23894"/>
      <w:r>
        <w:rPr>
          <w:rFonts w:hint="eastAsia"/>
          <w:sz w:val="40"/>
          <w:szCs w:val="22"/>
          <w:highlight w:val="none"/>
          <w:lang w:val="en-US" w:eastAsia="zh-CN"/>
        </w:rPr>
        <w:t>投标须知</w:t>
      </w:r>
      <w:bookmarkEnd w:id="10"/>
    </w:p>
    <w:p>
      <w:pPr>
        <w:pStyle w:val="4"/>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sz w:val="40"/>
          <w:szCs w:val="40"/>
          <w:highlight w:val="none"/>
          <w:lang w:val="en-US" w:eastAsia="zh-CN"/>
        </w:rPr>
      </w:pPr>
      <w:bookmarkStart w:id="11" w:name="_Toc30943"/>
      <w:r>
        <w:rPr>
          <w:rFonts w:hint="eastAsia" w:ascii="宋体" w:hAnsi="宋体" w:eastAsia="宋体" w:cs="宋体"/>
          <w:sz w:val="40"/>
          <w:szCs w:val="40"/>
          <w:highlight w:val="none"/>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项目编号：（TCZX-HW-2022-016）</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项目名称：山东大学第二医院荧光内窥镜采购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资金来源：自筹/财政资金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预算金额：190万元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最高限价：190万元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sz w:val="24"/>
                <w:szCs w:val="24"/>
                <w:highlight w:val="none"/>
                <w:vertAlign w:val="baseline"/>
                <w:lang w:val="en-US" w:eastAsia="zh-CN"/>
              </w:rPr>
            </w:pPr>
            <w:r>
              <w:rPr>
                <w:rFonts w:hint="default" w:ascii="仿宋" w:hAnsi="仿宋" w:eastAsia="仿宋" w:cs="仿宋"/>
                <w:b/>
                <w:bCs/>
                <w:sz w:val="24"/>
                <w:szCs w:val="24"/>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供应商是法人的，应提供2021年度财务状况或其基本开户银行出具的资信证明复印件；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供应商是其他组织或自然人的，应提供银行出具的资信证明复印件。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供应商是其他组织和自然人的，需要提供开标前三个月内任意一个月的缴纳税收和社会保险的凭据复印件。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注：依法免税或不需要缴纳社会保障资金的供应商，须提供相应文件证明其依法免税或不需要缴纳社会保障资金证明材料。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（5）近三年内供应商在经营活动中没有重大违法记录，其中：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提交疑问时间：截止时间2022年4月20日12:00前。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提交疑问方式：发电子邮件至</w:t>
            </w:r>
            <w:r>
              <w:rPr>
                <w:rFonts w:hint="eastAsia" w:ascii="仿宋" w:hAnsi="仿宋" w:eastAsia="仿宋" w:cs="仿宋"/>
                <w:color w:val="auto"/>
                <w:sz w:val="24"/>
                <w:szCs w:val="24"/>
                <w:highlight w:val="none"/>
                <w:u w:val="none"/>
                <w:lang w:val="en-US" w:eastAsia="zh-CN"/>
              </w:rPr>
              <w:t>tongchengjn@163.com</w:t>
            </w:r>
            <w:r>
              <w:rPr>
                <w:rFonts w:hint="eastAsia" w:ascii="仿宋" w:hAnsi="仿宋" w:eastAsia="仿宋" w:cs="仿宋"/>
                <w:sz w:val="24"/>
                <w:szCs w:val="24"/>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澄清和修改文件发送时间（如有）：2022年4月21日17:00前；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纸质投标文件4份，其中正本1份和副本3份；电子版投标文件1份（U盘，可编辑word版本和PDF版本各一份）；开标一览表一式3份。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电子版内容应包含投标文件的全部商务、报价、技术内容及技术资料，其中有英文资料的还应提供中、英文对照文本。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注：纸质投标文件的装订：供应商须将投标文件（正本、副本）按照投标文件组成的顺序胶装成册，并在首页编制“目录”，正反双面打印，每页均应标注页码，装订应牢固、不易拆散和换页。装订要求：①每份投标文件的厚度不超过4.5cm，若超过4.5cm，可分册装订，每页标准页码；②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供应商应将投标文件正本、副本、电子版及开标一览表单独密封，并在封套明显处注明以下内容：</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项目编号、项目名称、包号；</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正本或副本或电子版或开标一览表；</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供应商名称（加盖公章）、地址、电话；</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每一密封件在封口处注明“于__年__月__日__时__分之前不准启封”字样。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金额：38000.00元整(大写：叁万捌仟元整）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采用支票、汇票、本票或者金融机构、担保机构出具的保函等形式的上述保证金应附在投标文件中，原件需到期退还的，可以单独密封在包封中。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highlight w:val="none"/>
                <w:lang w:val="en-US" w:eastAsia="zh-CN"/>
              </w:rPr>
            </w:pPr>
            <w:r>
              <w:rPr>
                <w:rFonts w:hint="eastAsia" w:ascii="仿宋" w:hAnsi="仿宋" w:eastAsia="仿宋" w:cs="仿宋"/>
                <w:b/>
                <w:bCs/>
                <w:sz w:val="24"/>
                <w:szCs w:val="24"/>
                <w:highlight w:val="none"/>
                <w:vertAlign w:val="baseline"/>
                <w:lang w:val="en-US" w:eastAsia="zh-CN"/>
              </w:rPr>
              <w:t>注：投标保证金缴纳完毕后需将保证金银行回执单发送至tongchengjn@163.com并电话联系代理机构。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开标地点：同投标文件递交地点。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pacing w:val="0"/>
                <w:kern w:val="2"/>
                <w:sz w:val="24"/>
                <w:szCs w:val="20"/>
                <w:highlight w:val="none"/>
                <w:lang w:val="en-US" w:eastAsia="zh-CN" w:bidi="ar-SA"/>
              </w:rPr>
              <w:t>注：疫情期间如无法进入报价室，我方将根据具体情况另行通知</w:t>
            </w:r>
            <w:r>
              <w:rPr>
                <w:rFonts w:hint="eastAsia" w:ascii="仿宋" w:hAnsi="仿宋" w:eastAsia="仿宋" w:cs="仿宋"/>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证明材料</w:t>
            </w:r>
          </w:p>
        </w:tc>
        <w:tc>
          <w:tcPr>
            <w:tcW w:w="523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④《国家节能产品认证证书》、《中国环境标志产品认证证书》。</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近三年：自投标截止日起倒推三年精确到日；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自设备交付验收合格之日起3年（不少于3年，可竞报），</w:t>
            </w:r>
            <w:r>
              <w:rPr>
                <w:rFonts w:hint="eastAsia" w:ascii="仿宋" w:hAnsi="仿宋" w:eastAsia="仿宋" w:cs="仿宋"/>
                <w:sz w:val="24"/>
                <w:szCs w:val="24"/>
                <w:highlight w:val="none"/>
                <w:lang w:val="en-US" w:eastAsia="zh-CN"/>
              </w:rPr>
              <w:t>提供质保函</w:t>
            </w:r>
            <w:r>
              <w:rPr>
                <w:rFonts w:hint="eastAsia" w:ascii="仿宋" w:hAnsi="仿宋" w:eastAsia="仿宋" w:cs="仿宋"/>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中标服务费按国家发展改革委员会办公厅发改办[2003]857号文、国家发展计划委员会计价格[2002]1980号文件规定的“货物类”收费标准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√不允许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2" w:char="00A3"/>
            </w:r>
            <w:r>
              <w:rPr>
                <w:rFonts w:hint="eastAsia" w:ascii="仿宋" w:hAnsi="仿宋" w:eastAsia="仿宋" w:cs="仿宋"/>
                <w:sz w:val="24"/>
                <w:szCs w:val="24"/>
                <w:highlight w:val="none"/>
                <w:vertAlign w:val="baseline"/>
                <w:lang w:val="en-US" w:eastAsia="zh-CN"/>
              </w:rPr>
              <w:t>允许，产品清单：详见第四章。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2" w:char="00A3"/>
            </w:r>
            <w:r>
              <w:rPr>
                <w:rFonts w:hint="eastAsia" w:ascii="仿宋" w:hAnsi="仿宋" w:eastAsia="仿宋" w:cs="仿宋"/>
                <w:sz w:val="24"/>
                <w:szCs w:val="24"/>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42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c>
          <w:tcPr>
            <w:tcW w:w="5230"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采购人认为具备相关条件的，将在签订合同时对中小企业在资金支付期限、预付款比例等方面提供明确的优惠措施。</w:t>
            </w:r>
          </w:p>
        </w:tc>
      </w:tr>
    </w:tbl>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44"/>
          <w:szCs w:val="44"/>
          <w:highlight w:val="none"/>
          <w:lang w:val="en-US" w:eastAsia="zh-CN"/>
        </w:rPr>
      </w:pPr>
      <w:r>
        <w:rPr>
          <w:rFonts w:hint="default"/>
          <w:sz w:val="44"/>
          <w:szCs w:val="44"/>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360" w:lineRule="auto"/>
        <w:jc w:val="center"/>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工信部联企业〔2011〕300号</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widowControl w:val="0"/>
        <w:numPr>
          <w:ilvl w:val="0"/>
          <w:numId w:val="0"/>
        </w:numPr>
        <w:kinsoku/>
        <w:wordWrap/>
        <w:overflowPunct/>
        <w:topLinePunct w:val="0"/>
        <w:bidi w:val="0"/>
        <w:adjustRightInd/>
        <w:spacing w:line="360" w:lineRule="auto"/>
        <w:jc w:val="righ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工业和信息化部   国家统计局</w:t>
      </w:r>
    </w:p>
    <w:p>
      <w:pPr>
        <w:keepNext w:val="0"/>
        <w:keepLines w:val="0"/>
        <w:pageBreakBefore w:val="0"/>
        <w:widowControl w:val="0"/>
        <w:numPr>
          <w:ilvl w:val="0"/>
          <w:numId w:val="0"/>
        </w:numPr>
        <w:kinsoku/>
        <w:wordWrap/>
        <w:overflowPunct/>
        <w:topLinePunct w:val="0"/>
        <w:bidi w:val="0"/>
        <w:adjustRightInd/>
        <w:spacing w:line="360" w:lineRule="auto"/>
        <w:jc w:val="righ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国家发展和改革委员会 财政部</w:t>
      </w:r>
    </w:p>
    <w:p>
      <w:pPr>
        <w:keepNext w:val="0"/>
        <w:keepLines w:val="0"/>
        <w:pageBreakBefore w:val="0"/>
        <w:widowControl w:val="0"/>
        <w:numPr>
          <w:ilvl w:val="0"/>
          <w:numId w:val="0"/>
        </w:numPr>
        <w:kinsoku/>
        <w:wordWrap/>
        <w:overflowPunct/>
        <w:topLinePunct w:val="0"/>
        <w:bidi w:val="0"/>
        <w:adjustRightInd/>
        <w:spacing w:line="360" w:lineRule="auto"/>
        <w:jc w:val="righ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rPr>
          <w:rFonts w:hint="default"/>
          <w:sz w:val="44"/>
          <w:szCs w:val="44"/>
          <w:highlight w:val="none"/>
          <w:lang w:val="en-US" w:eastAsia="zh-CN"/>
        </w:rPr>
      </w:pPr>
      <w:r>
        <w:rPr>
          <w:rFonts w:hint="default"/>
          <w:sz w:val="44"/>
          <w:szCs w:val="44"/>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九、本规定由工业和信息化部、国家统计局会同有关部门负责解释。</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sz w:val="40"/>
          <w:szCs w:val="40"/>
          <w:highlight w:val="none"/>
          <w:lang w:val="en-US" w:eastAsia="zh-CN"/>
        </w:rPr>
      </w:pPr>
      <w:bookmarkStart w:id="12" w:name="_Toc17782"/>
      <w:r>
        <w:rPr>
          <w:rFonts w:hint="eastAsia" w:ascii="宋体" w:hAnsi="宋体" w:eastAsia="宋体" w:cs="宋体"/>
          <w:sz w:val="40"/>
          <w:szCs w:val="40"/>
          <w:highlight w:val="none"/>
          <w:lang w:val="en-US" w:eastAsia="zh-CN"/>
        </w:rPr>
        <w:t>供应商须知正文</w:t>
      </w:r>
      <w:bookmarkEnd w:id="12"/>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eastAsia" w:ascii="黑体" w:hAnsi="黑体" w:eastAsia="黑体" w:cs="黑体"/>
          <w:b w:val="0"/>
          <w:bCs/>
          <w:sz w:val="32"/>
          <w:szCs w:val="32"/>
          <w:highlight w:val="none"/>
          <w:lang w:val="en-US" w:eastAsia="zh-CN"/>
        </w:rPr>
      </w:pPr>
      <w:bookmarkStart w:id="13" w:name="_Toc7569"/>
      <w:r>
        <w:rPr>
          <w:rFonts w:hint="eastAsia" w:ascii="黑体" w:hAnsi="黑体" w:eastAsia="黑体" w:cs="黑体"/>
          <w:b w:val="0"/>
          <w:bCs/>
          <w:sz w:val="32"/>
          <w:szCs w:val="32"/>
          <w:highlight w:val="none"/>
          <w:lang w:val="en-US" w:eastAsia="zh-CN"/>
        </w:rPr>
        <w:t>说明</w:t>
      </w:r>
      <w:bookmarkEnd w:id="13"/>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详见供应商须知前附表。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详见供应商须知前附表。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合格供应商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详见供应商须知前附表。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无论投标过程中的方法和结果如何，供应商自行承担所有与参加投标有关费用。</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4" w:name="_Toc18768"/>
      <w:r>
        <w:rPr>
          <w:rFonts w:hint="default" w:ascii="黑体" w:hAnsi="黑体" w:eastAsia="黑体" w:cs="黑体"/>
          <w:b w:val="0"/>
          <w:bCs/>
          <w:sz w:val="32"/>
          <w:szCs w:val="32"/>
          <w:highlight w:val="none"/>
          <w:lang w:val="en-US" w:eastAsia="zh-CN"/>
        </w:rPr>
        <w:t>招标文件</w:t>
      </w:r>
      <w:bookmarkEnd w:id="14"/>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本招标文件由招标文件目录所列内容及按本招标文件要求发出的澄清、答疑和修改组成。</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招标文件澄清和修改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7.3供应商须在收到代理机构的澄清、修改或变更后24小时内书面回执。</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5" w:name="_Toc8401"/>
      <w:r>
        <w:rPr>
          <w:rFonts w:hint="default" w:ascii="黑体" w:hAnsi="黑体" w:eastAsia="黑体" w:cs="黑体"/>
          <w:b w:val="0"/>
          <w:bCs/>
          <w:sz w:val="32"/>
          <w:szCs w:val="32"/>
          <w:highlight w:val="none"/>
          <w:lang w:val="en-US" w:eastAsia="zh-CN"/>
        </w:rPr>
        <w:t>投标文件编写</w:t>
      </w:r>
      <w:bookmarkEnd w:id="15"/>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投标语言及计量单位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9.1商务文件</w:t>
      </w:r>
      <w:r>
        <w:rPr>
          <w:rFonts w:hint="eastAsia" w:ascii="仿宋" w:hAnsi="仿宋" w:eastAsia="仿宋" w:cs="仿宋"/>
          <w:b/>
          <w:bCs/>
          <w:sz w:val="24"/>
          <w:szCs w:val="24"/>
          <w:highlight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投标函；</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法定代表人身份证明；</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法定代表人授权委托书；</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开标一览表；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分项报价表；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主要设备及配件报价明细表；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设备维保明细表；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质保期内供应的备品备件、易损件、耗材、专用工具价格表；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质保期满后长期供应的备品备件、易损件、耗材、专用工具价格表；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商务响应一览表；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近年类似业绩一览表，附相关证明材料；</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9.2技术文件：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投标货物的制造、调试、验收标准/方案计划；</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投标货物的包装、运输方案；</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投标货物安装或指导安装方案，安装或指导安装组织机构及人员情况；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供应商对招标人操作、维护人员培训方案（包括培训人数、时间、地点、目的、内容、培训程度等）；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投标货物交货时可提供的技术资料清单；</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供应商关于投标货物知识产权的承诺书（如有）；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需招标人配合的工作和条件；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供应商和制造商的基本情况；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9.3资格、资质证明部分：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按《政府采购法实施条例》第十七条的规定，应提供的基本资格条件证明材料，详见供应商须知前附表</w:t>
      </w:r>
      <w:r>
        <w:rPr>
          <w:rFonts w:hint="eastAsia" w:ascii="仿宋" w:hAnsi="仿宋" w:eastAsia="仿宋" w:cs="仿宋"/>
          <w:sz w:val="24"/>
          <w:szCs w:val="24"/>
          <w:highlight w:val="none"/>
          <w:lang w:val="en-US" w:eastAsia="zh-CN"/>
        </w:rPr>
        <w:t>第5条</w:t>
      </w:r>
      <w:r>
        <w:rPr>
          <w:rFonts w:hint="default" w:ascii="仿宋" w:hAnsi="仿宋" w:eastAsia="仿宋" w:cs="仿宋"/>
          <w:sz w:val="24"/>
          <w:szCs w:val="24"/>
          <w:highlight w:val="none"/>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sz w:val="24"/>
          <w:szCs w:val="24"/>
          <w:highlight w:val="none"/>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4"/>
          <w:szCs w:val="24"/>
          <w:highlight w:val="none"/>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10.7如果大写金额和小写金额不一致时，以大写金额为准。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投标文件签署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投标文件密封和标记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投标文件装订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详见供应商须知前附表。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15.3保证金的退还：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2）中标人的投标保证金在签订合同后5个工作日内予以退还。</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16.1本项目投标有效期见供应商须知前附表。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6" w:name="_Toc25926"/>
      <w:r>
        <w:rPr>
          <w:rFonts w:hint="default" w:ascii="黑体" w:hAnsi="黑体" w:eastAsia="黑体" w:cs="黑体"/>
          <w:b w:val="0"/>
          <w:bCs/>
          <w:sz w:val="32"/>
          <w:szCs w:val="32"/>
          <w:highlight w:val="none"/>
          <w:lang w:val="en-US" w:eastAsia="zh-CN"/>
        </w:rPr>
        <w:t>投标文件递交</w:t>
      </w:r>
      <w:bookmarkEnd w:id="16"/>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17.3代理机构不接收投标截止时间后送达的投标文件。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17.4供应商法定代表人或其授权代理人应持法人资格证明及本人身份证或法人授权委托书及本人身份证等证件的原件参加磋商会议，并签名报到，否则视为自动放弃报价资格。</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投标文件签收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18.2投标截止时间后对供应商已提交的投标文件不予退还。</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投标文件修改与撤回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19.4投标有效期内不得撤回投标，否则其投标保证金不予退还。</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7" w:name="_Toc25964"/>
      <w:r>
        <w:rPr>
          <w:rFonts w:hint="default" w:ascii="黑体" w:hAnsi="黑体" w:eastAsia="黑体" w:cs="黑体"/>
          <w:b w:val="0"/>
          <w:bCs/>
          <w:sz w:val="32"/>
          <w:szCs w:val="32"/>
          <w:highlight w:val="none"/>
          <w:lang w:val="en-US" w:eastAsia="zh-CN"/>
        </w:rPr>
        <w:t>开标与评标</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本次招标的开标、评标由采购人委托的采购代理机构依法组织实施。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20.4唱标记录表由参加开标的各供应商代表和相关工作人员签字确认。</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评标委员会由五人及以上单数组成，其中评审专家不少于三分之二。评标委员会的组成见供应商须知前附表，评标委员会负责对投标文件进行审查、评审，提出书面评标报告，</w:t>
      </w:r>
      <w:r>
        <w:rPr>
          <w:rFonts w:hint="eastAsia" w:ascii="仿宋" w:hAnsi="仿宋" w:eastAsia="仿宋" w:cs="仿宋"/>
          <w:sz w:val="24"/>
          <w:szCs w:val="24"/>
          <w:highlight w:val="none"/>
          <w:lang w:val="en-US" w:eastAsia="zh-CN"/>
        </w:rPr>
        <w:t>确定</w:t>
      </w:r>
      <w:r>
        <w:rPr>
          <w:rFonts w:hint="default" w:ascii="仿宋" w:hAnsi="仿宋" w:eastAsia="仿宋" w:cs="仿宋"/>
          <w:sz w:val="24"/>
          <w:szCs w:val="24"/>
          <w:highlight w:val="none"/>
          <w:lang w:val="en-US" w:eastAsia="zh-CN"/>
        </w:rPr>
        <w:t>中标人。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评标原则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本项目评标方法见供应商须知前附表。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24.2公开招标采购项目开标结束后，</w:t>
      </w:r>
      <w:r>
        <w:rPr>
          <w:rFonts w:hint="eastAsia" w:ascii="仿宋" w:hAnsi="仿宋" w:eastAsia="仿宋" w:cs="仿宋"/>
          <w:sz w:val="24"/>
          <w:szCs w:val="24"/>
          <w:highlight w:val="none"/>
          <w:lang w:val="en-US" w:eastAsia="zh-CN"/>
        </w:rPr>
        <w:t>由</w:t>
      </w:r>
      <w:r>
        <w:rPr>
          <w:rFonts w:hint="default" w:ascii="仿宋" w:hAnsi="仿宋" w:eastAsia="仿宋" w:cs="仿宋"/>
          <w:sz w:val="24"/>
          <w:szCs w:val="24"/>
          <w:highlight w:val="none"/>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12）投标文件含有采购人不能接受的附加条件的</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CN"/>
        </w:rPr>
        <w:t>由评标委员会认定的</w:t>
      </w:r>
      <w:r>
        <w:rPr>
          <w:rFonts w:hint="default" w:ascii="仿宋" w:hAnsi="仿宋" w:eastAsia="仿宋" w:cs="仿宋"/>
          <w:sz w:val="24"/>
          <w:szCs w:val="24"/>
          <w:highlight w:val="none"/>
          <w:lang w:val="en-US" w:eastAsia="zh-CN"/>
        </w:rPr>
        <w:t>偏离项与</w:t>
      </w:r>
      <w:r>
        <w:rPr>
          <w:rFonts w:hint="eastAsia" w:ascii="仿宋" w:hAnsi="仿宋" w:eastAsia="仿宋" w:cs="仿宋"/>
          <w:sz w:val="24"/>
          <w:szCs w:val="24"/>
          <w:highlight w:val="none"/>
          <w:lang w:val="en-US" w:eastAsia="zh-CN"/>
        </w:rPr>
        <w:t>投标文件中“商务响应一览表”、“</w:t>
      </w:r>
      <w:r>
        <w:rPr>
          <w:rFonts w:hint="default" w:ascii="仿宋" w:hAnsi="仿宋" w:eastAsia="仿宋" w:cs="仿宋"/>
          <w:sz w:val="24"/>
          <w:szCs w:val="24"/>
          <w:highlight w:val="none"/>
          <w:lang w:val="en-US" w:eastAsia="zh-CN"/>
        </w:rPr>
        <w:t>技术响应一览表</w:t>
      </w:r>
      <w:r>
        <w:rPr>
          <w:rFonts w:hint="eastAsia" w:ascii="仿宋" w:hAnsi="仿宋" w:eastAsia="仿宋" w:cs="仿宋"/>
          <w:sz w:val="24"/>
          <w:szCs w:val="24"/>
          <w:highlight w:val="none"/>
          <w:lang w:val="en-US" w:eastAsia="zh-CN"/>
        </w:rPr>
        <w:t>”中</w:t>
      </w:r>
      <w:r>
        <w:rPr>
          <w:rFonts w:hint="default" w:ascii="仿宋" w:hAnsi="仿宋" w:eastAsia="仿宋" w:cs="仿宋"/>
          <w:sz w:val="24"/>
          <w:szCs w:val="24"/>
          <w:highlight w:val="none"/>
          <w:lang w:val="en-US" w:eastAsia="zh-CN"/>
        </w:rPr>
        <w:t>偏离项不一致</w:t>
      </w:r>
      <w:r>
        <w:rPr>
          <w:rFonts w:hint="eastAsia" w:ascii="仿宋" w:hAnsi="仿宋" w:eastAsia="仿宋" w:cs="仿宋"/>
          <w:sz w:val="24"/>
          <w:szCs w:val="24"/>
          <w:highlight w:val="none"/>
          <w:lang w:val="en-US" w:eastAsia="zh-CN"/>
        </w:rPr>
        <w:t>时</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评标委员会按实际情况打分，并</w:t>
      </w:r>
      <w:r>
        <w:rPr>
          <w:rFonts w:hint="default" w:ascii="仿宋" w:hAnsi="仿宋" w:eastAsia="仿宋" w:cs="仿宋"/>
          <w:sz w:val="24"/>
          <w:szCs w:val="24"/>
          <w:highlight w:val="none"/>
          <w:lang w:val="en-US" w:eastAsia="zh-CN"/>
        </w:rPr>
        <w:t>在投标文件正本标注</w:t>
      </w:r>
      <w:r>
        <w:rPr>
          <w:rFonts w:hint="eastAsia" w:ascii="仿宋" w:hAnsi="仿宋" w:eastAsia="仿宋" w:cs="仿宋"/>
          <w:sz w:val="24"/>
          <w:szCs w:val="24"/>
          <w:highlight w:val="none"/>
          <w:lang w:val="en-US" w:eastAsia="zh-CN"/>
        </w:rPr>
        <w:t>明细</w:t>
      </w:r>
      <w:r>
        <w:rPr>
          <w:rFonts w:hint="default"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综合评审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4"/>
          <w:szCs w:val="24"/>
          <w:highlight w:val="none"/>
          <w:lang w:val="en-US" w:eastAsia="zh-CN"/>
        </w:rPr>
        <w:t>确定</w:t>
      </w:r>
      <w:r>
        <w:rPr>
          <w:rFonts w:hint="default" w:ascii="仿宋" w:hAnsi="仿宋" w:eastAsia="仿宋" w:cs="仿宋"/>
          <w:sz w:val="24"/>
          <w:szCs w:val="24"/>
          <w:highlight w:val="none"/>
          <w:lang w:val="en-US" w:eastAsia="zh-CN"/>
        </w:rPr>
        <w:t>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28.1中小企业优惠办法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w:t>
      </w:r>
      <w:r>
        <w:rPr>
          <w:rFonts w:hint="default" w:ascii="仿宋" w:hAnsi="仿宋" w:eastAsia="仿宋" w:cs="仿宋"/>
          <w:sz w:val="24"/>
          <w:szCs w:val="24"/>
          <w:highlight w:val="none"/>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w:t>
      </w:r>
      <w:r>
        <w:rPr>
          <w:rFonts w:hint="default" w:ascii="仿宋" w:hAnsi="仿宋" w:eastAsia="仿宋" w:cs="仿宋"/>
          <w:sz w:val="24"/>
          <w:szCs w:val="24"/>
          <w:highlight w:val="none"/>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w:t>
      </w:r>
      <w:r>
        <w:rPr>
          <w:rFonts w:hint="default" w:ascii="仿宋" w:hAnsi="仿宋" w:eastAsia="仿宋" w:cs="仿宋"/>
          <w:sz w:val="24"/>
          <w:szCs w:val="24"/>
          <w:highlight w:val="none"/>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w:t>
      </w:r>
      <w:r>
        <w:rPr>
          <w:rFonts w:hint="default" w:ascii="仿宋" w:hAnsi="仿宋" w:eastAsia="仿宋" w:cs="仿宋"/>
          <w:sz w:val="24"/>
          <w:szCs w:val="24"/>
          <w:highlight w:val="none"/>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w:t>
      </w:r>
      <w:r>
        <w:rPr>
          <w:rFonts w:hint="default" w:ascii="仿宋" w:hAnsi="仿宋" w:eastAsia="仿宋" w:cs="仿宋"/>
          <w:sz w:val="24"/>
          <w:szCs w:val="24"/>
          <w:highlight w:val="none"/>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sz w:val="24"/>
          <w:szCs w:val="24"/>
          <w:highlight w:val="none"/>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4"/>
          <w:szCs w:val="24"/>
          <w:highlight w:val="none"/>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违法情形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特殊情况处置程序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废标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6）法律、法规及招标文件规定的其他情况。</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8" w:name="_Toc12568"/>
      <w:r>
        <w:rPr>
          <w:rFonts w:hint="default" w:ascii="黑体" w:hAnsi="黑体" w:eastAsia="黑体" w:cs="黑体"/>
          <w:b w:val="0"/>
          <w:bCs/>
          <w:sz w:val="32"/>
          <w:szCs w:val="32"/>
          <w:highlight w:val="none"/>
          <w:lang w:val="en-US" w:eastAsia="zh-CN"/>
        </w:rPr>
        <w:t>询问和质疑</w:t>
      </w:r>
      <w:bookmarkEnd w:id="18"/>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sz w:val="24"/>
          <w:szCs w:val="24"/>
          <w:highlight w:val="none"/>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4"/>
          <w:szCs w:val="24"/>
          <w:highlight w:val="none"/>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19" w:name="_Toc2982"/>
      <w:r>
        <w:rPr>
          <w:rFonts w:hint="default" w:ascii="黑体" w:hAnsi="黑体" w:eastAsia="黑体" w:cs="黑体"/>
          <w:b w:val="0"/>
          <w:bCs/>
          <w:sz w:val="32"/>
          <w:szCs w:val="32"/>
          <w:highlight w:val="none"/>
          <w:lang w:val="en-US" w:eastAsia="zh-CN"/>
        </w:rPr>
        <w:t>授予合同</w:t>
      </w:r>
      <w:bookmarkEnd w:id="19"/>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35.2中标通知书是合同的一个组成部分。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36.3招标文件、中标人的投标文件以及评标过程中的有关澄清、承诺文件均为合同的组成部分。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注：最终合同内容以采购人签署的合同为准</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20" w:name="_Toc13556"/>
      <w:r>
        <w:rPr>
          <w:rFonts w:hint="default" w:ascii="黑体" w:hAnsi="黑体" w:eastAsia="黑体" w:cs="黑体"/>
          <w:b w:val="0"/>
          <w:bCs/>
          <w:sz w:val="32"/>
          <w:szCs w:val="32"/>
          <w:highlight w:val="none"/>
          <w:lang w:val="en-US" w:eastAsia="zh-CN"/>
        </w:rPr>
        <w:t>中标服务费</w:t>
      </w:r>
      <w:bookmarkEnd w:id="20"/>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21" w:name="_Toc13138"/>
      <w:r>
        <w:rPr>
          <w:rFonts w:hint="default" w:ascii="黑体" w:hAnsi="黑体" w:eastAsia="黑体" w:cs="黑体"/>
          <w:b w:val="0"/>
          <w:bCs/>
          <w:sz w:val="32"/>
          <w:szCs w:val="32"/>
          <w:highlight w:val="none"/>
          <w:lang w:val="en-US" w:eastAsia="zh-CN"/>
        </w:rPr>
        <w:t>其他</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val="en-US" w:eastAsia="zh-CN"/>
        </w:rPr>
        <w:t>8</w:t>
      </w:r>
      <w:r>
        <w:rPr>
          <w:rFonts w:hint="default" w:ascii="仿宋" w:hAnsi="仿宋" w:eastAsia="仿宋" w:cs="仿宋"/>
          <w:b/>
          <w:bCs/>
          <w:sz w:val="24"/>
          <w:szCs w:val="24"/>
          <w:highlight w:val="none"/>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（11）提供假冒伪劣产品；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供应商有前款第（1）至（5）项、第（7）项情形之一的，中标无效。</w:t>
      </w:r>
    </w:p>
    <w:p>
      <w:pPr>
        <w:pStyle w:val="5"/>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0" w:firstLineChars="0"/>
        <w:textAlignment w:val="auto"/>
        <w:outlineLvl w:val="2"/>
        <w:rPr>
          <w:rFonts w:hint="default" w:ascii="黑体" w:hAnsi="黑体" w:eastAsia="黑体" w:cs="黑体"/>
          <w:b w:val="0"/>
          <w:bCs/>
          <w:sz w:val="32"/>
          <w:szCs w:val="32"/>
          <w:highlight w:val="none"/>
          <w:lang w:val="en-US" w:eastAsia="zh-CN"/>
        </w:rPr>
      </w:pPr>
      <w:bookmarkStart w:id="22" w:name="_Toc9927"/>
      <w:r>
        <w:rPr>
          <w:rFonts w:hint="default" w:ascii="黑体" w:hAnsi="黑体" w:eastAsia="黑体" w:cs="黑体"/>
          <w:b w:val="0"/>
          <w:bCs/>
          <w:sz w:val="32"/>
          <w:szCs w:val="32"/>
          <w:highlight w:val="none"/>
          <w:lang w:val="en-US" w:eastAsia="zh-CN"/>
        </w:rPr>
        <w:t>解释权</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w:t>
      </w:r>
      <w:r>
        <w:rPr>
          <w:rFonts w:hint="default" w:ascii="仿宋" w:hAnsi="仿宋" w:eastAsia="仿宋" w:cs="仿宋"/>
          <w:sz w:val="24"/>
          <w:szCs w:val="24"/>
          <w:highlight w:val="none"/>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3"/>
        <w:keepNext w:val="0"/>
        <w:keepLines w:val="0"/>
        <w:pageBreakBefore w:val="0"/>
        <w:widowControl w:val="0"/>
        <w:numPr>
          <w:ilvl w:val="0"/>
          <w:numId w:val="6"/>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23" w:name="_Toc2534"/>
      <w:r>
        <w:rPr>
          <w:rFonts w:hint="eastAsia"/>
          <w:sz w:val="40"/>
          <w:szCs w:val="22"/>
          <w:highlight w:val="none"/>
          <w:lang w:val="en-US" w:eastAsia="zh-CN"/>
        </w:rPr>
        <w:t>评分办法</w:t>
      </w:r>
      <w:bookmarkEnd w:id="23"/>
    </w:p>
    <w:p>
      <w:pPr>
        <w:pStyle w:val="4"/>
        <w:keepNext w:val="0"/>
        <w:keepLines w:val="0"/>
        <w:pageBreakBefore w:val="0"/>
        <w:widowControl w:val="0"/>
        <w:numPr>
          <w:ilvl w:val="0"/>
          <w:numId w:val="16"/>
        </w:numPr>
        <w:kinsoku/>
        <w:wordWrap/>
        <w:overflowPunct/>
        <w:topLinePunct w:val="0"/>
        <w:bidi w:val="0"/>
        <w:adjustRightInd/>
        <w:spacing w:line="360" w:lineRule="auto"/>
        <w:textAlignment w:val="auto"/>
        <w:rPr>
          <w:rFonts w:hint="default"/>
          <w:sz w:val="32"/>
          <w:szCs w:val="24"/>
          <w:highlight w:val="none"/>
          <w:lang w:val="en-US" w:eastAsia="zh-CN"/>
        </w:rPr>
      </w:pPr>
      <w:bookmarkStart w:id="24" w:name="_Toc19583"/>
      <w:r>
        <w:rPr>
          <w:rFonts w:hint="default"/>
          <w:sz w:val="32"/>
          <w:szCs w:val="24"/>
          <w:highlight w:val="none"/>
          <w:lang w:val="en-US" w:eastAsia="zh-CN"/>
        </w:rPr>
        <w:t>评标方法</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w:t>
      </w:r>
      <w:r>
        <w:rPr>
          <w:rFonts w:hint="default" w:ascii="仿宋" w:hAnsi="仿宋" w:eastAsia="仿宋" w:cs="仿宋"/>
          <w:sz w:val="24"/>
          <w:szCs w:val="24"/>
          <w:highlight w:val="none"/>
          <w:lang w:val="en-US" w:eastAsia="zh-CN"/>
        </w:rPr>
        <w:t>提出书面评标报告，</w:t>
      </w:r>
      <w:r>
        <w:rPr>
          <w:rFonts w:hint="eastAsia" w:ascii="仿宋" w:hAnsi="仿宋" w:eastAsia="仿宋" w:cs="仿宋"/>
          <w:sz w:val="24"/>
          <w:szCs w:val="24"/>
          <w:highlight w:val="none"/>
          <w:lang w:val="en-US" w:eastAsia="zh-CN"/>
        </w:rPr>
        <w:t>确定</w:t>
      </w:r>
      <w:r>
        <w:rPr>
          <w:rFonts w:hint="default" w:ascii="仿宋" w:hAnsi="仿宋" w:eastAsia="仿宋" w:cs="仿宋"/>
          <w:sz w:val="24"/>
          <w:szCs w:val="24"/>
          <w:highlight w:val="none"/>
          <w:lang w:val="en-US" w:eastAsia="zh-CN"/>
        </w:rPr>
        <w:t>中标人</w:t>
      </w:r>
      <w:r>
        <w:rPr>
          <w:rFonts w:hint="eastAsia" w:ascii="仿宋" w:hAnsi="仿宋" w:eastAsia="仿宋" w:cs="仿宋"/>
          <w:sz w:val="24"/>
          <w:szCs w:val="24"/>
          <w:highlight w:val="none"/>
          <w:lang w:val="en-US" w:eastAsia="zh-CN"/>
        </w:rPr>
        <w:t>。</w:t>
      </w:r>
    </w:p>
    <w:p>
      <w:pPr>
        <w:pStyle w:val="4"/>
        <w:keepNext w:val="0"/>
        <w:keepLines w:val="0"/>
        <w:pageBreakBefore w:val="0"/>
        <w:widowControl w:val="0"/>
        <w:numPr>
          <w:ilvl w:val="0"/>
          <w:numId w:val="16"/>
        </w:numPr>
        <w:kinsoku/>
        <w:wordWrap/>
        <w:overflowPunct/>
        <w:topLinePunct w:val="0"/>
        <w:bidi w:val="0"/>
        <w:adjustRightInd/>
        <w:spacing w:line="360" w:lineRule="auto"/>
        <w:textAlignment w:val="auto"/>
        <w:rPr>
          <w:rFonts w:hint="eastAsia"/>
          <w:sz w:val="32"/>
          <w:szCs w:val="24"/>
          <w:highlight w:val="none"/>
          <w:lang w:val="en-US" w:eastAsia="zh-CN"/>
        </w:rPr>
      </w:pPr>
      <w:bookmarkStart w:id="25" w:name="_Toc4998"/>
      <w:r>
        <w:rPr>
          <w:rFonts w:hint="eastAsia"/>
          <w:sz w:val="32"/>
          <w:szCs w:val="24"/>
          <w:highlight w:val="none"/>
          <w:lang w:val="en-US" w:eastAsia="zh-CN"/>
        </w:rPr>
        <w:t>评审细则</w:t>
      </w:r>
      <w:bookmarkEnd w:id="2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满足招标文件要求得40分。</w:t>
            </w:r>
          </w:p>
          <w:p>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与重要技术参数（标记“#”的技术参数）每有一条（本表述“一条”并非指每一条款序号，应为每一条参数）存在负偏离的每有1条扣4分，扣完为止；</w:t>
            </w:r>
          </w:p>
          <w:p>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与一般技术或配置要求（未标记“#”的技术参数）每有一条（本表述“一条”并非指每一条款序号，应为每一条参数）存在负偏离的每有1条扣1分，扣完为止。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由评委根据供应商提供的按期交货的保证措施情况进行评审：</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描述清晰、详细、保证措施完善，得5分；</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描述清晰、保证措施得当，得4分；</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内容不全、有所欠缺，得2分；</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由评委根据供应商提供的安装调试方案进行评审：</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方案描述清晰、详细、切实可行、保障措施健全、有针对性，得5分；</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方案描述清晰、保障措施得当，得4分；</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内容不全、有所欠缺，得2分；</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描述清晰、详细、保证措施健全、有针对性，得5分；</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描述清晰、保证措施得当，得4分；</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内容不全、有所欠缺，得2分；</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1.质保期在满足招标文件最低要求情况下，质保每增加一年的2分，最多得4分；（提供原厂质保函，否则不得分）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2.由评委根据供应商提供的维保方案进行评审（本条最高得2分）：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维保方案描述内容不全、有所欠缺，得1分；</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3"/>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3"/>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3"/>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425" w:leftChars="0" w:hanging="425" w:firstLineChars="0"/>
              <w:jc w:val="right"/>
              <w:textAlignment w:val="auto"/>
              <w:rPr>
                <w:rFonts w:hint="eastAsia" w:ascii="仿宋" w:hAnsi="仿宋" w:eastAsia="仿宋" w:cs="仿宋"/>
                <w:sz w:val="24"/>
                <w:szCs w:val="24"/>
                <w:highlight w:val="none"/>
                <w:vertAlign w:val="baseline"/>
                <w:lang w:val="en-US" w:eastAsia="zh-CN"/>
              </w:rPr>
            </w:pPr>
            <w:bookmarkStart w:id="26" w:name="_Toc23021"/>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由评标委员会认可的实质性优惠条款，每提供一条得1分，最高得2分，无不得分。</w:t>
            </w:r>
          </w:p>
        </w:tc>
      </w:tr>
    </w:tbl>
    <w:p>
      <w:pPr>
        <w:pStyle w:val="4"/>
        <w:keepNext w:val="0"/>
        <w:keepLines w:val="0"/>
        <w:pageBreakBefore w:val="0"/>
        <w:widowControl w:val="0"/>
        <w:numPr>
          <w:ilvl w:val="0"/>
          <w:numId w:val="16"/>
        </w:numPr>
        <w:kinsoku/>
        <w:wordWrap/>
        <w:overflowPunct/>
        <w:topLinePunct w:val="0"/>
        <w:bidi w:val="0"/>
        <w:adjustRightInd/>
        <w:spacing w:line="360" w:lineRule="auto"/>
        <w:textAlignment w:val="auto"/>
        <w:rPr>
          <w:rFonts w:hint="default"/>
          <w:sz w:val="32"/>
          <w:szCs w:val="24"/>
          <w:highlight w:val="none"/>
          <w:lang w:val="en-US" w:eastAsia="zh-CN"/>
        </w:rPr>
      </w:pPr>
      <w:r>
        <w:rPr>
          <w:rFonts w:hint="default"/>
          <w:sz w:val="32"/>
          <w:szCs w:val="24"/>
          <w:highlight w:val="none"/>
          <w:lang w:val="en-US" w:eastAsia="zh-CN"/>
        </w:rPr>
        <w:t>评审执行的政府采购政策</w:t>
      </w:r>
      <w:bookmarkEnd w:id="26"/>
    </w:p>
    <w:p>
      <w:pPr>
        <w:pStyle w:val="5"/>
        <w:keepNext w:val="0"/>
        <w:keepLines w:val="0"/>
        <w:pageBreakBefore w:val="0"/>
        <w:widowControl w:val="0"/>
        <w:numPr>
          <w:ilvl w:val="0"/>
          <w:numId w:val="24"/>
        </w:numPr>
        <w:kinsoku/>
        <w:wordWrap/>
        <w:overflowPunct/>
        <w:topLinePunct w:val="0"/>
        <w:autoSpaceDE/>
        <w:autoSpaceDN/>
        <w:bidi w:val="0"/>
        <w:adjustRightInd/>
        <w:snapToGrid w:val="0"/>
        <w:spacing w:line="360" w:lineRule="auto"/>
        <w:textAlignment w:val="auto"/>
        <w:rPr>
          <w:rFonts w:hint="default"/>
          <w:sz w:val="28"/>
          <w:szCs w:val="24"/>
          <w:highlight w:val="none"/>
          <w:lang w:val="en-US" w:eastAsia="zh-CN"/>
        </w:rPr>
      </w:pPr>
      <w:bookmarkStart w:id="27" w:name="_Toc7284"/>
      <w:r>
        <w:rPr>
          <w:rFonts w:hint="default"/>
          <w:sz w:val="28"/>
          <w:szCs w:val="24"/>
          <w:highlight w:val="none"/>
          <w:lang w:val="en-US" w:eastAsia="zh-CN"/>
        </w:rPr>
        <w:t>中小微型企业政府采购政策</w:t>
      </w:r>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3、评审价格的计算：评审价格=投标报价×（1-扣除幅度）。</w:t>
      </w:r>
    </w:p>
    <w:p>
      <w:pPr>
        <w:pStyle w:val="5"/>
        <w:keepNext w:val="0"/>
        <w:keepLines w:val="0"/>
        <w:pageBreakBefore w:val="0"/>
        <w:widowControl w:val="0"/>
        <w:numPr>
          <w:ilvl w:val="0"/>
          <w:numId w:val="24"/>
        </w:numPr>
        <w:kinsoku/>
        <w:wordWrap/>
        <w:overflowPunct/>
        <w:topLinePunct w:val="0"/>
        <w:autoSpaceDE/>
        <w:autoSpaceDN/>
        <w:bidi w:val="0"/>
        <w:adjustRightInd/>
        <w:snapToGrid w:val="0"/>
        <w:spacing w:line="360" w:lineRule="auto"/>
        <w:textAlignment w:val="auto"/>
        <w:rPr>
          <w:rFonts w:hint="default"/>
          <w:sz w:val="28"/>
          <w:szCs w:val="24"/>
          <w:highlight w:val="none"/>
          <w:lang w:val="en-US" w:eastAsia="zh-CN"/>
        </w:rPr>
      </w:pPr>
      <w:bookmarkStart w:id="28" w:name="_Toc6941"/>
      <w:r>
        <w:rPr>
          <w:rFonts w:hint="default"/>
          <w:sz w:val="28"/>
          <w:szCs w:val="24"/>
          <w:highlight w:val="none"/>
          <w:lang w:val="en-US" w:eastAsia="zh-CN"/>
        </w:rPr>
        <w:t>监狱企业政府采购政策</w:t>
      </w:r>
      <w:bookmarkEnd w:id="2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对监狱企业的价格给予[6%×（监狱企业产品合计报价/总报价）]的扣除，用扣除后的价格参与评审；参加政府采购活动的监狱企业应当在投标文件中提供监狱企业证明，否则不予认定。</w:t>
      </w:r>
    </w:p>
    <w:p>
      <w:pPr>
        <w:pStyle w:val="5"/>
        <w:keepNext w:val="0"/>
        <w:keepLines w:val="0"/>
        <w:pageBreakBefore w:val="0"/>
        <w:widowControl w:val="0"/>
        <w:numPr>
          <w:ilvl w:val="0"/>
          <w:numId w:val="24"/>
        </w:numPr>
        <w:kinsoku/>
        <w:wordWrap/>
        <w:overflowPunct/>
        <w:topLinePunct w:val="0"/>
        <w:autoSpaceDE/>
        <w:autoSpaceDN/>
        <w:bidi w:val="0"/>
        <w:adjustRightInd/>
        <w:snapToGrid w:val="0"/>
        <w:spacing w:line="360" w:lineRule="auto"/>
        <w:textAlignment w:val="auto"/>
        <w:rPr>
          <w:rFonts w:hint="default"/>
          <w:sz w:val="28"/>
          <w:szCs w:val="24"/>
          <w:highlight w:val="none"/>
          <w:lang w:val="en-US" w:eastAsia="zh-CN"/>
        </w:rPr>
      </w:pPr>
      <w:bookmarkStart w:id="29" w:name="_Toc30230"/>
      <w:r>
        <w:rPr>
          <w:rFonts w:hint="default"/>
          <w:sz w:val="28"/>
          <w:szCs w:val="24"/>
          <w:highlight w:val="none"/>
          <w:lang w:val="en-US" w:eastAsia="zh-CN"/>
        </w:rPr>
        <w:t>残疾人福利性单位政府采购政策</w:t>
      </w:r>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对残疾人福利性单位的价格给予[</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4"/>
        </w:numPr>
        <w:kinsoku/>
        <w:wordWrap/>
        <w:overflowPunct/>
        <w:topLinePunct w:val="0"/>
        <w:autoSpaceDE/>
        <w:autoSpaceDN/>
        <w:bidi w:val="0"/>
        <w:adjustRightInd/>
        <w:snapToGrid w:val="0"/>
        <w:spacing w:line="360" w:lineRule="auto"/>
        <w:textAlignment w:val="auto"/>
        <w:rPr>
          <w:rFonts w:hint="default"/>
          <w:sz w:val="28"/>
          <w:szCs w:val="24"/>
          <w:highlight w:val="none"/>
          <w:lang w:val="en-US" w:eastAsia="zh-CN"/>
        </w:rPr>
      </w:pPr>
      <w:bookmarkStart w:id="30" w:name="_Toc9022"/>
      <w:r>
        <w:rPr>
          <w:rFonts w:hint="default"/>
          <w:sz w:val="28"/>
          <w:szCs w:val="24"/>
          <w:highlight w:val="none"/>
          <w:lang w:val="en-US" w:eastAsia="zh-CN"/>
        </w:rPr>
        <w:t>节能、环保产品</w:t>
      </w:r>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如供应商提供的产品属于《环境标志产品政府采购品目清单》（《财政部</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生态环境部关于印发环境标志产品政府采购品目清单的通知》（财库〔2019〕18号））、《节能产品政府采购品目清单》（财政部</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3"/>
        <w:keepNext w:val="0"/>
        <w:keepLines w:val="0"/>
        <w:pageBreakBefore w:val="0"/>
        <w:widowControl w:val="0"/>
        <w:numPr>
          <w:ilvl w:val="0"/>
          <w:numId w:val="6"/>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31" w:name="_Toc22715"/>
      <w:r>
        <w:rPr>
          <w:rFonts w:hint="eastAsia"/>
          <w:sz w:val="40"/>
          <w:szCs w:val="22"/>
          <w:highlight w:val="none"/>
          <w:lang w:val="en-US" w:eastAsia="zh-CN"/>
        </w:rPr>
        <w:t>采购内容及项目要求</w:t>
      </w:r>
      <w:bookmarkEnd w:id="31"/>
    </w:p>
    <w:p>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lang w:val="en-US" w:eastAsia="zh-CN"/>
        </w:rPr>
        <w:t>采购要求</w:t>
      </w:r>
    </w:p>
    <w:p>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highlight w:val="none"/>
          <w:lang w:val="en-US" w:eastAsia="zh-CN"/>
        </w:rPr>
      </w:pPr>
      <w:bookmarkStart w:id="32" w:name="OLE_LINK17"/>
      <w:bookmarkStart w:id="33" w:name="OLE_LINK16"/>
      <w:r>
        <w:rPr>
          <w:rFonts w:hint="eastAsia" w:ascii="仿宋" w:hAnsi="仿宋" w:eastAsia="仿宋" w:cs="仿宋"/>
          <w:sz w:val="24"/>
          <w:szCs w:val="24"/>
          <w:highlight w:val="none"/>
          <w:lang w:val="en-US" w:eastAsia="zh-CN"/>
        </w:rPr>
        <w:t>1、核心部件内窥镜产品通过了FDA/CE认证，并可提供相关文件证明。</w:t>
      </w:r>
      <w:bookmarkEnd w:id="32"/>
      <w:bookmarkEnd w:id="33"/>
    </w:p>
    <w:p>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2、摄像系统、光源、腹腔镜必须为同一品牌。</w:t>
      </w:r>
    </w:p>
    <w:p>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3、本系统可作为白光4K超清腹腔镜使用，同时与医用内窥镜、荧光造影剂吲哚菁绿（ICG）配合使用，适用于在内窥镜手术中提供实时的4K 荧光图像。</w:t>
      </w:r>
    </w:p>
    <w:p>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4、采购数量：1套</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lang w:val="en-US" w:eastAsia="zh-CN"/>
        </w:rPr>
        <w:t>二、</w:t>
      </w:r>
      <w:r>
        <w:rPr>
          <w:rFonts w:hint="eastAsia" w:ascii="仿宋" w:hAnsi="仿宋" w:eastAsia="仿宋" w:cs="仿宋"/>
          <w:b/>
          <w:bCs/>
          <w:color w:val="000000"/>
          <w:kern w:val="0"/>
          <w:sz w:val="22"/>
          <w:szCs w:val="22"/>
          <w:highlight w:val="none"/>
        </w:rPr>
        <w:t>技术要求</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一</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摄像主机与摄像头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摄像系统主机可兼4K 分辨率超高清荧光摄像头，具备4K 图像处理性能，能够输出</w:t>
      </w:r>
      <w:r>
        <w:rPr>
          <w:rFonts w:hint="eastAsia" w:ascii="仿宋" w:hAnsi="仿宋" w:eastAsia="仿宋" w:cs="仿宋"/>
          <w:color w:val="000000"/>
          <w:kern w:val="0"/>
          <w:sz w:val="22"/>
          <w:szCs w:val="22"/>
          <w:highlight w:val="none"/>
          <w:lang w:eastAsia="zh-CN"/>
        </w:rPr>
        <w:t>≥</w:t>
      </w:r>
      <w:r>
        <w:rPr>
          <w:rFonts w:hint="eastAsia" w:ascii="仿宋" w:hAnsi="仿宋" w:eastAsia="仿宋" w:cs="仿宋"/>
          <w:color w:val="000000"/>
          <w:kern w:val="0"/>
          <w:sz w:val="22"/>
          <w:szCs w:val="22"/>
          <w:highlight w:val="none"/>
        </w:rPr>
        <w:t>3840*2160P 60Hz 动态图像</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 摄像系统主机支持三种图像模式：白光、亮荧光、暗荧光;</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 采用触摸屏设计，可在触摸屏上进行功能设置和常用参数显示；</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 摄像主机内置录像功能，可进行静态和动态图像采集功能，并通过USB 端口进行录像和图片输出，主机内置≥1个USB 接口；</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 摄像主机具备USB 移动设备识别功能，可读取移动设备并在触摸屏上显示移动设备状态和可录制剩余时间；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 能够同时具备4K 和全高清输出能力，具备多种4K 和全高清输出接口，满足医院多显示器需求。</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 具备至少4 个够同时输出的4K 超高清信号，信号输出方式应包括12G-SDI 或HDMI中至少一种，以便于手术室在连接副显示器时可以只通过一根线缆进行连接。</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 具备至少2 个能够同时输出的全高清信号，信号输出方式包括3G-SDI 或DVI 中至少一种；</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9. 出厂预设手术模式选择，满足胸腹腔镜、宫腔镜、膀胱镜等常见镜种的手术；</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 摄像头可连接目镜杯卡口为32mm 直径的各类光学视管；</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11. 摄像头具备≥3 个遥控按钮，可进行白平衡、拍照、录像、切换图像.冻结.缩放模式等7个功能设置，自定义按钮≥2 个；</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12. 具备2 倍光学齐变焦技术和2 倍电子变焦，最大可实现4 倍图像放大；</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二</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LED 光源</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设备支持同时输出近红外激光和白光，且激光为3R 级医用激光光源；</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 设备采用触摸屏设计，可在触摸屏上进行LED 光源的常用参数调整；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 设备类型：Ⅰ类CF 型；</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 灯泡输入功率：≥135W；</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 白光冷光源的输出总光通量应≥2000lm；</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 LED 灯泡工作寿命≥60000 小时；</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 光输出最大中心照度≥3000000LUX；</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 可进行多级亮度调节；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 冷光源在正常运行时产生的最大噪音噪音≤55dB（A）。</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0"/>
        <w:jc w:val="left"/>
        <w:textAlignment w:val="auto"/>
        <w:rPr>
          <w:rFonts w:hint="eastAsia" w:ascii="仿宋" w:hAnsi="仿宋" w:eastAsia="仿宋" w:cs="仿宋"/>
          <w:color w:val="000000"/>
          <w:kern w:val="0"/>
          <w:sz w:val="22"/>
          <w:szCs w:val="22"/>
          <w:highlight w:val="none"/>
          <w:lang w:eastAsia="zh-CN"/>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rPr>
        <w:t>10.</w:t>
      </w:r>
      <w:r>
        <w:rPr>
          <w:rFonts w:hint="eastAsia" w:ascii="仿宋" w:hAnsi="仿宋" w:eastAsia="仿宋" w:cs="仿宋"/>
          <w:color w:val="auto"/>
          <w:sz w:val="22"/>
          <w:szCs w:val="22"/>
          <w:highlight w:val="none"/>
        </w:rPr>
        <w:t xml:space="preserve"> 具有出光防护功能</w:t>
      </w:r>
      <w:r>
        <w:rPr>
          <w:rFonts w:hint="eastAsia" w:ascii="仿宋" w:hAnsi="仿宋" w:eastAsia="仿宋" w:cs="仿宋"/>
          <w:color w:val="auto"/>
          <w:sz w:val="22"/>
          <w:szCs w:val="2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三</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高流速气腹机</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流速≥50 升/分钟，流量调节范围≥0.1-50L/min；</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 压力范围：1mmHg-30mmHg，气压显示准确性±2mmHg；</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 采用触摸屏设计，能够更好进行设置操作，显示参数和故障信息；</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 具备少儿模式、成人模式、肥胖模式、后腹腔模式，亦可自定义模式；</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 具有双重报警系统，气压过高、管道堵塞、供气不足、自检失败、温度过高等情况下，既有声音提醒，亦有文字提示；</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 气压过高时，具有自动排气功能，防止体内压力过高；</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 具有排烟功能，在负压吸力为0.04-0.06MPa 的情况下，最大排烟流量≥8L/min；</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 气腹机末端CO2 气体加热功能;</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四</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 xml:space="preserve"> 4K超高清腹腔镜</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与摄像主机为同一品牌,可提供10mm/5.</w:t>
      </w:r>
      <w:r>
        <w:rPr>
          <w:rFonts w:hint="eastAsia" w:ascii="仿宋" w:hAnsi="仿宋" w:eastAsia="仿宋" w:cs="仿宋"/>
          <w:color w:val="000000"/>
          <w:kern w:val="0"/>
          <w:sz w:val="22"/>
          <w:szCs w:val="22"/>
          <w:highlight w:val="none"/>
          <w:lang w:val="en-US" w:eastAsia="zh-CN"/>
        </w:rPr>
        <w:t>5</w:t>
      </w:r>
      <w:r>
        <w:rPr>
          <w:rFonts w:hint="eastAsia" w:ascii="仿宋" w:hAnsi="仿宋" w:eastAsia="仿宋" w:cs="仿宋"/>
          <w:color w:val="000000"/>
          <w:kern w:val="0"/>
          <w:sz w:val="22"/>
          <w:szCs w:val="22"/>
          <w:highlight w:val="none"/>
        </w:rPr>
        <w:t>mm两种规格</w:t>
      </w:r>
      <w:r>
        <w:rPr>
          <w:rFonts w:hint="eastAsia" w:ascii="仿宋" w:hAnsi="仿宋" w:eastAsia="仿宋" w:cs="仿宋"/>
          <w:color w:val="000000"/>
          <w:kern w:val="0"/>
          <w:sz w:val="22"/>
          <w:szCs w:val="22"/>
          <w:highlight w:val="none"/>
          <w:lang w:eastAsia="zh-CN"/>
        </w:rPr>
        <w:t>，至少配置</w:t>
      </w:r>
      <w:r>
        <w:rPr>
          <w:rFonts w:hint="eastAsia" w:ascii="仿宋" w:hAnsi="仿宋" w:eastAsia="仿宋" w:cs="仿宋"/>
          <w:color w:val="000000"/>
          <w:kern w:val="0"/>
          <w:sz w:val="22"/>
          <w:szCs w:val="22"/>
          <w:highlight w:val="none"/>
          <w:lang w:val="en-US" w:eastAsia="zh-CN"/>
        </w:rPr>
        <w:t>3个</w:t>
      </w:r>
      <w:r>
        <w:rPr>
          <w:rFonts w:hint="eastAsia" w:ascii="仿宋" w:hAnsi="仿宋" w:eastAsia="仿宋" w:cs="仿宋"/>
          <w:color w:val="000000"/>
          <w:kern w:val="0"/>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w:t>
      </w:r>
      <w:r>
        <w:rPr>
          <w:rFonts w:hint="eastAsia" w:ascii="仿宋" w:hAnsi="仿宋" w:eastAsia="仿宋" w:cs="仿宋"/>
          <w:color w:val="000000"/>
          <w:kern w:val="0"/>
          <w:sz w:val="22"/>
          <w:szCs w:val="22"/>
          <w:highlight w:val="none"/>
        </w:rPr>
        <w:t>2.直径10±0.2mm， 0度/30 度视野方向，视野角度≥80°，工作长度≥320mm；直径5.5±0.2mm,0度/30度,工作长度≥300mm;</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3</w:t>
      </w:r>
      <w:r>
        <w:rPr>
          <w:rFonts w:hint="eastAsia" w:ascii="仿宋" w:hAnsi="仿宋" w:eastAsia="仿宋" w:cs="仿宋"/>
          <w:color w:val="000000"/>
          <w:kern w:val="0"/>
          <w:sz w:val="22"/>
          <w:szCs w:val="22"/>
          <w:highlight w:val="none"/>
        </w:rPr>
        <w:t>. 大景深光学视管，有效景深≥25-150mm；</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4</w:t>
      </w:r>
      <w:r>
        <w:rPr>
          <w:rFonts w:hint="eastAsia" w:ascii="仿宋" w:hAnsi="仿宋" w:eastAsia="仿宋" w:cs="仿宋"/>
          <w:color w:val="000000"/>
          <w:kern w:val="0"/>
          <w:sz w:val="22"/>
          <w:szCs w:val="22"/>
          <w:highlight w:val="none"/>
        </w:rPr>
        <w:t>. 镜头设计降低畸变现象；</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5</w:t>
      </w:r>
      <w:r>
        <w:rPr>
          <w:rFonts w:hint="eastAsia" w:ascii="仿宋" w:hAnsi="仿宋" w:eastAsia="仿宋" w:cs="仿宋"/>
          <w:color w:val="000000"/>
          <w:kern w:val="0"/>
          <w:sz w:val="22"/>
          <w:szCs w:val="22"/>
          <w:highlight w:val="none"/>
        </w:rPr>
        <w:t>. 可进行高温高压、等离子等灭菌。</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五</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医用监视器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≥31 英寸或以上4K 医用LCD 监视器；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 支持3840*2160P 50/60Hz 超高清4K 显示；</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3.具有HDMI 或12G-SDI 的4K 超高清接口；</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4.具有3G-SDI 或DVI 的全高清接口；</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5.最大背光亮度≥700cd/m2；</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6.具有≥178°可视角度；</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7.显示器对比度≥1400:1；</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lang w:val="en-US" w:eastAsia="zh-CN"/>
        </w:rPr>
        <w:t>六</w:t>
      </w:r>
      <w:r>
        <w:rPr>
          <w:rFonts w:hint="eastAsia" w:ascii="仿宋" w:hAnsi="仿宋" w:eastAsia="仿宋" w:cs="仿宋"/>
          <w:b/>
          <w:bCs/>
          <w:color w:val="000000"/>
          <w:kern w:val="0"/>
          <w:sz w:val="22"/>
          <w:szCs w:val="22"/>
          <w:highlight w:val="none"/>
          <w:lang w:eastAsia="zh-CN"/>
        </w:rPr>
        <w:t>）</w:t>
      </w:r>
      <w:r>
        <w:rPr>
          <w:rFonts w:hint="eastAsia" w:ascii="仿宋" w:hAnsi="仿宋" w:eastAsia="仿宋" w:cs="仿宋"/>
          <w:b/>
          <w:bCs/>
          <w:color w:val="000000"/>
          <w:kern w:val="0"/>
          <w:sz w:val="22"/>
          <w:szCs w:val="22"/>
          <w:highlight w:val="none"/>
        </w:rPr>
        <w:t>医用台车</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 医用台车一个；</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2.台车可放置31 英寸医用4K 医用监视器。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#（七）配置远程交互系统</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适用于专家远程术中指导和实时病例交流，</w:t>
      </w:r>
      <w:r>
        <w:rPr>
          <w:rFonts w:hint="eastAsia" w:ascii="仿宋" w:hAnsi="仿宋" w:eastAsia="仿宋" w:cs="仿宋"/>
          <w:bCs/>
          <w:color w:val="auto"/>
          <w:sz w:val="22"/>
          <w:szCs w:val="22"/>
          <w:highlight w:val="none"/>
        </w:rPr>
        <w:t>支持远程音视频会诊，手术指导，音视频教学服务</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支持跨平台多终端接入（设备、手机、PC、平板</w:t>
      </w:r>
      <w:r>
        <w:rPr>
          <w:rFonts w:hint="eastAsia" w:ascii="仿宋" w:hAnsi="仿宋" w:eastAsia="仿宋" w:cs="仿宋"/>
          <w:bCs/>
          <w:color w:val="auto"/>
          <w:sz w:val="22"/>
          <w:szCs w:val="22"/>
          <w:highlight w:val="none"/>
          <w:lang w:eastAsia="zh-CN"/>
        </w:rPr>
        <w:t>等</w:t>
      </w:r>
      <w:r>
        <w:rPr>
          <w:rFonts w:hint="eastAsia" w:ascii="仿宋" w:hAnsi="仿宋" w:eastAsia="仿宋" w:cs="仿宋"/>
          <w:bCs/>
          <w:color w:val="auto"/>
          <w:sz w:val="22"/>
          <w:szCs w:val="22"/>
          <w:highlight w:val="none"/>
        </w:rPr>
        <w:t>）</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为方便术中交流便利，优先考虑集成式交互系统</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摄像</w:t>
      </w:r>
      <w:r>
        <w:rPr>
          <w:rFonts w:hint="eastAsia" w:ascii="仿宋" w:hAnsi="仿宋" w:eastAsia="仿宋" w:cs="仿宋"/>
          <w:bCs/>
          <w:color w:val="auto"/>
          <w:sz w:val="22"/>
          <w:szCs w:val="22"/>
          <w:highlight w:val="none"/>
        </w:rPr>
        <w:t>机性能</w:t>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光学变焦</w:t>
      </w:r>
      <w:r>
        <w:rPr>
          <w:rFonts w:hint="eastAsia" w:ascii="仿宋" w:hAnsi="仿宋" w:eastAsia="仿宋" w:cs="仿宋"/>
          <w:bCs/>
          <w:color w:val="auto"/>
          <w:sz w:val="22"/>
          <w:szCs w:val="22"/>
          <w:highlight w:val="none"/>
          <w:lang w:val="en-US" w:eastAsia="zh-CN"/>
        </w:rPr>
        <w:t>≥</w:t>
      </w:r>
      <w:r>
        <w:rPr>
          <w:rFonts w:hint="eastAsia" w:ascii="仿宋" w:hAnsi="仿宋" w:eastAsia="仿宋" w:cs="仿宋"/>
          <w:bCs/>
          <w:color w:val="auto"/>
          <w:sz w:val="22"/>
          <w:szCs w:val="22"/>
          <w:highlight w:val="none"/>
        </w:rPr>
        <w:t>12倍</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俯仰</w:t>
      </w:r>
      <w:r>
        <w:rPr>
          <w:rFonts w:hint="eastAsia" w:ascii="仿宋" w:hAnsi="仿宋" w:eastAsia="仿宋" w:cs="仿宋"/>
          <w:bCs/>
          <w:color w:val="auto"/>
          <w:sz w:val="22"/>
          <w:szCs w:val="22"/>
          <w:highlight w:val="none"/>
        </w:rPr>
        <w:t>转动：</w:t>
      </w:r>
      <w:r>
        <w:rPr>
          <w:rFonts w:hint="eastAsia" w:ascii="仿宋" w:hAnsi="仿宋" w:eastAsia="仿宋" w:cs="仿宋"/>
          <w:bCs/>
          <w:color w:val="auto"/>
          <w:sz w:val="22"/>
          <w:szCs w:val="22"/>
          <w:highlight w:val="none"/>
          <w:lang w:val="en-US" w:eastAsia="zh-CN"/>
        </w:rPr>
        <w:t>≥</w:t>
      </w:r>
      <w:r>
        <w:rPr>
          <w:rFonts w:hint="eastAsia" w:ascii="仿宋" w:hAnsi="仿宋" w:eastAsia="仿宋" w:cs="仿宋"/>
          <w:bCs/>
          <w:color w:val="auto"/>
          <w:sz w:val="22"/>
          <w:szCs w:val="22"/>
          <w:highlight w:val="none"/>
        </w:rPr>
        <w:t>-30～+30度，水平转动：</w:t>
      </w:r>
      <w:r>
        <w:rPr>
          <w:rFonts w:hint="eastAsia" w:ascii="仿宋" w:hAnsi="仿宋" w:eastAsia="仿宋" w:cs="仿宋"/>
          <w:bCs/>
          <w:color w:val="auto"/>
          <w:sz w:val="22"/>
          <w:szCs w:val="22"/>
          <w:highlight w:val="none"/>
          <w:lang w:val="en-US" w:eastAsia="zh-CN"/>
        </w:rPr>
        <w:t>≥</w:t>
      </w:r>
      <w:r>
        <w:rPr>
          <w:rFonts w:hint="eastAsia" w:ascii="仿宋" w:hAnsi="仿宋" w:eastAsia="仿宋" w:cs="仿宋"/>
          <w:bCs/>
          <w:color w:val="auto"/>
          <w:sz w:val="22"/>
          <w:szCs w:val="22"/>
          <w:highlight w:val="none"/>
        </w:rPr>
        <w:t>-170～+170度</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视频信号</w:t>
      </w:r>
      <w:r>
        <w:rPr>
          <w:rFonts w:hint="eastAsia" w:ascii="仿宋" w:hAnsi="仿宋" w:eastAsia="仿宋" w:cs="仿宋"/>
          <w:bCs/>
          <w:color w:val="auto"/>
          <w:sz w:val="22"/>
          <w:szCs w:val="22"/>
          <w:highlight w:val="none"/>
        </w:rPr>
        <w:t>：1080P60/50/30/25/15、720P60/50/30/25/15</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支持自动对焦，</w:t>
      </w:r>
      <w:r>
        <w:rPr>
          <w:rFonts w:hint="eastAsia" w:ascii="仿宋" w:hAnsi="仿宋" w:eastAsia="仿宋" w:cs="仿宋"/>
          <w:bCs/>
          <w:color w:val="auto"/>
          <w:sz w:val="22"/>
          <w:szCs w:val="22"/>
          <w:highlight w:val="none"/>
        </w:rPr>
        <w:t>自动白平衡，自动背光补偿</w:t>
      </w:r>
    </w:p>
    <w:p>
      <w:pPr>
        <w:keepNext w:val="0"/>
        <w:keepLines w:val="0"/>
        <w:pageBreakBefore w:val="0"/>
        <w:widowControl w:val="0"/>
        <w:numPr>
          <w:ilvl w:val="0"/>
          <w:numId w:val="25"/>
        </w:numPr>
        <w:kinsoku/>
        <w:wordWrap/>
        <w:overflowPunct/>
        <w:topLinePunct w:val="0"/>
        <w:bidi w:val="0"/>
        <w:snapToGrid/>
        <w:spacing w:line="36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音频终端：</w:t>
      </w:r>
      <w:r>
        <w:rPr>
          <w:rFonts w:hint="eastAsia" w:ascii="仿宋" w:hAnsi="仿宋" w:eastAsia="仿宋" w:cs="仿宋"/>
          <w:bCs/>
          <w:color w:val="auto"/>
          <w:sz w:val="22"/>
          <w:szCs w:val="22"/>
          <w:highlight w:val="none"/>
        </w:rPr>
        <w:t>全指向麦克风</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拾音范围</w:t>
      </w:r>
      <w:r>
        <w:rPr>
          <w:rFonts w:hint="eastAsia" w:ascii="仿宋" w:hAnsi="仿宋" w:eastAsia="仿宋" w:cs="仿宋"/>
          <w:bCs/>
          <w:color w:val="auto"/>
          <w:sz w:val="22"/>
          <w:szCs w:val="22"/>
          <w:highlight w:val="none"/>
          <w:lang w:val="en-US" w:eastAsia="zh-CN"/>
        </w:rPr>
        <w:t>≥</w:t>
      </w:r>
      <w:r>
        <w:rPr>
          <w:rFonts w:hint="eastAsia" w:ascii="仿宋" w:hAnsi="仿宋" w:eastAsia="仿宋" w:cs="仿宋"/>
          <w:bCs/>
          <w:color w:val="auto"/>
          <w:sz w:val="22"/>
          <w:szCs w:val="22"/>
          <w:highlight w:val="none"/>
        </w:rPr>
        <w:t>1.5 米</w:t>
      </w:r>
    </w:p>
    <w:p>
      <w:pPr>
        <w:keepNext w:val="0"/>
        <w:keepLines w:val="0"/>
        <w:pageBreakBefore w:val="0"/>
        <w:widowControl w:val="0"/>
        <w:kinsoku/>
        <w:wordWrap/>
        <w:overflowPunct/>
        <w:topLinePunct w:val="0"/>
        <w:bidi w:val="0"/>
        <w:adjustRightInd/>
        <w:snapToGrid/>
        <w:spacing w:line="360" w:lineRule="auto"/>
        <w:ind w:firstLine="400" w:firstLineChars="200"/>
        <w:textAlignment w:val="auto"/>
        <w:rPr>
          <w:rFonts w:hint="eastAsia" w:ascii="仿宋" w:hAnsi="仿宋" w:eastAsia="仿宋" w:cs="仿宋"/>
          <w:sz w:val="20"/>
          <w:szCs w:val="22"/>
          <w:highlight w:val="none"/>
          <w:lang w:val="en-US" w:eastAsia="zh-CN"/>
        </w:rPr>
      </w:pPr>
      <w:r>
        <w:rPr>
          <w:rFonts w:hint="eastAsia" w:ascii="仿宋" w:hAnsi="仿宋" w:eastAsia="仿宋" w:cs="仿宋"/>
          <w:sz w:val="20"/>
          <w:szCs w:val="22"/>
          <w:highlight w:val="none"/>
          <w:lang w:val="en-US" w:eastAsia="zh-CN"/>
        </w:rPr>
        <w:br w:type="page"/>
      </w:r>
    </w:p>
    <w:p>
      <w:pPr>
        <w:pStyle w:val="3"/>
        <w:keepNext w:val="0"/>
        <w:keepLines w:val="0"/>
        <w:pageBreakBefore w:val="0"/>
        <w:widowControl w:val="0"/>
        <w:numPr>
          <w:ilvl w:val="0"/>
          <w:numId w:val="6"/>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34" w:name="_Toc28115"/>
      <w:r>
        <w:rPr>
          <w:rFonts w:hint="eastAsia"/>
          <w:sz w:val="40"/>
          <w:szCs w:val="22"/>
          <w:highlight w:val="none"/>
          <w:lang w:val="en-US" w:eastAsia="zh-CN"/>
        </w:rPr>
        <w:t>合同格式</w:t>
      </w:r>
      <w:bookmarkEnd w:id="34"/>
      <w:r>
        <w:rPr>
          <w:rFonts w:hint="eastAsia"/>
          <w:sz w:val="40"/>
          <w:szCs w:val="22"/>
          <w:highlight w:val="none"/>
          <w:lang w:val="en-US" w:eastAsia="zh-CN"/>
        </w:rPr>
        <w:t>（参考）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2100" w:rightChars="1000"/>
        <w:jc w:val="right"/>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2100" w:rightChars="1000"/>
        <w:jc w:val="right"/>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2100" w:rightChars="1000"/>
        <w:jc w:val="right"/>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spacing w:line="360" w:lineRule="auto"/>
        <w:ind w:leftChars="0"/>
        <w:jc w:val="center"/>
        <w:textAlignment w:val="auto"/>
        <w:rPr>
          <w:rFonts w:hint="eastAsia" w:ascii="华文中宋" w:hAnsi="华文中宋" w:eastAsia="华文中宋" w:cs="华文中宋"/>
          <w:sz w:val="56"/>
          <w:szCs w:val="56"/>
          <w:highlight w:val="none"/>
          <w:lang w:val="en-US" w:eastAsia="zh-CN"/>
        </w:rPr>
      </w:pPr>
      <w:r>
        <w:rPr>
          <w:rFonts w:hint="eastAsia" w:ascii="华文中宋" w:hAnsi="华文中宋" w:eastAsia="华文中宋" w:cs="华文中宋"/>
          <w:spacing w:val="112"/>
          <w:kern w:val="0"/>
          <w:sz w:val="56"/>
          <w:szCs w:val="56"/>
          <w:highlight w:val="none"/>
          <w:fitText w:val="4480" w:id="291841352"/>
          <w:lang w:val="en-US" w:eastAsia="zh-CN"/>
        </w:rPr>
        <w:t>政府采购合</w:t>
      </w:r>
      <w:r>
        <w:rPr>
          <w:rFonts w:hint="eastAsia" w:ascii="华文中宋" w:hAnsi="华文中宋" w:eastAsia="华文中宋" w:cs="华文中宋"/>
          <w:spacing w:val="0"/>
          <w:kern w:val="0"/>
          <w:sz w:val="56"/>
          <w:szCs w:val="56"/>
          <w:highlight w:val="none"/>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乙方：</w:t>
      </w:r>
    </w:p>
    <w:p>
      <w:pPr>
        <w:keepNext w:val="0"/>
        <w:keepLines w:val="0"/>
        <w:pageBreakBefore w:val="0"/>
        <w:widowControl w:val="0"/>
        <w:kinsoku/>
        <w:wordWrap/>
        <w:overflowPunct/>
        <w:topLinePunct w:val="0"/>
        <w:bidi w:val="0"/>
        <w:adjustRightInd/>
        <w:spacing w:line="360" w:lineRule="auto"/>
        <w:textAlignment w:val="auto"/>
        <w:rPr>
          <w:rFonts w:hint="default"/>
          <w:sz w:val="20"/>
          <w:szCs w:val="22"/>
          <w:highlight w:val="none"/>
          <w:lang w:val="en-US" w:eastAsia="zh-CN"/>
        </w:rPr>
      </w:pPr>
      <w:r>
        <w:rPr>
          <w:rFonts w:hint="default"/>
          <w:sz w:val="20"/>
          <w:szCs w:val="2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720" w:firstLineChars="300"/>
        <w:textAlignment w:val="auto"/>
        <w:rPr>
          <w:rFonts w:hint="eastAsia" w:ascii="仿宋" w:hAnsi="仿宋" w:eastAsia="仿宋" w:cs="仿宋"/>
          <w:sz w:val="24"/>
          <w:szCs w:val="24"/>
          <w:highlight w:val="none"/>
          <w:lang w:val="en-US" w:eastAsia="zh-CN"/>
        </w:rPr>
      </w:pPr>
      <w:r>
        <w:rPr>
          <w:rFonts w:hint="eastAsia" w:ascii="微软雅黑" w:hAnsi="微软雅黑" w:eastAsia="微软雅黑" w:cs="微软雅黑"/>
          <w:sz w:val="24"/>
          <w:szCs w:val="24"/>
          <w:highlight w:val="none"/>
          <w:u w:val="none"/>
          <w:lang w:val="en-US" w:eastAsia="zh-CN"/>
        </w:rPr>
        <w:t>____________________</w:t>
      </w:r>
      <w:r>
        <w:rPr>
          <w:rFonts w:hint="eastAsia" w:ascii="仿宋" w:hAnsi="仿宋" w:eastAsia="仿宋" w:cs="仿宋"/>
          <w:sz w:val="24"/>
          <w:szCs w:val="24"/>
          <w:highlight w:val="none"/>
          <w:u w:val="none"/>
          <w:lang w:val="en-US" w:eastAsia="zh-CN"/>
        </w:rPr>
        <w:t>（甲方）</w:t>
      </w:r>
      <w:r>
        <w:rPr>
          <w:rFonts w:hint="eastAsia" w:ascii="仿宋" w:hAnsi="仿宋" w:eastAsia="仿宋" w:cs="仿宋"/>
          <w:sz w:val="24"/>
          <w:szCs w:val="24"/>
          <w:highlight w:val="none"/>
          <w:lang w:val="en-US" w:eastAsia="zh-CN"/>
        </w:rPr>
        <w:t>所需</w:t>
      </w:r>
      <w:r>
        <w:rPr>
          <w:rFonts w:hint="eastAsia" w:ascii="微软雅黑" w:hAnsi="微软雅黑" w:eastAsia="微软雅黑" w:cs="微软雅黑"/>
          <w:sz w:val="24"/>
          <w:szCs w:val="24"/>
          <w:highlight w:val="none"/>
          <w:u w:val="none"/>
          <w:lang w:val="en-US" w:eastAsia="zh-CN"/>
        </w:rPr>
        <w:t>_______________________</w:t>
      </w:r>
      <w:r>
        <w:rPr>
          <w:rFonts w:hint="eastAsia" w:ascii="仿宋" w:hAnsi="仿宋" w:eastAsia="仿宋" w:cs="仿宋"/>
          <w:sz w:val="24"/>
          <w:szCs w:val="24"/>
          <w:highlight w:val="none"/>
          <w:lang w:val="en-US" w:eastAsia="zh-CN"/>
        </w:rPr>
        <w:t>(货物名称)经同诚工程咨询集团股份有限公司以</w:t>
      </w:r>
      <w:r>
        <w:rPr>
          <w:rFonts w:hint="eastAsia" w:ascii="微软雅黑" w:hAnsi="微软雅黑" w:eastAsia="微软雅黑" w:cs="微软雅黑"/>
          <w:sz w:val="24"/>
          <w:szCs w:val="24"/>
          <w:highlight w:val="none"/>
          <w:u w:val="none"/>
          <w:lang w:val="en-US" w:eastAsia="zh-CN"/>
        </w:rPr>
        <w:t>__________________</w:t>
      </w:r>
      <w:r>
        <w:rPr>
          <w:rFonts w:hint="eastAsia" w:ascii="仿宋" w:hAnsi="仿宋" w:eastAsia="仿宋" w:cs="仿宋"/>
          <w:sz w:val="24"/>
          <w:szCs w:val="24"/>
          <w:highlight w:val="none"/>
          <w:lang w:val="en-US" w:eastAsia="zh-CN"/>
        </w:rPr>
        <w:t>（采购编号）招标文件在国内以公开招标方式进行采购。经评标委员会确定</w:t>
      </w:r>
      <w:r>
        <w:rPr>
          <w:rFonts w:hint="eastAsia" w:ascii="微软雅黑" w:hAnsi="微软雅黑" w:eastAsia="微软雅黑" w:cs="微软雅黑"/>
          <w:sz w:val="24"/>
          <w:szCs w:val="24"/>
          <w:highlight w:val="none"/>
          <w:u w:val="none"/>
          <w:lang w:val="en-US" w:eastAsia="zh-CN"/>
        </w:rPr>
        <w:t>________________________</w:t>
      </w:r>
      <w:r>
        <w:rPr>
          <w:rFonts w:hint="eastAsia" w:ascii="仿宋" w:hAnsi="仿宋" w:eastAsia="仿宋" w:cs="仿宋"/>
          <w:sz w:val="24"/>
          <w:szCs w:val="24"/>
          <w:highlight w:val="none"/>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35" w:name="_Toc6202"/>
      <w:r>
        <w:rPr>
          <w:rFonts w:hint="default"/>
          <w:sz w:val="32"/>
          <w:szCs w:val="24"/>
          <w:highlight w:val="none"/>
          <w:lang w:val="en-US" w:eastAsia="zh-CN"/>
        </w:rPr>
        <w:t>一、合同文件</w:t>
      </w:r>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36" w:name="_Toc22929"/>
      <w:r>
        <w:rPr>
          <w:rFonts w:hint="default"/>
          <w:sz w:val="32"/>
          <w:szCs w:val="24"/>
          <w:highlight w:val="none"/>
          <w:lang w:val="en-US" w:eastAsia="zh-CN"/>
        </w:rPr>
        <w:t>二、合同的范围和条件</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37" w:name="_Toc23763"/>
      <w:r>
        <w:rPr>
          <w:rFonts w:hint="default"/>
          <w:sz w:val="32"/>
          <w:szCs w:val="24"/>
          <w:highlight w:val="none"/>
          <w:lang w:val="en-US" w:eastAsia="zh-CN"/>
        </w:rPr>
        <w:t>三、货物、数量及规格</w:t>
      </w:r>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38" w:name="_Toc8807"/>
      <w:r>
        <w:rPr>
          <w:rFonts w:hint="default"/>
          <w:sz w:val="32"/>
          <w:szCs w:val="24"/>
          <w:highlight w:val="none"/>
          <w:lang w:val="en-US" w:eastAsia="zh-CN"/>
        </w:rPr>
        <w:t>四、合同金额</w:t>
      </w:r>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根据上述合同文件要求，合同金额为人民币</w:t>
      </w:r>
      <w:r>
        <w:rPr>
          <w:rFonts w:hint="eastAsia" w:ascii="微软雅黑" w:hAnsi="微软雅黑" w:eastAsia="微软雅黑" w:cs="微软雅黑"/>
          <w:sz w:val="24"/>
          <w:szCs w:val="24"/>
          <w:highlight w:val="none"/>
          <w:u w:val="none"/>
          <w:lang w:val="en-US" w:eastAsia="zh-CN"/>
        </w:rPr>
        <w:t>______________</w:t>
      </w:r>
      <w:r>
        <w:rPr>
          <w:rFonts w:hint="default" w:ascii="仿宋" w:hAnsi="仿宋" w:eastAsia="仿宋" w:cs="仿宋"/>
          <w:sz w:val="24"/>
          <w:szCs w:val="24"/>
          <w:highlight w:val="none"/>
          <w:lang w:val="en-US" w:eastAsia="zh-CN"/>
        </w:rPr>
        <w:t>元，大写：</w:t>
      </w:r>
      <w:r>
        <w:rPr>
          <w:rFonts w:hint="eastAsia" w:ascii="微软雅黑" w:hAnsi="微软雅黑" w:eastAsia="微软雅黑" w:cs="微软雅黑"/>
          <w:sz w:val="24"/>
          <w:szCs w:val="24"/>
          <w:highlight w:val="none"/>
          <w:u w:val="none"/>
          <w:lang w:val="en-US" w:eastAsia="zh-CN"/>
        </w:rPr>
        <w:t>________________________</w:t>
      </w:r>
      <w:r>
        <w:rPr>
          <w:rFonts w:hint="default" w:ascii="仿宋" w:hAnsi="仿宋" w:eastAsia="仿宋" w:cs="仿宋"/>
          <w:sz w:val="24"/>
          <w:szCs w:val="24"/>
          <w:highlight w:val="none"/>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账</w:t>
      </w:r>
      <w:r>
        <w:rPr>
          <w:rFonts w:hint="default" w:ascii="仿宋" w:hAnsi="仿宋" w:eastAsia="仿宋" w:cs="仿宋"/>
          <w:sz w:val="24"/>
          <w:szCs w:val="24"/>
          <w:highlight w:val="none"/>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39" w:name="_Toc13328"/>
      <w:r>
        <w:rPr>
          <w:rFonts w:hint="default"/>
          <w:sz w:val="32"/>
          <w:szCs w:val="24"/>
          <w:highlight w:val="none"/>
          <w:lang w:val="en-US" w:eastAsia="zh-CN"/>
        </w:rPr>
        <w:t>五、付款途径</w:t>
      </w:r>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0" w:name="_Toc9881"/>
      <w:r>
        <w:rPr>
          <w:rFonts w:hint="default"/>
          <w:sz w:val="32"/>
          <w:szCs w:val="24"/>
          <w:highlight w:val="none"/>
          <w:lang w:val="en-US" w:eastAsia="zh-CN"/>
        </w:rPr>
        <w:t>六、付款方式</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□一次性支付方式，即人民币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元，大写：</w:t>
      </w:r>
      <w:r>
        <w:rPr>
          <w:rFonts w:hint="eastAsia" w:ascii="仿宋" w:hAnsi="仿宋" w:eastAsia="仿宋" w:cs="仿宋"/>
          <w:sz w:val="24"/>
          <w:szCs w:val="24"/>
          <w:highlight w:val="none"/>
          <w:u w:val="none"/>
          <w:lang w:val="en-US" w:eastAsia="zh-CN"/>
        </w:rPr>
        <w:t>______________________</w:t>
      </w:r>
      <w:r>
        <w:rPr>
          <w:rFonts w:hint="eastAsia" w:ascii="仿宋" w:hAnsi="仿宋" w:eastAsia="仿宋" w:cs="仿宋"/>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highlight w:val="none"/>
          <w:lang w:val="en-US" w:eastAsia="zh-CN"/>
        </w:rPr>
      </w:pPr>
      <w:bookmarkStart w:id="41" w:name="_Toc11362"/>
      <w:r>
        <w:rPr>
          <w:rFonts w:hint="default"/>
          <w:sz w:val="32"/>
          <w:szCs w:val="24"/>
          <w:highlight w:val="none"/>
          <w:lang w:val="en-US" w:eastAsia="zh-CN"/>
        </w:rPr>
        <w:t>七、交货日期、地点</w:t>
      </w:r>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1、交货日期：合同生效之日起</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2、交货地点：</w:t>
      </w:r>
      <w:r>
        <w:rPr>
          <w:rFonts w:hint="eastAsia" w:ascii="仿宋" w:hAnsi="仿宋" w:eastAsia="仿宋" w:cs="仿宋"/>
          <w:sz w:val="24"/>
          <w:szCs w:val="24"/>
          <w:highlight w:val="none"/>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2" w:name="_Toc18187"/>
      <w:r>
        <w:rPr>
          <w:rFonts w:hint="default"/>
          <w:sz w:val="32"/>
          <w:szCs w:val="24"/>
          <w:highlight w:val="none"/>
          <w:lang w:val="en-US" w:eastAsia="zh-CN"/>
        </w:rPr>
        <w:t>八、质量标准和验收</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2、乙方提供的合同货物应通过货物制造厂商的出厂检验，并提供质量合格证书</w:t>
      </w:r>
      <w:r>
        <w:rPr>
          <w:rFonts w:hint="eastAsia" w:ascii="仿宋" w:hAnsi="仿宋" w:eastAsia="仿宋" w:cs="仿宋"/>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3" w:name="_Toc26222"/>
      <w:r>
        <w:rPr>
          <w:rFonts w:hint="default"/>
          <w:sz w:val="32"/>
          <w:szCs w:val="24"/>
          <w:highlight w:val="none"/>
          <w:lang w:val="en-US" w:eastAsia="zh-CN"/>
        </w:rPr>
        <w:t>九、履约保证金</w:t>
      </w:r>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4" w:name="_Toc8157"/>
      <w:r>
        <w:rPr>
          <w:rFonts w:hint="default"/>
          <w:sz w:val="32"/>
          <w:szCs w:val="24"/>
          <w:highlight w:val="none"/>
          <w:lang w:val="en-US" w:eastAsia="zh-CN"/>
        </w:rPr>
        <w:t>十、违约责任</w:t>
      </w:r>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5" w:name="_Toc15291"/>
      <w:r>
        <w:rPr>
          <w:rFonts w:hint="default"/>
          <w:sz w:val="32"/>
          <w:szCs w:val="24"/>
          <w:highlight w:val="none"/>
          <w:lang w:val="en-US" w:eastAsia="zh-CN"/>
        </w:rPr>
        <w:t>十一、争议解决</w:t>
      </w:r>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1、向</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2、向</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6" w:name="_Toc8912"/>
      <w:r>
        <w:rPr>
          <w:rFonts w:hint="default"/>
          <w:sz w:val="32"/>
          <w:szCs w:val="24"/>
          <w:highlight w:val="none"/>
          <w:lang w:val="en-US" w:eastAsia="zh-CN"/>
        </w:rPr>
        <w:t>十二、合同生效</w:t>
      </w:r>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7" w:name="_Toc17395"/>
      <w:r>
        <w:rPr>
          <w:rFonts w:hint="default"/>
          <w:sz w:val="32"/>
          <w:szCs w:val="24"/>
          <w:highlight w:val="none"/>
          <w:lang w:val="en-US" w:eastAsia="zh-CN"/>
        </w:rPr>
        <w:t>十三、其他</w:t>
      </w:r>
      <w:bookmarkEnd w:id="4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24"/>
          <w:highlight w:val="none"/>
          <w:lang w:val="en-US" w:eastAsia="zh-CN"/>
        </w:rPr>
      </w:pPr>
      <w:bookmarkStart w:id="48" w:name="_Toc2577"/>
      <w:r>
        <w:rPr>
          <w:rFonts w:hint="default"/>
          <w:sz w:val="32"/>
          <w:szCs w:val="24"/>
          <w:highlight w:val="none"/>
          <w:lang w:val="en-US" w:eastAsia="zh-CN"/>
        </w:rPr>
        <w:t>十四、合同保存</w:t>
      </w:r>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sz w:val="21"/>
          <w:szCs w:val="24"/>
          <w:highlight w:val="none"/>
          <w:lang w:val="en-US" w:eastAsia="zh-CN"/>
        </w:rPr>
      </w:pPr>
      <w:r>
        <w:rPr>
          <w:rFonts w:hint="default" w:ascii="仿宋" w:hAnsi="仿宋" w:eastAsia="仿宋" w:cs="仿宋"/>
          <w:sz w:val="24"/>
          <w:szCs w:val="24"/>
          <w:highlight w:val="none"/>
          <w:lang w:val="en-US" w:eastAsia="zh-CN"/>
        </w:rPr>
        <w:t>本合同一式</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份，甲方</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份，乙方</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份，</w:t>
      </w:r>
      <w:r>
        <w:rPr>
          <w:rFonts w:hint="eastAsia" w:ascii="仿宋" w:hAnsi="仿宋" w:eastAsia="仿宋" w:cs="仿宋"/>
          <w:sz w:val="24"/>
          <w:szCs w:val="24"/>
          <w:highlight w:val="none"/>
          <w:lang w:val="en-US" w:eastAsia="zh-CN"/>
        </w:rPr>
        <w:t>同诚工程咨询集团股份</w:t>
      </w:r>
      <w:r>
        <w:rPr>
          <w:rFonts w:hint="default" w:ascii="仿宋" w:hAnsi="仿宋" w:eastAsia="仿宋" w:cs="仿宋"/>
          <w:sz w:val="24"/>
          <w:szCs w:val="24"/>
          <w:highlight w:val="none"/>
          <w:lang w:val="en-US" w:eastAsia="zh-CN"/>
        </w:rPr>
        <w:t>有限公司</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份</w:t>
      </w:r>
      <w:r>
        <w:rPr>
          <w:rFonts w:hint="eastAsia" w:ascii="仿宋" w:hAnsi="仿宋" w:eastAsia="仿宋" w:cs="仿宋"/>
          <w:sz w:val="24"/>
          <w:szCs w:val="24"/>
          <w:highlight w:val="none"/>
          <w:lang w:val="en-US" w:eastAsia="zh-CN"/>
        </w:rPr>
        <w:t>。</w:t>
      </w: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或</w:t>
            </w:r>
            <w:r>
              <w:rPr>
                <w:rFonts w:hint="eastAsia" w:ascii="仿宋" w:hAnsi="仿宋" w:eastAsia="仿宋" w:cs="仿宋"/>
                <w:spacing w:val="15"/>
                <w:w w:val="100"/>
                <w:kern w:val="0"/>
                <w:sz w:val="24"/>
                <w:szCs w:val="24"/>
                <w:highlight w:val="none"/>
                <w:fitText w:val="1050" w:id="1226195048"/>
                <w:vertAlign w:val="baseline"/>
                <w:lang w:val="en-US" w:eastAsia="zh-CN"/>
              </w:rPr>
              <w:t>授权代</w:t>
            </w:r>
            <w:r>
              <w:rPr>
                <w:rFonts w:hint="eastAsia" w:ascii="仿宋" w:hAnsi="仿宋" w:eastAsia="仿宋" w:cs="仿宋"/>
                <w:spacing w:val="0"/>
                <w:w w:val="100"/>
                <w:kern w:val="0"/>
                <w:sz w:val="24"/>
                <w:szCs w:val="24"/>
                <w:highlight w:val="none"/>
                <w:fitText w:val="1050" w:id="1226195048"/>
                <w:vertAlign w:val="baseline"/>
                <w:lang w:val="en-US" w:eastAsia="zh-CN"/>
              </w:rPr>
              <w:t>表</w:t>
            </w:r>
            <w:r>
              <w:rPr>
                <w:rFonts w:hint="eastAsia" w:ascii="仿宋" w:hAnsi="仿宋" w:eastAsia="仿宋" w:cs="仿宋"/>
                <w:sz w:val="24"/>
                <w:szCs w:val="24"/>
                <w:highlight w:val="none"/>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0"/>
                <w:sz w:val="24"/>
                <w:szCs w:val="24"/>
                <w:highlight w:val="none"/>
                <w:vertAlign w:val="baseline"/>
                <w:lang w:val="en-US" w:eastAsia="zh-CN"/>
              </w:rPr>
              <w:t>或</w:t>
            </w:r>
            <w:r>
              <w:rPr>
                <w:rFonts w:hint="eastAsia" w:ascii="仿宋" w:hAnsi="仿宋" w:eastAsia="仿宋" w:cs="仿宋"/>
                <w:spacing w:val="15"/>
                <w:w w:val="100"/>
                <w:kern w:val="0"/>
                <w:sz w:val="24"/>
                <w:szCs w:val="24"/>
                <w:highlight w:val="none"/>
                <w:fitText w:val="1050" w:id="37888106"/>
                <w:vertAlign w:val="baseline"/>
                <w:lang w:val="en-US" w:eastAsia="zh-CN"/>
              </w:rPr>
              <w:t>授权代</w:t>
            </w:r>
            <w:r>
              <w:rPr>
                <w:rFonts w:hint="eastAsia" w:ascii="仿宋" w:hAnsi="仿宋" w:eastAsia="仿宋" w:cs="仿宋"/>
                <w:spacing w:val="0"/>
                <w:w w:val="100"/>
                <w:kern w:val="0"/>
                <w:sz w:val="24"/>
                <w:szCs w:val="24"/>
                <w:highlight w:val="none"/>
                <w:fitText w:val="1050" w:id="37888106"/>
                <w:vertAlign w:val="baseline"/>
                <w:lang w:val="en-US" w:eastAsia="zh-CN"/>
              </w:rPr>
              <w:t>表</w:t>
            </w:r>
            <w:r>
              <w:rPr>
                <w:rFonts w:hint="eastAsia" w:ascii="仿宋" w:hAnsi="仿宋" w:eastAsia="仿宋" w:cs="仿宋"/>
                <w:sz w:val="24"/>
                <w:szCs w:val="24"/>
                <w:highlight w:val="none"/>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签订日期：    年   月   日</w:t>
      </w:r>
    </w:p>
    <w:p>
      <w:pPr>
        <w:pStyle w:val="2"/>
        <w:rPr>
          <w:rFonts w:hint="eastAsia"/>
          <w:highlight w:val="none"/>
          <w:lang w:val="en-US" w:eastAsia="zh-CN"/>
        </w:rPr>
      </w:pPr>
      <w:r>
        <w:rPr>
          <w:rFonts w:hint="eastAsia" w:ascii="宋体" w:hAnsi="宋体"/>
          <w:b/>
          <w:color w:val="000000"/>
          <w:sz w:val="24"/>
          <w:highlight w:val="none"/>
        </w:rPr>
        <w:t>注：最终合同内容以采购人签署的合同为准。</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3"/>
        <w:keepNext w:val="0"/>
        <w:keepLines w:val="0"/>
        <w:pageBreakBefore w:val="0"/>
        <w:widowControl w:val="0"/>
        <w:numPr>
          <w:ilvl w:val="0"/>
          <w:numId w:val="6"/>
        </w:numPr>
        <w:kinsoku/>
        <w:wordWrap/>
        <w:overflowPunct/>
        <w:topLinePunct w:val="0"/>
        <w:bidi w:val="0"/>
        <w:adjustRightInd/>
        <w:spacing w:line="360" w:lineRule="auto"/>
        <w:textAlignment w:val="auto"/>
        <w:rPr>
          <w:rFonts w:hint="eastAsia"/>
          <w:sz w:val="40"/>
          <w:szCs w:val="22"/>
          <w:highlight w:val="none"/>
          <w:lang w:val="en-US" w:eastAsia="zh-CN"/>
        </w:rPr>
      </w:pPr>
      <w:r>
        <w:rPr>
          <w:rFonts w:hint="eastAsia"/>
          <w:sz w:val="40"/>
          <w:szCs w:val="22"/>
          <w:highlight w:val="none"/>
          <w:lang w:val="en-US" w:eastAsia="zh-CN"/>
        </w:rPr>
        <w:t xml:space="preserve"> </w:t>
      </w:r>
      <w:bookmarkStart w:id="49" w:name="_Toc29975"/>
      <w:r>
        <w:rPr>
          <w:rFonts w:hint="eastAsia"/>
          <w:sz w:val="40"/>
          <w:szCs w:val="22"/>
          <w:highlight w:val="none"/>
          <w:lang w:val="en-US" w:eastAsia="zh-CN"/>
        </w:rPr>
        <w:t>投标文件格式</w:t>
      </w:r>
      <w:bookmarkEnd w:id="49"/>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0"/>
          <w:szCs w:val="22"/>
          <w:highlight w:val="none"/>
        </w:rPr>
      </w:pPr>
    </w:p>
    <w:p>
      <w:pPr>
        <w:keepNext w:val="0"/>
        <w:keepLines w:val="0"/>
        <w:pageBreakBefore w:val="0"/>
        <w:widowControl w:val="0"/>
        <w:kinsoku/>
        <w:wordWrap/>
        <w:overflowPunct/>
        <w:topLinePunct w:val="0"/>
        <w:bidi w:val="0"/>
        <w:adjustRightInd/>
        <w:spacing w:line="360" w:lineRule="auto"/>
        <w:jc w:val="right"/>
        <w:textAlignment w:val="auto"/>
        <w:rPr>
          <w:rFonts w:hint="default"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正/副本</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0"/>
          <w:szCs w:val="22"/>
          <w:highlight w:val="none"/>
        </w:rPr>
      </w:pPr>
    </w:p>
    <w:p>
      <w:pPr>
        <w:keepNext w:val="0"/>
        <w:keepLines w:val="0"/>
        <w:pageBreakBefore w:val="0"/>
        <w:widowControl w:val="0"/>
        <w:kinsoku/>
        <w:wordWrap/>
        <w:overflowPunct/>
        <w:topLinePunct w:val="0"/>
        <w:bidi w:val="0"/>
        <w:adjustRightInd/>
        <w:spacing w:line="360" w:lineRule="auto"/>
        <w:jc w:val="center"/>
        <w:textAlignment w:val="auto"/>
        <w:rPr>
          <w:rFonts w:hint="default" w:ascii="华文中宋" w:hAnsi="华文中宋" w:eastAsia="华文中宋" w:cs="华文中宋"/>
          <w:spacing w:val="11"/>
          <w:sz w:val="44"/>
          <w:szCs w:val="44"/>
          <w:highlight w:val="none"/>
          <w:lang w:val="en-US"/>
        </w:rPr>
      </w:pPr>
      <w:r>
        <w:rPr>
          <w:rFonts w:hint="eastAsia" w:ascii="华文中宋" w:hAnsi="华文中宋" w:eastAsia="华文中宋" w:cs="华文中宋"/>
          <w:spacing w:val="11"/>
          <w:sz w:val="44"/>
          <w:szCs w:val="44"/>
          <w:highlight w:val="none"/>
        </w:rPr>
        <w:t>山东大学第二医院</w:t>
      </w:r>
      <w:r>
        <w:rPr>
          <w:rFonts w:hint="eastAsia" w:ascii="华文中宋" w:hAnsi="华文中宋" w:eastAsia="华文中宋" w:cs="华文中宋"/>
          <w:spacing w:val="11"/>
          <w:sz w:val="44"/>
          <w:szCs w:val="44"/>
          <w:highlight w:val="none"/>
          <w:lang w:val="en-US" w:eastAsia="zh-CN"/>
        </w:rPr>
        <w:t>荧光内窥镜采购</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48"/>
          <w:szCs w:val="48"/>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56"/>
          <w:szCs w:val="56"/>
          <w:highlight w:val="none"/>
          <w:lang w:val="en-US" w:eastAsia="zh-CN"/>
        </w:rPr>
      </w:pPr>
      <w:r>
        <w:rPr>
          <w:rFonts w:hint="eastAsia" w:ascii="华文中宋" w:hAnsi="华文中宋" w:eastAsia="华文中宋" w:cs="华文中宋"/>
          <w:sz w:val="56"/>
          <w:szCs w:val="56"/>
          <w:highlight w:val="none"/>
          <w:lang w:val="en-US" w:eastAsia="zh-CN"/>
        </w:rPr>
        <w:t>投 标 文 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项目编号：TCZX-HW-2022-016</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default" w:ascii="华文中宋" w:hAnsi="华文中宋" w:eastAsia="华文中宋" w:cs="华文中宋"/>
          <w:sz w:val="24"/>
          <w:szCs w:val="24"/>
          <w:highlight w:val="none"/>
          <w:lang w:val="en-US" w:eastAsia="zh-CN"/>
        </w:rPr>
      </w:pP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680" w:leftChars="800" w:firstLine="0" w:firstLineChars="0"/>
        <w:textAlignment w:val="auto"/>
        <w:rPr>
          <w:rFonts w:hint="default" w:ascii="华文中宋" w:hAnsi="华文中宋" w:eastAsia="华文中宋" w:cs="华文中宋"/>
          <w:spacing w:val="11"/>
          <w:sz w:val="28"/>
          <w:szCs w:val="28"/>
          <w:highlight w:val="none"/>
          <w:u w:val="single"/>
          <w:lang w:val="en-US"/>
        </w:rPr>
      </w:pPr>
      <w:r>
        <w:rPr>
          <w:rFonts w:hint="eastAsia" w:ascii="华文中宋" w:hAnsi="华文中宋" w:eastAsia="华文中宋" w:cs="华文中宋"/>
          <w:kern w:val="0"/>
          <w:sz w:val="28"/>
          <w:szCs w:val="28"/>
          <w:highlight w:val="none"/>
          <w:lang w:val="en-US" w:eastAsia="zh-CN"/>
        </w:rPr>
        <w:t>供应商（盖章）</w:t>
      </w:r>
      <w:r>
        <w:rPr>
          <w:rFonts w:hint="eastAsia" w:ascii="华文中宋" w:hAnsi="华文中宋" w:eastAsia="华文中宋" w:cs="华文中宋"/>
          <w:spacing w:val="11"/>
          <w:sz w:val="28"/>
          <w:szCs w:val="28"/>
          <w:highlight w:val="none"/>
          <w:lang w:val="en-US" w:eastAsia="zh-CN"/>
        </w:rPr>
        <w:t>：</w:t>
      </w:r>
      <w:r>
        <w:rPr>
          <w:rFonts w:hint="eastAsia" w:ascii="华文中宋" w:hAnsi="华文中宋" w:eastAsia="华文中宋" w:cs="华文中宋"/>
          <w:spacing w:val="11"/>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680" w:leftChars="800" w:firstLine="0" w:firstLineChars="0"/>
        <w:textAlignment w:val="auto"/>
        <w:rPr>
          <w:rFonts w:hint="default" w:ascii="华文中宋" w:hAnsi="华文中宋" w:eastAsia="华文中宋" w:cs="华文中宋"/>
          <w:spacing w:val="11"/>
          <w:sz w:val="28"/>
          <w:szCs w:val="28"/>
          <w:highlight w:val="none"/>
          <w:u w:val="single"/>
          <w:lang w:val="en-US" w:eastAsia="zh-CN"/>
        </w:rPr>
      </w:pPr>
      <w:r>
        <w:rPr>
          <w:rFonts w:hint="eastAsia" w:ascii="华文中宋" w:hAnsi="华文中宋" w:eastAsia="华文中宋" w:cs="华文中宋"/>
          <w:spacing w:val="11"/>
          <w:sz w:val="28"/>
          <w:szCs w:val="28"/>
          <w:highlight w:val="none"/>
          <w:lang w:val="en-US" w:eastAsia="zh-CN"/>
        </w:rPr>
        <w:t>法定代表人或授权代表（签字）：</w:t>
      </w:r>
      <w:r>
        <w:rPr>
          <w:rFonts w:hint="eastAsia" w:ascii="华文中宋" w:hAnsi="华文中宋" w:eastAsia="华文中宋" w:cs="华文中宋"/>
          <w:spacing w:val="11"/>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680" w:leftChars="800" w:firstLine="0" w:firstLineChars="0"/>
        <w:textAlignment w:val="auto"/>
        <w:rPr>
          <w:rFonts w:hint="eastAsia" w:ascii="华文中宋" w:hAnsi="华文中宋" w:eastAsia="华文中宋" w:cs="华文中宋"/>
          <w:spacing w:val="11"/>
          <w:sz w:val="28"/>
          <w:szCs w:val="28"/>
          <w:highlight w:val="none"/>
          <w:lang w:val="en-US" w:eastAsia="zh-CN"/>
        </w:rPr>
      </w:pPr>
      <w:r>
        <w:rPr>
          <w:rFonts w:hint="eastAsia" w:ascii="华文中宋" w:hAnsi="华文中宋" w:eastAsia="华文中宋" w:cs="华文中宋"/>
          <w:spacing w:val="11"/>
          <w:sz w:val="28"/>
          <w:szCs w:val="28"/>
          <w:highlight w:val="none"/>
          <w:lang w:val="en-US" w:eastAsia="zh-CN"/>
        </w:rPr>
        <w:t>日期：</w:t>
      </w:r>
      <w:r>
        <w:rPr>
          <w:rFonts w:hint="eastAsia" w:ascii="华文中宋" w:hAnsi="华文中宋" w:eastAsia="华文中宋" w:cs="华文中宋"/>
          <w:spacing w:val="11"/>
          <w:sz w:val="28"/>
          <w:szCs w:val="28"/>
          <w:highlight w:val="none"/>
          <w:u w:val="single"/>
          <w:lang w:val="en-US" w:eastAsia="zh-CN"/>
        </w:rPr>
        <w:t xml:space="preserve">       </w:t>
      </w:r>
      <w:r>
        <w:rPr>
          <w:rFonts w:hint="eastAsia" w:ascii="华文中宋" w:hAnsi="华文中宋" w:eastAsia="华文中宋" w:cs="华文中宋"/>
          <w:spacing w:val="11"/>
          <w:sz w:val="28"/>
          <w:szCs w:val="28"/>
          <w:highlight w:val="none"/>
          <w:lang w:val="en-US" w:eastAsia="zh-CN"/>
        </w:rPr>
        <w:t>年</w:t>
      </w:r>
      <w:r>
        <w:rPr>
          <w:rFonts w:hint="eastAsia" w:ascii="华文中宋" w:hAnsi="华文中宋" w:eastAsia="华文中宋" w:cs="华文中宋"/>
          <w:spacing w:val="11"/>
          <w:sz w:val="28"/>
          <w:szCs w:val="28"/>
          <w:highlight w:val="none"/>
          <w:u w:val="single"/>
          <w:lang w:val="en-US" w:eastAsia="zh-CN"/>
        </w:rPr>
        <w:t xml:space="preserve">   </w:t>
      </w:r>
      <w:r>
        <w:rPr>
          <w:rFonts w:hint="eastAsia" w:ascii="华文中宋" w:hAnsi="华文中宋" w:eastAsia="华文中宋" w:cs="华文中宋"/>
          <w:spacing w:val="11"/>
          <w:sz w:val="28"/>
          <w:szCs w:val="28"/>
          <w:highlight w:val="none"/>
          <w:lang w:val="en-US" w:eastAsia="zh-CN"/>
        </w:rPr>
        <w:t>月</w:t>
      </w:r>
      <w:r>
        <w:rPr>
          <w:rFonts w:hint="eastAsia" w:ascii="华文中宋" w:hAnsi="华文中宋" w:eastAsia="华文中宋" w:cs="华文中宋"/>
          <w:spacing w:val="11"/>
          <w:sz w:val="28"/>
          <w:szCs w:val="28"/>
          <w:highlight w:val="none"/>
          <w:u w:val="single"/>
          <w:lang w:val="en-US" w:eastAsia="zh-CN"/>
        </w:rPr>
        <w:t xml:space="preserve">   </w:t>
      </w:r>
      <w:r>
        <w:rPr>
          <w:rFonts w:hint="eastAsia" w:ascii="华文中宋" w:hAnsi="华文中宋" w:eastAsia="华文中宋" w:cs="华文中宋"/>
          <w:spacing w:val="11"/>
          <w:sz w:val="28"/>
          <w:szCs w:val="28"/>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default"/>
          <w:sz w:val="20"/>
          <w:szCs w:val="22"/>
          <w:highlight w:val="none"/>
          <w:lang w:val="en-US" w:eastAsia="zh-CN"/>
        </w:rPr>
      </w:pPr>
      <w:r>
        <w:rPr>
          <w:rFonts w:hint="default"/>
          <w:sz w:val="20"/>
          <w:szCs w:val="22"/>
          <w:highlight w:val="none"/>
          <w:lang w:val="en-US" w:eastAsia="zh-CN"/>
        </w:rPr>
        <w:br w:type="page"/>
      </w:r>
    </w:p>
    <w:p>
      <w:pPr>
        <w:jc w:val="center"/>
        <w:rPr>
          <w:rFonts w:hint="eastAsia"/>
          <w:sz w:val="32"/>
          <w:szCs w:val="24"/>
          <w:highlight w:val="none"/>
          <w:lang w:val="en-US" w:eastAsia="zh-CN"/>
        </w:rPr>
      </w:pPr>
      <w:bookmarkStart w:id="50" w:name="_Toc3606"/>
      <w:r>
        <w:rPr>
          <w:rFonts w:hint="eastAsia"/>
          <w:sz w:val="32"/>
          <w:szCs w:val="24"/>
          <w:highlight w:val="none"/>
          <w:lang w:val="en-US" w:eastAsia="zh-CN"/>
        </w:rPr>
        <w:t>目录（参考）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w:t>
      </w:r>
      <w:r>
        <w:rPr>
          <w:rFonts w:hint="default" w:ascii="仿宋" w:hAnsi="仿宋" w:eastAsia="仿宋" w:cs="仿宋"/>
          <w:b/>
          <w:bCs/>
          <w:sz w:val="24"/>
          <w:szCs w:val="24"/>
          <w:highlight w:val="none"/>
          <w:lang w:val="en-US" w:eastAsia="zh-CN"/>
        </w:rPr>
        <w:t>商务文件</w:t>
      </w:r>
      <w:r>
        <w:rPr>
          <w:rFonts w:hint="eastAsia" w:ascii="仿宋" w:hAnsi="仿宋" w:eastAsia="仿宋" w:cs="仿宋"/>
          <w:b/>
          <w:bCs/>
          <w:sz w:val="24"/>
          <w:szCs w:val="24"/>
          <w:highlight w:val="none"/>
          <w:lang w:val="en-US"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投标函；</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法定代表人身份证明；</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法定代表人授权委托书；</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开标一览表；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分项报价表；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主要设备及配件报价明细表；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设备维保明细表；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质保期内供应的备品备件、易损件、耗材、专用工具价格表；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质保期满后长期供应的备品备件、易损件、耗材、专用工具价格表；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商务响应一览表；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近年类似业绩一览表，附相关证明材料；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w:t>
      </w:r>
      <w:r>
        <w:rPr>
          <w:rFonts w:hint="default" w:ascii="仿宋" w:hAnsi="仿宋" w:eastAsia="仿宋" w:cs="仿宋"/>
          <w:b/>
          <w:bCs/>
          <w:sz w:val="24"/>
          <w:szCs w:val="24"/>
          <w:highlight w:val="none"/>
          <w:lang w:val="en-US" w:eastAsia="zh-CN"/>
        </w:rPr>
        <w:t>技术文件：</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投标货物的制造、调试、验收标准/方案计划；</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投标货物的包装、运输方案；</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投标货物安装或指导安装方案，安装或指导安装组织机构及人员情况；</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供应商对招标人操作、维护人员培训方案（包括培训人数、时间、地点、目的、内容、培训程度等）；</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投标货物交货时可提供的技术资料清单；</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供应商关于投标货物知识产权的承诺书（如有）；</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需招标人配合的工作和条件；</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供应商和制造商的基本情况；</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w:t>
      </w:r>
      <w:r>
        <w:rPr>
          <w:rFonts w:hint="default" w:ascii="仿宋" w:hAnsi="仿宋" w:eastAsia="仿宋" w:cs="仿宋"/>
          <w:b/>
          <w:bCs/>
          <w:sz w:val="24"/>
          <w:szCs w:val="24"/>
          <w:highlight w:val="none"/>
          <w:lang w:val="en-US" w:eastAsia="zh-CN"/>
        </w:rPr>
        <w:t>资格、资质证明部分：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按《政府采购法实施条例》第十七条的规定，应提供的基本资格条件证明材料，详见供应商须知前附表</w:t>
      </w:r>
      <w:r>
        <w:rPr>
          <w:rFonts w:hint="eastAsia" w:ascii="仿宋" w:hAnsi="仿宋" w:eastAsia="仿宋" w:cs="仿宋"/>
          <w:sz w:val="24"/>
          <w:szCs w:val="24"/>
          <w:highlight w:val="none"/>
          <w:lang w:val="en-US" w:eastAsia="zh-CN"/>
        </w:rPr>
        <w:t>第5条要求的（1）-（8）条，资格审查不通过做无效投标处理</w:t>
      </w:r>
      <w:r>
        <w:rPr>
          <w:rFonts w:hint="default"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pacing w:line="360" w:lineRule="auto"/>
        <w:textAlignment w:val="auto"/>
        <w:rPr>
          <w:rFonts w:hint="eastAsia"/>
          <w:sz w:val="32"/>
          <w:szCs w:val="24"/>
          <w:highlight w:val="none"/>
          <w:lang w:val="en-US" w:eastAsia="zh-CN"/>
        </w:rPr>
      </w:pPr>
      <w:r>
        <w:rPr>
          <w:rFonts w:hint="eastAsia"/>
          <w:sz w:val="32"/>
          <w:szCs w:val="24"/>
          <w:highlight w:val="none"/>
          <w:lang w:val="en-US" w:eastAsia="zh-CN"/>
        </w:rPr>
        <w:t>附件一：投标函</w:t>
      </w:r>
      <w:bookmarkEnd w:id="50"/>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经研究，我方决定参加项目编号为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的____________________采购（项目名称）项目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1、我方提交的投标文件，正本</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lang w:val="en-US" w:eastAsia="zh-CN"/>
        </w:rPr>
        <w:t>份，副本</w:t>
      </w:r>
      <w:r>
        <w:rPr>
          <w:rFonts w:hint="eastAsia" w:ascii="仿宋" w:hAnsi="仿宋" w:eastAsia="仿宋" w:cs="仿宋"/>
          <w:sz w:val="24"/>
          <w:szCs w:val="24"/>
          <w:highlight w:val="none"/>
          <w:u w:val="single"/>
          <w:lang w:val="en-US" w:eastAsia="zh-CN"/>
        </w:rPr>
        <w:t xml:space="preserve"> 3 </w:t>
      </w:r>
      <w:r>
        <w:rPr>
          <w:rFonts w:hint="eastAsia" w:ascii="仿宋" w:hAnsi="仿宋" w:eastAsia="仿宋" w:cs="仿宋"/>
          <w:sz w:val="24"/>
          <w:szCs w:val="24"/>
          <w:highlight w:val="none"/>
          <w:lang w:val="en-US" w:eastAsia="zh-CN"/>
        </w:rPr>
        <w:t>份，电子版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lang w:val="en-US" w:eastAsia="zh-CN"/>
        </w:rPr>
        <w:t>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电话：</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   月   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1" w:name="_Toc15950"/>
      <w:r>
        <w:rPr>
          <w:rFonts w:hint="eastAsia"/>
          <w:sz w:val="32"/>
          <w:szCs w:val="24"/>
          <w:highlight w:val="none"/>
          <w:lang w:val="en-US" w:eastAsia="zh-CN"/>
        </w:rPr>
        <w:t>附件二：法定代表人身份证明</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单位性质：</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成立时间：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经营期限：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姓名：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性别：</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职务：</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2" w:name="_Toc24503"/>
      <w:r>
        <w:rPr>
          <w:rFonts w:hint="eastAsia"/>
          <w:sz w:val="32"/>
          <w:szCs w:val="24"/>
          <w:highlight w:val="none"/>
          <w:lang w:val="en-US" w:eastAsia="zh-CN"/>
        </w:rPr>
        <w:t>附件三：法定代表人授权委托书</w:t>
      </w:r>
      <w:bookmarkEnd w:id="52"/>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1"/>
                <w:szCs w:val="24"/>
                <w:highlight w:val="none"/>
                <w:vertAlign w:val="baseline"/>
                <w:lang w:val="en-US" w:eastAsia="zh-CN"/>
              </w:rPr>
            </w:pPr>
            <w:r>
              <w:rPr>
                <w:rFonts w:hint="eastAsia" w:ascii="仿宋" w:hAnsi="仿宋" w:eastAsia="仿宋" w:cs="仿宋"/>
                <w:color w:val="auto"/>
                <w:sz w:val="24"/>
                <w:szCs w:val="24"/>
                <w:highlight w:val="none"/>
              </w:rPr>
              <w:t>（附法</w:t>
            </w:r>
            <w:r>
              <w:rPr>
                <w:rFonts w:hint="eastAsia" w:ascii="仿宋" w:hAnsi="仿宋" w:eastAsia="仿宋" w:cs="仿宋"/>
                <w:color w:val="auto"/>
                <w:sz w:val="24"/>
                <w:szCs w:val="24"/>
                <w:highlight w:val="none"/>
                <w:lang w:val="en-US" w:eastAsia="zh-CN"/>
              </w:rPr>
              <w:t>定代表人</w:t>
            </w: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val="en-US" w:eastAsia="zh-CN"/>
              </w:rPr>
              <w:t>人像面</w:t>
            </w:r>
            <w:r>
              <w:rPr>
                <w:rFonts w:hint="eastAsia" w:ascii="仿宋" w:hAnsi="仿宋" w:eastAsia="仿宋" w:cs="仿宋"/>
                <w:color w:val="auto"/>
                <w:sz w:val="24"/>
                <w:szCs w:val="24"/>
                <w:highlight w:val="none"/>
              </w:rPr>
              <w:t>）</w:t>
            </w:r>
          </w:p>
        </w:tc>
        <w:tc>
          <w:tcPr>
            <w:tcW w:w="4309" w:type="dxa"/>
            <w:vAlign w:val="center"/>
          </w:tcPr>
          <w:p>
            <w:pPr>
              <w:keepNext w:val="0"/>
              <w:keepLines w:val="0"/>
              <w:pageBreakBefore w:val="0"/>
              <w:widowControl w:val="0"/>
              <w:tabs>
                <w:tab w:val="left" w:pos="4581"/>
              </w:tabs>
              <w:kinsoku/>
              <w:wordWrap/>
              <w:overflowPunct/>
              <w:topLinePunct w:val="0"/>
              <w:bidi w:val="0"/>
              <w:adjustRightInd/>
              <w:spacing w:line="360" w:lineRule="auto"/>
              <w:jc w:val="center"/>
              <w:textAlignment w:val="auto"/>
              <w:rPr>
                <w:rFonts w:hint="eastAsia" w:ascii="仿宋" w:hAnsi="仿宋" w:eastAsia="仿宋" w:cs="仿宋"/>
                <w:sz w:val="21"/>
                <w:szCs w:val="24"/>
                <w:highlight w:val="none"/>
                <w:vertAlign w:val="baseline"/>
                <w:lang w:val="en-US" w:eastAsia="zh-CN"/>
              </w:rPr>
            </w:pPr>
            <w:r>
              <w:rPr>
                <w:rFonts w:hint="eastAsia" w:ascii="仿宋" w:hAnsi="仿宋" w:eastAsia="仿宋" w:cs="仿宋"/>
                <w:color w:val="auto"/>
                <w:sz w:val="24"/>
                <w:szCs w:val="24"/>
                <w:highlight w:val="none"/>
              </w:rPr>
              <w:t>（附授权代</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val="en-US" w:eastAsia="zh-CN"/>
              </w:rPr>
              <w:t>人像面</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1"/>
                <w:szCs w:val="24"/>
                <w:highlight w:val="none"/>
                <w:vertAlign w:val="baseline"/>
                <w:lang w:val="en-US" w:eastAsia="zh-CN"/>
              </w:rPr>
            </w:pPr>
            <w:r>
              <w:rPr>
                <w:rFonts w:hint="eastAsia" w:ascii="仿宋" w:hAnsi="仿宋" w:eastAsia="仿宋" w:cs="仿宋"/>
                <w:color w:val="auto"/>
                <w:sz w:val="24"/>
                <w:szCs w:val="24"/>
                <w:highlight w:val="none"/>
              </w:rPr>
              <w:t>（附法</w:t>
            </w:r>
            <w:r>
              <w:rPr>
                <w:rFonts w:hint="eastAsia" w:ascii="仿宋" w:hAnsi="仿宋" w:eastAsia="仿宋" w:cs="仿宋"/>
                <w:color w:val="auto"/>
                <w:sz w:val="24"/>
                <w:szCs w:val="24"/>
                <w:highlight w:val="none"/>
                <w:lang w:val="en-US" w:eastAsia="zh-CN"/>
              </w:rPr>
              <w:t>定代表人</w:t>
            </w: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val="en-US" w:eastAsia="zh-CN"/>
              </w:rPr>
              <w:t>国徽面</w:t>
            </w:r>
            <w:r>
              <w:rPr>
                <w:rFonts w:hint="eastAsia" w:ascii="仿宋" w:hAnsi="仿宋" w:eastAsia="仿宋" w:cs="仿宋"/>
                <w:color w:val="auto"/>
                <w:sz w:val="24"/>
                <w:szCs w:val="24"/>
                <w:highlight w:val="none"/>
              </w:rPr>
              <w:t>）</w:t>
            </w:r>
          </w:p>
        </w:tc>
        <w:tc>
          <w:tcPr>
            <w:tcW w:w="4309" w:type="dxa"/>
            <w:vAlign w:val="center"/>
          </w:tcPr>
          <w:p>
            <w:pPr>
              <w:keepNext w:val="0"/>
              <w:keepLines w:val="0"/>
              <w:pageBreakBefore w:val="0"/>
              <w:widowControl w:val="0"/>
              <w:tabs>
                <w:tab w:val="left" w:pos="4581"/>
              </w:tabs>
              <w:kinsoku/>
              <w:wordWrap/>
              <w:overflowPunct/>
              <w:topLinePunct w:val="0"/>
              <w:bidi w:val="0"/>
              <w:adjustRightInd/>
              <w:spacing w:line="360" w:lineRule="auto"/>
              <w:jc w:val="center"/>
              <w:textAlignment w:val="auto"/>
              <w:rPr>
                <w:rFonts w:hint="eastAsia" w:ascii="仿宋" w:hAnsi="仿宋" w:eastAsia="仿宋" w:cs="仿宋"/>
                <w:sz w:val="21"/>
                <w:szCs w:val="24"/>
                <w:highlight w:val="none"/>
                <w:vertAlign w:val="baseline"/>
                <w:lang w:val="en-US" w:eastAsia="zh-CN"/>
              </w:rPr>
            </w:pPr>
            <w:r>
              <w:rPr>
                <w:rFonts w:hint="eastAsia" w:ascii="仿宋" w:hAnsi="仿宋" w:eastAsia="仿宋" w:cs="仿宋"/>
                <w:color w:val="auto"/>
                <w:sz w:val="24"/>
                <w:szCs w:val="24"/>
                <w:highlight w:val="none"/>
              </w:rPr>
              <w:t>（附授权代</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val="en-US" w:eastAsia="zh-CN"/>
              </w:rPr>
              <w:t>国徽面</w:t>
            </w:r>
            <w:r>
              <w:rPr>
                <w:rFonts w:hint="eastAsia" w:ascii="仿宋" w:hAnsi="仿宋" w:eastAsia="仿宋" w:cs="仿宋"/>
                <w:color w:val="auto"/>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pacing w:val="73"/>
          <w:kern w:val="0"/>
          <w:sz w:val="24"/>
          <w:szCs w:val="24"/>
          <w:highlight w:val="none"/>
          <w:fitText w:val="1400" w:id="725709872"/>
          <w:lang w:val="en-US" w:eastAsia="zh-CN"/>
        </w:rPr>
        <w:t>授权代</w:t>
      </w:r>
      <w:r>
        <w:rPr>
          <w:rFonts w:hint="eastAsia" w:ascii="仿宋" w:hAnsi="仿宋" w:eastAsia="仿宋" w:cs="仿宋"/>
          <w:spacing w:val="1"/>
          <w:kern w:val="0"/>
          <w:sz w:val="24"/>
          <w:szCs w:val="24"/>
          <w:highlight w:val="none"/>
          <w:fitText w:val="1400" w:id="725709872"/>
          <w:lang w:val="en-US" w:eastAsia="zh-CN"/>
        </w:rPr>
        <w:t>表</w:t>
      </w:r>
      <w:r>
        <w:rPr>
          <w:rFonts w:hint="default" w:ascii="仿宋" w:hAnsi="仿宋" w:eastAsia="仿宋" w:cs="仿宋"/>
          <w:sz w:val="24"/>
          <w:szCs w:val="24"/>
          <w:highlight w:val="none"/>
          <w:lang w:val="en-US" w:eastAsia="zh-CN"/>
        </w:rPr>
        <w:t>（签字或盖章）</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3" w:name="_Toc14908"/>
      <w:r>
        <w:rPr>
          <w:rFonts w:hint="eastAsia"/>
          <w:sz w:val="32"/>
          <w:szCs w:val="24"/>
          <w:highlight w:val="none"/>
          <w:lang w:val="en-US" w:eastAsia="zh-CN"/>
        </w:rPr>
        <w:t>附件四：开标一览表</w:t>
      </w:r>
      <w:bookmarkEnd w:id="53"/>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供应商名称</w:t>
            </w:r>
          </w:p>
        </w:tc>
        <w:tc>
          <w:tcPr>
            <w:tcW w:w="6703" w:type="dxa"/>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总报价</w:t>
            </w:r>
          </w:p>
        </w:tc>
        <w:tc>
          <w:tcPr>
            <w:tcW w:w="6703" w:type="dxa"/>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小写：</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设备描述</w:t>
            </w:r>
          </w:p>
        </w:tc>
        <w:tc>
          <w:tcPr>
            <w:tcW w:w="6703" w:type="dxa"/>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交货期</w:t>
            </w:r>
          </w:p>
        </w:tc>
        <w:tc>
          <w:tcPr>
            <w:tcW w:w="6703" w:type="dxa"/>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质保期</w:t>
            </w:r>
          </w:p>
        </w:tc>
        <w:tc>
          <w:tcPr>
            <w:tcW w:w="6703" w:type="dxa"/>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对招标文件的认同程度</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2"/>
                <w:szCs w:val="22"/>
                <w:highlight w:val="none"/>
              </w:rPr>
              <w:t>所报产品制造商是否为小微企业、监狱企业、残疾人福利性单位</w:t>
            </w:r>
          </w:p>
        </w:tc>
        <w:tc>
          <w:tcPr>
            <w:tcW w:w="6703" w:type="dxa"/>
            <w:vAlign w:val="center"/>
          </w:tcPr>
          <w:p>
            <w:pPr>
              <w:keepNext w:val="0"/>
              <w:keepLines w:val="0"/>
              <w:pageBreakBefore w:val="0"/>
              <w:widowControl w:val="0"/>
              <w:tabs>
                <w:tab w:val="left" w:pos="1337"/>
              </w:tabs>
              <w:kinsoku/>
              <w:wordWrap/>
              <w:overflowPunct/>
              <w:topLinePunct w:val="0"/>
              <w:bidi w:val="0"/>
              <w:adjustRightInd/>
              <w:spacing w:line="360" w:lineRule="auto"/>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□是    企业类型</w:t>
            </w:r>
            <w:r>
              <w:rPr>
                <w:rFonts w:hint="eastAsia" w:ascii="仿宋" w:hAnsi="仿宋" w:eastAsia="仿宋" w:cs="仿宋"/>
                <w:sz w:val="22"/>
                <w:szCs w:val="22"/>
                <w:highlight w:val="none"/>
                <w:lang w:eastAsia="zh-CN"/>
              </w:rPr>
              <w:t>：</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u w:val="none"/>
                <w:lang w:val="en-US" w:eastAsia="zh-CN"/>
              </w:rPr>
              <w:t>，该类型产品总价：</w:t>
            </w:r>
            <w:r>
              <w:rPr>
                <w:rFonts w:hint="eastAsia" w:ascii="仿宋" w:hAnsi="仿宋" w:eastAsia="仿宋" w:cs="仿宋"/>
                <w:color w:val="000000"/>
                <w:sz w:val="22"/>
                <w:szCs w:val="22"/>
                <w:highlight w:val="none"/>
                <w:u w:val="single"/>
                <w:lang w:val="en-US" w:eastAsia="zh-CN"/>
              </w:rPr>
              <w:t xml:space="preserve">     </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0"/>
                <w:szCs w:val="22"/>
                <w:highlight w:val="none"/>
                <w:lang w:val="en-US" w:eastAsia="zh-CN"/>
              </w:rPr>
            </w:pPr>
            <w:r>
              <w:rPr>
                <w:rFonts w:hint="eastAsia" w:ascii="仿宋" w:hAnsi="仿宋" w:eastAsia="仿宋" w:cs="仿宋"/>
                <w:sz w:val="22"/>
                <w:szCs w:val="22"/>
                <w:highlight w:val="none"/>
              </w:rPr>
              <w:t>□否</w:t>
            </w: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sectPr>
          <w:footerReference r:id="rId3" w:type="default"/>
          <w:pgSz w:w="11906" w:h="16838"/>
          <w:pgMar w:top="1440" w:right="1236" w:bottom="1440" w:left="1236" w:header="851" w:footer="992" w:gutter="0"/>
          <w:pgNumType w:fmt="numberInDash" w:start="1"/>
          <w:cols w:space="425" w:num="1"/>
          <w:docGrid w:type="lines" w:linePitch="312"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4" w:name="_Toc12194"/>
      <w:r>
        <w:rPr>
          <w:rFonts w:hint="eastAsia"/>
          <w:sz w:val="32"/>
          <w:szCs w:val="24"/>
          <w:highlight w:val="none"/>
          <w:lang w:val="en-US" w:eastAsia="zh-CN"/>
        </w:rPr>
        <w:t>附件五：主要设备及配件报价明细表</w:t>
      </w:r>
      <w:bookmarkEnd w:id="54"/>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（详细配置）</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商标</w:t>
            </w:r>
          </w:p>
        </w:tc>
        <w:tc>
          <w:tcPr>
            <w:tcW w:w="18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（元）</w:t>
            </w: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（元）</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pacing w:val="0"/>
                <w:sz w:val="24"/>
                <w:szCs w:val="24"/>
                <w:highlight w:val="none"/>
                <w:vertAlign w:val="baseline"/>
                <w:lang w:val="en-US" w:eastAsia="zh-CN"/>
              </w:rPr>
              <w:t>是否属于小微企业生产</w:t>
            </w:r>
          </w:p>
        </w:tc>
        <w:tc>
          <w:tcPr>
            <w:tcW w:w="146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694"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9"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5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005"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850"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313"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8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063"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33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6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jc w:val="center"/>
              <w:textAlignment w:val="auto"/>
              <w:rPr>
                <w:rFonts w:hint="eastAsia" w:ascii="仿宋" w:hAnsi="仿宋" w:eastAsia="仿宋" w:cs="仿宋"/>
                <w:sz w:val="24"/>
                <w:szCs w:val="24"/>
                <w:highlight w:val="none"/>
                <w:vertAlign w:val="baseline"/>
                <w:lang w:val="en-US" w:eastAsia="zh-CN"/>
              </w:rPr>
            </w:pPr>
            <w:r>
              <w:rPr>
                <w:rFonts w:hint="eastAsia" w:ascii="微软雅黑" w:hAnsi="微软雅黑" w:eastAsia="微软雅黑" w:cs="微软雅黑"/>
                <w:sz w:val="24"/>
                <w:szCs w:val="24"/>
                <w:highlight w:val="none"/>
                <w:vertAlign w:val="baseline"/>
                <w:lang w:val="en-US" w:eastAsia="zh-CN"/>
              </w:rPr>
              <w:t>…</w:t>
            </w:r>
          </w:p>
        </w:tc>
        <w:tc>
          <w:tcPr>
            <w:tcW w:w="1694"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9"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5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005"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850"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313"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8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063"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33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67"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合计</w:t>
            </w:r>
          </w:p>
        </w:tc>
        <w:tc>
          <w:tcPr>
            <w:tcW w:w="11598" w:type="dxa"/>
            <w:gridSpan w:val="9"/>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598" w:type="dxa"/>
            <w:gridSpan w:val="9"/>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大写：</w:t>
            </w: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注：1、本表可按相同形式扩展，每包一张，单独填写，装订在投标文件中。2、投标总价须与开标一览表中投标总价一致。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5" w:name="_Toc15617"/>
      <w:r>
        <w:rPr>
          <w:rFonts w:hint="eastAsia"/>
          <w:sz w:val="32"/>
          <w:szCs w:val="24"/>
          <w:highlight w:val="none"/>
          <w:lang w:val="en-US" w:eastAsia="zh-CN"/>
        </w:rPr>
        <w:t>附件六：设备维保明细表</w:t>
      </w:r>
      <w:bookmarkEnd w:id="55"/>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设备名称</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质保期</w:t>
            </w:r>
          </w:p>
        </w:tc>
        <w:tc>
          <w:tcPr>
            <w:tcW w:w="6743" w:type="dxa"/>
            <w:gridSpan w:val="2"/>
          </w:tcPr>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（请按设备分别报价）</w:t>
            </w:r>
          </w:p>
        </w:tc>
        <w:tc>
          <w:tcPr>
            <w:tcW w:w="34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质保期满后    年</w:t>
            </w:r>
          </w:p>
        </w:tc>
        <w:tc>
          <w:tcPr>
            <w:tcW w:w="3331"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c>
          <w:tcPr>
            <w:tcW w:w="34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1年总报价</w:t>
            </w:r>
          </w:p>
        </w:tc>
        <w:tc>
          <w:tcPr>
            <w:tcW w:w="3331"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c>
          <w:tcPr>
            <w:tcW w:w="34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3年总报价</w:t>
            </w:r>
          </w:p>
        </w:tc>
        <w:tc>
          <w:tcPr>
            <w:tcW w:w="3331"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c>
          <w:tcPr>
            <w:tcW w:w="34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5年总报价</w:t>
            </w:r>
          </w:p>
        </w:tc>
        <w:tc>
          <w:tcPr>
            <w:tcW w:w="3331"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c>
          <w:tcPr>
            <w:tcW w:w="34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其他方案</w:t>
            </w:r>
          </w:p>
        </w:tc>
        <w:tc>
          <w:tcPr>
            <w:tcW w:w="3331"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优惠条件</w:t>
            </w:r>
          </w:p>
        </w:tc>
        <w:tc>
          <w:tcPr>
            <w:tcW w:w="6743" w:type="dxa"/>
            <w:gridSpan w:val="2"/>
          </w:tcPr>
          <w:p>
            <w:pPr>
              <w:keepNext w:val="0"/>
              <w:keepLines w:val="0"/>
              <w:pageBreakBefore w:val="0"/>
              <w:widowControl w:val="0"/>
              <w:kinsoku/>
              <w:wordWrap/>
              <w:overflowPunct/>
              <w:topLinePunct w:val="0"/>
              <w:bidi w:val="0"/>
              <w:adjustRightInd/>
              <w:spacing w:line="360" w:lineRule="auto"/>
              <w:jc w:val="center"/>
              <w:textAlignment w:val="auto"/>
              <w:rPr>
                <w:rFonts w:hint="default"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6" w:name="_Toc5851"/>
      <w:r>
        <w:rPr>
          <w:rFonts w:hint="eastAsia"/>
          <w:sz w:val="32"/>
          <w:szCs w:val="24"/>
          <w:highlight w:val="none"/>
          <w:lang w:val="en-US" w:eastAsia="zh-CN"/>
        </w:rPr>
        <w:t>附件七：质保期内供应的备品备件、易损件、耗材、专用工具价格表</w:t>
      </w:r>
      <w:bookmarkEnd w:id="56"/>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1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 w:hAnsi="仿宋" w:eastAsia="仿宋" w:cs="仿宋"/>
                <w:sz w:val="24"/>
                <w:szCs w:val="24"/>
                <w:highlight w:val="none"/>
                <w:vertAlign w:val="baseline"/>
                <w:lang w:val="en-US" w:eastAsia="zh-CN"/>
              </w:rPr>
            </w:pPr>
            <w:r>
              <w:rPr>
                <w:rFonts w:hint="eastAsia" w:ascii="微软雅黑" w:hAnsi="微软雅黑" w:eastAsia="微软雅黑" w:cs="微软雅黑"/>
                <w:sz w:val="24"/>
                <w:szCs w:val="24"/>
                <w:highlight w:val="none"/>
                <w:vertAlign w:val="baseline"/>
                <w:lang w:val="en-US" w:eastAsia="zh-CN"/>
              </w:rPr>
              <w:t>…</w:t>
            </w: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合计</w:t>
            </w:r>
          </w:p>
        </w:tc>
        <w:tc>
          <w:tcPr>
            <w:tcW w:w="12600" w:type="dxa"/>
            <w:gridSpan w:val="8"/>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600" w:type="dxa"/>
            <w:gridSpan w:val="8"/>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大写：</w:t>
            </w: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7" w:name="_Toc25433"/>
      <w:r>
        <w:rPr>
          <w:rFonts w:hint="eastAsia"/>
          <w:sz w:val="32"/>
          <w:szCs w:val="24"/>
          <w:highlight w:val="none"/>
          <w:lang w:val="en-US" w:eastAsia="zh-CN"/>
        </w:rPr>
        <w:t>附件八：质保期满后长期供应的备品备件、易损件、耗材、专用工具价格表</w:t>
      </w:r>
      <w:bookmarkEnd w:id="57"/>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1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 w:hAnsi="仿宋" w:eastAsia="仿宋" w:cs="仿宋"/>
                <w:sz w:val="24"/>
                <w:szCs w:val="24"/>
                <w:highlight w:val="none"/>
                <w:vertAlign w:val="baseline"/>
                <w:lang w:val="en-US" w:eastAsia="zh-CN"/>
              </w:rPr>
            </w:pPr>
            <w:r>
              <w:rPr>
                <w:rFonts w:hint="eastAsia" w:ascii="微软雅黑" w:hAnsi="微软雅黑" w:eastAsia="微软雅黑" w:cs="微软雅黑"/>
                <w:sz w:val="24"/>
                <w:szCs w:val="24"/>
                <w:highlight w:val="none"/>
                <w:vertAlign w:val="baseline"/>
                <w:lang w:val="en-US" w:eastAsia="zh-CN"/>
              </w:rPr>
              <w:t>…</w:t>
            </w: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合计</w:t>
            </w:r>
          </w:p>
        </w:tc>
        <w:tc>
          <w:tcPr>
            <w:tcW w:w="12600" w:type="dxa"/>
            <w:gridSpan w:val="8"/>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600" w:type="dxa"/>
            <w:gridSpan w:val="8"/>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大写：</w:t>
            </w: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8" w:name="_Toc4081"/>
      <w:r>
        <w:rPr>
          <w:rFonts w:hint="eastAsia"/>
          <w:sz w:val="32"/>
          <w:szCs w:val="24"/>
          <w:highlight w:val="none"/>
          <w:lang w:val="en-US" w:eastAsia="zh-CN"/>
        </w:rPr>
        <w:t>附件九：商务响应一览表</w:t>
      </w:r>
      <w:bookmarkEnd w:id="58"/>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pacing w:val="-23"/>
                <w:sz w:val="24"/>
                <w:szCs w:val="24"/>
                <w:highlight w:val="none"/>
                <w:vertAlign w:val="baseline"/>
                <w:lang w:val="en-US" w:eastAsia="zh-CN"/>
              </w:rPr>
            </w:pPr>
            <w:r>
              <w:rPr>
                <w:rFonts w:hint="eastAsia" w:ascii="仿宋" w:hAnsi="仿宋" w:eastAsia="仿宋" w:cs="仿宋"/>
                <w:spacing w:val="-23"/>
                <w:sz w:val="24"/>
                <w:szCs w:val="24"/>
                <w:highlight w:val="none"/>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pacing w:val="-23"/>
                <w:sz w:val="24"/>
                <w:szCs w:val="24"/>
                <w:highlight w:val="none"/>
                <w:vertAlign w:val="baseline"/>
                <w:lang w:val="en-US" w:eastAsia="zh-CN"/>
              </w:rPr>
            </w:pPr>
            <w:r>
              <w:rPr>
                <w:rFonts w:hint="eastAsia" w:ascii="仿宋" w:hAnsi="仿宋" w:eastAsia="仿宋" w:cs="仿宋"/>
                <w:spacing w:val="-23"/>
                <w:sz w:val="24"/>
                <w:szCs w:val="24"/>
                <w:highlight w:val="none"/>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说明：</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59" w:name="_Toc13157"/>
      <w:r>
        <w:rPr>
          <w:rFonts w:hint="eastAsia"/>
          <w:sz w:val="32"/>
          <w:szCs w:val="24"/>
          <w:highlight w:val="none"/>
          <w:lang w:val="en-US" w:eastAsia="zh-CN"/>
        </w:rPr>
        <w:t>附件十：技术响应一览表</w:t>
      </w:r>
      <w:bookmarkEnd w:id="59"/>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pacing w:val="-23"/>
                <w:sz w:val="24"/>
                <w:szCs w:val="24"/>
                <w:highlight w:val="none"/>
                <w:vertAlign w:val="baseline"/>
                <w:lang w:val="en-US" w:eastAsia="zh-CN"/>
              </w:rPr>
            </w:pPr>
            <w:r>
              <w:rPr>
                <w:rFonts w:hint="eastAsia" w:ascii="仿宋" w:hAnsi="仿宋" w:eastAsia="仿宋" w:cs="仿宋"/>
                <w:spacing w:val="-23"/>
                <w:sz w:val="24"/>
                <w:szCs w:val="24"/>
                <w:highlight w:val="none"/>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pacing w:val="-23"/>
                <w:sz w:val="24"/>
                <w:szCs w:val="24"/>
                <w:highlight w:val="none"/>
                <w:vertAlign w:val="baseline"/>
                <w:lang w:val="en-US" w:eastAsia="zh-CN"/>
              </w:rPr>
            </w:pPr>
            <w:r>
              <w:rPr>
                <w:rFonts w:hint="eastAsia" w:ascii="仿宋" w:hAnsi="仿宋" w:eastAsia="仿宋" w:cs="仿宋"/>
                <w:spacing w:val="-23"/>
                <w:sz w:val="24"/>
                <w:szCs w:val="24"/>
                <w:highlight w:val="none"/>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说明：</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0" w:name="_Toc28417"/>
      <w:r>
        <w:rPr>
          <w:rFonts w:hint="eastAsia"/>
          <w:sz w:val="32"/>
          <w:szCs w:val="24"/>
          <w:highlight w:val="none"/>
          <w:lang w:val="en-US" w:eastAsia="zh-CN"/>
        </w:rPr>
        <w:t>附件十一：近年业绩一览表</w:t>
      </w:r>
      <w:bookmarkEnd w:id="60"/>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92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5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2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92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5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2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92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5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2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929"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5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2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75"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请在此表后附合同或其他相关证明材料，具体要求详见评标办法，近年年份要求详见供应商须知前附表。</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1"/>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1" w:name="_Toc9521"/>
      <w:r>
        <w:rPr>
          <w:rFonts w:hint="eastAsia"/>
          <w:sz w:val="32"/>
          <w:szCs w:val="24"/>
          <w:highlight w:val="none"/>
          <w:lang w:val="en-US" w:eastAsia="zh-CN"/>
        </w:rPr>
        <w:t>附件十二：中小企业声明函（如有）</w:t>
      </w:r>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本公司（联合体）郑重声明，根据《政府采购促进中小企业发展管理办法》（财库﹝2020﹞46号）的规定，本公司（联合体）参加</w:t>
      </w:r>
      <w:r>
        <w:rPr>
          <w:rFonts w:hint="default" w:ascii="仿宋" w:hAnsi="仿宋" w:eastAsia="仿宋" w:cs="仿宋"/>
          <w:sz w:val="24"/>
          <w:szCs w:val="24"/>
          <w:highlight w:val="none"/>
          <w:u w:val="single"/>
          <w:lang w:val="en-US" w:eastAsia="zh-CN"/>
        </w:rPr>
        <w:t>（单位名称）</w:t>
      </w:r>
      <w:r>
        <w:rPr>
          <w:rFonts w:hint="default" w:ascii="仿宋" w:hAnsi="仿宋" w:eastAsia="仿宋" w:cs="仿宋"/>
          <w:sz w:val="24"/>
          <w:szCs w:val="24"/>
          <w:highlight w:val="none"/>
          <w:lang w:val="en-US" w:eastAsia="zh-CN"/>
        </w:rPr>
        <w:t>的</w:t>
      </w:r>
      <w:r>
        <w:rPr>
          <w:rFonts w:hint="default" w:ascii="仿宋" w:hAnsi="仿宋" w:eastAsia="仿宋" w:cs="仿宋"/>
          <w:sz w:val="24"/>
          <w:szCs w:val="24"/>
          <w:highlight w:val="none"/>
          <w:u w:val="single"/>
          <w:lang w:val="en-US" w:eastAsia="zh-CN"/>
        </w:rPr>
        <w:t>（项目名称）</w:t>
      </w:r>
      <w:r>
        <w:rPr>
          <w:rFonts w:hint="default" w:ascii="仿宋" w:hAnsi="仿宋" w:eastAsia="仿宋" w:cs="仿宋"/>
          <w:sz w:val="24"/>
          <w:szCs w:val="24"/>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w:t>
      </w:r>
      <w:r>
        <w:rPr>
          <w:rFonts w:hint="default" w:ascii="仿宋" w:hAnsi="仿宋" w:eastAsia="仿宋" w:cs="仿宋"/>
          <w:sz w:val="24"/>
          <w:szCs w:val="24"/>
          <w:highlight w:val="none"/>
          <w:u w:val="single"/>
          <w:lang w:val="en-US" w:eastAsia="zh-CN"/>
        </w:rPr>
        <w:t>（标的名称）</w:t>
      </w:r>
      <w:r>
        <w:rPr>
          <w:rFonts w:hint="default" w:ascii="仿宋" w:hAnsi="仿宋" w:eastAsia="仿宋" w:cs="仿宋"/>
          <w:sz w:val="24"/>
          <w:szCs w:val="24"/>
          <w:highlight w:val="none"/>
          <w:lang w:val="en-US" w:eastAsia="zh-CN"/>
        </w:rPr>
        <w:t>，属于</w:t>
      </w:r>
      <w:r>
        <w:rPr>
          <w:rFonts w:hint="default" w:ascii="仿宋" w:hAnsi="仿宋" w:eastAsia="仿宋" w:cs="仿宋"/>
          <w:sz w:val="24"/>
          <w:szCs w:val="24"/>
          <w:highlight w:val="none"/>
          <w:u w:val="single"/>
          <w:lang w:val="en-US" w:eastAsia="zh-CN"/>
        </w:rPr>
        <w:t>（采购文件中明确的所属行业）</w:t>
      </w:r>
      <w:r>
        <w:rPr>
          <w:rFonts w:hint="default" w:ascii="仿宋" w:hAnsi="仿宋" w:eastAsia="仿宋" w:cs="仿宋"/>
          <w:sz w:val="24"/>
          <w:szCs w:val="24"/>
          <w:highlight w:val="none"/>
          <w:lang w:val="en-US" w:eastAsia="zh-CN"/>
        </w:rPr>
        <w:t>行业；制造商为</w:t>
      </w:r>
      <w:r>
        <w:rPr>
          <w:rFonts w:hint="default" w:ascii="仿宋" w:hAnsi="仿宋" w:eastAsia="仿宋" w:cs="仿宋"/>
          <w:sz w:val="24"/>
          <w:szCs w:val="24"/>
          <w:highlight w:val="none"/>
          <w:u w:val="single"/>
          <w:lang w:val="en-US" w:eastAsia="zh-CN"/>
        </w:rPr>
        <w:t>（企业名称）</w:t>
      </w:r>
      <w:r>
        <w:rPr>
          <w:rFonts w:hint="default" w:ascii="仿宋" w:hAnsi="仿宋" w:eastAsia="仿宋" w:cs="仿宋"/>
          <w:sz w:val="24"/>
          <w:szCs w:val="24"/>
          <w:highlight w:val="none"/>
          <w:lang w:val="en-US" w:eastAsia="zh-CN"/>
        </w:rPr>
        <w:t>，从业人员</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人，营业收入为</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万元，资产总额为</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万元，属于</w:t>
      </w:r>
      <w:r>
        <w:rPr>
          <w:rFonts w:hint="default" w:ascii="仿宋" w:hAnsi="仿宋" w:eastAsia="仿宋" w:cs="仿宋"/>
          <w:sz w:val="24"/>
          <w:szCs w:val="24"/>
          <w:highlight w:val="none"/>
          <w:u w:val="single"/>
          <w:lang w:val="en-US" w:eastAsia="zh-CN"/>
        </w:rPr>
        <w:t>（中型企业、小型企业、微型企业）</w:t>
      </w:r>
      <w:r>
        <w:rPr>
          <w:rFonts w:hint="default"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w:t>
      </w:r>
      <w:r>
        <w:rPr>
          <w:rFonts w:hint="default" w:ascii="仿宋" w:hAnsi="仿宋" w:eastAsia="仿宋" w:cs="仿宋"/>
          <w:sz w:val="24"/>
          <w:szCs w:val="24"/>
          <w:highlight w:val="none"/>
          <w:u w:val="single"/>
          <w:lang w:val="en-US" w:eastAsia="zh-CN"/>
        </w:rPr>
        <w:t>（标的名称）</w:t>
      </w:r>
      <w:r>
        <w:rPr>
          <w:rFonts w:hint="default" w:ascii="仿宋" w:hAnsi="仿宋" w:eastAsia="仿宋" w:cs="仿宋"/>
          <w:sz w:val="24"/>
          <w:szCs w:val="24"/>
          <w:highlight w:val="none"/>
          <w:lang w:val="en-US" w:eastAsia="zh-CN"/>
        </w:rPr>
        <w:t>，属于</w:t>
      </w:r>
      <w:r>
        <w:rPr>
          <w:rFonts w:hint="default" w:ascii="仿宋" w:hAnsi="仿宋" w:eastAsia="仿宋" w:cs="仿宋"/>
          <w:sz w:val="24"/>
          <w:szCs w:val="24"/>
          <w:highlight w:val="none"/>
          <w:u w:val="single"/>
          <w:lang w:val="en-US" w:eastAsia="zh-CN"/>
        </w:rPr>
        <w:t>（采购文件中明确的所属行业）</w:t>
      </w:r>
      <w:r>
        <w:rPr>
          <w:rFonts w:hint="default" w:ascii="仿宋" w:hAnsi="仿宋" w:eastAsia="仿宋" w:cs="仿宋"/>
          <w:sz w:val="24"/>
          <w:szCs w:val="24"/>
          <w:highlight w:val="none"/>
          <w:lang w:val="en-US" w:eastAsia="zh-CN"/>
        </w:rPr>
        <w:t>行业；制造商为</w:t>
      </w:r>
      <w:r>
        <w:rPr>
          <w:rFonts w:hint="default" w:ascii="仿宋" w:hAnsi="仿宋" w:eastAsia="仿宋" w:cs="仿宋"/>
          <w:sz w:val="24"/>
          <w:szCs w:val="24"/>
          <w:highlight w:val="none"/>
          <w:u w:val="single"/>
          <w:lang w:val="en-US" w:eastAsia="zh-CN"/>
        </w:rPr>
        <w:t>（企业名称）</w:t>
      </w:r>
      <w:r>
        <w:rPr>
          <w:rFonts w:hint="default" w:ascii="仿宋" w:hAnsi="仿宋" w:eastAsia="仿宋" w:cs="仿宋"/>
          <w:sz w:val="24"/>
          <w:szCs w:val="24"/>
          <w:highlight w:val="none"/>
          <w:lang w:val="en-US" w:eastAsia="zh-CN"/>
        </w:rPr>
        <w:t>，从业人员</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人，营业收入为</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万元，资产总额为</w:t>
      </w:r>
      <w:r>
        <w:rPr>
          <w:rFonts w:hint="eastAsia" w:ascii="仿宋" w:hAnsi="仿宋" w:eastAsia="仿宋" w:cs="仿宋"/>
          <w:sz w:val="24"/>
          <w:szCs w:val="24"/>
          <w:highlight w:val="none"/>
          <w:u w:val="single"/>
          <w:lang w:val="en-US" w:eastAsia="zh-CN"/>
        </w:rPr>
        <w:t xml:space="preserve">   </w:t>
      </w:r>
      <w:r>
        <w:rPr>
          <w:rFonts w:hint="default" w:ascii="仿宋" w:hAnsi="仿宋" w:eastAsia="仿宋" w:cs="仿宋"/>
          <w:sz w:val="24"/>
          <w:szCs w:val="24"/>
          <w:highlight w:val="none"/>
          <w:lang w:val="en-US" w:eastAsia="zh-CN"/>
        </w:rPr>
        <w:t>万元，属于</w:t>
      </w:r>
      <w:r>
        <w:rPr>
          <w:rFonts w:hint="default" w:ascii="仿宋" w:hAnsi="仿宋" w:eastAsia="仿宋" w:cs="仿宋"/>
          <w:sz w:val="24"/>
          <w:szCs w:val="24"/>
          <w:highlight w:val="none"/>
          <w:u w:val="single"/>
          <w:lang w:val="en-US" w:eastAsia="zh-CN"/>
        </w:rPr>
        <w:t>（中型企业、小型企业、微型企业）</w:t>
      </w:r>
      <w:r>
        <w:rPr>
          <w:rFonts w:hint="default"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本企业对上述声明内容的真实性负责。如有虚假，</w:t>
      </w:r>
      <w:r>
        <w:rPr>
          <w:rFonts w:hint="default" w:ascii="仿宋" w:hAnsi="仿宋" w:eastAsia="仿宋" w:cs="仿宋"/>
          <w:spacing w:val="-11"/>
          <w:sz w:val="24"/>
          <w:szCs w:val="24"/>
          <w:highlight w:val="none"/>
          <w:lang w:val="en-US" w:eastAsia="zh-CN"/>
        </w:rPr>
        <w:t>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2"/>
          <w:highlight w:val="none"/>
          <w:lang w:val="en-US" w:eastAsia="zh-CN"/>
        </w:rPr>
      </w:pPr>
      <w:r>
        <w:rPr>
          <w:rFonts w:hint="default" w:ascii="仿宋" w:hAnsi="仿宋" w:eastAsia="仿宋" w:cs="仿宋"/>
          <w:sz w:val="22"/>
          <w:szCs w:val="22"/>
          <w:highlight w:val="none"/>
          <w:lang w:val="en-US" w:eastAsia="zh-CN"/>
        </w:rPr>
        <w:t>注：</w:t>
      </w:r>
      <w:r>
        <w:rPr>
          <w:rFonts w:hint="eastAsia" w:ascii="仿宋" w:hAnsi="仿宋" w:eastAsia="仿宋" w:cs="仿宋"/>
          <w:sz w:val="22"/>
          <w:szCs w:val="22"/>
          <w:highlight w:val="none"/>
          <w:lang w:val="en-US" w:eastAsia="zh-CN"/>
        </w:rPr>
        <w:t>（1）</w:t>
      </w:r>
      <w:r>
        <w:rPr>
          <w:rFonts w:hint="default" w:ascii="仿宋" w:hAnsi="仿宋" w:eastAsia="仿宋" w:cs="仿宋"/>
          <w:sz w:val="22"/>
          <w:szCs w:val="22"/>
          <w:highlight w:val="none"/>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default"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（2）</w:t>
      </w:r>
      <w:r>
        <w:rPr>
          <w:rFonts w:hint="default" w:ascii="仿宋" w:hAnsi="仿宋" w:eastAsia="仿宋" w:cs="仿宋"/>
          <w:b/>
          <w:bCs/>
          <w:sz w:val="22"/>
          <w:szCs w:val="22"/>
          <w:highlight w:val="none"/>
          <w:lang w:val="en-US" w:eastAsia="zh-CN"/>
        </w:rPr>
        <w:t>不符合相应条件的供应商无需提供。</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lang w:val="en-US" w:eastAsia="zh-CN"/>
        </w:rPr>
      </w:pPr>
      <w:r>
        <w:rPr>
          <w:rFonts w:hint="default"/>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2" w:name="_Toc30411"/>
      <w:r>
        <w:rPr>
          <w:rFonts w:hint="eastAsia"/>
          <w:sz w:val="32"/>
          <w:szCs w:val="24"/>
          <w:highlight w:val="none"/>
          <w:lang w:val="en-US" w:eastAsia="zh-CN"/>
        </w:rPr>
        <w:t>附件十三：残疾人福利性单位声明函（如有）</w:t>
      </w:r>
      <w:bookmarkEnd w:id="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注：不符合相应条件的供应商无需提供</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3" w:name="_Toc22511"/>
      <w:r>
        <w:rPr>
          <w:rFonts w:hint="eastAsia"/>
          <w:sz w:val="32"/>
          <w:szCs w:val="24"/>
          <w:highlight w:val="none"/>
          <w:lang w:val="en-US" w:eastAsia="zh-CN"/>
        </w:rPr>
        <w:t>附件十四：环境标志产品明细表</w:t>
      </w:r>
      <w:bookmarkEnd w:id="63"/>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单价（元）</w:t>
            </w: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4"/>
          <w:szCs w:val="24"/>
          <w:highlight w:val="none"/>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4" w:name="_Toc23388"/>
      <w:r>
        <w:rPr>
          <w:rFonts w:hint="eastAsia"/>
          <w:sz w:val="32"/>
          <w:szCs w:val="24"/>
          <w:highlight w:val="none"/>
          <w:lang w:val="en-US" w:eastAsia="zh-CN"/>
        </w:rPr>
        <w:t>附件十五：节能产品明细表</w:t>
      </w:r>
      <w:bookmarkEnd w:id="64"/>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单价（元）</w:t>
            </w: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202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92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600"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1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4"/>
          <w:szCs w:val="24"/>
          <w:highlight w:val="none"/>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default" w:ascii="仿宋" w:hAnsi="仿宋" w:eastAsia="仿宋" w:cs="仿宋"/>
          <w:sz w:val="24"/>
          <w:szCs w:val="24"/>
          <w:highlight w:val="none"/>
          <w:lang w:val="en-US" w:eastAsia="zh-CN"/>
        </w:rPr>
        <w:t>名称（盖章）：</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val="en-US" w:eastAsia="zh-CN"/>
        </w:rPr>
        <w:t>或授权代表</w:t>
      </w:r>
      <w:r>
        <w:rPr>
          <w:rFonts w:hint="default" w:ascii="仿宋" w:hAnsi="仿宋" w:eastAsia="仿宋" w:cs="仿宋"/>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日期：      年    月    </w:t>
      </w:r>
      <w:r>
        <w:rPr>
          <w:rFonts w:hint="eastAsia" w:ascii="仿宋" w:hAnsi="仿宋" w:eastAsia="仿宋" w:cs="仿宋"/>
          <w:sz w:val="24"/>
          <w:szCs w:val="24"/>
          <w:highlight w:val="none"/>
          <w:lang w:val="en-US" w:eastAsia="zh-CN"/>
        </w:rPr>
        <w:t>日</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65" w:name="_Toc8827"/>
      <w:r>
        <w:rPr>
          <w:rFonts w:hint="eastAsia"/>
          <w:sz w:val="32"/>
          <w:szCs w:val="24"/>
          <w:highlight w:val="none"/>
          <w:lang w:val="en-US" w:eastAsia="zh-CN"/>
        </w:rPr>
        <w:t>附件十六：政府强制采购节能产品明细表</w:t>
      </w:r>
      <w:bookmarkEnd w:id="65"/>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w:t>
      </w:r>
    </w:p>
    <w:p>
      <w:pPr>
        <w:keepNext w:val="0"/>
        <w:keepLines w:val="0"/>
        <w:pageBreakBefore w:val="0"/>
        <w:widowControl w:val="0"/>
        <w:tabs>
          <w:tab w:val="left" w:pos="12562"/>
        </w:tabs>
        <w:kinsoku/>
        <w:wordWrap/>
        <w:overflowPunct/>
        <w:topLinePunct w:val="0"/>
        <w:bidi w:val="0"/>
        <w:adjustRightInd/>
        <w:spacing w:line="360" w:lineRule="auto"/>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13"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208"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91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1542"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4"/>
                <w:szCs w:val="24"/>
                <w:highlight w:val="none"/>
                <w:vertAlign w:val="baseline"/>
                <w:lang w:val="en-US" w:eastAsia="zh-CN"/>
              </w:rPr>
            </w:pP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bidi w:val="0"/>
        <w:adjustRightInd/>
        <w:spacing w:line="360" w:lineRule="auto"/>
        <w:textAlignment w:val="auto"/>
        <w:rPr>
          <w:rFonts w:hint="eastAsia"/>
          <w:b/>
          <w:bCs/>
          <w:sz w:val="20"/>
          <w:szCs w:val="22"/>
          <w:highlight w:val="none"/>
          <w:lang w:val="en-US" w:eastAsia="zh-CN"/>
        </w:rPr>
      </w:pPr>
      <w:r>
        <w:rPr>
          <w:rFonts w:hint="eastAsia"/>
          <w:b/>
          <w:bCs/>
          <w:sz w:val="20"/>
          <w:szCs w:val="22"/>
          <w:highlight w:val="none"/>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 w:hAnsi="仿宋" w:eastAsia="仿宋" w:cs="仿宋"/>
          <w:sz w:val="24"/>
          <w:szCs w:val="24"/>
          <w:highlight w:val="none"/>
          <w:lang w:val="en-US" w:eastAsia="zh-CN"/>
        </w:rPr>
      </w:pPr>
      <w:bookmarkStart w:id="66" w:name="_Toc18203"/>
      <w:r>
        <w:rPr>
          <w:rFonts w:hint="eastAsia" w:ascii="仿宋" w:hAnsi="仿宋" w:eastAsia="仿宋" w:cs="仿宋"/>
          <w:sz w:val="24"/>
          <w:szCs w:val="24"/>
          <w:highlight w:val="none"/>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line="360" w:lineRule="auto"/>
        <w:jc w:val="center"/>
        <w:textAlignment w:val="auto"/>
        <w:rPr>
          <w:rFonts w:hint="eastAsia" w:ascii="仿宋" w:hAnsi="仿宋" w:eastAsia="仿宋" w:cs="仿宋"/>
          <w:sz w:val="36"/>
          <w:szCs w:val="36"/>
          <w:highlight w:val="none"/>
        </w:rPr>
      </w:pPr>
      <w:r>
        <w:rPr>
          <w:rFonts w:hint="eastAsia" w:ascii="仿宋" w:hAnsi="仿宋" w:eastAsia="仿宋" w:cs="仿宋"/>
          <w:sz w:val="36"/>
          <w:szCs w:val="36"/>
          <w:highlight w:val="none"/>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keepNext w:val="0"/>
              <w:keepLines w:val="0"/>
              <w:pageBreakBefore w:val="0"/>
              <w:widowControl w:val="0"/>
              <w:kinsoku/>
              <w:wordWrap/>
              <w:overflowPunct/>
              <w:topLinePunct w:val="0"/>
              <w:bidi w:val="0"/>
              <w:adjustRightInd/>
              <w:spacing w:before="94" w:line="360" w:lineRule="auto"/>
              <w:ind w:left="64" w:right="55"/>
              <w:jc w:val="center"/>
              <w:textAlignment w:val="auto"/>
              <w:rPr>
                <w:rFonts w:hint="eastAsia" w:ascii="仿宋" w:hAnsi="仿宋" w:eastAsia="仿宋" w:cs="仿宋"/>
                <w:b/>
                <w:spacing w:val="0"/>
                <w:w w:val="100"/>
                <w:sz w:val="21"/>
                <w:szCs w:val="22"/>
                <w:highlight w:val="none"/>
              </w:rPr>
            </w:pPr>
            <w:r>
              <w:rPr>
                <w:rFonts w:hint="eastAsia" w:ascii="仿宋" w:hAnsi="仿宋" w:eastAsia="仿宋" w:cs="仿宋"/>
                <w:b/>
                <w:spacing w:val="0"/>
                <w:w w:val="100"/>
                <w:sz w:val="21"/>
                <w:szCs w:val="22"/>
                <w:highlight w:val="none"/>
              </w:rPr>
              <w:t>品目序号</w:t>
            </w:r>
          </w:p>
        </w:tc>
        <w:tc>
          <w:tcPr>
            <w:tcW w:w="4884" w:type="dxa"/>
            <w:gridSpan w:val="3"/>
            <w:vAlign w:val="center"/>
          </w:tcPr>
          <w:p>
            <w:pPr>
              <w:pStyle w:val="17"/>
              <w:keepNext w:val="0"/>
              <w:keepLines w:val="0"/>
              <w:pageBreakBefore w:val="0"/>
              <w:widowControl w:val="0"/>
              <w:kinsoku/>
              <w:wordWrap/>
              <w:overflowPunct/>
              <w:topLinePunct w:val="0"/>
              <w:bidi w:val="0"/>
              <w:adjustRightInd/>
              <w:spacing w:before="1" w:line="360" w:lineRule="auto"/>
              <w:ind w:left="2199" w:right="2193"/>
              <w:jc w:val="center"/>
              <w:textAlignment w:val="auto"/>
              <w:rPr>
                <w:rFonts w:hint="eastAsia" w:ascii="仿宋" w:hAnsi="仿宋" w:eastAsia="仿宋" w:cs="仿宋"/>
                <w:b/>
                <w:spacing w:val="0"/>
                <w:w w:val="100"/>
                <w:sz w:val="21"/>
                <w:szCs w:val="22"/>
                <w:highlight w:val="none"/>
              </w:rPr>
            </w:pPr>
            <w:r>
              <w:rPr>
                <w:rFonts w:hint="eastAsia" w:ascii="仿宋" w:hAnsi="仿宋" w:eastAsia="仿宋" w:cs="仿宋"/>
                <w:b/>
                <w:spacing w:val="0"/>
                <w:w w:val="100"/>
                <w:sz w:val="21"/>
                <w:szCs w:val="22"/>
                <w:highlight w:val="none"/>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仿宋" w:hAnsi="仿宋" w:eastAsia="仿宋" w:cs="仿宋"/>
                <w:b/>
                <w:spacing w:val="0"/>
                <w:w w:val="100"/>
                <w:sz w:val="21"/>
                <w:szCs w:val="22"/>
                <w:highlight w:val="none"/>
              </w:rPr>
            </w:pPr>
            <w:r>
              <w:rPr>
                <w:rFonts w:hint="eastAsia" w:ascii="仿宋" w:hAnsi="仿宋" w:eastAsia="仿宋" w:cs="仿宋"/>
                <w:b/>
                <w:spacing w:val="0"/>
                <w:w w:val="100"/>
                <w:sz w:val="21"/>
                <w:szCs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w:t>
            </w:r>
          </w:p>
        </w:tc>
        <w:tc>
          <w:tcPr>
            <w:tcW w:w="1167" w:type="dxa"/>
            <w:vMerge w:val="restart"/>
            <w:vAlign w:val="center"/>
          </w:tcPr>
          <w:p>
            <w:pPr>
              <w:pStyle w:val="17"/>
              <w:keepNext w:val="0"/>
              <w:keepLines w:val="0"/>
              <w:pageBreakBefore w:val="0"/>
              <w:widowControl w:val="0"/>
              <w:kinsoku/>
              <w:wordWrap/>
              <w:overflowPunct/>
              <w:topLinePunct w:val="0"/>
              <w:bidi w:val="0"/>
              <w:adjustRightInd/>
              <w:spacing w:before="1"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A020101</w:t>
            </w:r>
          </w:p>
          <w:p>
            <w:pPr>
              <w:pStyle w:val="17"/>
              <w:keepNext w:val="0"/>
              <w:keepLines w:val="0"/>
              <w:pageBreakBefore w:val="0"/>
              <w:widowControl w:val="0"/>
              <w:kinsoku/>
              <w:wordWrap/>
              <w:overflowPunct/>
              <w:topLinePunct w:val="0"/>
              <w:bidi w:val="0"/>
              <w:adjustRightInd/>
              <w:spacing w:before="1"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计算机设备</w:t>
            </w:r>
          </w:p>
        </w:tc>
        <w:tc>
          <w:tcPr>
            <w:tcW w:w="1801" w:type="dxa"/>
            <w:vAlign w:val="center"/>
          </w:tcPr>
          <w:p>
            <w:pPr>
              <w:pStyle w:val="17"/>
              <w:keepNext w:val="0"/>
              <w:keepLines w:val="0"/>
              <w:pageBreakBefore w:val="0"/>
              <w:widowControl w:val="0"/>
              <w:kinsoku/>
              <w:wordWrap/>
              <w:overflowPunct/>
              <w:topLinePunct w:val="0"/>
              <w:bidi w:val="0"/>
              <w:adjustRightInd/>
              <w:spacing w:before="126"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★A02010104</w:t>
            </w:r>
          </w:p>
          <w:p>
            <w:pPr>
              <w:pStyle w:val="17"/>
              <w:keepNext w:val="0"/>
              <w:keepLines w:val="0"/>
              <w:pageBreakBefore w:val="0"/>
              <w:widowControl w:val="0"/>
              <w:kinsoku/>
              <w:wordWrap/>
              <w:overflowPunct/>
              <w:topLinePunct w:val="0"/>
              <w:bidi w:val="0"/>
              <w:adjustRightInd/>
              <w:spacing w:before="126"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台式计算机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26"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24"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★A02010105</w:t>
            </w:r>
          </w:p>
          <w:p>
            <w:pPr>
              <w:pStyle w:val="17"/>
              <w:keepNext w:val="0"/>
              <w:keepLines w:val="0"/>
              <w:pageBreakBefore w:val="0"/>
              <w:widowControl w:val="0"/>
              <w:kinsoku/>
              <w:wordWrap/>
              <w:overflowPunct/>
              <w:topLinePunct w:val="0"/>
              <w:bidi w:val="0"/>
              <w:adjustRightInd/>
              <w:spacing w:before="24"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便携式计算机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24"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97"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★A02010107</w:t>
            </w:r>
          </w:p>
          <w:p>
            <w:pPr>
              <w:pStyle w:val="17"/>
              <w:keepNext w:val="0"/>
              <w:keepLines w:val="0"/>
              <w:pageBreakBefore w:val="0"/>
              <w:widowControl w:val="0"/>
              <w:kinsoku/>
              <w:wordWrap/>
              <w:overflowPunct/>
              <w:topLinePunct w:val="0"/>
              <w:bidi w:val="0"/>
              <w:adjustRightInd/>
              <w:spacing w:before="97"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平板式微型计算机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9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2</w:t>
            </w:r>
          </w:p>
        </w:tc>
        <w:tc>
          <w:tcPr>
            <w:tcW w:w="1167" w:type="dxa"/>
            <w:vMerge w:val="restart"/>
            <w:vAlign w:val="center"/>
          </w:tcPr>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A020106输入输出设备</w:t>
            </w:r>
          </w:p>
        </w:tc>
        <w:tc>
          <w:tcPr>
            <w:tcW w:w="1801" w:type="dxa"/>
            <w:vMerge w:val="restart"/>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A02010601打印设备</w:t>
            </w:r>
          </w:p>
        </w:tc>
        <w:tc>
          <w:tcPr>
            <w:tcW w:w="1916" w:type="dxa"/>
            <w:vAlign w:val="center"/>
          </w:tcPr>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A0201060101</w:t>
            </w:r>
          </w:p>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喷墨打印机</w:t>
            </w:r>
          </w:p>
        </w:tc>
        <w:tc>
          <w:tcPr>
            <w:tcW w:w="2967" w:type="dxa"/>
            <w:vAlign w:val="center"/>
          </w:tcPr>
          <w:p>
            <w:pPr>
              <w:pStyle w:val="17"/>
              <w:keepNext w:val="0"/>
              <w:keepLines w:val="0"/>
              <w:pageBreakBefore w:val="0"/>
              <w:widowControl w:val="0"/>
              <w:kinsoku/>
              <w:wordWrap/>
              <w:overflowPunct/>
              <w:topLinePunct w:val="0"/>
              <w:bidi w:val="0"/>
              <w:adjustRightInd/>
              <w:spacing w:before="85"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★A0201060102</w:t>
            </w:r>
          </w:p>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激光打印机</w:t>
            </w:r>
          </w:p>
        </w:tc>
        <w:tc>
          <w:tcPr>
            <w:tcW w:w="2967" w:type="dxa"/>
            <w:vAlign w:val="center"/>
          </w:tcPr>
          <w:p>
            <w:pPr>
              <w:pStyle w:val="17"/>
              <w:keepNext w:val="0"/>
              <w:keepLines w:val="0"/>
              <w:pageBreakBefore w:val="0"/>
              <w:widowControl w:val="0"/>
              <w:kinsoku/>
              <w:wordWrap/>
              <w:overflowPunct/>
              <w:topLinePunct w:val="0"/>
              <w:bidi w:val="0"/>
              <w:adjustRightInd/>
              <w:spacing w:before="85"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★A0201060104</w:t>
            </w:r>
          </w:p>
          <w:p>
            <w:pPr>
              <w:pStyle w:val="17"/>
              <w:keepNext w:val="0"/>
              <w:keepLines w:val="0"/>
              <w:pageBreakBefore w:val="0"/>
              <w:widowControl w:val="0"/>
              <w:kinsoku/>
              <w:wordWrap/>
              <w:overflowPunct/>
              <w:topLinePunct w:val="0"/>
              <w:bidi w:val="0"/>
              <w:adjustRightInd/>
              <w:spacing w:before="85"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针式打印机</w:t>
            </w:r>
          </w:p>
        </w:tc>
        <w:tc>
          <w:tcPr>
            <w:tcW w:w="2967" w:type="dxa"/>
            <w:vAlign w:val="center"/>
          </w:tcPr>
          <w:p>
            <w:pPr>
              <w:pStyle w:val="17"/>
              <w:keepNext w:val="0"/>
              <w:keepLines w:val="0"/>
              <w:pageBreakBefore w:val="0"/>
              <w:widowControl w:val="0"/>
              <w:kinsoku/>
              <w:wordWrap/>
              <w:overflowPunct/>
              <w:topLinePunct w:val="0"/>
              <w:bidi w:val="0"/>
              <w:adjustRightInd/>
              <w:spacing w:before="85"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A02010604显示设备</w:t>
            </w:r>
          </w:p>
        </w:tc>
        <w:tc>
          <w:tcPr>
            <w:tcW w:w="1916" w:type="dxa"/>
            <w:vAlign w:val="center"/>
          </w:tcPr>
          <w:p>
            <w:pPr>
              <w:pStyle w:val="17"/>
              <w:keepNext w:val="0"/>
              <w:keepLines w:val="0"/>
              <w:pageBreakBefore w:val="0"/>
              <w:widowControl w:val="0"/>
              <w:kinsoku/>
              <w:wordWrap/>
              <w:overflowPunct/>
              <w:topLinePunct w:val="0"/>
              <w:bidi w:val="0"/>
              <w:adjustRightInd/>
              <w:spacing w:before="102"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★A0201060401</w:t>
            </w:r>
          </w:p>
          <w:p>
            <w:pPr>
              <w:pStyle w:val="17"/>
              <w:keepNext w:val="0"/>
              <w:keepLines w:val="0"/>
              <w:pageBreakBefore w:val="0"/>
              <w:widowControl w:val="0"/>
              <w:kinsoku/>
              <w:wordWrap/>
              <w:overflowPunct/>
              <w:topLinePunct w:val="0"/>
              <w:bidi w:val="0"/>
              <w:adjustRightInd/>
              <w:spacing w:before="102"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液晶显示器</w:t>
            </w:r>
          </w:p>
        </w:tc>
        <w:tc>
          <w:tcPr>
            <w:tcW w:w="2967" w:type="dxa"/>
            <w:vAlign w:val="center"/>
          </w:tcPr>
          <w:p>
            <w:pPr>
              <w:pStyle w:val="17"/>
              <w:keepNext w:val="0"/>
              <w:keepLines w:val="0"/>
              <w:pageBreakBefore w:val="0"/>
              <w:widowControl w:val="0"/>
              <w:kinsoku/>
              <w:wordWrap/>
              <w:overflowPunct/>
              <w:topLinePunct w:val="0"/>
              <w:bidi w:val="0"/>
              <w:adjustRightInd/>
              <w:spacing w:before="102"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39"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A02010609图形图像输入设备</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A0201060901扫描仪</w:t>
            </w:r>
          </w:p>
        </w:tc>
        <w:tc>
          <w:tcPr>
            <w:tcW w:w="2967" w:type="dxa"/>
            <w:vAlign w:val="center"/>
          </w:tcPr>
          <w:p>
            <w:pPr>
              <w:pStyle w:val="17"/>
              <w:keepNext w:val="0"/>
              <w:keepLines w:val="0"/>
              <w:pageBreakBefore w:val="0"/>
              <w:widowControl w:val="0"/>
              <w:kinsoku/>
              <w:wordWrap/>
              <w:overflowPunct/>
              <w:topLinePunct w:val="0"/>
              <w:bidi w:val="0"/>
              <w:adjustRightInd/>
              <w:spacing w:before="83"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参照《复印机、打印机和传真机能效限定值及能效等级》（GB21521</w:t>
            </w:r>
            <w:r>
              <w:rPr>
                <w:rFonts w:hint="eastAsia" w:ascii="仿宋" w:hAnsi="仿宋" w:eastAsia="仿宋" w:cs="仿宋"/>
                <w:spacing w:val="0"/>
                <w:w w:val="100"/>
                <w:sz w:val="21"/>
                <w:szCs w:val="28"/>
                <w:highlight w:val="none"/>
                <w:lang w:eastAsia="zh-CN"/>
              </w:rPr>
              <w:t>）</w:t>
            </w:r>
            <w:r>
              <w:rPr>
                <w:rFonts w:hint="eastAsia" w:ascii="仿宋" w:hAnsi="仿宋" w:eastAsia="仿宋" w:cs="仿宋"/>
                <w:spacing w:val="0"/>
                <w:w w:val="100"/>
                <w:sz w:val="21"/>
                <w:szCs w:val="28"/>
                <w:highlight w:val="none"/>
              </w:rPr>
              <w:t>中打印速度为15页/分的针式打</w:t>
            </w:r>
          </w:p>
          <w:p>
            <w:pPr>
              <w:pStyle w:val="17"/>
              <w:keepNext w:val="0"/>
              <w:keepLines w:val="0"/>
              <w:pageBreakBefore w:val="0"/>
              <w:widowControl w:val="0"/>
              <w:kinsoku/>
              <w:wordWrap/>
              <w:overflowPunct/>
              <w:topLinePunct w:val="0"/>
              <w:bidi w:val="0"/>
              <w:adjustRightInd/>
              <w:spacing w:before="55"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3</w:t>
            </w:r>
          </w:p>
        </w:tc>
        <w:tc>
          <w:tcPr>
            <w:tcW w:w="1167" w:type="dxa"/>
            <w:vAlign w:val="center"/>
          </w:tcPr>
          <w:p>
            <w:pPr>
              <w:pStyle w:val="17"/>
              <w:keepNext w:val="0"/>
              <w:keepLines w:val="0"/>
              <w:pageBreakBefore w:val="0"/>
              <w:widowControl w:val="0"/>
              <w:kinsoku/>
              <w:wordWrap/>
              <w:overflowPunct/>
              <w:topLinePunct w:val="0"/>
              <w:bidi w:val="0"/>
              <w:adjustRightInd/>
              <w:spacing w:before="56"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A020202</w:t>
            </w:r>
          </w:p>
          <w:p>
            <w:pPr>
              <w:pStyle w:val="17"/>
              <w:keepNext w:val="0"/>
              <w:keepLines w:val="0"/>
              <w:pageBreakBefore w:val="0"/>
              <w:widowControl w:val="0"/>
              <w:kinsoku/>
              <w:wordWrap/>
              <w:overflowPunct/>
              <w:topLinePunct w:val="0"/>
              <w:bidi w:val="0"/>
              <w:adjustRightInd/>
              <w:spacing w:before="56"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投影仪</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56"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4</w:t>
            </w:r>
          </w:p>
        </w:tc>
        <w:tc>
          <w:tcPr>
            <w:tcW w:w="1167" w:type="dxa"/>
            <w:vAlign w:val="center"/>
          </w:tcPr>
          <w:p>
            <w:pPr>
              <w:pStyle w:val="17"/>
              <w:keepNext w:val="0"/>
              <w:keepLines w:val="0"/>
              <w:pageBreakBefore w:val="0"/>
              <w:widowControl w:val="0"/>
              <w:kinsoku/>
              <w:wordWrap/>
              <w:overflowPunct/>
              <w:topLinePunct w:val="0"/>
              <w:bidi w:val="0"/>
              <w:adjustRightInd/>
              <w:spacing w:before="100"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A020204多功能一体机</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00"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5</w:t>
            </w:r>
          </w:p>
        </w:tc>
        <w:tc>
          <w:tcPr>
            <w:tcW w:w="1167" w:type="dxa"/>
            <w:tcBorders>
              <w:bottom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A020519泵</w:t>
            </w:r>
          </w:p>
        </w:tc>
        <w:tc>
          <w:tcPr>
            <w:tcW w:w="1801" w:type="dxa"/>
            <w:tcBorders>
              <w:bottom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A02051901离心泵</w:t>
            </w:r>
          </w:p>
        </w:tc>
        <w:tc>
          <w:tcPr>
            <w:tcW w:w="1916" w:type="dxa"/>
            <w:tcBorders>
              <w:bottom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37"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before="135"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★A02052301</w:t>
            </w:r>
          </w:p>
          <w:p>
            <w:pPr>
              <w:pStyle w:val="17"/>
              <w:keepNext w:val="0"/>
              <w:keepLines w:val="0"/>
              <w:pageBreakBefore w:val="0"/>
              <w:widowControl w:val="0"/>
              <w:kinsoku/>
              <w:wordWrap/>
              <w:overflowPunct/>
              <w:topLinePunct w:val="0"/>
              <w:bidi w:val="0"/>
              <w:adjustRightInd/>
              <w:spacing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冷水机组</w:t>
            </w:r>
          </w:p>
        </w:tc>
        <w:tc>
          <w:tcPr>
            <w:tcW w:w="2967" w:type="dxa"/>
            <w:tcBorders>
              <w:left w:val="single" w:color="auto" w:sz="4" w:space="0"/>
            </w:tcBorders>
            <w:vAlign w:val="center"/>
          </w:tcPr>
          <w:p>
            <w:pPr>
              <w:pStyle w:val="17"/>
              <w:keepNext w:val="0"/>
              <w:keepLines w:val="0"/>
              <w:pageBreakBefore w:val="0"/>
              <w:widowControl w:val="0"/>
              <w:kinsoku/>
              <w:wordWrap/>
              <w:overflowPunct/>
              <w:topLinePunct w:val="0"/>
              <w:bidi w:val="0"/>
              <w:adjustRightInd/>
              <w:spacing w:before="10"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before="1"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水源热泵机组</w:t>
            </w:r>
          </w:p>
        </w:tc>
        <w:tc>
          <w:tcPr>
            <w:tcW w:w="2967" w:type="dxa"/>
            <w:tcBorders>
              <w:left w:val="single" w:color="auto" w:sz="4" w:space="0"/>
            </w:tcBorders>
            <w:vAlign w:val="center"/>
          </w:tcPr>
          <w:p>
            <w:pPr>
              <w:pStyle w:val="17"/>
              <w:keepNext w:val="0"/>
              <w:keepLines w:val="0"/>
              <w:pageBreakBefore w:val="0"/>
              <w:widowControl w:val="0"/>
              <w:kinsoku/>
              <w:wordWrap/>
              <w:overflowPunct/>
              <w:topLinePunct w:val="0"/>
              <w:bidi w:val="0"/>
              <w:adjustRightInd/>
              <w:spacing w:before="85"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167" w:type="dxa"/>
            <w:vMerge w:val="continue"/>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801" w:type="dxa"/>
            <w:vMerge w:val="continue"/>
            <w:tcBorders>
              <w:left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before="126" w:line="360" w:lineRule="auto"/>
              <w:ind w:left="9" w:righ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溴化锂吸收式冷水机组</w:t>
            </w:r>
          </w:p>
        </w:tc>
        <w:tc>
          <w:tcPr>
            <w:tcW w:w="2967" w:type="dxa"/>
            <w:vAlign w:val="center"/>
          </w:tcPr>
          <w:p>
            <w:pPr>
              <w:pStyle w:val="17"/>
              <w:keepNext w:val="0"/>
              <w:keepLines w:val="0"/>
              <w:pageBreakBefore w:val="0"/>
              <w:widowControl w:val="0"/>
              <w:kinsoku/>
              <w:wordWrap/>
              <w:overflowPunct/>
              <w:topLinePunct w:val="0"/>
              <w:bidi w:val="0"/>
              <w:adjustRightInd/>
              <w:spacing w:before="126"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restart"/>
            <w:vAlign w:val="center"/>
          </w:tcPr>
          <w:p>
            <w:pPr>
              <w:pStyle w:val="17"/>
              <w:keepNext w:val="0"/>
              <w:keepLines w:val="0"/>
              <w:pageBreakBefore w:val="0"/>
              <w:widowControl w:val="0"/>
              <w:kinsoku/>
              <w:wordWrap/>
              <w:overflowPunct/>
              <w:topLinePunct w:val="0"/>
              <w:bidi w:val="0"/>
              <w:adjustRightInd/>
              <w:spacing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★A02052305</w:t>
            </w:r>
          </w:p>
          <w:p>
            <w:pPr>
              <w:pStyle w:val="17"/>
              <w:keepNext w:val="0"/>
              <w:keepLines w:val="0"/>
              <w:pageBreakBefore w:val="0"/>
              <w:widowControl w:val="0"/>
              <w:kinsoku/>
              <w:wordWrap/>
              <w:overflowPunct/>
              <w:topLinePunct w:val="0"/>
              <w:bidi w:val="0"/>
              <w:adjustRightInd/>
              <w:spacing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空调机组</w:t>
            </w:r>
          </w:p>
        </w:tc>
        <w:tc>
          <w:tcPr>
            <w:tcW w:w="1916" w:type="dxa"/>
            <w:vAlign w:val="center"/>
          </w:tcPr>
          <w:p>
            <w:pPr>
              <w:pStyle w:val="17"/>
              <w:keepNext w:val="0"/>
              <w:keepLines w:val="0"/>
              <w:pageBreakBefore w:val="0"/>
              <w:widowControl w:val="0"/>
              <w:kinsoku/>
              <w:wordWrap/>
              <w:overflowPunct/>
              <w:topLinePunct w:val="0"/>
              <w:bidi w:val="0"/>
              <w:adjustRightInd/>
              <w:spacing w:before="37"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多联式空调（热泵）机组(制冷&gt;14000W)</w:t>
            </w:r>
          </w:p>
        </w:tc>
        <w:tc>
          <w:tcPr>
            <w:tcW w:w="2967" w:type="dxa"/>
            <w:vAlign w:val="center"/>
          </w:tcPr>
          <w:p>
            <w:pPr>
              <w:pStyle w:val="17"/>
              <w:keepNext w:val="0"/>
              <w:keepLines w:val="0"/>
              <w:pageBreakBefore w:val="0"/>
              <w:widowControl w:val="0"/>
              <w:kinsoku/>
              <w:wordWrap/>
              <w:overflowPunct/>
              <w:topLinePunct w:val="0"/>
              <w:bidi w:val="0"/>
              <w:adjustRightInd/>
              <w:spacing w:line="360" w:lineRule="auto"/>
              <w:ind w:left="9" w:right="5"/>
              <w:jc w:val="both"/>
              <w:textAlignment w:val="auto"/>
              <w:rPr>
                <w:rFonts w:hint="eastAsia" w:ascii="仿宋" w:hAnsi="仿宋" w:eastAsia="仿宋" w:cs="仿宋"/>
                <w:spacing w:val="0"/>
                <w:w w:val="100"/>
                <w:sz w:val="21"/>
                <w:szCs w:val="28"/>
                <w:highlight w:val="none"/>
                <w:lang w:eastAsia="zh-CN"/>
              </w:rPr>
            </w:pPr>
            <w:r>
              <w:rPr>
                <w:rFonts w:hint="eastAsia" w:ascii="仿宋" w:hAnsi="仿宋" w:eastAsia="仿宋" w:cs="仿宋"/>
                <w:spacing w:val="0"/>
                <w:w w:val="100"/>
                <w:sz w:val="21"/>
                <w:szCs w:val="28"/>
                <w:highlight w:val="none"/>
              </w:rPr>
              <w:t>《多联式空调（热泵）机组能效限定值及能源效率等级》（GB21454</w:t>
            </w:r>
            <w:r>
              <w:rPr>
                <w:rFonts w:hint="eastAsia" w:ascii="仿宋" w:hAnsi="仿宋" w:eastAsia="仿宋" w:cs="仿宋"/>
                <w:spacing w:val="0"/>
                <w:w w:val="100"/>
                <w:sz w:val="21"/>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单元式空气调节机(制冷量&gt;14000W)</w:t>
            </w:r>
          </w:p>
        </w:tc>
        <w:tc>
          <w:tcPr>
            <w:tcW w:w="2967" w:type="dxa"/>
            <w:vAlign w:val="center"/>
          </w:tcPr>
          <w:p>
            <w:pPr>
              <w:pStyle w:val="17"/>
              <w:keepNext w:val="0"/>
              <w:keepLines w:val="0"/>
              <w:pageBreakBefore w:val="0"/>
              <w:widowControl w:val="0"/>
              <w:kinsoku/>
              <w:wordWrap/>
              <w:overflowPunct/>
              <w:topLinePunct w:val="0"/>
              <w:bidi w:val="0"/>
              <w:adjustRightInd/>
              <w:spacing w:before="42"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16"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★A02052309专用制冷、空调设备</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机房空调</w:t>
            </w:r>
          </w:p>
        </w:tc>
        <w:tc>
          <w:tcPr>
            <w:tcW w:w="2967" w:type="dxa"/>
            <w:vAlign w:val="center"/>
          </w:tcPr>
          <w:p>
            <w:pPr>
              <w:pStyle w:val="17"/>
              <w:keepNext w:val="0"/>
              <w:keepLines w:val="0"/>
              <w:pageBreakBefore w:val="0"/>
              <w:widowControl w:val="0"/>
              <w:kinsoku/>
              <w:wordWrap/>
              <w:overflowPunct/>
              <w:topLinePunct w:val="0"/>
              <w:bidi w:val="0"/>
              <w:adjustRightInd/>
              <w:spacing w:before="116"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A02052399其他制冷空调设备</w:t>
            </w:r>
          </w:p>
        </w:tc>
        <w:tc>
          <w:tcPr>
            <w:tcW w:w="1916" w:type="dxa"/>
            <w:vAlign w:val="center"/>
          </w:tcPr>
          <w:p>
            <w:pPr>
              <w:pStyle w:val="17"/>
              <w:keepNext w:val="0"/>
              <w:keepLines w:val="0"/>
              <w:pageBreakBefore w:val="0"/>
              <w:widowControl w:val="0"/>
              <w:kinsoku/>
              <w:wordWrap/>
              <w:overflowPunct/>
              <w:topLinePunct w:val="0"/>
              <w:bidi w:val="0"/>
              <w:adjustRightInd/>
              <w:spacing w:before="1"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冷却塔</w:t>
            </w:r>
          </w:p>
        </w:tc>
        <w:tc>
          <w:tcPr>
            <w:tcW w:w="2967" w:type="dxa"/>
            <w:vAlign w:val="center"/>
          </w:tcPr>
          <w:p>
            <w:pPr>
              <w:pStyle w:val="17"/>
              <w:keepNext w:val="0"/>
              <w:keepLines w:val="0"/>
              <w:pageBreakBefore w:val="0"/>
              <w:widowControl w:val="0"/>
              <w:kinsoku/>
              <w:wordWrap/>
              <w:overflowPunct/>
              <w:topLinePunct w:val="0"/>
              <w:bidi w:val="0"/>
              <w:adjustRightInd/>
              <w:spacing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《机械通风冷却塔第1部分：中小型开式冷却塔》（GB/T7190.1）</w:t>
            </w:r>
          </w:p>
          <w:p>
            <w:pPr>
              <w:pStyle w:val="17"/>
              <w:keepNext w:val="0"/>
              <w:keepLines w:val="0"/>
              <w:pageBreakBefore w:val="0"/>
              <w:widowControl w:val="0"/>
              <w:kinsoku/>
              <w:wordWrap/>
              <w:overflowPunct/>
              <w:topLinePunct w:val="0"/>
              <w:bidi w:val="0"/>
              <w:adjustRightInd/>
              <w:spacing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before="1"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7</w:t>
            </w:r>
          </w:p>
        </w:tc>
        <w:tc>
          <w:tcPr>
            <w:tcW w:w="1167" w:type="dxa"/>
            <w:vAlign w:val="center"/>
          </w:tcPr>
          <w:p>
            <w:pPr>
              <w:pStyle w:val="17"/>
              <w:keepNext w:val="0"/>
              <w:keepLines w:val="0"/>
              <w:pageBreakBefore w:val="0"/>
              <w:widowControl w:val="0"/>
              <w:kinsoku/>
              <w:wordWrap/>
              <w:overflowPunct/>
              <w:topLinePunct w:val="0"/>
              <w:bidi w:val="0"/>
              <w:adjustRightInd/>
              <w:spacing w:before="1"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A020601电机</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85"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before="1"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8</w:t>
            </w:r>
          </w:p>
        </w:tc>
        <w:tc>
          <w:tcPr>
            <w:tcW w:w="1167" w:type="dxa"/>
            <w:vAlign w:val="center"/>
          </w:tcPr>
          <w:p>
            <w:pPr>
              <w:pStyle w:val="17"/>
              <w:keepNext w:val="0"/>
              <w:keepLines w:val="0"/>
              <w:pageBreakBefore w:val="0"/>
              <w:widowControl w:val="0"/>
              <w:kinsoku/>
              <w:wordWrap/>
              <w:overflowPunct/>
              <w:topLinePunct w:val="0"/>
              <w:bidi w:val="0"/>
              <w:adjustRightInd/>
              <w:spacing w:before="6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A020602</w:t>
            </w:r>
          </w:p>
          <w:p>
            <w:pPr>
              <w:pStyle w:val="17"/>
              <w:keepNext w:val="0"/>
              <w:keepLines w:val="0"/>
              <w:pageBreakBefore w:val="0"/>
              <w:widowControl w:val="0"/>
              <w:kinsoku/>
              <w:wordWrap/>
              <w:overflowPunct/>
              <w:topLinePunct w:val="0"/>
              <w:bidi w:val="0"/>
              <w:adjustRightInd/>
              <w:spacing w:before="6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变压器</w:t>
            </w:r>
          </w:p>
        </w:tc>
        <w:tc>
          <w:tcPr>
            <w:tcW w:w="1801" w:type="dxa"/>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配电变压器</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0"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5"/>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9</w:t>
            </w:r>
          </w:p>
        </w:tc>
        <w:tc>
          <w:tcPr>
            <w:tcW w:w="1167" w:type="dxa"/>
            <w:vAlign w:val="center"/>
          </w:tcPr>
          <w:p>
            <w:pPr>
              <w:pStyle w:val="17"/>
              <w:keepNext w:val="0"/>
              <w:keepLines w:val="0"/>
              <w:pageBreakBefore w:val="0"/>
              <w:widowControl w:val="0"/>
              <w:kinsoku/>
              <w:wordWrap/>
              <w:overflowPunct/>
              <w:topLinePunct w:val="0"/>
              <w:bidi w:val="0"/>
              <w:adjustRightInd/>
              <w:spacing w:before="160"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★A020609</w:t>
            </w:r>
          </w:p>
          <w:p>
            <w:pPr>
              <w:pStyle w:val="17"/>
              <w:keepNext w:val="0"/>
              <w:keepLines w:val="0"/>
              <w:pageBreakBefore w:val="0"/>
              <w:widowControl w:val="0"/>
              <w:kinsoku/>
              <w:wordWrap/>
              <w:overflowPunct/>
              <w:topLinePunct w:val="0"/>
              <w:bidi w:val="0"/>
              <w:adjustRightInd/>
              <w:spacing w:before="160"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镇流器</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管型荧光灯镇流器</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60"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17"/>
              <w:keepNext w:val="0"/>
              <w:keepLines w:val="0"/>
              <w:pageBreakBefore w:val="0"/>
              <w:widowControl w:val="0"/>
              <w:kinsoku/>
              <w:wordWrap/>
              <w:overflowPunct/>
              <w:topLinePunct w:val="0"/>
              <w:bidi w:val="0"/>
              <w:adjustRightInd/>
              <w:spacing w:line="360" w:lineRule="auto"/>
              <w:ind w:left="18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10</w:t>
            </w:r>
          </w:p>
        </w:tc>
        <w:tc>
          <w:tcPr>
            <w:tcW w:w="1167" w:type="dxa"/>
            <w:vMerge w:val="restart"/>
            <w:vAlign w:val="center"/>
          </w:tcPr>
          <w:p>
            <w:pPr>
              <w:pStyle w:val="17"/>
              <w:keepNext w:val="0"/>
              <w:keepLines w:val="0"/>
              <w:pageBreakBefore w:val="0"/>
              <w:widowControl w:val="0"/>
              <w:kinsoku/>
              <w:wordWrap/>
              <w:overflowPunct/>
              <w:topLinePunct w:val="0"/>
              <w:bidi w:val="0"/>
              <w:adjustRightInd/>
              <w:spacing w:before="167"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A020618生活用电器</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A0206180101电冰箱</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tabs>
                <w:tab w:val="left" w:pos="1410"/>
              </w:tabs>
              <w:kinsoku/>
              <w:wordWrap/>
              <w:overflowPunct/>
              <w:topLinePunct w:val="0"/>
              <w:bidi w:val="0"/>
              <w:adjustRightInd/>
              <w:spacing w:before="8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《家用电冰箱耗电量限定值及能效等级》（GB</w:t>
            </w:r>
            <w:r>
              <w:rPr>
                <w:rFonts w:hint="eastAsia" w:ascii="仿宋" w:hAnsi="仿宋" w:eastAsia="仿宋" w:cs="仿宋"/>
                <w:spacing w:val="0"/>
                <w:w w:val="100"/>
                <w:sz w:val="21"/>
                <w:szCs w:val="28"/>
                <w:highlight w:val="none"/>
              </w:rPr>
              <w:tab/>
            </w:r>
            <w:r>
              <w:rPr>
                <w:rFonts w:hint="eastAsia" w:ascii="仿宋" w:hAnsi="仿宋" w:eastAsia="仿宋" w:cs="仿宋"/>
                <w:spacing w:val="0"/>
                <w:w w:val="100"/>
                <w:sz w:val="21"/>
                <w:szCs w:val="28"/>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restart"/>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★A0206180203</w:t>
            </w:r>
          </w:p>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空调机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房间空气调节器</w:t>
            </w:r>
          </w:p>
        </w:tc>
        <w:tc>
          <w:tcPr>
            <w:tcW w:w="2967" w:type="dxa"/>
            <w:vAlign w:val="center"/>
          </w:tcPr>
          <w:p>
            <w:pPr>
              <w:pStyle w:val="17"/>
              <w:keepNext w:val="0"/>
              <w:keepLines w:val="0"/>
              <w:pageBreakBefore w:val="0"/>
              <w:widowControl w:val="0"/>
              <w:kinsoku/>
              <w:wordWrap/>
              <w:overflowPunct/>
              <w:topLinePunct w:val="0"/>
              <w:bidi w:val="0"/>
              <w:adjustRightInd/>
              <w:spacing w:before="37" w:line="360" w:lineRule="auto"/>
              <w:ind w:left="9" w:right="2"/>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1"/>
                <w:szCs w:val="28"/>
                <w:highlight w:val="none"/>
                <w:lang w:eastAsia="zh-CN"/>
              </w:rPr>
              <w:t>）</w:t>
            </w:r>
            <w:r>
              <w:rPr>
                <w:rFonts w:hint="eastAsia" w:ascii="仿宋" w:hAnsi="仿宋" w:eastAsia="仿宋" w:cs="仿宋"/>
                <w:spacing w:val="0"/>
                <w:w w:val="100"/>
                <w:sz w:val="21"/>
                <w:szCs w:val="28"/>
                <w:highlight w:val="none"/>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before="37"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多联式空调（热泵）机组（制冷量≤14000W）</w:t>
            </w:r>
          </w:p>
        </w:tc>
        <w:tc>
          <w:tcPr>
            <w:tcW w:w="2967" w:type="dxa"/>
            <w:vAlign w:val="center"/>
          </w:tcPr>
          <w:p>
            <w:pPr>
              <w:pStyle w:val="17"/>
              <w:keepNext w:val="0"/>
              <w:keepLines w:val="0"/>
              <w:pageBreakBefore w:val="0"/>
              <w:widowControl w:val="0"/>
              <w:kinsoku/>
              <w:wordWrap/>
              <w:overflowPunct/>
              <w:topLinePunct w:val="0"/>
              <w:bidi w:val="0"/>
              <w:adjustRightInd/>
              <w:spacing w:line="360" w:lineRule="auto"/>
              <w:ind w:left="9" w:right="5"/>
              <w:jc w:val="both"/>
              <w:textAlignment w:val="auto"/>
              <w:rPr>
                <w:rFonts w:hint="eastAsia" w:ascii="仿宋" w:hAnsi="仿宋" w:eastAsia="仿宋" w:cs="仿宋"/>
                <w:spacing w:val="0"/>
                <w:w w:val="100"/>
                <w:sz w:val="21"/>
                <w:szCs w:val="28"/>
                <w:highlight w:val="none"/>
                <w:lang w:eastAsia="zh-CN"/>
              </w:rPr>
            </w:pPr>
            <w:r>
              <w:rPr>
                <w:rFonts w:hint="eastAsia" w:ascii="仿宋" w:hAnsi="仿宋" w:eastAsia="仿宋" w:cs="仿宋"/>
                <w:spacing w:val="0"/>
                <w:w w:val="100"/>
                <w:sz w:val="21"/>
                <w:szCs w:val="28"/>
                <w:highlight w:val="none"/>
              </w:rPr>
              <w:t>《多联式空调（热泵）机组能效限定值及能源效率等级》（GB21454</w:t>
            </w:r>
            <w:r>
              <w:rPr>
                <w:rFonts w:hint="eastAsia" w:ascii="仿宋" w:hAnsi="仿宋" w:eastAsia="仿宋" w:cs="仿宋"/>
                <w:spacing w:val="0"/>
                <w:w w:val="100"/>
                <w:sz w:val="21"/>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单元式空气调节机</w:t>
            </w:r>
          </w:p>
          <w:p>
            <w:pPr>
              <w:pStyle w:val="17"/>
              <w:keepNext w:val="0"/>
              <w:keepLines w:val="0"/>
              <w:pageBreakBefore w:val="0"/>
              <w:widowControl w:val="0"/>
              <w:kinsoku/>
              <w:wordWrap/>
              <w:overflowPunct/>
              <w:topLinePunct w:val="0"/>
              <w:bidi w:val="0"/>
              <w:adjustRightInd/>
              <w:spacing w:before="56"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(制冷量≤14000W)</w:t>
            </w:r>
          </w:p>
        </w:tc>
        <w:tc>
          <w:tcPr>
            <w:tcW w:w="2967" w:type="dxa"/>
            <w:vAlign w:val="center"/>
          </w:tcPr>
          <w:p>
            <w:pPr>
              <w:pStyle w:val="17"/>
              <w:keepNext w:val="0"/>
              <w:keepLines w:val="0"/>
              <w:pageBreakBefore w:val="0"/>
              <w:widowControl w:val="0"/>
              <w:kinsoku/>
              <w:wordWrap/>
              <w:overflowPunct/>
              <w:topLinePunct w:val="0"/>
              <w:bidi w:val="0"/>
              <w:adjustRightInd/>
              <w:spacing w:before="3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A0206180301洗衣机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39"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《电动洗衣机能效水效限定值及</w:t>
            </w:r>
          </w:p>
          <w:p>
            <w:pPr>
              <w:pStyle w:val="17"/>
              <w:keepNext w:val="0"/>
              <w:keepLines w:val="0"/>
              <w:pageBreakBefore w:val="0"/>
              <w:widowControl w:val="0"/>
              <w:kinsoku/>
              <w:wordWrap/>
              <w:overflowPunct/>
              <w:topLinePunct w:val="0"/>
              <w:bidi w:val="0"/>
              <w:adjustRightInd/>
              <w:spacing w:before="56"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167" w:type="dxa"/>
            <w:vMerge w:val="continue"/>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1801" w:type="dxa"/>
            <w:vMerge w:val="restart"/>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A02061808热水器</w:t>
            </w:r>
          </w:p>
        </w:tc>
        <w:tc>
          <w:tcPr>
            <w:tcW w:w="1916" w:type="dxa"/>
            <w:vAlign w:val="center"/>
          </w:tcPr>
          <w:p>
            <w:pPr>
              <w:pStyle w:val="17"/>
              <w:keepNext w:val="0"/>
              <w:keepLines w:val="0"/>
              <w:pageBreakBefore w:val="0"/>
              <w:widowControl w:val="0"/>
              <w:kinsoku/>
              <w:wordWrap/>
              <w:overflowPunct/>
              <w:topLinePunct w:val="0"/>
              <w:bidi w:val="0"/>
              <w:adjustRightInd/>
              <w:spacing w:before="1"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★电热水器</w:t>
            </w:r>
          </w:p>
        </w:tc>
        <w:tc>
          <w:tcPr>
            <w:tcW w:w="2967" w:type="dxa"/>
            <w:vAlign w:val="center"/>
          </w:tcPr>
          <w:p>
            <w:pPr>
              <w:pStyle w:val="17"/>
              <w:keepNext w:val="0"/>
              <w:keepLines w:val="0"/>
              <w:pageBreakBefore w:val="0"/>
              <w:widowControl w:val="0"/>
              <w:tabs>
                <w:tab w:val="left" w:pos="1609"/>
              </w:tabs>
              <w:kinsoku/>
              <w:wordWrap/>
              <w:overflowPunct/>
              <w:topLinePunct w:val="0"/>
              <w:bidi w:val="0"/>
              <w:adjustRightInd/>
              <w:spacing w:before="85"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《储水式电热水器能效限定值及能效等级》（GB</w:t>
            </w:r>
            <w:r>
              <w:rPr>
                <w:rFonts w:hint="eastAsia" w:ascii="仿宋" w:hAnsi="仿宋" w:eastAsia="仿宋" w:cs="仿宋"/>
                <w:spacing w:val="0"/>
                <w:w w:val="100"/>
                <w:sz w:val="21"/>
                <w:szCs w:val="28"/>
                <w:highlight w:val="none"/>
              </w:rPr>
              <w:tab/>
            </w:r>
            <w:r>
              <w:rPr>
                <w:rFonts w:hint="eastAsia" w:ascii="仿宋" w:hAnsi="仿宋" w:eastAsia="仿宋" w:cs="仿宋"/>
                <w:spacing w:val="0"/>
                <w:w w:val="100"/>
                <w:sz w:val="21"/>
                <w:szCs w:val="28"/>
                <w:highlight w:val="none"/>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燃气热水器</w:t>
            </w:r>
          </w:p>
        </w:tc>
        <w:tc>
          <w:tcPr>
            <w:tcW w:w="2967" w:type="dxa"/>
            <w:vAlign w:val="center"/>
          </w:tcPr>
          <w:p>
            <w:pPr>
              <w:pStyle w:val="17"/>
              <w:keepNext w:val="0"/>
              <w:keepLines w:val="0"/>
              <w:pageBreakBefore w:val="0"/>
              <w:widowControl w:val="0"/>
              <w:kinsoku/>
              <w:wordWrap/>
              <w:overflowPunct/>
              <w:topLinePunct w:val="0"/>
              <w:bidi w:val="0"/>
              <w:adjustRightInd/>
              <w:spacing w:before="3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《家用燃气快速热水器和燃气采暖热水炉能效限定值及能效等级</w:t>
            </w:r>
          </w:p>
          <w:p>
            <w:pPr>
              <w:pStyle w:val="17"/>
              <w:keepNext w:val="0"/>
              <w:keepLines w:val="0"/>
              <w:pageBreakBefore w:val="0"/>
              <w:widowControl w:val="0"/>
              <w:kinsoku/>
              <w:wordWrap/>
              <w:overflowPunct/>
              <w:topLinePunct w:val="0"/>
              <w:bidi w:val="0"/>
              <w:adjustRightInd/>
              <w:spacing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热泵热水器</w:t>
            </w:r>
          </w:p>
        </w:tc>
        <w:tc>
          <w:tcPr>
            <w:tcW w:w="2967" w:type="dxa"/>
            <w:vAlign w:val="center"/>
          </w:tcPr>
          <w:p>
            <w:pPr>
              <w:pStyle w:val="17"/>
              <w:keepNext w:val="0"/>
              <w:keepLines w:val="0"/>
              <w:pageBreakBefore w:val="0"/>
              <w:widowControl w:val="0"/>
              <w:kinsoku/>
              <w:wordWrap/>
              <w:overflowPunct/>
              <w:topLinePunct w:val="0"/>
              <w:bidi w:val="0"/>
              <w:adjustRightInd/>
              <w:spacing w:before="126"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before="1"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太阳能热水系统</w:t>
            </w:r>
          </w:p>
        </w:tc>
        <w:tc>
          <w:tcPr>
            <w:tcW w:w="2967" w:type="dxa"/>
            <w:vAlign w:val="center"/>
          </w:tcPr>
          <w:p>
            <w:pPr>
              <w:pStyle w:val="17"/>
              <w:keepNext w:val="0"/>
              <w:keepLines w:val="0"/>
              <w:pageBreakBefore w:val="0"/>
              <w:widowControl w:val="0"/>
              <w:kinsoku/>
              <w:wordWrap/>
              <w:overflowPunct/>
              <w:topLinePunct w:val="0"/>
              <w:bidi w:val="0"/>
              <w:adjustRightInd/>
              <w:spacing w:before="85"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17"/>
              <w:keepNext w:val="0"/>
              <w:keepLines w:val="0"/>
              <w:pageBreakBefore w:val="0"/>
              <w:widowControl w:val="0"/>
              <w:kinsoku/>
              <w:wordWrap/>
              <w:overflowPunct/>
              <w:topLinePunct w:val="0"/>
              <w:bidi w:val="0"/>
              <w:adjustRightInd/>
              <w:spacing w:line="360" w:lineRule="auto"/>
              <w:ind w:left="18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11</w:t>
            </w:r>
          </w:p>
        </w:tc>
        <w:tc>
          <w:tcPr>
            <w:tcW w:w="1167" w:type="dxa"/>
            <w:vMerge w:val="restart"/>
            <w:vAlign w:val="center"/>
          </w:tcPr>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A020619</w:t>
            </w:r>
          </w:p>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照明设备</w:t>
            </w:r>
          </w:p>
        </w:tc>
        <w:tc>
          <w:tcPr>
            <w:tcW w:w="1801" w:type="dxa"/>
            <w:vAlign w:val="center"/>
          </w:tcPr>
          <w:p>
            <w:pPr>
              <w:pStyle w:val="17"/>
              <w:keepNext w:val="0"/>
              <w:keepLines w:val="0"/>
              <w:pageBreakBefore w:val="0"/>
              <w:widowControl w:val="0"/>
              <w:kinsoku/>
              <w:wordWrap/>
              <w:overflowPunct/>
              <w:topLinePunct w:val="0"/>
              <w:bidi w:val="0"/>
              <w:adjustRightInd/>
              <w:spacing w:before="167" w:line="360" w:lineRule="auto"/>
              <w:ind w:left="10" w:right="4"/>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★普通照明用双端荧光灯</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6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26" w:line="360" w:lineRule="auto"/>
              <w:ind w:left="10" w:right="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LED道路/</w:t>
            </w:r>
          </w:p>
          <w:p>
            <w:pPr>
              <w:pStyle w:val="17"/>
              <w:keepNext w:val="0"/>
              <w:keepLines w:val="0"/>
              <w:pageBreakBefore w:val="0"/>
              <w:widowControl w:val="0"/>
              <w:kinsoku/>
              <w:wordWrap/>
              <w:overflowPunct/>
              <w:topLinePunct w:val="0"/>
              <w:bidi w:val="0"/>
              <w:adjustRightInd/>
              <w:spacing w:before="126" w:line="360" w:lineRule="auto"/>
              <w:ind w:left="10" w:right="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隧道照明产品</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26"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LED筒灯</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16"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right="4"/>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普通照明用非定向自镇流LED灯</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line="360" w:lineRule="auto"/>
              <w:ind w:left="9" w:right="5"/>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12</w:t>
            </w:r>
          </w:p>
        </w:tc>
        <w:tc>
          <w:tcPr>
            <w:tcW w:w="1167" w:type="dxa"/>
            <w:vAlign w:val="center"/>
          </w:tcPr>
          <w:p>
            <w:pPr>
              <w:pStyle w:val="17"/>
              <w:keepNext w:val="0"/>
              <w:keepLines w:val="0"/>
              <w:pageBreakBefore w:val="0"/>
              <w:widowControl w:val="0"/>
              <w:kinsoku/>
              <w:wordWrap/>
              <w:overflowPunct/>
              <w:topLinePunct w:val="0"/>
              <w:bidi w:val="0"/>
              <w:adjustRightInd/>
              <w:spacing w:before="11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★A020910</w:t>
            </w:r>
          </w:p>
          <w:p>
            <w:pPr>
              <w:pStyle w:val="17"/>
              <w:keepNext w:val="0"/>
              <w:keepLines w:val="0"/>
              <w:pageBreakBefore w:val="0"/>
              <w:widowControl w:val="0"/>
              <w:kinsoku/>
              <w:wordWrap/>
              <w:overflowPunct/>
              <w:topLinePunct w:val="0"/>
              <w:bidi w:val="0"/>
              <w:adjustRightInd/>
              <w:spacing w:before="11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电视设备</w:t>
            </w:r>
          </w:p>
        </w:tc>
        <w:tc>
          <w:tcPr>
            <w:tcW w:w="1801" w:type="dxa"/>
            <w:vAlign w:val="center"/>
          </w:tcPr>
          <w:p>
            <w:pPr>
              <w:pStyle w:val="17"/>
              <w:keepNext w:val="0"/>
              <w:keepLines w:val="0"/>
              <w:pageBreakBefore w:val="0"/>
              <w:widowControl w:val="0"/>
              <w:kinsoku/>
              <w:wordWrap/>
              <w:overflowPunct/>
              <w:topLinePunct w:val="0"/>
              <w:bidi w:val="0"/>
              <w:adjustRightInd/>
              <w:spacing w:before="114"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A02091001普通电视设备（电视机）</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14"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13</w:t>
            </w:r>
          </w:p>
        </w:tc>
        <w:tc>
          <w:tcPr>
            <w:tcW w:w="1167" w:type="dxa"/>
            <w:vAlign w:val="center"/>
          </w:tcPr>
          <w:p>
            <w:pPr>
              <w:pStyle w:val="17"/>
              <w:keepNext w:val="0"/>
              <w:keepLines w:val="0"/>
              <w:pageBreakBefore w:val="0"/>
              <w:widowControl w:val="0"/>
              <w:kinsoku/>
              <w:wordWrap/>
              <w:overflowPunct/>
              <w:topLinePunct w:val="0"/>
              <w:bidi w:val="0"/>
              <w:adjustRightInd/>
              <w:spacing w:before="173"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★A020911</w:t>
            </w:r>
          </w:p>
          <w:p>
            <w:pPr>
              <w:pStyle w:val="17"/>
              <w:keepNext w:val="0"/>
              <w:keepLines w:val="0"/>
              <w:pageBreakBefore w:val="0"/>
              <w:widowControl w:val="0"/>
              <w:kinsoku/>
              <w:wordWrap/>
              <w:overflowPunct/>
              <w:topLinePunct w:val="0"/>
              <w:bidi w:val="0"/>
              <w:adjustRightInd/>
              <w:spacing w:before="173"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视频设备</w:t>
            </w:r>
          </w:p>
        </w:tc>
        <w:tc>
          <w:tcPr>
            <w:tcW w:w="1801" w:type="dxa"/>
            <w:vAlign w:val="center"/>
          </w:tcPr>
          <w:p>
            <w:pPr>
              <w:pStyle w:val="17"/>
              <w:keepNext w:val="0"/>
              <w:keepLines w:val="0"/>
              <w:pageBreakBefore w:val="0"/>
              <w:widowControl w:val="0"/>
              <w:kinsoku/>
              <w:wordWrap/>
              <w:overflowPunct/>
              <w:topLinePunct w:val="0"/>
              <w:bidi w:val="0"/>
              <w:adjustRightInd/>
              <w:spacing w:before="173"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A02091107</w:t>
            </w:r>
          </w:p>
          <w:p>
            <w:pPr>
              <w:pStyle w:val="17"/>
              <w:keepNext w:val="0"/>
              <w:keepLines w:val="0"/>
              <w:pageBreakBefore w:val="0"/>
              <w:widowControl w:val="0"/>
              <w:kinsoku/>
              <w:wordWrap/>
              <w:overflowPunct/>
              <w:topLinePunct w:val="0"/>
              <w:bidi w:val="0"/>
              <w:adjustRightInd/>
              <w:spacing w:before="173" w:line="360" w:lineRule="auto"/>
              <w:ind w:left="10" w:right="2"/>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视频监控设备</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ind w:left="9"/>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监视器</w:t>
            </w:r>
          </w:p>
        </w:tc>
        <w:tc>
          <w:tcPr>
            <w:tcW w:w="2967" w:type="dxa"/>
            <w:vAlign w:val="center"/>
          </w:tcPr>
          <w:p>
            <w:pPr>
              <w:pStyle w:val="17"/>
              <w:keepNext w:val="0"/>
              <w:keepLines w:val="0"/>
              <w:pageBreakBefore w:val="0"/>
              <w:widowControl w:val="0"/>
              <w:kinsoku/>
              <w:wordWrap/>
              <w:overflowPunct/>
              <w:topLinePunct w:val="0"/>
              <w:bidi w:val="0"/>
              <w:adjustRightInd/>
              <w:spacing w:before="61"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14</w:t>
            </w:r>
          </w:p>
        </w:tc>
        <w:tc>
          <w:tcPr>
            <w:tcW w:w="1167" w:type="dxa"/>
            <w:vAlign w:val="center"/>
          </w:tcPr>
          <w:p>
            <w:pPr>
              <w:pStyle w:val="17"/>
              <w:keepNext w:val="0"/>
              <w:keepLines w:val="0"/>
              <w:pageBreakBefore w:val="0"/>
              <w:widowControl w:val="0"/>
              <w:kinsoku/>
              <w:wordWrap/>
              <w:overflowPunct/>
              <w:topLinePunct w:val="0"/>
              <w:bidi w:val="0"/>
              <w:adjustRightInd/>
              <w:spacing w:before="109"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A031210饮食炊事机械</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商用燃气灶具</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09"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17"/>
              <w:keepNext w:val="0"/>
              <w:keepLines w:val="0"/>
              <w:pageBreakBefore w:val="0"/>
              <w:widowControl w:val="0"/>
              <w:kinsoku/>
              <w:wordWrap/>
              <w:overflowPunct/>
              <w:topLinePunct w:val="0"/>
              <w:bidi w:val="0"/>
              <w:adjustRightInd/>
              <w:spacing w:before="174" w:line="360" w:lineRule="auto"/>
              <w:ind w:left="18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15</w:t>
            </w:r>
          </w:p>
        </w:tc>
        <w:tc>
          <w:tcPr>
            <w:tcW w:w="1167" w:type="dxa"/>
            <w:vMerge w:val="restart"/>
            <w:vAlign w:val="center"/>
          </w:tcPr>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★A060805</w:t>
            </w:r>
          </w:p>
          <w:p>
            <w:pPr>
              <w:pStyle w:val="17"/>
              <w:keepNext w:val="0"/>
              <w:keepLines w:val="0"/>
              <w:pageBreakBefore w:val="0"/>
              <w:widowControl w:val="0"/>
              <w:kinsoku/>
              <w:wordWrap/>
              <w:overflowPunct/>
              <w:topLinePunct w:val="0"/>
              <w:bidi w:val="0"/>
              <w:adjustRightInd/>
              <w:spacing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便器</w:t>
            </w:r>
          </w:p>
        </w:tc>
        <w:tc>
          <w:tcPr>
            <w:tcW w:w="1801" w:type="dxa"/>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坐便器</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57"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《坐便器水效限定值及水效等级</w:t>
            </w:r>
          </w:p>
          <w:p>
            <w:pPr>
              <w:pStyle w:val="17"/>
              <w:keepNext w:val="0"/>
              <w:keepLines w:val="0"/>
              <w:pageBreakBefore w:val="0"/>
              <w:widowControl w:val="0"/>
              <w:kinsoku/>
              <w:wordWrap/>
              <w:overflowPunct/>
              <w:topLinePunct w:val="0"/>
              <w:bidi w:val="0"/>
              <w:adjustRightInd/>
              <w:spacing w:before="56" w:line="360" w:lineRule="auto"/>
              <w:ind w:left="9"/>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蹲便器</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5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167" w:type="dxa"/>
            <w:vMerge w:val="continue"/>
            <w:tcBorders>
              <w:top w:val="nil"/>
            </w:tcBorders>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4"/>
                <w:szCs w:val="4"/>
                <w:highlight w:val="none"/>
              </w:rPr>
            </w:pPr>
          </w:p>
        </w:tc>
        <w:tc>
          <w:tcPr>
            <w:tcW w:w="1801" w:type="dxa"/>
            <w:vAlign w:val="center"/>
          </w:tcPr>
          <w:p>
            <w:pPr>
              <w:pStyle w:val="17"/>
              <w:keepNext w:val="0"/>
              <w:keepLines w:val="0"/>
              <w:pageBreakBefore w:val="0"/>
              <w:widowControl w:val="0"/>
              <w:kinsoku/>
              <w:wordWrap/>
              <w:overflowPunct/>
              <w:topLinePunct w:val="0"/>
              <w:bidi w:val="0"/>
              <w:adjustRightInd/>
              <w:spacing w:before="1" w:line="360" w:lineRule="auto"/>
              <w:ind w:left="10"/>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小便器</w:t>
            </w: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0"/>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57"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16</w:t>
            </w:r>
          </w:p>
        </w:tc>
        <w:tc>
          <w:tcPr>
            <w:tcW w:w="1167" w:type="dxa"/>
            <w:vAlign w:val="center"/>
          </w:tcPr>
          <w:p>
            <w:pPr>
              <w:pStyle w:val="17"/>
              <w:keepNext w:val="0"/>
              <w:keepLines w:val="0"/>
              <w:pageBreakBefore w:val="0"/>
              <w:widowControl w:val="0"/>
              <w:kinsoku/>
              <w:wordWrap/>
              <w:overflowPunct/>
              <w:topLinePunct w:val="0"/>
              <w:bidi w:val="0"/>
              <w:adjustRightInd/>
              <w:spacing w:before="1"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★A060806</w:t>
            </w:r>
          </w:p>
          <w:p>
            <w:pPr>
              <w:pStyle w:val="17"/>
              <w:keepNext w:val="0"/>
              <w:keepLines w:val="0"/>
              <w:pageBreakBefore w:val="0"/>
              <w:widowControl w:val="0"/>
              <w:kinsoku/>
              <w:wordWrap/>
              <w:overflowPunct/>
              <w:topLinePunct w:val="0"/>
              <w:bidi w:val="0"/>
              <w:adjustRightInd/>
              <w:spacing w:before="1"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水嘴</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17</w:t>
            </w:r>
          </w:p>
        </w:tc>
        <w:tc>
          <w:tcPr>
            <w:tcW w:w="1167" w:type="dxa"/>
            <w:vAlign w:val="center"/>
          </w:tcPr>
          <w:p>
            <w:pPr>
              <w:pStyle w:val="17"/>
              <w:keepNext w:val="0"/>
              <w:keepLines w:val="0"/>
              <w:pageBreakBefore w:val="0"/>
              <w:widowControl w:val="0"/>
              <w:kinsoku/>
              <w:wordWrap/>
              <w:overflowPunct/>
              <w:topLinePunct w:val="0"/>
              <w:bidi w:val="0"/>
              <w:adjustRightInd/>
              <w:spacing w:before="145"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A060807</w:t>
            </w:r>
          </w:p>
          <w:p>
            <w:pPr>
              <w:pStyle w:val="17"/>
              <w:keepNext w:val="0"/>
              <w:keepLines w:val="0"/>
              <w:pageBreakBefore w:val="0"/>
              <w:widowControl w:val="0"/>
              <w:kinsoku/>
              <w:wordWrap/>
              <w:overflowPunct/>
              <w:topLinePunct w:val="0"/>
              <w:bidi w:val="0"/>
              <w:adjustRightInd/>
              <w:spacing w:before="145"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便器冲洗阀</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45"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17"/>
              <w:keepNext w:val="0"/>
              <w:keepLines w:val="0"/>
              <w:pageBreakBefore w:val="0"/>
              <w:widowControl w:val="0"/>
              <w:kinsoku/>
              <w:wordWrap/>
              <w:overflowPunct/>
              <w:topLinePunct w:val="0"/>
              <w:bidi w:val="0"/>
              <w:adjustRightInd/>
              <w:spacing w:line="360" w:lineRule="auto"/>
              <w:ind w:left="167" w:right="157"/>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18</w:t>
            </w:r>
          </w:p>
        </w:tc>
        <w:tc>
          <w:tcPr>
            <w:tcW w:w="1167" w:type="dxa"/>
            <w:vAlign w:val="center"/>
          </w:tcPr>
          <w:p>
            <w:pPr>
              <w:pStyle w:val="17"/>
              <w:keepNext w:val="0"/>
              <w:keepLines w:val="0"/>
              <w:pageBreakBefore w:val="0"/>
              <w:widowControl w:val="0"/>
              <w:kinsoku/>
              <w:wordWrap/>
              <w:overflowPunct/>
              <w:topLinePunct w:val="0"/>
              <w:bidi w:val="0"/>
              <w:adjustRightInd/>
              <w:spacing w:before="16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A060810</w:t>
            </w:r>
          </w:p>
          <w:p>
            <w:pPr>
              <w:pStyle w:val="17"/>
              <w:keepNext w:val="0"/>
              <w:keepLines w:val="0"/>
              <w:pageBreakBefore w:val="0"/>
              <w:widowControl w:val="0"/>
              <w:kinsoku/>
              <w:wordWrap/>
              <w:overflowPunct/>
              <w:topLinePunct w:val="0"/>
              <w:bidi w:val="0"/>
              <w:adjustRightInd/>
              <w:spacing w:before="164" w:line="360" w:lineRule="auto"/>
              <w:ind w:left="11"/>
              <w:jc w:val="center"/>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淋浴器</w:t>
            </w:r>
          </w:p>
        </w:tc>
        <w:tc>
          <w:tcPr>
            <w:tcW w:w="1801"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1916" w:type="dxa"/>
            <w:vAlign w:val="center"/>
          </w:tcPr>
          <w:p>
            <w:pPr>
              <w:pStyle w:val="17"/>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pacing w:val="0"/>
                <w:w w:val="100"/>
                <w:sz w:val="21"/>
                <w:szCs w:val="28"/>
                <w:highlight w:val="none"/>
              </w:rPr>
            </w:pPr>
          </w:p>
        </w:tc>
        <w:tc>
          <w:tcPr>
            <w:tcW w:w="2967" w:type="dxa"/>
            <w:vAlign w:val="center"/>
          </w:tcPr>
          <w:p>
            <w:pPr>
              <w:pStyle w:val="17"/>
              <w:keepNext w:val="0"/>
              <w:keepLines w:val="0"/>
              <w:pageBreakBefore w:val="0"/>
              <w:widowControl w:val="0"/>
              <w:kinsoku/>
              <w:wordWrap/>
              <w:overflowPunct/>
              <w:topLinePunct w:val="0"/>
              <w:bidi w:val="0"/>
              <w:adjustRightInd/>
              <w:spacing w:before="164" w:line="360" w:lineRule="auto"/>
              <w:ind w:left="9" w:right="3"/>
              <w:jc w:val="both"/>
              <w:textAlignment w:val="auto"/>
              <w:rPr>
                <w:rFonts w:hint="eastAsia" w:ascii="仿宋" w:hAnsi="仿宋" w:eastAsia="仿宋" w:cs="仿宋"/>
                <w:spacing w:val="0"/>
                <w:w w:val="100"/>
                <w:sz w:val="21"/>
                <w:szCs w:val="28"/>
                <w:highlight w:val="none"/>
              </w:rPr>
            </w:pPr>
            <w:r>
              <w:rPr>
                <w:rFonts w:hint="eastAsia" w:ascii="仿宋" w:hAnsi="仿宋" w:eastAsia="仿宋" w:cs="仿宋"/>
                <w:spacing w:val="0"/>
                <w:w w:val="100"/>
                <w:sz w:val="21"/>
                <w:szCs w:val="28"/>
                <w:highlight w:val="none"/>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3.以“★”标注的为政府强制采购产品。</w:t>
      </w:r>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0"/>
          <w:szCs w:val="22"/>
          <w:highlight w:val="none"/>
        </w:rPr>
      </w:pPr>
      <w:r>
        <w:rPr>
          <w:rFonts w:hint="eastAsia" w:ascii="仿宋" w:hAnsi="仿宋" w:eastAsia="仿宋" w:cs="仿宋"/>
          <w:sz w:val="20"/>
          <w:szCs w:val="22"/>
          <w:highlight w:val="none"/>
        </w:rPr>
        <w:br w:type="page"/>
      </w:r>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line="360" w:lineRule="auto"/>
        <w:jc w:val="center"/>
        <w:textAlignment w:val="auto"/>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序号</w:t>
            </w:r>
          </w:p>
        </w:tc>
        <w:tc>
          <w:tcPr>
            <w:tcW w:w="2347" w:type="dxa"/>
            <w:gridSpan w:val="2"/>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一级目录</w:t>
            </w:r>
          </w:p>
        </w:tc>
        <w:tc>
          <w:tcPr>
            <w:tcW w:w="2698" w:type="dxa"/>
            <w:gridSpan w:val="2"/>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二级目录</w:t>
            </w:r>
          </w:p>
        </w:tc>
        <w:tc>
          <w:tcPr>
            <w:tcW w:w="326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产品代码</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产品名称</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产品代码</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产品名称</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p>
        </w:tc>
        <w:tc>
          <w:tcPr>
            <w:tcW w:w="115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A020101</w:t>
            </w:r>
          </w:p>
        </w:tc>
        <w:tc>
          <w:tcPr>
            <w:tcW w:w="1196"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计算机</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A02010104</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台式计算机</w:t>
            </w:r>
          </w:p>
        </w:tc>
        <w:tc>
          <w:tcPr>
            <w:tcW w:w="326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北京赛西认证有限责任公司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中国网络安全审查技术与认证中心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A02010105</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便携式</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计算机</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A02010107</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平板式</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微型计算机</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p>
        </w:tc>
        <w:tc>
          <w:tcPr>
            <w:tcW w:w="115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A020106</w:t>
            </w:r>
          </w:p>
        </w:tc>
        <w:tc>
          <w:tcPr>
            <w:tcW w:w="1196"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输入输出设备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A02010601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打印设备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A02010604</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显示设备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A02010609</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图形图像</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输入设备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A020202</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投影仪</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4</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A020204</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多功能</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一体机</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A020519</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泵</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A02051901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离心泵</w:t>
            </w: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电能（北京）认证中心有限公司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6</w:t>
            </w:r>
          </w:p>
        </w:tc>
        <w:tc>
          <w:tcPr>
            <w:tcW w:w="115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A020523</w:t>
            </w:r>
          </w:p>
        </w:tc>
        <w:tc>
          <w:tcPr>
            <w:tcW w:w="1196"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制冷空调设备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A02052301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制冷压缩机</w:t>
            </w:r>
          </w:p>
        </w:tc>
        <w:tc>
          <w:tcPr>
            <w:tcW w:w="326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合肥通用机械产品认证有限公司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A02052305</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空调机组</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A02052309</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专用制冷</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空调设备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A02052399</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其他制冷</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空调设备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7</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A020601</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电机</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电能（北京）认证中心有限公司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8</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A020602</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变压器</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电能（北京）认证中心有限公司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9</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A020609</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镇流器</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深圳市计量质量检测研究院</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10</w:t>
            </w:r>
          </w:p>
        </w:tc>
        <w:tc>
          <w:tcPr>
            <w:tcW w:w="115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A020618</w:t>
            </w:r>
          </w:p>
        </w:tc>
        <w:tc>
          <w:tcPr>
            <w:tcW w:w="1196"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生活用</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电器</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A0206180101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电冰箱</w:t>
            </w: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A0206180203</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空调机</w:t>
            </w: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中家院（北京）检测认证有限公司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A0206180301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洗衣机</w:t>
            </w: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5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196"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A02061808</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热水器</w:t>
            </w: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威凯认证检测有限公司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中家院（北京）检测认证有限公司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11</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A020619</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照明设备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深圳市计量质量检测研究院</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12</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A020910</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电视设备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A02091001</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普通电视设备（电视机）</w:t>
            </w:r>
          </w:p>
        </w:tc>
        <w:tc>
          <w:tcPr>
            <w:tcW w:w="326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北京泰瑞特认证有限责任公司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13</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A020911</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视频设备</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A02091107</w:t>
            </w: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视频监</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控设备</w:t>
            </w: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14</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A031210</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饮食炊</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事机械</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北京鉴衡认证中心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15</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A060805</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便器</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中国质量认证中心</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北京新华节水产品认证有限公司</w:t>
            </w:r>
          </w:p>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16</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A060806</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水嘴</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17</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A060807</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便器</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冲洗阀</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18</w:t>
            </w:r>
          </w:p>
        </w:tc>
        <w:tc>
          <w:tcPr>
            <w:tcW w:w="1151"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A060810</w:t>
            </w:r>
          </w:p>
        </w:tc>
        <w:tc>
          <w:tcPr>
            <w:tcW w:w="119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淋浴器</w:t>
            </w:r>
          </w:p>
        </w:tc>
        <w:tc>
          <w:tcPr>
            <w:tcW w:w="134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1354"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p>
        </w:tc>
        <w:tc>
          <w:tcPr>
            <w:tcW w:w="3261"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both"/>
              <w:textAlignment w:val="auto"/>
              <w:rPr>
                <w:rFonts w:hint="eastAsia" w:ascii="仿宋" w:hAnsi="仿宋" w:eastAsia="仿宋" w:cs="仿宋"/>
                <w:sz w:val="22"/>
                <w:szCs w:val="22"/>
                <w:highlight w:val="none"/>
              </w:rPr>
            </w:pP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0"/>
          <w:szCs w:val="22"/>
          <w:highlight w:val="none"/>
          <w:lang w:val="en-US" w:eastAsia="zh-CN"/>
        </w:rPr>
      </w:pPr>
      <w:r>
        <w:rPr>
          <w:rFonts w:hint="eastAsia" w:ascii="仿宋" w:hAnsi="仿宋" w:eastAsia="仿宋" w:cs="仿宋"/>
          <w:sz w:val="20"/>
          <w:szCs w:val="22"/>
          <w:highlight w:val="none"/>
          <w:lang w:val="en-US" w:eastAsia="zh-CN"/>
        </w:rPr>
        <w:br w:type="page"/>
      </w:r>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line="360" w:lineRule="auto"/>
        <w:jc w:val="center"/>
        <w:textAlignment w:val="auto"/>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76"/>
        <w:gridCol w:w="2045"/>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序号</w:t>
            </w:r>
          </w:p>
        </w:tc>
        <w:tc>
          <w:tcPr>
            <w:tcW w:w="332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目录</w:t>
            </w:r>
          </w:p>
        </w:tc>
        <w:tc>
          <w:tcPr>
            <w:tcW w:w="988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p>
        </w:tc>
        <w:tc>
          <w:tcPr>
            <w:tcW w:w="3326"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环境标志产品</w:t>
            </w:r>
          </w:p>
        </w:tc>
        <w:tc>
          <w:tcPr>
            <w:tcW w:w="9889" w:type="dxa"/>
            <w:shd w:val="clear" w:color="auto" w:fill="FFFFFF"/>
            <w:tcMar>
              <w:left w:w="108" w:type="dxa"/>
              <w:right w:w="108" w:type="dxa"/>
            </w:tcMar>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中环联合（北京）认证中心有限公司</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中标合信（北京）认证有限公司</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中环协（北京）认证中心</w:t>
            </w:r>
          </w:p>
          <w:p>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天津华诚认证有限公司</w:t>
            </w:r>
          </w:p>
        </w:tc>
      </w:tr>
    </w:tbl>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b/>
          <w:bCs/>
          <w:sz w:val="20"/>
          <w:szCs w:val="22"/>
          <w:highlight w:val="none"/>
          <w:lang w:val="en-US" w:eastAsia="zh-CN"/>
        </w:rPr>
      </w:pPr>
      <w:r>
        <w:rPr>
          <w:rFonts w:hint="eastAsia" w:ascii="仿宋" w:hAnsi="仿宋" w:eastAsia="仿宋" w:cs="仿宋"/>
          <w:b/>
          <w:bCs/>
          <w:sz w:val="20"/>
          <w:szCs w:val="22"/>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r>
        <w:rPr>
          <w:rFonts w:hint="eastAsia"/>
          <w:sz w:val="32"/>
          <w:szCs w:val="24"/>
          <w:highlight w:val="none"/>
          <w:lang w:val="en-US" w:eastAsia="zh-CN"/>
        </w:rPr>
        <w:t>附件十七：资格证明材料格式（参考）</w:t>
      </w:r>
      <w:bookmarkEnd w:id="66"/>
    </w:p>
    <w:p>
      <w:pPr>
        <w:pStyle w:val="5"/>
        <w:keepNext w:val="0"/>
        <w:keepLines w:val="0"/>
        <w:pageBreakBefore w:val="0"/>
        <w:widowControl w:val="0"/>
        <w:numPr>
          <w:ilvl w:val="0"/>
          <w:numId w:val="32"/>
        </w:numPr>
        <w:kinsoku/>
        <w:wordWrap/>
        <w:overflowPunct/>
        <w:topLinePunct w:val="0"/>
        <w:bidi w:val="0"/>
        <w:adjustRightInd/>
        <w:spacing w:line="360" w:lineRule="auto"/>
        <w:textAlignment w:val="auto"/>
        <w:rPr>
          <w:rFonts w:hint="eastAsia"/>
          <w:sz w:val="28"/>
          <w:szCs w:val="24"/>
          <w:highlight w:val="none"/>
          <w:lang w:val="en-US" w:eastAsia="zh-CN"/>
        </w:rPr>
      </w:pPr>
      <w:bookmarkStart w:id="67" w:name="_Toc24753"/>
      <w:r>
        <w:rPr>
          <w:rFonts w:hint="eastAsia"/>
          <w:sz w:val="28"/>
          <w:szCs w:val="24"/>
          <w:highlight w:val="none"/>
          <w:lang w:val="en-US" w:eastAsia="zh-CN"/>
        </w:rPr>
        <w:t>参加政府采购活动前三年内在经营活动中没有重大违法记录的书面声明</w:t>
      </w:r>
      <w:bookmarkEnd w:id="67"/>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我单位郑重声明：自本项目开标之日起向前追溯三年，我单位没有以下重大违法记录：因违法经营受到刑事处罚或者责令停产停业、吊销许可证或者执照、较大数额罚款等行政处罚。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2.投标供应商对其所声明内容的真实性负责。如投标供应商所声明内容不真实，应承担相应的法律责任。</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5"/>
        <w:keepNext w:val="0"/>
        <w:keepLines w:val="0"/>
        <w:pageBreakBefore w:val="0"/>
        <w:widowControl w:val="0"/>
        <w:numPr>
          <w:ilvl w:val="0"/>
          <w:numId w:val="32"/>
        </w:numPr>
        <w:kinsoku/>
        <w:wordWrap/>
        <w:overflowPunct/>
        <w:topLinePunct w:val="0"/>
        <w:bidi w:val="0"/>
        <w:adjustRightInd/>
        <w:spacing w:line="360" w:lineRule="auto"/>
        <w:textAlignment w:val="auto"/>
        <w:rPr>
          <w:rFonts w:hint="eastAsia"/>
          <w:sz w:val="28"/>
          <w:szCs w:val="24"/>
          <w:highlight w:val="none"/>
          <w:lang w:val="en-US" w:eastAsia="zh-CN"/>
        </w:rPr>
      </w:pPr>
      <w:bookmarkStart w:id="68" w:name="_Toc23872"/>
      <w:r>
        <w:rPr>
          <w:rFonts w:hint="eastAsia"/>
          <w:sz w:val="28"/>
          <w:szCs w:val="24"/>
          <w:highlight w:val="none"/>
          <w:lang w:val="en-US" w:eastAsia="zh-CN"/>
        </w:rPr>
        <w:t>供应商不存在关联关系声明</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供应商应当如实披露与本单位存在下列关联关系的单位名称，如无，请填写“无”：</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2.供应商应对其所声明内容的真实性负责。如供应商所声明内容不真实，则应承担相应的法律责任</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kinsoku/>
        <w:wordWrap/>
        <w:overflowPunct/>
        <w:topLinePunct w:val="0"/>
        <w:bidi w:val="0"/>
        <w:adjustRightInd/>
        <w:spacing w:line="360" w:lineRule="auto"/>
        <w:textAlignment w:val="auto"/>
        <w:rPr>
          <w:rFonts w:hint="eastAsia"/>
          <w:sz w:val="21"/>
          <w:szCs w:val="24"/>
          <w:highlight w:val="none"/>
          <w:lang w:val="en-US" w:eastAsia="zh-CN"/>
        </w:rPr>
      </w:pPr>
      <w:r>
        <w:rPr>
          <w:rFonts w:hint="eastAsia"/>
          <w:sz w:val="21"/>
          <w:szCs w:val="24"/>
          <w:highlight w:val="none"/>
          <w:lang w:val="en-US" w:eastAsia="zh-CN"/>
        </w:rPr>
        <w:br w:type="page"/>
      </w:r>
    </w:p>
    <w:p>
      <w:pPr>
        <w:pStyle w:val="5"/>
        <w:keepNext w:val="0"/>
        <w:keepLines w:val="0"/>
        <w:pageBreakBefore w:val="0"/>
        <w:widowControl w:val="0"/>
        <w:numPr>
          <w:ilvl w:val="0"/>
          <w:numId w:val="32"/>
        </w:numPr>
        <w:kinsoku/>
        <w:wordWrap/>
        <w:overflowPunct/>
        <w:topLinePunct w:val="0"/>
        <w:bidi w:val="0"/>
        <w:adjustRightInd/>
        <w:spacing w:line="360" w:lineRule="auto"/>
        <w:textAlignment w:val="auto"/>
        <w:rPr>
          <w:rFonts w:hint="default"/>
          <w:sz w:val="28"/>
          <w:szCs w:val="24"/>
          <w:highlight w:val="none"/>
          <w:lang w:val="en-US" w:eastAsia="zh-CN"/>
        </w:rPr>
      </w:pPr>
      <w:bookmarkStart w:id="69" w:name="_Toc11401"/>
      <w:r>
        <w:rPr>
          <w:rFonts w:hint="default"/>
          <w:sz w:val="28"/>
          <w:szCs w:val="24"/>
          <w:highlight w:val="none"/>
          <w:lang w:val="en-US" w:eastAsia="zh-CN"/>
        </w:rPr>
        <w:t>不存在禁止参加政府采购活动情形的书面声明</w:t>
      </w:r>
      <w:bookmarkEnd w:id="69"/>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100" w:leftChars="1000" w:firstLine="0" w:firstLineChars="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2.供应商应对其所声明内容的真实性负责。如供应商所声明内容不真实，则应承担相应的法律责任</w:t>
      </w:r>
      <w:r>
        <w:rPr>
          <w:rFonts w:hint="eastAsia" w:ascii="仿宋" w:hAnsi="仿宋" w:eastAsia="仿宋" w:cs="仿宋"/>
          <w:b w:val="0"/>
          <w:bCs w:val="0"/>
          <w:sz w:val="24"/>
          <w:szCs w:val="24"/>
          <w:highlight w:val="none"/>
          <w:lang w:val="en-US" w:eastAsia="zh-CN"/>
        </w:rPr>
        <w:t>。</w:t>
      </w:r>
    </w:p>
    <w:p>
      <w:pPr>
        <w:rPr>
          <w:rFonts w:hint="eastAsia"/>
          <w:sz w:val="20"/>
          <w:szCs w:val="22"/>
          <w:highlight w:val="none"/>
          <w:lang w:val="en-US" w:eastAsia="zh-CN"/>
        </w:rPr>
      </w:pPr>
      <w:r>
        <w:rPr>
          <w:rFonts w:hint="eastAsia"/>
          <w:sz w:val="20"/>
          <w:szCs w:val="22"/>
          <w:highlight w:val="none"/>
          <w:lang w:val="en-US" w:eastAsia="zh-CN"/>
        </w:rPr>
        <w:br w:type="page"/>
      </w:r>
    </w:p>
    <w:p>
      <w:pPr>
        <w:pStyle w:val="5"/>
        <w:spacing w:before="0" w:after="0" w:line="580" w:lineRule="exact"/>
        <w:jc w:val="center"/>
        <w:outlineLvl w:val="2"/>
        <w:rPr>
          <w:rFonts w:ascii="宋体" w:hAnsi="宋体" w:cs="宋体"/>
          <w:sz w:val="28"/>
          <w:szCs w:val="28"/>
          <w:highlight w:val="none"/>
        </w:rPr>
      </w:pPr>
      <w:bookmarkStart w:id="70" w:name="_Toc13572215"/>
      <w:r>
        <w:rPr>
          <w:rFonts w:hint="eastAsia" w:ascii="Calibri" w:hAnsi="Calibri" w:eastAsia="楷体" w:cs="Times New Roman"/>
          <w:b/>
          <w:kern w:val="2"/>
          <w:sz w:val="32"/>
          <w:szCs w:val="28"/>
          <w:highlight w:val="none"/>
          <w:lang w:val="en-US" w:eastAsia="zh-CN" w:bidi="ar-SA"/>
        </w:rPr>
        <w:t>4、具备履行合同所必需的设备和专业技术能力的证明材料</w:t>
      </w:r>
      <w:bookmarkEnd w:id="70"/>
    </w:p>
    <w:p>
      <w:pPr>
        <w:spacing w:line="480" w:lineRule="exact"/>
        <w:jc w:val="center"/>
        <w:outlineLvl w:val="9"/>
        <w:rPr>
          <w:rFonts w:ascii="宋体" w:hAnsi="宋体" w:cs="宋体"/>
          <w:color w:val="000000"/>
          <w:sz w:val="28"/>
          <w:highlight w:val="none"/>
        </w:rPr>
      </w:pPr>
    </w:p>
    <w:p>
      <w:pPr>
        <w:tabs>
          <w:tab w:val="left" w:pos="1146"/>
        </w:tabs>
        <w:snapToGrid w:val="0"/>
        <w:spacing w:line="480" w:lineRule="exact"/>
        <w:ind w:firstLine="480" w:firstLineChars="200"/>
        <w:rPr>
          <w:rFonts w:hint="default"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致: </w:t>
      </w:r>
      <w:r>
        <w:rPr>
          <w:rFonts w:hint="eastAsia" w:ascii="仿宋" w:hAnsi="仿宋" w:eastAsia="仿宋" w:cs="仿宋"/>
          <w:spacing w:val="0"/>
          <w:kern w:val="2"/>
          <w:sz w:val="24"/>
          <w:szCs w:val="20"/>
          <w:highlight w:val="none"/>
          <w:lang w:val="en-US" w:eastAsia="zh-CN" w:bidi="ar-SA"/>
        </w:rPr>
        <w:t xml:space="preserve">  </w:t>
      </w:r>
    </w:p>
    <w:p>
      <w:pPr>
        <w:tabs>
          <w:tab w:val="left" w:pos="1146"/>
        </w:tabs>
        <w:snapToGrid w:val="0"/>
        <w:spacing w:line="480" w:lineRule="exact"/>
        <w:ind w:firstLine="480" w:firstLineChars="200"/>
        <w:rPr>
          <w:rFonts w:hint="default"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本公司</w:t>
      </w:r>
      <w:r>
        <w:rPr>
          <w:rFonts w:hint="eastAsia" w:ascii="仿宋" w:hAnsi="仿宋" w:eastAsia="仿宋" w:cs="仿宋"/>
          <w:spacing w:val="0"/>
          <w:kern w:val="2"/>
          <w:sz w:val="24"/>
          <w:szCs w:val="20"/>
          <w:highlight w:val="none"/>
          <w:lang w:val="en-US" w:eastAsia="zh-CN" w:bidi="ar-SA"/>
        </w:rPr>
        <w:t xml:space="preserve">          </w:t>
      </w:r>
      <w:r>
        <w:rPr>
          <w:rFonts w:hint="default" w:ascii="仿宋" w:hAnsi="仿宋" w:eastAsia="仿宋" w:cs="仿宋"/>
          <w:spacing w:val="0"/>
          <w:kern w:val="2"/>
          <w:sz w:val="24"/>
          <w:szCs w:val="20"/>
          <w:highlight w:val="none"/>
          <w:lang w:val="en-US" w:eastAsia="zh-CN" w:bidi="ar-SA"/>
        </w:rPr>
        <w:t>参加（</w:t>
      </w:r>
      <w:r>
        <w:rPr>
          <w:rFonts w:hint="eastAsia" w:ascii="仿宋" w:hAnsi="仿宋" w:eastAsia="仿宋" w:cs="仿宋"/>
          <w:spacing w:val="0"/>
          <w:kern w:val="2"/>
          <w:sz w:val="24"/>
          <w:szCs w:val="20"/>
          <w:highlight w:val="none"/>
          <w:lang w:val="en-US" w:eastAsia="zh-CN" w:bidi="ar-SA"/>
        </w:rPr>
        <w:t>采购文件</w:t>
      </w:r>
      <w:r>
        <w:rPr>
          <w:rFonts w:hint="default" w:ascii="仿宋" w:hAnsi="仿宋" w:eastAsia="仿宋" w:cs="仿宋"/>
          <w:spacing w:val="0"/>
          <w:kern w:val="2"/>
          <w:sz w:val="24"/>
          <w:szCs w:val="20"/>
          <w:highlight w:val="none"/>
          <w:lang w:val="en-US" w:eastAsia="zh-CN" w:bidi="ar-SA"/>
        </w:rPr>
        <w:t>编号：</w:t>
      </w:r>
      <w:r>
        <w:rPr>
          <w:rFonts w:hint="eastAsia" w:ascii="仿宋" w:hAnsi="仿宋" w:eastAsia="仿宋" w:cs="仿宋"/>
          <w:spacing w:val="0"/>
          <w:kern w:val="2"/>
          <w:sz w:val="24"/>
          <w:szCs w:val="20"/>
          <w:highlight w:val="none"/>
          <w:lang w:val="en-US" w:eastAsia="zh-CN" w:bidi="ar-SA"/>
        </w:rPr>
        <w:t xml:space="preserve">        </w:t>
      </w:r>
      <w:r>
        <w:rPr>
          <w:rFonts w:hint="default" w:ascii="仿宋" w:hAnsi="仿宋" w:eastAsia="仿宋" w:cs="仿宋"/>
          <w:spacing w:val="0"/>
          <w:kern w:val="2"/>
          <w:sz w:val="24"/>
          <w:szCs w:val="20"/>
          <w:highlight w:val="none"/>
          <w:lang w:val="en-US" w:eastAsia="zh-CN" w:bidi="ar-SA"/>
        </w:rPr>
        <w:t>）的</w:t>
      </w:r>
      <w:r>
        <w:rPr>
          <w:rFonts w:hint="eastAsia" w:ascii="仿宋" w:hAnsi="仿宋" w:eastAsia="仿宋" w:cs="仿宋"/>
          <w:spacing w:val="0"/>
          <w:kern w:val="2"/>
          <w:sz w:val="24"/>
          <w:szCs w:val="20"/>
          <w:highlight w:val="none"/>
          <w:lang w:val="en-US" w:eastAsia="zh-CN" w:bidi="ar-SA"/>
        </w:rPr>
        <w:t>采购</w:t>
      </w:r>
      <w:r>
        <w:rPr>
          <w:rFonts w:hint="default" w:ascii="仿宋" w:hAnsi="仿宋" w:eastAsia="仿宋" w:cs="仿宋"/>
          <w:spacing w:val="0"/>
          <w:kern w:val="2"/>
          <w:sz w:val="24"/>
          <w:szCs w:val="20"/>
          <w:highlight w:val="none"/>
          <w:lang w:val="en-US" w:eastAsia="zh-CN" w:bidi="ar-SA"/>
        </w:rPr>
        <w:t>活动，在完全理解该项目采购质量技术要求和商务条件以及其他内容后，我方决定参加该项目采购。</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eastAsia" w:ascii="仿宋" w:hAnsi="仿宋" w:eastAsia="仿宋" w:cs="仿宋"/>
          <w:spacing w:val="0"/>
          <w:kern w:val="2"/>
          <w:sz w:val="24"/>
          <w:szCs w:val="20"/>
          <w:highlight w:val="none"/>
          <w:lang w:val="en-US" w:eastAsia="zh-CN" w:bidi="ar-SA"/>
        </w:rPr>
        <w:t>对于参加本次采购，我公司现作出如下承诺：</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(一)具有履行合同所必需的设备和专业技术能力：</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(二)我公司满足政府采购法第二十二条关于供应商的资格要求：</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(三)具有独立承担民事责任的能力；</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(四)具有良好的商业信誉和健全的财务会计制度；</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(五)具有依法缴纳税收和社会保障资金的良好记录；</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(六)参加政府采购活动前三年内，在经营活动中没有重大违法记录；</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如果我方被确定为</w:t>
      </w:r>
      <w:r>
        <w:rPr>
          <w:rFonts w:hint="eastAsia" w:ascii="仿宋" w:hAnsi="仿宋" w:eastAsia="仿宋" w:cs="仿宋"/>
          <w:spacing w:val="0"/>
          <w:kern w:val="2"/>
          <w:sz w:val="24"/>
          <w:szCs w:val="20"/>
          <w:highlight w:val="none"/>
          <w:lang w:val="en-US" w:eastAsia="zh-CN" w:bidi="ar-SA"/>
        </w:rPr>
        <w:t>成交供应商</w:t>
      </w:r>
      <w:r>
        <w:rPr>
          <w:rFonts w:hint="default" w:ascii="仿宋" w:hAnsi="仿宋" w:eastAsia="仿宋" w:cs="仿宋"/>
          <w:spacing w:val="0"/>
          <w:kern w:val="2"/>
          <w:sz w:val="24"/>
          <w:szCs w:val="20"/>
          <w:highlight w:val="none"/>
          <w:lang w:val="en-US" w:eastAsia="zh-CN" w:bidi="ar-SA"/>
        </w:rPr>
        <w:t>，我方将根据采购文件、我方响应文件的相关约定，承担合同责任，履行合同义务。</w:t>
      </w:r>
    </w:p>
    <w:p>
      <w:pPr>
        <w:tabs>
          <w:tab w:val="left" w:pos="1146"/>
        </w:tabs>
        <w:snapToGrid w:val="0"/>
        <w:spacing w:line="480" w:lineRule="exact"/>
        <w:ind w:firstLine="480" w:firstLineChars="200"/>
        <w:rPr>
          <w:rFonts w:hint="eastAsia" w:ascii="仿宋" w:hAnsi="仿宋" w:eastAsia="仿宋" w:cs="仿宋"/>
          <w:spacing w:val="0"/>
          <w:kern w:val="2"/>
          <w:sz w:val="24"/>
          <w:szCs w:val="20"/>
          <w:highlight w:val="none"/>
          <w:lang w:val="en-US" w:eastAsia="zh-CN" w:bidi="ar-SA"/>
        </w:rPr>
      </w:pPr>
      <w:r>
        <w:rPr>
          <w:rFonts w:hint="default" w:ascii="仿宋" w:hAnsi="仿宋" w:eastAsia="仿宋" w:cs="仿宋"/>
          <w:spacing w:val="0"/>
          <w:kern w:val="2"/>
          <w:sz w:val="24"/>
          <w:szCs w:val="20"/>
          <w:highlight w:val="none"/>
          <w:lang w:val="en-US" w:eastAsia="zh-CN" w:bidi="ar-SA"/>
        </w:rPr>
        <w:t>如违反以上承诺，本公司愿承担一切法律责任。</w:t>
      </w:r>
    </w:p>
    <w:p>
      <w:pPr>
        <w:tabs>
          <w:tab w:val="left" w:pos="1146"/>
        </w:tabs>
        <w:snapToGrid w:val="0"/>
        <w:spacing w:line="480" w:lineRule="exact"/>
        <w:ind w:firstLine="480" w:firstLineChars="200"/>
        <w:jc w:val="right"/>
        <w:rPr>
          <w:rFonts w:hint="default" w:ascii="仿宋" w:hAnsi="仿宋" w:eastAsia="仿宋" w:cs="仿宋"/>
          <w:spacing w:val="0"/>
          <w:kern w:val="2"/>
          <w:sz w:val="24"/>
          <w:szCs w:val="20"/>
          <w:highlight w:val="none"/>
          <w:lang w:val="en-US" w:eastAsia="zh-CN" w:bidi="ar-SA"/>
        </w:rPr>
      </w:pPr>
      <w:r>
        <w:rPr>
          <w:rFonts w:hint="eastAsia" w:ascii="仿宋" w:hAnsi="仿宋" w:eastAsia="仿宋" w:cs="仿宋"/>
          <w:spacing w:val="0"/>
          <w:kern w:val="2"/>
          <w:sz w:val="24"/>
          <w:szCs w:val="20"/>
          <w:highlight w:val="none"/>
          <w:lang w:val="en-US" w:eastAsia="zh-CN" w:bidi="ar-SA"/>
        </w:rPr>
        <w:t>供应商名称（盖章）：</w:t>
      </w:r>
    </w:p>
    <w:p>
      <w:pPr>
        <w:tabs>
          <w:tab w:val="left" w:pos="1146"/>
        </w:tabs>
        <w:snapToGrid w:val="0"/>
        <w:spacing w:line="480" w:lineRule="exact"/>
        <w:ind w:firstLine="480" w:firstLineChars="200"/>
        <w:jc w:val="right"/>
        <w:rPr>
          <w:rFonts w:hint="default" w:ascii="仿宋" w:hAnsi="仿宋" w:eastAsia="仿宋" w:cs="仿宋"/>
          <w:spacing w:val="0"/>
          <w:kern w:val="2"/>
          <w:sz w:val="24"/>
          <w:szCs w:val="20"/>
          <w:highlight w:val="none"/>
          <w:lang w:val="en-US" w:eastAsia="zh-CN" w:bidi="ar-SA"/>
        </w:rPr>
      </w:pPr>
      <w:r>
        <w:rPr>
          <w:rFonts w:hint="eastAsia" w:ascii="仿宋" w:hAnsi="仿宋" w:eastAsia="仿宋" w:cs="仿宋"/>
          <w:spacing w:val="0"/>
          <w:kern w:val="2"/>
          <w:sz w:val="24"/>
          <w:szCs w:val="20"/>
          <w:highlight w:val="none"/>
          <w:lang w:val="en-US" w:eastAsia="zh-CN" w:bidi="ar-SA"/>
        </w:rPr>
        <w:t>授权代表（签字或盖章）：</w:t>
      </w:r>
    </w:p>
    <w:p>
      <w:pPr>
        <w:pStyle w:val="18"/>
        <w:spacing w:before="240" w:after="145" w:line="480" w:lineRule="exact"/>
        <w:ind w:firstLine="0" w:firstLineChars="0"/>
        <w:jc w:val="right"/>
        <w:rPr>
          <w:rFonts w:hint="eastAsia" w:ascii="仿宋" w:hAnsi="仿宋" w:eastAsia="仿宋" w:cs="仿宋"/>
          <w:spacing w:val="0"/>
          <w:kern w:val="2"/>
          <w:sz w:val="24"/>
          <w:szCs w:val="20"/>
          <w:highlight w:val="none"/>
          <w:lang w:val="en-US" w:eastAsia="zh-CN" w:bidi="ar-SA"/>
        </w:rPr>
      </w:pPr>
      <w:r>
        <w:rPr>
          <w:rFonts w:hint="eastAsia" w:ascii="仿宋" w:hAnsi="仿宋" w:eastAsia="仿宋" w:cs="仿宋"/>
          <w:spacing w:val="0"/>
          <w:kern w:val="2"/>
          <w:sz w:val="24"/>
          <w:szCs w:val="20"/>
          <w:highlight w:val="none"/>
          <w:lang w:val="en-US" w:eastAsia="zh-CN" w:bidi="ar-SA"/>
        </w:rPr>
        <w:t>日   期：。</w:t>
      </w:r>
    </w:p>
    <w:p>
      <w:pPr>
        <w:pStyle w:val="18"/>
        <w:spacing w:before="240" w:after="145" w:line="480" w:lineRule="exact"/>
        <w:ind w:firstLine="0" w:firstLineChars="0"/>
        <w:rPr>
          <w:rFonts w:hint="eastAsia" w:ascii="宋体" w:hAnsi="宋体" w:cs="宋体"/>
          <w:color w:val="000000"/>
          <w:highlight w:val="none"/>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sz w:val="20"/>
          <w:szCs w:val="22"/>
          <w:highlight w:val="none"/>
          <w:lang w:val="en-US" w:eastAsia="zh-CN"/>
        </w:rPr>
      </w:pPr>
      <w:r>
        <w:rPr>
          <w:rFonts w:hint="eastAsia"/>
          <w:sz w:val="20"/>
          <w:szCs w:val="22"/>
          <w:highlight w:val="none"/>
          <w:lang w:val="en-US" w:eastAsia="zh-CN"/>
        </w:rPr>
        <w:br w:type="page"/>
      </w:r>
    </w:p>
    <w:p>
      <w:pPr>
        <w:pStyle w:val="4"/>
        <w:keepNext w:val="0"/>
        <w:keepLines w:val="0"/>
        <w:pageBreakBefore w:val="0"/>
        <w:widowControl w:val="0"/>
        <w:kinsoku/>
        <w:wordWrap/>
        <w:overflowPunct/>
        <w:topLinePunct w:val="0"/>
        <w:bidi w:val="0"/>
        <w:adjustRightInd/>
        <w:spacing w:line="360" w:lineRule="auto"/>
        <w:textAlignment w:val="auto"/>
        <w:rPr>
          <w:rFonts w:hint="eastAsia"/>
          <w:sz w:val="32"/>
          <w:szCs w:val="24"/>
          <w:highlight w:val="none"/>
          <w:lang w:val="en-US" w:eastAsia="zh-CN"/>
        </w:rPr>
      </w:pPr>
      <w:bookmarkStart w:id="71" w:name="_Toc19709"/>
      <w:r>
        <w:rPr>
          <w:rFonts w:hint="eastAsia"/>
          <w:sz w:val="32"/>
          <w:szCs w:val="24"/>
          <w:highlight w:val="none"/>
          <w:lang w:val="en-US" w:eastAsia="zh-CN"/>
        </w:rPr>
        <w:t>附件十八：投标文件密封封套标记格式</w:t>
      </w:r>
      <w:bookmarkEnd w:id="7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投标文件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（正本）</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项目编号：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项目名称：</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包号：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供应商名称（公章）：</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地址：</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电话：</w:t>
            </w:r>
          </w:p>
        </w:tc>
        <w:tc>
          <w:tcPr>
            <w:tcW w:w="4258"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投标文件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（副本）</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项目编号：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项目名称：</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包号：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供应商名称（公章）：</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地址：</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投标文件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（开标一览表）</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项目编号：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项目名称：</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包号：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供应商名称（公章）：</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地址：</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电话：</w:t>
            </w:r>
          </w:p>
        </w:tc>
        <w:tc>
          <w:tcPr>
            <w:tcW w:w="4258" w:type="dxa"/>
          </w:tcPr>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投标文件</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（电子版）</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项目编号：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项目名称：</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包号：</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供应商名称（公章）：</w:t>
            </w:r>
          </w:p>
          <w:p>
            <w:pPr>
              <w:keepNext w:val="0"/>
              <w:keepLines w:val="0"/>
              <w:pageBreakBefore w:val="0"/>
              <w:widowControl w:val="0"/>
              <w:kinsoku/>
              <w:wordWrap/>
              <w:overflowPunct/>
              <w:topLinePunct w:val="0"/>
              <w:bidi w:val="0"/>
              <w:adjustRightInd/>
              <w:spacing w:line="360" w:lineRule="auto"/>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地址：</w:t>
            </w:r>
          </w:p>
          <w:p>
            <w:pPr>
              <w:keepNext w:val="0"/>
              <w:keepLines w:val="0"/>
              <w:pageBreakBefore w:val="0"/>
              <w:widowControl w:val="0"/>
              <w:kinsoku/>
              <w:wordWrap/>
              <w:overflowPunct/>
              <w:topLinePunct w:val="0"/>
              <w:bidi w:val="0"/>
              <w:adjustRightInd/>
              <w:spacing w:line="360" w:lineRule="auto"/>
              <w:textAlignment w:val="auto"/>
              <w:rPr>
                <w:rFonts w:hint="default"/>
                <w:sz w:val="21"/>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电话：</w:t>
            </w:r>
          </w:p>
        </w:tc>
      </w:tr>
    </w:tbl>
    <w:p>
      <w:pPr>
        <w:keepNext w:val="0"/>
        <w:keepLines w:val="0"/>
        <w:pageBreakBefore w:val="0"/>
        <w:widowControl w:val="0"/>
        <w:kinsoku/>
        <w:wordWrap/>
        <w:overflowPunct/>
        <w:topLinePunct w:val="0"/>
        <w:bidi w:val="0"/>
        <w:adjustRightInd/>
        <w:spacing w:line="360" w:lineRule="auto"/>
        <w:textAlignment w:val="auto"/>
        <w:rPr>
          <w:rFonts w:hint="eastAsia" w:ascii="黑体" w:hAnsi="黑体" w:eastAsia="黑体" w:cs="黑体"/>
          <w:sz w:val="28"/>
          <w:szCs w:val="28"/>
          <w:highlight w:val="none"/>
          <w:lang w:val="en-US" w:eastAsia="zh-CN"/>
        </w:rPr>
      </w:pPr>
    </w:p>
    <w:p>
      <w:pPr>
        <w:keepNext w:val="0"/>
        <w:keepLines w:val="0"/>
        <w:pageBreakBefore w:val="0"/>
        <w:widowControl w:val="0"/>
        <w:kinsoku/>
        <w:wordWrap/>
        <w:overflowPunct/>
        <w:topLinePunct w:val="0"/>
        <w:bidi w:val="0"/>
        <w:adjustRightInd/>
        <w:spacing w:line="360" w:lineRule="auto"/>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6" w:type="dxa"/>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华文中宋" w:hAnsi="华文中宋" w:eastAsia="华文中宋" w:cs="华文中宋"/>
                <w:sz w:val="22"/>
                <w:szCs w:val="22"/>
                <w:highlight w:val="none"/>
                <w:vertAlign w:val="baseline"/>
                <w:lang w:val="en-US" w:eastAsia="zh-CN"/>
              </w:rPr>
            </w:pPr>
            <w:r>
              <w:rPr>
                <w:rFonts w:hint="eastAsia" w:ascii="华文中宋" w:hAnsi="华文中宋" w:eastAsia="华文中宋" w:cs="华文中宋"/>
                <w:sz w:val="22"/>
                <w:szCs w:val="22"/>
                <w:highlight w:val="none"/>
                <w:vertAlign w:val="baseline"/>
                <w:lang w:val="en-US" w:eastAsia="zh-CN"/>
              </w:rPr>
              <w:t>………于    年   月   日   时   分之前不准启封（公章）………</w:t>
            </w:r>
          </w:p>
        </w:tc>
      </w:tr>
    </w:tbl>
    <w:p>
      <w:pPr>
        <w:keepNext w:val="0"/>
        <w:keepLines w:val="0"/>
        <w:pageBreakBefore w:val="0"/>
        <w:widowControl w:val="0"/>
        <w:kinsoku/>
        <w:wordWrap/>
        <w:overflowPunct/>
        <w:topLinePunct w:val="0"/>
        <w:bidi w:val="0"/>
        <w:adjustRightInd/>
        <w:spacing w:line="360" w:lineRule="auto"/>
        <w:textAlignment w:val="auto"/>
        <w:rPr>
          <w:rFonts w:hint="default"/>
          <w:sz w:val="20"/>
          <w:szCs w:val="22"/>
          <w:highlight w:val="none"/>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8DEE22-6E50-4696-967B-062B72922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2D568E-0C52-48C0-96D5-5B8623CF8660}"/>
  </w:font>
  <w:font w:name="楷体">
    <w:panose1 w:val="02010609060101010101"/>
    <w:charset w:val="86"/>
    <w:family w:val="auto"/>
    <w:pitch w:val="default"/>
    <w:sig w:usb0="800002BF" w:usb1="38CF7CFA" w:usb2="00000016" w:usb3="00000000" w:csb0="00040001" w:csb1="00000000"/>
    <w:embedRegular r:id="rId3" w:fontKey="{3A86DD9F-38F3-4611-AB60-FE3F28D7BB83}"/>
  </w:font>
  <w:font w:name="仿宋">
    <w:panose1 w:val="02010609060101010101"/>
    <w:charset w:val="86"/>
    <w:family w:val="auto"/>
    <w:pitch w:val="default"/>
    <w:sig w:usb0="800002BF" w:usb1="38CF7CFA" w:usb2="00000016" w:usb3="00000000" w:csb0="00040001" w:csb1="00000000"/>
    <w:embedRegular r:id="rId4" w:fontKey="{D3F122FA-CED2-44FA-AB4C-DEDDE70515BC}"/>
  </w:font>
  <w:font w:name="华文中宋">
    <w:panose1 w:val="02010600040101010101"/>
    <w:charset w:val="86"/>
    <w:family w:val="auto"/>
    <w:pitch w:val="default"/>
    <w:sig w:usb0="00000287" w:usb1="080F0000" w:usb2="00000000" w:usb3="00000000" w:csb0="0004009F" w:csb1="DFD70000"/>
    <w:embedRegular r:id="rId5" w:fontKey="{ED5779F9-165C-42A6-809F-FC69BE980902}"/>
  </w:font>
  <w:font w:name="Wingdings 2">
    <w:panose1 w:val="05020102010507070707"/>
    <w:charset w:val="00"/>
    <w:family w:val="auto"/>
    <w:pitch w:val="default"/>
    <w:sig w:usb0="00000000" w:usb1="00000000" w:usb2="00000000" w:usb3="00000000" w:csb0="80000000" w:csb1="00000000"/>
    <w:embedRegular r:id="rId6" w:fontKey="{3BC4337A-52FE-45E4-8F20-2FEB9C9A3408}"/>
  </w:font>
  <w:font w:name="微软雅黑">
    <w:panose1 w:val="020B0503020204020204"/>
    <w:charset w:val="86"/>
    <w:family w:val="auto"/>
    <w:pitch w:val="default"/>
    <w:sig w:usb0="80000287" w:usb1="2ACF3C50" w:usb2="00000016" w:usb3="00000000" w:csb0="0004001F" w:csb1="00000000"/>
    <w:embedRegular r:id="rId7" w:fontKey="{16D79632-85D0-4CCA-9581-B38CFA8928B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49B618"/>
    <w:multiLevelType w:val="singleLevel"/>
    <w:tmpl w:val="8F49B618"/>
    <w:lvl w:ilvl="0" w:tentative="0">
      <w:start w:val="1"/>
      <w:numFmt w:val="decimal"/>
      <w:suff w:val="nothing"/>
      <w:lvlText w:val="（%1）"/>
      <w:lvlJc w:val="left"/>
    </w:lvl>
  </w:abstractNum>
  <w:abstractNum w:abstractNumId="2">
    <w:nsid w:val="940DCD67"/>
    <w:multiLevelType w:val="singleLevel"/>
    <w:tmpl w:val="940DCD67"/>
    <w:lvl w:ilvl="0" w:tentative="0">
      <w:start w:val="1"/>
      <w:numFmt w:val="decimal"/>
      <w:suff w:val="nothing"/>
      <w:lvlText w:val="（%1）"/>
      <w:lvlJc w:val="left"/>
    </w:lvl>
  </w:abstractNum>
  <w:abstractNum w:abstractNumId="3">
    <w:nsid w:val="94FAF84E"/>
    <w:multiLevelType w:val="singleLevel"/>
    <w:tmpl w:val="94FAF84E"/>
    <w:lvl w:ilvl="0" w:tentative="0">
      <w:start w:val="1"/>
      <w:numFmt w:val="decimal"/>
      <w:suff w:val="nothing"/>
      <w:lvlText w:val="（%1）"/>
      <w:lvlJc w:val="left"/>
    </w:lvl>
  </w:abstractNum>
  <w:abstractNum w:abstractNumId="4">
    <w:nsid w:val="977A21F7"/>
    <w:multiLevelType w:val="singleLevel"/>
    <w:tmpl w:val="977A21F7"/>
    <w:lvl w:ilvl="0" w:tentative="0">
      <w:start w:val="1"/>
      <w:numFmt w:val="decimal"/>
      <w:lvlText w:val="%1."/>
      <w:lvlJc w:val="left"/>
      <w:pPr>
        <w:ind w:left="425" w:hanging="425"/>
      </w:pPr>
      <w:rPr>
        <w:rFonts w:hint="default"/>
      </w:rPr>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CC062C0E"/>
    <w:multiLevelType w:val="singleLevel"/>
    <w:tmpl w:val="CC062C0E"/>
    <w:lvl w:ilvl="0" w:tentative="0">
      <w:start w:val="1"/>
      <w:numFmt w:val="decimal"/>
      <w:suff w:val="nothing"/>
      <w:lvlText w:val="（%1）"/>
      <w:lvlJc w:val="left"/>
    </w:lvl>
  </w:abstractNum>
  <w:abstractNum w:abstractNumId="10">
    <w:nsid w:val="D27CA4CE"/>
    <w:multiLevelType w:val="singleLevel"/>
    <w:tmpl w:val="D27CA4CE"/>
    <w:lvl w:ilvl="0" w:tentative="0">
      <w:start w:val="1"/>
      <w:numFmt w:val="decimal"/>
      <w:suff w:val="nothing"/>
      <w:lvlText w:val="%1、"/>
      <w:lvlJc w:val="left"/>
    </w:lvl>
  </w:abstractNum>
  <w:abstractNum w:abstractNumId="11">
    <w:nsid w:val="D47A9E4F"/>
    <w:multiLevelType w:val="singleLevel"/>
    <w:tmpl w:val="D47A9E4F"/>
    <w:lvl w:ilvl="0" w:tentative="0">
      <w:start w:val="1"/>
      <w:numFmt w:val="decimal"/>
      <w:suff w:val="nothing"/>
      <w:lvlText w:val="（%1）"/>
      <w:lvlJc w:val="left"/>
    </w:lvl>
  </w:abstractNum>
  <w:abstractNum w:abstractNumId="12">
    <w:nsid w:val="D7A97348"/>
    <w:multiLevelType w:val="singleLevel"/>
    <w:tmpl w:val="D7A97348"/>
    <w:lvl w:ilvl="0" w:tentative="0">
      <w:start w:val="1"/>
      <w:numFmt w:val="decimal"/>
      <w:suff w:val="nothing"/>
      <w:lvlText w:val="（%1）"/>
      <w:lvlJc w:val="left"/>
    </w:lvl>
  </w:abstractNum>
  <w:abstractNum w:abstractNumId="13">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4">
    <w:nsid w:val="E99DE957"/>
    <w:multiLevelType w:val="singleLevel"/>
    <w:tmpl w:val="E99DE957"/>
    <w:lvl w:ilvl="0" w:tentative="0">
      <w:start w:val="1"/>
      <w:numFmt w:val="chineseCounting"/>
      <w:suff w:val="nothing"/>
      <w:lvlText w:val="%1、"/>
      <w:lvlJc w:val="left"/>
      <w:rPr>
        <w:rFonts w:hint="eastAsia"/>
      </w:rPr>
    </w:lvl>
  </w:abstractNum>
  <w:abstractNum w:abstractNumId="15">
    <w:nsid w:val="EAC5059A"/>
    <w:multiLevelType w:val="singleLevel"/>
    <w:tmpl w:val="EAC5059A"/>
    <w:lvl w:ilvl="0" w:tentative="0">
      <w:start w:val="1"/>
      <w:numFmt w:val="decimal"/>
      <w:suff w:val="nothing"/>
      <w:lvlText w:val="（%1）"/>
      <w:lvlJc w:val="left"/>
    </w:lvl>
  </w:abstractNum>
  <w:abstractNum w:abstractNumId="16">
    <w:nsid w:val="F06F0C77"/>
    <w:multiLevelType w:val="singleLevel"/>
    <w:tmpl w:val="F06F0C77"/>
    <w:lvl w:ilvl="0" w:tentative="0">
      <w:start w:val="1"/>
      <w:numFmt w:val="decimal"/>
      <w:suff w:val="nothing"/>
      <w:lvlText w:val="%1、"/>
      <w:lvlJc w:val="left"/>
    </w:lvl>
  </w:abstractNum>
  <w:abstractNum w:abstractNumId="17">
    <w:nsid w:val="FAED9D87"/>
    <w:multiLevelType w:val="singleLevel"/>
    <w:tmpl w:val="FAED9D87"/>
    <w:lvl w:ilvl="0" w:tentative="0">
      <w:start w:val="1"/>
      <w:numFmt w:val="decimal"/>
      <w:suff w:val="nothing"/>
      <w:lvlText w:val="%1、"/>
      <w:lvlJc w:val="left"/>
    </w:lvl>
  </w:abstractNum>
  <w:abstractNum w:abstractNumId="18">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9">
    <w:nsid w:val="092C0995"/>
    <w:multiLevelType w:val="singleLevel"/>
    <w:tmpl w:val="092C0995"/>
    <w:lvl w:ilvl="0" w:tentative="0">
      <w:start w:val="1"/>
      <w:numFmt w:val="decimal"/>
      <w:suff w:val="nothing"/>
      <w:lvlText w:val="（%1）"/>
      <w:lvlJc w:val="left"/>
    </w:lvl>
  </w:abstractNum>
  <w:abstractNum w:abstractNumId="20">
    <w:nsid w:val="09FD4165"/>
    <w:multiLevelType w:val="singleLevel"/>
    <w:tmpl w:val="09FD4165"/>
    <w:lvl w:ilvl="0" w:tentative="0">
      <w:start w:val="1"/>
      <w:numFmt w:val="decimal"/>
      <w:suff w:val="nothing"/>
      <w:lvlText w:val="（%1）"/>
      <w:lvlJc w:val="left"/>
    </w:lvl>
  </w:abstractNum>
  <w:abstractNum w:abstractNumId="21">
    <w:nsid w:val="0A4AA107"/>
    <w:multiLevelType w:val="singleLevel"/>
    <w:tmpl w:val="0A4AA107"/>
    <w:lvl w:ilvl="0" w:tentative="0">
      <w:start w:val="1"/>
      <w:numFmt w:val="decimal"/>
      <w:suff w:val="nothing"/>
      <w:lvlText w:val="（%1）"/>
      <w:lvlJc w:val="left"/>
    </w:lvl>
  </w:abstractNum>
  <w:abstractNum w:abstractNumId="22">
    <w:nsid w:val="2E6C82FE"/>
    <w:multiLevelType w:val="singleLevel"/>
    <w:tmpl w:val="2E6C82FE"/>
    <w:lvl w:ilvl="0" w:tentative="0">
      <w:start w:val="1"/>
      <w:numFmt w:val="chineseCounting"/>
      <w:suff w:val="nothing"/>
      <w:lvlText w:val="%1、"/>
      <w:lvlJc w:val="left"/>
      <w:rPr>
        <w:rFonts w:hint="eastAsia"/>
      </w:rPr>
    </w:lvl>
  </w:abstractNum>
  <w:abstractNum w:abstractNumId="23">
    <w:nsid w:val="3E2AC779"/>
    <w:multiLevelType w:val="singleLevel"/>
    <w:tmpl w:val="3E2AC779"/>
    <w:lvl w:ilvl="0" w:tentative="0">
      <w:start w:val="1"/>
      <w:numFmt w:val="decimal"/>
      <w:suff w:val="nothing"/>
      <w:lvlText w:val="（%1）"/>
      <w:lvlJc w:val="left"/>
    </w:lvl>
  </w:abstractNum>
  <w:abstractNum w:abstractNumId="24">
    <w:nsid w:val="3E3D6081"/>
    <w:multiLevelType w:val="singleLevel"/>
    <w:tmpl w:val="3E3D6081"/>
    <w:lvl w:ilvl="0" w:tentative="0">
      <w:start w:val="1"/>
      <w:numFmt w:val="decimal"/>
      <w:suff w:val="nothing"/>
      <w:lvlText w:val="（%1）"/>
      <w:lvlJc w:val="left"/>
    </w:lvl>
  </w:abstractNum>
  <w:abstractNum w:abstractNumId="25">
    <w:nsid w:val="42B27805"/>
    <w:multiLevelType w:val="singleLevel"/>
    <w:tmpl w:val="42B27805"/>
    <w:lvl w:ilvl="0" w:tentative="0">
      <w:start w:val="1"/>
      <w:numFmt w:val="decimal"/>
      <w:suff w:val="nothing"/>
      <w:lvlText w:val="%1、"/>
      <w:lvlJc w:val="left"/>
    </w:lvl>
  </w:abstractNum>
  <w:abstractNum w:abstractNumId="26">
    <w:nsid w:val="48117AEE"/>
    <w:multiLevelType w:val="singleLevel"/>
    <w:tmpl w:val="48117AEE"/>
    <w:lvl w:ilvl="0" w:tentative="0">
      <w:start w:val="1"/>
      <w:numFmt w:val="chineseCounting"/>
      <w:suff w:val="nothing"/>
      <w:lvlText w:val="（%1）"/>
      <w:lvlJc w:val="left"/>
      <w:rPr>
        <w:rFonts w:hint="eastAsia"/>
      </w:rPr>
    </w:lvl>
  </w:abstractNum>
  <w:abstractNum w:abstractNumId="27">
    <w:nsid w:val="498F7106"/>
    <w:multiLevelType w:val="singleLevel"/>
    <w:tmpl w:val="498F7106"/>
    <w:lvl w:ilvl="0" w:tentative="0">
      <w:start w:val="1"/>
      <w:numFmt w:val="decimal"/>
      <w:suff w:val="nothing"/>
      <w:lvlText w:val="（%1）"/>
      <w:lvlJc w:val="left"/>
    </w:lvl>
  </w:abstractNum>
  <w:abstractNum w:abstractNumId="28">
    <w:nsid w:val="535DF3F7"/>
    <w:multiLevelType w:val="singleLevel"/>
    <w:tmpl w:val="535DF3F7"/>
    <w:lvl w:ilvl="0" w:tentative="0">
      <w:start w:val="1"/>
      <w:numFmt w:val="chineseCounting"/>
      <w:suff w:val="nothing"/>
      <w:lvlText w:val="%1、"/>
      <w:lvlJc w:val="left"/>
      <w:rPr>
        <w:rFonts w:hint="eastAsia"/>
      </w:rPr>
    </w:lvl>
  </w:abstractNum>
  <w:abstractNum w:abstractNumId="29">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30">
    <w:nsid w:val="6BB823B2"/>
    <w:multiLevelType w:val="singleLevel"/>
    <w:tmpl w:val="6BB823B2"/>
    <w:lvl w:ilvl="0" w:tentative="0">
      <w:start w:val="2"/>
      <w:numFmt w:val="chineseCounting"/>
      <w:suff w:val="space"/>
      <w:lvlText w:val="第%1章"/>
      <w:lvlJc w:val="left"/>
      <w:rPr>
        <w:rFonts w:hint="eastAsia"/>
      </w:rPr>
    </w:lvl>
  </w:abstractNum>
  <w:abstractNum w:abstractNumId="31">
    <w:nsid w:val="6CF6F750"/>
    <w:multiLevelType w:val="singleLevel"/>
    <w:tmpl w:val="6CF6F750"/>
    <w:lvl w:ilvl="0" w:tentative="0">
      <w:start w:val="1"/>
      <w:numFmt w:val="decimal"/>
      <w:suff w:val="nothing"/>
      <w:lvlText w:val="（%1）"/>
      <w:lvlJc w:val="left"/>
    </w:lvl>
  </w:abstractNum>
  <w:abstractNum w:abstractNumId="32">
    <w:nsid w:val="74FB255C"/>
    <w:multiLevelType w:val="singleLevel"/>
    <w:tmpl w:val="74FB255C"/>
    <w:lvl w:ilvl="0" w:tentative="0">
      <w:start w:val="1"/>
      <w:numFmt w:val="chineseCounting"/>
      <w:suff w:val="space"/>
      <w:lvlText w:val="第%1部分"/>
      <w:lvlJc w:val="left"/>
      <w:rPr>
        <w:rFonts w:hint="eastAsia"/>
      </w:rPr>
    </w:lvl>
  </w:abstractNum>
  <w:num w:numId="1">
    <w:abstractNumId w:val="32"/>
  </w:num>
  <w:num w:numId="2">
    <w:abstractNumId w:val="14"/>
  </w:num>
  <w:num w:numId="3">
    <w:abstractNumId w:val="0"/>
  </w:num>
  <w:num w:numId="4">
    <w:abstractNumId w:val="16"/>
  </w:num>
  <w:num w:numId="5">
    <w:abstractNumId w:val="17"/>
  </w:num>
  <w:num w:numId="6">
    <w:abstractNumId w:val="30"/>
  </w:num>
  <w:num w:numId="7">
    <w:abstractNumId w:val="29"/>
  </w:num>
  <w:num w:numId="8">
    <w:abstractNumId w:val="11"/>
  </w:num>
  <w:num w:numId="9">
    <w:abstractNumId w:val="24"/>
  </w:num>
  <w:num w:numId="10">
    <w:abstractNumId w:val="3"/>
  </w:num>
  <w:num w:numId="11">
    <w:abstractNumId w:val="28"/>
  </w:num>
  <w:num w:numId="12">
    <w:abstractNumId w:val="10"/>
  </w:num>
  <w:num w:numId="13">
    <w:abstractNumId w:val="23"/>
  </w:num>
  <w:num w:numId="14">
    <w:abstractNumId w:val="19"/>
  </w:num>
  <w:num w:numId="15">
    <w:abstractNumId w:val="1"/>
  </w:num>
  <w:num w:numId="16">
    <w:abstractNumId w:val="22"/>
  </w:num>
  <w:num w:numId="17">
    <w:abstractNumId w:val="7"/>
  </w:num>
  <w:num w:numId="18">
    <w:abstractNumId w:val="12"/>
  </w:num>
  <w:num w:numId="19">
    <w:abstractNumId w:val="15"/>
  </w:num>
  <w:num w:numId="20">
    <w:abstractNumId w:val="6"/>
  </w:num>
  <w:num w:numId="21">
    <w:abstractNumId w:val="2"/>
  </w:num>
  <w:num w:numId="22">
    <w:abstractNumId w:val="31"/>
  </w:num>
  <w:num w:numId="23">
    <w:abstractNumId w:val="27"/>
  </w:num>
  <w:num w:numId="24">
    <w:abstractNumId w:val="26"/>
  </w:num>
  <w:num w:numId="25">
    <w:abstractNumId w:val="4"/>
  </w:num>
  <w:num w:numId="26">
    <w:abstractNumId w:val="9"/>
  </w:num>
  <w:num w:numId="27">
    <w:abstractNumId w:val="21"/>
  </w:num>
  <w:num w:numId="28">
    <w:abstractNumId w:val="8"/>
  </w:num>
  <w:num w:numId="29">
    <w:abstractNumId w:val="5"/>
  </w:num>
  <w:num w:numId="30">
    <w:abstractNumId w:val="13"/>
  </w:num>
  <w:num w:numId="31">
    <w:abstractNumId w:val="18"/>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501981"/>
    <w:rsid w:val="00584EFD"/>
    <w:rsid w:val="0071736F"/>
    <w:rsid w:val="00867931"/>
    <w:rsid w:val="00BC2FD6"/>
    <w:rsid w:val="00E749DF"/>
    <w:rsid w:val="010B4C70"/>
    <w:rsid w:val="013D4E22"/>
    <w:rsid w:val="0166176F"/>
    <w:rsid w:val="017D3C54"/>
    <w:rsid w:val="01891A58"/>
    <w:rsid w:val="01914207"/>
    <w:rsid w:val="01DE3F57"/>
    <w:rsid w:val="02061CA8"/>
    <w:rsid w:val="02677FB9"/>
    <w:rsid w:val="02B44D2A"/>
    <w:rsid w:val="03045209"/>
    <w:rsid w:val="032354EC"/>
    <w:rsid w:val="032E00C5"/>
    <w:rsid w:val="03305FFE"/>
    <w:rsid w:val="0367585D"/>
    <w:rsid w:val="03FE05ED"/>
    <w:rsid w:val="049108AB"/>
    <w:rsid w:val="04EF43C3"/>
    <w:rsid w:val="053A4F12"/>
    <w:rsid w:val="05760B31"/>
    <w:rsid w:val="05A57610"/>
    <w:rsid w:val="066607A8"/>
    <w:rsid w:val="06BC2EEB"/>
    <w:rsid w:val="06BE3E02"/>
    <w:rsid w:val="08215467"/>
    <w:rsid w:val="08B649EF"/>
    <w:rsid w:val="08B77900"/>
    <w:rsid w:val="08BC6C07"/>
    <w:rsid w:val="08FE0D7F"/>
    <w:rsid w:val="096430D6"/>
    <w:rsid w:val="09D75DBE"/>
    <w:rsid w:val="0AAE008A"/>
    <w:rsid w:val="0ABA0877"/>
    <w:rsid w:val="0AC02960"/>
    <w:rsid w:val="0ADC1431"/>
    <w:rsid w:val="0B11257D"/>
    <w:rsid w:val="0B166E82"/>
    <w:rsid w:val="0B3A7AAB"/>
    <w:rsid w:val="0B3F244B"/>
    <w:rsid w:val="0B44031D"/>
    <w:rsid w:val="0B48587C"/>
    <w:rsid w:val="0B5331D2"/>
    <w:rsid w:val="0BA80E28"/>
    <w:rsid w:val="0BAF056F"/>
    <w:rsid w:val="0BDA11FD"/>
    <w:rsid w:val="0BDF168A"/>
    <w:rsid w:val="0C8676FF"/>
    <w:rsid w:val="0C9B6BDE"/>
    <w:rsid w:val="0CB367E8"/>
    <w:rsid w:val="0D0F50F9"/>
    <w:rsid w:val="0D3222D3"/>
    <w:rsid w:val="0DB51A3F"/>
    <w:rsid w:val="0E244923"/>
    <w:rsid w:val="0E2A646C"/>
    <w:rsid w:val="0E9252B5"/>
    <w:rsid w:val="0E947FED"/>
    <w:rsid w:val="0EA50A23"/>
    <w:rsid w:val="0EC0770C"/>
    <w:rsid w:val="0F9E6945"/>
    <w:rsid w:val="0FD40AB1"/>
    <w:rsid w:val="110B56B0"/>
    <w:rsid w:val="114C4C3C"/>
    <w:rsid w:val="11CF5A3A"/>
    <w:rsid w:val="120C48EC"/>
    <w:rsid w:val="12226661"/>
    <w:rsid w:val="123478B9"/>
    <w:rsid w:val="125735A8"/>
    <w:rsid w:val="125D0F08"/>
    <w:rsid w:val="128679E9"/>
    <w:rsid w:val="136372D4"/>
    <w:rsid w:val="139B365F"/>
    <w:rsid w:val="139F0A7D"/>
    <w:rsid w:val="13C058EC"/>
    <w:rsid w:val="13CF716E"/>
    <w:rsid w:val="14100E11"/>
    <w:rsid w:val="141677D8"/>
    <w:rsid w:val="14B24AC5"/>
    <w:rsid w:val="14C66AE3"/>
    <w:rsid w:val="14EB372B"/>
    <w:rsid w:val="151C05CE"/>
    <w:rsid w:val="15500DF1"/>
    <w:rsid w:val="157C0937"/>
    <w:rsid w:val="159A7B3B"/>
    <w:rsid w:val="15FC6940"/>
    <w:rsid w:val="1630011F"/>
    <w:rsid w:val="165805A1"/>
    <w:rsid w:val="16670C5B"/>
    <w:rsid w:val="169200D9"/>
    <w:rsid w:val="16B714BA"/>
    <w:rsid w:val="16FB6BF7"/>
    <w:rsid w:val="170065F8"/>
    <w:rsid w:val="179E0AB2"/>
    <w:rsid w:val="17B324F3"/>
    <w:rsid w:val="182E414D"/>
    <w:rsid w:val="18B232E6"/>
    <w:rsid w:val="190C2310"/>
    <w:rsid w:val="194633D7"/>
    <w:rsid w:val="1990546E"/>
    <w:rsid w:val="1991782E"/>
    <w:rsid w:val="19EE2763"/>
    <w:rsid w:val="1A476ADA"/>
    <w:rsid w:val="1AE22C33"/>
    <w:rsid w:val="1B001D6F"/>
    <w:rsid w:val="1B1E34D8"/>
    <w:rsid w:val="1B542FBD"/>
    <w:rsid w:val="1B740D26"/>
    <w:rsid w:val="1B8B17E3"/>
    <w:rsid w:val="1C3A1F70"/>
    <w:rsid w:val="1C3C7D6D"/>
    <w:rsid w:val="1CFF2872"/>
    <w:rsid w:val="1DB573D4"/>
    <w:rsid w:val="1DC40DA8"/>
    <w:rsid w:val="1DE101C9"/>
    <w:rsid w:val="1E0F2BF2"/>
    <w:rsid w:val="1E6C2189"/>
    <w:rsid w:val="1E893F5A"/>
    <w:rsid w:val="1E9F75C1"/>
    <w:rsid w:val="1F8E15B2"/>
    <w:rsid w:val="1FB3612C"/>
    <w:rsid w:val="1FCE7695"/>
    <w:rsid w:val="1FD82C93"/>
    <w:rsid w:val="20222154"/>
    <w:rsid w:val="20403221"/>
    <w:rsid w:val="218F6E59"/>
    <w:rsid w:val="21F17C02"/>
    <w:rsid w:val="22891C77"/>
    <w:rsid w:val="22920ECA"/>
    <w:rsid w:val="229932B8"/>
    <w:rsid w:val="229F1624"/>
    <w:rsid w:val="23201794"/>
    <w:rsid w:val="23274E63"/>
    <w:rsid w:val="236E765F"/>
    <w:rsid w:val="23A42F15"/>
    <w:rsid w:val="2424538D"/>
    <w:rsid w:val="243F3C6F"/>
    <w:rsid w:val="24472BFB"/>
    <w:rsid w:val="245A3471"/>
    <w:rsid w:val="24703714"/>
    <w:rsid w:val="24F27361"/>
    <w:rsid w:val="24F43D8A"/>
    <w:rsid w:val="252253F2"/>
    <w:rsid w:val="25C8703D"/>
    <w:rsid w:val="25E9787E"/>
    <w:rsid w:val="27631D57"/>
    <w:rsid w:val="27750300"/>
    <w:rsid w:val="280D095E"/>
    <w:rsid w:val="2893599D"/>
    <w:rsid w:val="28C130D1"/>
    <w:rsid w:val="29187CC6"/>
    <w:rsid w:val="29955C15"/>
    <w:rsid w:val="29F560BE"/>
    <w:rsid w:val="2A0665E7"/>
    <w:rsid w:val="2A10391F"/>
    <w:rsid w:val="2A7550F2"/>
    <w:rsid w:val="2ACA0963"/>
    <w:rsid w:val="2ACB6489"/>
    <w:rsid w:val="2B3B7F4D"/>
    <w:rsid w:val="2B604E23"/>
    <w:rsid w:val="2BB67139"/>
    <w:rsid w:val="2BC80B80"/>
    <w:rsid w:val="2BE52063"/>
    <w:rsid w:val="2BE65951"/>
    <w:rsid w:val="2C745F70"/>
    <w:rsid w:val="2C8C2213"/>
    <w:rsid w:val="2CA10829"/>
    <w:rsid w:val="2CA246E6"/>
    <w:rsid w:val="2CBA4B2E"/>
    <w:rsid w:val="2CF71E10"/>
    <w:rsid w:val="2D5A40DB"/>
    <w:rsid w:val="2DA91EFB"/>
    <w:rsid w:val="2DB23901"/>
    <w:rsid w:val="2DC62603"/>
    <w:rsid w:val="2DCC5B3D"/>
    <w:rsid w:val="2E162111"/>
    <w:rsid w:val="2E2D4759"/>
    <w:rsid w:val="2E620A42"/>
    <w:rsid w:val="2E804392"/>
    <w:rsid w:val="2EAC675F"/>
    <w:rsid w:val="2EBF6983"/>
    <w:rsid w:val="2EC1153B"/>
    <w:rsid w:val="2ECD1469"/>
    <w:rsid w:val="2ED4433F"/>
    <w:rsid w:val="2F4754AB"/>
    <w:rsid w:val="2F5E78CC"/>
    <w:rsid w:val="302208F9"/>
    <w:rsid w:val="30515F6A"/>
    <w:rsid w:val="309A7E37"/>
    <w:rsid w:val="310A3B1A"/>
    <w:rsid w:val="312D608B"/>
    <w:rsid w:val="319A3819"/>
    <w:rsid w:val="31A21C27"/>
    <w:rsid w:val="31E64C63"/>
    <w:rsid w:val="31FA4FCC"/>
    <w:rsid w:val="32164C99"/>
    <w:rsid w:val="322120F3"/>
    <w:rsid w:val="326C652B"/>
    <w:rsid w:val="32762D7D"/>
    <w:rsid w:val="32C65482"/>
    <w:rsid w:val="32DE79AE"/>
    <w:rsid w:val="330A787A"/>
    <w:rsid w:val="331704BD"/>
    <w:rsid w:val="338941E7"/>
    <w:rsid w:val="33F6127A"/>
    <w:rsid w:val="345B4324"/>
    <w:rsid w:val="34992C94"/>
    <w:rsid w:val="349F333B"/>
    <w:rsid w:val="34B63D06"/>
    <w:rsid w:val="34DC2CBF"/>
    <w:rsid w:val="356F7983"/>
    <w:rsid w:val="35AB313F"/>
    <w:rsid w:val="35EC61BF"/>
    <w:rsid w:val="368603E6"/>
    <w:rsid w:val="36BD5820"/>
    <w:rsid w:val="37214A7E"/>
    <w:rsid w:val="37567086"/>
    <w:rsid w:val="3791322A"/>
    <w:rsid w:val="37D14BC7"/>
    <w:rsid w:val="381E5902"/>
    <w:rsid w:val="383A2495"/>
    <w:rsid w:val="38653669"/>
    <w:rsid w:val="389B54ED"/>
    <w:rsid w:val="38A50216"/>
    <w:rsid w:val="3A1A07F7"/>
    <w:rsid w:val="3A4C4FE3"/>
    <w:rsid w:val="3A7E4D98"/>
    <w:rsid w:val="3A8F4646"/>
    <w:rsid w:val="3A9D2A14"/>
    <w:rsid w:val="3B39533B"/>
    <w:rsid w:val="3BD83530"/>
    <w:rsid w:val="3C266127"/>
    <w:rsid w:val="3C6F4010"/>
    <w:rsid w:val="3CDA52E2"/>
    <w:rsid w:val="3CE078AF"/>
    <w:rsid w:val="3CE706BA"/>
    <w:rsid w:val="3D104B94"/>
    <w:rsid w:val="3D13433F"/>
    <w:rsid w:val="3D3D6D72"/>
    <w:rsid w:val="3DB34567"/>
    <w:rsid w:val="3E082A12"/>
    <w:rsid w:val="3E10092B"/>
    <w:rsid w:val="3E9F69EA"/>
    <w:rsid w:val="3F176BBD"/>
    <w:rsid w:val="3FF51B86"/>
    <w:rsid w:val="40666358"/>
    <w:rsid w:val="406948AF"/>
    <w:rsid w:val="40925627"/>
    <w:rsid w:val="40FC2472"/>
    <w:rsid w:val="4131700C"/>
    <w:rsid w:val="41670862"/>
    <w:rsid w:val="41803CF6"/>
    <w:rsid w:val="41C468CB"/>
    <w:rsid w:val="41DB2FFE"/>
    <w:rsid w:val="42183A57"/>
    <w:rsid w:val="422229DB"/>
    <w:rsid w:val="426479D7"/>
    <w:rsid w:val="42674816"/>
    <w:rsid w:val="42AB0289"/>
    <w:rsid w:val="42B83341"/>
    <w:rsid w:val="42E0752E"/>
    <w:rsid w:val="42F223AD"/>
    <w:rsid w:val="430429A8"/>
    <w:rsid w:val="432112A3"/>
    <w:rsid w:val="43212026"/>
    <w:rsid w:val="437754F8"/>
    <w:rsid w:val="446B4A90"/>
    <w:rsid w:val="451B2912"/>
    <w:rsid w:val="4527032B"/>
    <w:rsid w:val="455C526C"/>
    <w:rsid w:val="45F768ED"/>
    <w:rsid w:val="463F79C3"/>
    <w:rsid w:val="46930B04"/>
    <w:rsid w:val="46D00C57"/>
    <w:rsid w:val="46DC7B84"/>
    <w:rsid w:val="46F81F5C"/>
    <w:rsid w:val="47494315"/>
    <w:rsid w:val="476B0845"/>
    <w:rsid w:val="479877E3"/>
    <w:rsid w:val="47FF1DC2"/>
    <w:rsid w:val="4800524E"/>
    <w:rsid w:val="48094F06"/>
    <w:rsid w:val="483A7FD2"/>
    <w:rsid w:val="48786A4E"/>
    <w:rsid w:val="4895451F"/>
    <w:rsid w:val="48A86365"/>
    <w:rsid w:val="491809FB"/>
    <w:rsid w:val="4921695E"/>
    <w:rsid w:val="496419EC"/>
    <w:rsid w:val="49745FB9"/>
    <w:rsid w:val="49CF085F"/>
    <w:rsid w:val="4A95657B"/>
    <w:rsid w:val="4AED6205"/>
    <w:rsid w:val="4B675C46"/>
    <w:rsid w:val="4BB01057"/>
    <w:rsid w:val="4BC82845"/>
    <w:rsid w:val="4C1D043D"/>
    <w:rsid w:val="4C3876FA"/>
    <w:rsid w:val="4C8449BE"/>
    <w:rsid w:val="4C903356"/>
    <w:rsid w:val="4CF10C63"/>
    <w:rsid w:val="4CF55F89"/>
    <w:rsid w:val="4D271F40"/>
    <w:rsid w:val="4D56027C"/>
    <w:rsid w:val="4D5A78D7"/>
    <w:rsid w:val="4D94085C"/>
    <w:rsid w:val="4E8A0DDD"/>
    <w:rsid w:val="4F22042B"/>
    <w:rsid w:val="502A397A"/>
    <w:rsid w:val="50487B81"/>
    <w:rsid w:val="50A60AB8"/>
    <w:rsid w:val="512E64E4"/>
    <w:rsid w:val="51401E9E"/>
    <w:rsid w:val="515F7ECA"/>
    <w:rsid w:val="525F7333"/>
    <w:rsid w:val="52E910BF"/>
    <w:rsid w:val="531677D2"/>
    <w:rsid w:val="53493E2F"/>
    <w:rsid w:val="5383163E"/>
    <w:rsid w:val="53B258CB"/>
    <w:rsid w:val="53CF4FE0"/>
    <w:rsid w:val="53E04BF9"/>
    <w:rsid w:val="54077F0D"/>
    <w:rsid w:val="54D43F38"/>
    <w:rsid w:val="55006BAB"/>
    <w:rsid w:val="55191A1B"/>
    <w:rsid w:val="55981611"/>
    <w:rsid w:val="564D3B26"/>
    <w:rsid w:val="56623AB1"/>
    <w:rsid w:val="569033A9"/>
    <w:rsid w:val="56D94653"/>
    <w:rsid w:val="577A67C6"/>
    <w:rsid w:val="57D90FB8"/>
    <w:rsid w:val="584D6874"/>
    <w:rsid w:val="58785BA8"/>
    <w:rsid w:val="59D35625"/>
    <w:rsid w:val="59EF6884"/>
    <w:rsid w:val="59FC2134"/>
    <w:rsid w:val="5A0B3642"/>
    <w:rsid w:val="5A63523E"/>
    <w:rsid w:val="5A7A6C84"/>
    <w:rsid w:val="5A7C3C6C"/>
    <w:rsid w:val="5AB02E22"/>
    <w:rsid w:val="5AE512C5"/>
    <w:rsid w:val="5AF917B7"/>
    <w:rsid w:val="5B131307"/>
    <w:rsid w:val="5B337346"/>
    <w:rsid w:val="5B7A6F8C"/>
    <w:rsid w:val="5BC22F82"/>
    <w:rsid w:val="5BDF19ED"/>
    <w:rsid w:val="5BF44F90"/>
    <w:rsid w:val="5BFB00CD"/>
    <w:rsid w:val="5C351111"/>
    <w:rsid w:val="5C3929A3"/>
    <w:rsid w:val="5C642FCC"/>
    <w:rsid w:val="5C926652"/>
    <w:rsid w:val="5D170973"/>
    <w:rsid w:val="5D50599E"/>
    <w:rsid w:val="5D63417B"/>
    <w:rsid w:val="5DBA34C6"/>
    <w:rsid w:val="5DE62572"/>
    <w:rsid w:val="5E037B19"/>
    <w:rsid w:val="5E0B2794"/>
    <w:rsid w:val="5E19158D"/>
    <w:rsid w:val="5E373795"/>
    <w:rsid w:val="5E435D5B"/>
    <w:rsid w:val="5EA902B4"/>
    <w:rsid w:val="5EAE3E74"/>
    <w:rsid w:val="5EF90010"/>
    <w:rsid w:val="5F3A449C"/>
    <w:rsid w:val="5F9257EA"/>
    <w:rsid w:val="5F93686E"/>
    <w:rsid w:val="5F9759D4"/>
    <w:rsid w:val="60496BD8"/>
    <w:rsid w:val="606D3F8B"/>
    <w:rsid w:val="609E7A6C"/>
    <w:rsid w:val="61525BD6"/>
    <w:rsid w:val="616866C1"/>
    <w:rsid w:val="61690053"/>
    <w:rsid w:val="61E513D9"/>
    <w:rsid w:val="61EE67F0"/>
    <w:rsid w:val="62210161"/>
    <w:rsid w:val="62385852"/>
    <w:rsid w:val="62913539"/>
    <w:rsid w:val="62AC3ECF"/>
    <w:rsid w:val="62B17A23"/>
    <w:rsid w:val="62D4154E"/>
    <w:rsid w:val="631733BB"/>
    <w:rsid w:val="631A63C8"/>
    <w:rsid w:val="6342396D"/>
    <w:rsid w:val="6388206C"/>
    <w:rsid w:val="63934981"/>
    <w:rsid w:val="63B03E93"/>
    <w:rsid w:val="643928B2"/>
    <w:rsid w:val="64D03FA1"/>
    <w:rsid w:val="65026E65"/>
    <w:rsid w:val="659149C3"/>
    <w:rsid w:val="65A471B9"/>
    <w:rsid w:val="65DB6668"/>
    <w:rsid w:val="65EC39CF"/>
    <w:rsid w:val="661C405F"/>
    <w:rsid w:val="662D48CA"/>
    <w:rsid w:val="66853842"/>
    <w:rsid w:val="669058B5"/>
    <w:rsid w:val="66F562E8"/>
    <w:rsid w:val="6707201B"/>
    <w:rsid w:val="674C7A2E"/>
    <w:rsid w:val="67846636"/>
    <w:rsid w:val="67C676E7"/>
    <w:rsid w:val="67F236E4"/>
    <w:rsid w:val="680A4271"/>
    <w:rsid w:val="685B5978"/>
    <w:rsid w:val="68625513"/>
    <w:rsid w:val="68D95A15"/>
    <w:rsid w:val="69000064"/>
    <w:rsid w:val="690B51CD"/>
    <w:rsid w:val="690E5E3F"/>
    <w:rsid w:val="69315102"/>
    <w:rsid w:val="693F44CD"/>
    <w:rsid w:val="69D05549"/>
    <w:rsid w:val="69D3452E"/>
    <w:rsid w:val="6A125874"/>
    <w:rsid w:val="6A5852BE"/>
    <w:rsid w:val="6A77530C"/>
    <w:rsid w:val="6A7B4D63"/>
    <w:rsid w:val="6A977215"/>
    <w:rsid w:val="6B157906"/>
    <w:rsid w:val="6B741C4A"/>
    <w:rsid w:val="6B962F48"/>
    <w:rsid w:val="6B96571C"/>
    <w:rsid w:val="6B9C28BF"/>
    <w:rsid w:val="6BD0545F"/>
    <w:rsid w:val="6C6D7E8C"/>
    <w:rsid w:val="6D0E5548"/>
    <w:rsid w:val="6D132B21"/>
    <w:rsid w:val="6DA12E2A"/>
    <w:rsid w:val="6DC60B4F"/>
    <w:rsid w:val="6DDF162A"/>
    <w:rsid w:val="6E596BEF"/>
    <w:rsid w:val="6E5A218B"/>
    <w:rsid w:val="6EA66DDF"/>
    <w:rsid w:val="6ECB5303"/>
    <w:rsid w:val="6F2C3047"/>
    <w:rsid w:val="6F307C36"/>
    <w:rsid w:val="6FB05E6A"/>
    <w:rsid w:val="6FC13F83"/>
    <w:rsid w:val="70501491"/>
    <w:rsid w:val="705D2F31"/>
    <w:rsid w:val="708B7121"/>
    <w:rsid w:val="713C4FB8"/>
    <w:rsid w:val="71796F79"/>
    <w:rsid w:val="718113A7"/>
    <w:rsid w:val="718B4812"/>
    <w:rsid w:val="71B104EF"/>
    <w:rsid w:val="72066B83"/>
    <w:rsid w:val="722D66AE"/>
    <w:rsid w:val="72500B9A"/>
    <w:rsid w:val="7254121B"/>
    <w:rsid w:val="727E42A8"/>
    <w:rsid w:val="72844DA9"/>
    <w:rsid w:val="72EC6403"/>
    <w:rsid w:val="734F1B35"/>
    <w:rsid w:val="73B00AEB"/>
    <w:rsid w:val="73C87545"/>
    <w:rsid w:val="740A6CA7"/>
    <w:rsid w:val="742944BB"/>
    <w:rsid w:val="742B1CBE"/>
    <w:rsid w:val="748D1686"/>
    <w:rsid w:val="74C364B4"/>
    <w:rsid w:val="74F05765"/>
    <w:rsid w:val="755C4B8F"/>
    <w:rsid w:val="75874327"/>
    <w:rsid w:val="75A86778"/>
    <w:rsid w:val="75E562F1"/>
    <w:rsid w:val="76653089"/>
    <w:rsid w:val="768C2ED1"/>
    <w:rsid w:val="76C24D26"/>
    <w:rsid w:val="77420B60"/>
    <w:rsid w:val="77502DBD"/>
    <w:rsid w:val="77866F8C"/>
    <w:rsid w:val="77D64E0E"/>
    <w:rsid w:val="787A6F36"/>
    <w:rsid w:val="798A420C"/>
    <w:rsid w:val="7A184717"/>
    <w:rsid w:val="7A5E398F"/>
    <w:rsid w:val="7A8A6213"/>
    <w:rsid w:val="7AC64A3E"/>
    <w:rsid w:val="7AC8166A"/>
    <w:rsid w:val="7B766476"/>
    <w:rsid w:val="7BAD35AE"/>
    <w:rsid w:val="7BB42068"/>
    <w:rsid w:val="7BCB7956"/>
    <w:rsid w:val="7BFF6FE3"/>
    <w:rsid w:val="7C135CA8"/>
    <w:rsid w:val="7C665DFE"/>
    <w:rsid w:val="7C9912ED"/>
    <w:rsid w:val="7CC6291D"/>
    <w:rsid w:val="7CF93D5D"/>
    <w:rsid w:val="7D1011A5"/>
    <w:rsid w:val="7D1F6763"/>
    <w:rsid w:val="7D6210D3"/>
    <w:rsid w:val="7E176D34"/>
    <w:rsid w:val="7E28486A"/>
    <w:rsid w:val="7E411E3B"/>
    <w:rsid w:val="7E64708C"/>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 w:type="paragraph" w:customStyle="1" w:styleId="18">
    <w:name w:val="样式9 Char"/>
    <w:basedOn w:val="1"/>
    <w:qFormat/>
    <w:uiPriority w:val="99"/>
    <w:pPr>
      <w:widowControl/>
      <w:spacing w:line="440" w:lineRule="exact"/>
      <w:ind w:firstLine="200" w:firstLineChars="200"/>
      <w:jc w:val="left"/>
    </w:pPr>
    <w:rPr>
      <w:spacing w:val="6"/>
      <w:sz w:val="24"/>
      <w:szCs w:val="20"/>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33774</Words>
  <Characters>36499</Characters>
  <Lines>0</Lines>
  <Paragraphs>0</Paragraphs>
  <TotalTime>0</TotalTime>
  <ScaleCrop>false</ScaleCrop>
  <LinksUpToDate>false</LinksUpToDate>
  <CharactersWithSpaces>37649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韩哥哥</cp:lastModifiedBy>
  <dcterms:modified xsi:type="dcterms:W3CDTF">2022-04-12T03:41:22Z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91B28E4AD311464688AF7C62758C2CFE</vt:lpwstr>
  </property>
</Properties>
</file>