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sz w:val="28"/>
          <w:szCs w:val="28"/>
          <w:highlight w:val="none"/>
        </w:rPr>
      </w:pPr>
    </w:p>
    <w:p>
      <w:pPr>
        <w:pageBreakBefore w:val="0"/>
        <w:kinsoku/>
        <w:overflowPunct/>
        <w:topLinePunct w:val="0"/>
        <w:bidi w:val="0"/>
        <w:snapToGrid/>
        <w:spacing w:line="360" w:lineRule="auto"/>
        <w:ind w:right="1120"/>
        <w:jc w:val="right"/>
        <w:rPr>
          <w:rFonts w:hint="eastAsia" w:ascii="仿宋" w:hAnsi="仿宋" w:eastAsia="仿宋" w:cs="仿宋"/>
          <w:sz w:val="28"/>
          <w:szCs w:val="28"/>
          <w:highlight w:val="none"/>
          <w:lang w:val="en-US" w:eastAsia="zh-CN"/>
        </w:rPr>
      </w:pPr>
      <w:bookmarkStart w:id="0" w:name="_Toc326783408"/>
      <w:bookmarkStart w:id="1" w:name="_Toc325446794"/>
      <w:bookmarkStart w:id="2" w:name="_Toc325731733"/>
      <w:r>
        <w:rPr>
          <w:rFonts w:hint="eastAsia" w:ascii="仿宋" w:hAnsi="仿宋" w:eastAsia="仿宋" w:cs="仿宋"/>
          <w:sz w:val="28"/>
          <w:szCs w:val="28"/>
          <w:highlight w:val="none"/>
        </w:rPr>
        <w:t>项目编号：</w:t>
      </w:r>
      <w:bookmarkEnd w:id="0"/>
      <w:bookmarkEnd w:id="1"/>
      <w:bookmarkEnd w:id="2"/>
      <w:r>
        <w:rPr>
          <w:rFonts w:hint="eastAsia" w:ascii="仿宋" w:hAnsi="仿宋" w:eastAsia="仿宋" w:cs="仿宋"/>
          <w:sz w:val="28"/>
          <w:szCs w:val="28"/>
          <w:highlight w:val="none"/>
          <w:lang w:val="en-US" w:eastAsia="zh-CN"/>
        </w:rPr>
        <w:t>SDSHZB2022-347</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ind w:right="240"/>
        <w:jc w:val="left"/>
        <w:rPr>
          <w:rFonts w:hint="eastAsia" w:ascii="仿宋" w:hAnsi="仿宋" w:eastAsia="仿宋" w:cs="仿宋"/>
          <w:sz w:val="48"/>
          <w:szCs w:val="48"/>
          <w:highlight w:val="none"/>
          <w:u w:val="single"/>
        </w:rPr>
      </w:pP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3" w:name="_Toc519840552"/>
      <w:bookmarkEnd w:id="3"/>
      <w:bookmarkStart w:id="4" w:name="_Toc519840754"/>
      <w:bookmarkEnd w:id="4"/>
      <w:bookmarkStart w:id="5" w:name="_Toc375561633"/>
      <w:r>
        <w:rPr>
          <w:rFonts w:hint="eastAsia" w:ascii="仿宋" w:hAnsi="仿宋" w:eastAsia="仿宋" w:cs="仿宋"/>
          <w:b/>
          <w:sz w:val="48"/>
          <w:szCs w:val="48"/>
          <w:highlight w:val="none"/>
        </w:rPr>
        <w:t>山东大学第二医院</w:t>
      </w:r>
      <w:r>
        <w:rPr>
          <w:rFonts w:hint="eastAsia" w:ascii="仿宋" w:hAnsi="仿宋" w:eastAsia="仿宋" w:cs="仿宋"/>
          <w:b/>
          <w:sz w:val="48"/>
          <w:szCs w:val="48"/>
          <w:highlight w:val="none"/>
          <w:lang w:eastAsia="zh-CN"/>
        </w:rPr>
        <w:t>院前急救科驾驶员外包服务项目</w:t>
      </w:r>
      <w:r>
        <w:rPr>
          <w:rFonts w:hint="eastAsia" w:ascii="仿宋" w:hAnsi="仿宋" w:eastAsia="仿宋" w:cs="仿宋"/>
          <w:b/>
          <w:sz w:val="48"/>
          <w:szCs w:val="48"/>
          <w:highlight w:val="none"/>
        </w:rPr>
        <w:t>公开招标</w:t>
      </w:r>
    </w:p>
    <w:p>
      <w:pPr>
        <w:pageBreakBefore w:val="0"/>
        <w:kinsoku/>
        <w:overflowPunct/>
        <w:topLinePunct w:val="0"/>
        <w:bidi w:val="0"/>
        <w:snapToGrid/>
        <w:spacing w:line="360" w:lineRule="auto"/>
        <w:jc w:val="center"/>
        <w:rPr>
          <w:rFonts w:hint="eastAsia" w:ascii="仿宋" w:hAnsi="仿宋" w:eastAsia="仿宋" w:cs="仿宋"/>
          <w:b/>
          <w:sz w:val="48"/>
          <w:szCs w:val="48"/>
          <w:highlight w:val="none"/>
        </w:rPr>
      </w:pPr>
      <w:bookmarkStart w:id="6" w:name="_Toc7337024"/>
      <w:bookmarkStart w:id="7" w:name="_Toc11323381"/>
      <w:r>
        <w:rPr>
          <w:rFonts w:hint="eastAsia" w:ascii="仿宋" w:hAnsi="仿宋" w:eastAsia="仿宋" w:cs="仿宋"/>
          <w:b/>
          <w:sz w:val="48"/>
          <w:szCs w:val="48"/>
          <w:highlight w:val="none"/>
        </w:rPr>
        <w:t>招标文件</w:t>
      </w:r>
      <w:bookmarkEnd w:id="6"/>
      <w:bookmarkEnd w:id="7"/>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bookmarkEnd w:id="5"/>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bookmarkStart w:id="8" w:name="_Toc415058500"/>
      <w:bookmarkStart w:id="9" w:name="_Toc415058576"/>
      <w:bookmarkStart w:id="10" w:name="_Toc7337025"/>
      <w:bookmarkStart w:id="11" w:name="_Toc22573"/>
      <w:bookmarkStart w:id="12" w:name="_Toc11323382"/>
      <w:r>
        <w:rPr>
          <w:rFonts w:hint="eastAsia" w:ascii="仿宋" w:hAnsi="仿宋" w:eastAsia="仿宋" w:cs="仿宋"/>
          <w:kern w:val="0"/>
          <w:sz w:val="28"/>
          <w:szCs w:val="28"/>
          <w:highlight w:val="none"/>
        </w:rPr>
        <w:drawing>
          <wp:inline distT="0" distB="0" distL="0" distR="0">
            <wp:extent cx="2314575" cy="2314575"/>
            <wp:effectExtent l="0" t="0" r="9525" b="9525"/>
            <wp:docPr id="1026" name="图片 10"/>
            <wp:cNvGraphicFramePr/>
            <a:graphic xmlns:a="http://schemas.openxmlformats.org/drawingml/2006/main">
              <a:graphicData uri="http://schemas.openxmlformats.org/drawingml/2006/picture">
                <pic:pic xmlns:pic="http://schemas.openxmlformats.org/drawingml/2006/picture">
                  <pic:nvPicPr>
                    <pic:cNvPr id="1026" name="图片 10"/>
                    <pic:cNvPicPr/>
                  </pic:nvPicPr>
                  <pic:blipFill>
                    <a:blip r:embed="rId8" cstate="print"/>
                    <a:srcRect/>
                    <a:stretch>
                      <a:fillRect/>
                    </a:stretch>
                  </pic:blipFill>
                  <pic:spPr>
                    <a:xfrm>
                      <a:off x="0" y="0"/>
                      <a:ext cx="2314575" cy="2314575"/>
                    </a:xfrm>
                    <a:prstGeom prst="rect">
                      <a:avLst/>
                    </a:prstGeom>
                    <a:ln>
                      <a:noFill/>
                    </a:ln>
                  </pic:spPr>
                </pic:pic>
              </a:graphicData>
            </a:graphic>
          </wp:inline>
        </w:drawing>
      </w:r>
      <w:bookmarkEnd w:id="8"/>
      <w:bookmarkEnd w:id="9"/>
      <w:bookmarkEnd w:id="10"/>
      <w:bookmarkEnd w:id="11"/>
      <w:bookmarkEnd w:id="12"/>
    </w:p>
    <w:p>
      <w:pPr>
        <w:pageBreakBefore w:val="0"/>
        <w:kinsoku/>
        <w:overflowPunct/>
        <w:topLinePunct w:val="0"/>
        <w:bidi w:val="0"/>
        <w:snapToGrid/>
        <w:spacing w:line="360" w:lineRule="auto"/>
        <w:rPr>
          <w:rFonts w:hint="eastAsia" w:ascii="仿宋" w:hAnsi="仿宋" w:eastAsia="仿宋" w:cs="仿宋"/>
          <w:b/>
          <w:sz w:val="28"/>
          <w:szCs w:val="28"/>
          <w:highlight w:val="none"/>
        </w:rPr>
      </w:pP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400050</wp:posOffset>
                </wp:positionV>
                <wp:extent cx="635" cy="0"/>
                <wp:effectExtent l="0" t="0" r="0" b="0"/>
                <wp:wrapNone/>
                <wp:docPr id="1" name="1027"/>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1027" o:spid="_x0000_s1026" o:spt="20" style="position:absolute;left:0pt;margin-left:126pt;margin-top:31.5pt;height:0pt;width:0.05pt;z-index:251659264;mso-width-relative:page;mso-height-relative:page;" filled="f" stroked="t" coordsize="21600,21600" o:gfxdata="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CznTm1QAAAAkBAAAPAAAAAAAAAAEAIAAA&#10;ACIAAABkcnMvZG93bnJldi54bWxQSwECFAAUAAAACACHTuJAdafNo9YBAADTAwAADgAAAAAAAAAB&#10;ACAAAAAkAQAAZHJzL2Uyb0RvYy54bWxQSwUGAAAAAAYABgBZAQAAbAUAAAAA&#10;">
                <v:fill on="f" focussize="0,0"/>
                <v:stroke color="#000000" joinstyle="round"/>
                <v:imagedata o:title=""/>
                <o:lock v:ext="edit" aspectratio="f"/>
              </v:line>
            </w:pict>
          </mc:Fallback>
        </mc:AlternateContent>
      </w:r>
      <w:r>
        <w:rPr>
          <w:rFonts w:hint="eastAsia" w:ascii="仿宋" w:hAnsi="仿宋" w:eastAsia="仿宋" w:cs="仿宋"/>
          <w:bCs w:val="0"/>
          <w:sz w:val="28"/>
          <w:szCs w:val="28"/>
          <w:highlight w:val="none"/>
        </w:rPr>
        <w:t>项 目 名 称：</w:t>
      </w:r>
      <w:r>
        <w:rPr>
          <w:rFonts w:hint="eastAsia" w:ascii="仿宋" w:hAnsi="仿宋" w:eastAsia="仿宋" w:cs="仿宋"/>
          <w:bCs w:val="0"/>
          <w:sz w:val="28"/>
          <w:szCs w:val="28"/>
          <w:highlight w:val="none"/>
          <w:u w:val="single"/>
        </w:rPr>
        <w:t>山东大学第二医院</w:t>
      </w:r>
      <w:r>
        <w:rPr>
          <w:rFonts w:hint="eastAsia" w:ascii="仿宋" w:hAnsi="仿宋" w:eastAsia="仿宋" w:cs="仿宋"/>
          <w:bCs w:val="0"/>
          <w:sz w:val="28"/>
          <w:szCs w:val="28"/>
          <w:highlight w:val="none"/>
          <w:u w:val="single"/>
          <w:lang w:eastAsia="zh-CN"/>
        </w:rPr>
        <w:t>院前急救科驾驶员外包服务项目</w:t>
      </w:r>
    </w:p>
    <w:p>
      <w:pPr>
        <w:pageBreakBefore w:val="0"/>
        <w:kinsoku/>
        <w:overflowPunct/>
        <w:topLinePunct w:val="0"/>
        <w:bidi w:val="0"/>
        <w:snapToGrid/>
        <w:spacing w:line="360" w:lineRule="auto"/>
        <w:jc w:val="left"/>
        <w:rPr>
          <w:rFonts w:hint="eastAsia" w:ascii="仿宋" w:hAnsi="仿宋" w:eastAsia="仿宋" w:cs="仿宋"/>
          <w:sz w:val="28"/>
          <w:szCs w:val="28"/>
          <w:highlight w:val="none"/>
          <w:u w:val="single"/>
          <w:lang w:val="en-US" w:eastAsia="zh-CN"/>
        </w:rPr>
      </w:pPr>
      <w:r>
        <w:rPr>
          <w:rFonts w:hint="eastAsia" w:ascii="仿宋" w:hAnsi="仿宋" w:eastAsia="仿宋" w:cs="仿宋"/>
          <w:bCs w:val="0"/>
          <w:sz w:val="28"/>
          <w:szCs w:val="28"/>
          <w:highlight w:val="none"/>
        </w:rPr>
        <w:t>采   购  人：</w:t>
      </w:r>
      <w:r>
        <w:rPr>
          <w:rFonts w:hint="eastAsia" w:ascii="仿宋" w:hAnsi="仿宋" w:eastAsia="仿宋" w:cs="仿宋"/>
          <w:bCs w:val="0"/>
          <w:sz w:val="28"/>
          <w:szCs w:val="28"/>
          <w:highlight w:val="none"/>
          <w:u w:val="single"/>
        </w:rPr>
        <w:t>山东</w:t>
      </w:r>
      <w:r>
        <w:rPr>
          <w:rFonts w:hint="eastAsia" w:ascii="仿宋" w:hAnsi="仿宋" w:eastAsia="仿宋" w:cs="仿宋"/>
          <w:bCs w:val="0"/>
          <w:sz w:val="28"/>
          <w:szCs w:val="28"/>
          <w:highlight w:val="none"/>
          <w:u w:val="single"/>
          <w:lang w:val="en-US" w:eastAsia="zh-CN"/>
        </w:rPr>
        <w:t>大学第二医院</w:t>
      </w:r>
    </w:p>
    <w:p>
      <w:pPr>
        <w:pageBreakBefore w:val="0"/>
        <w:kinsoku/>
        <w:overflowPunct/>
        <w:topLinePunct w:val="0"/>
        <w:bidi w:val="0"/>
        <w:snapToGrid/>
        <w:spacing w:line="360" w:lineRule="auto"/>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采购代理机构：</w:t>
      </w:r>
      <w:r>
        <w:rPr>
          <w:rFonts w:hint="eastAsia" w:ascii="仿宋" w:hAnsi="仿宋" w:eastAsia="仿宋" w:cs="仿宋"/>
          <w:sz w:val="28"/>
          <w:szCs w:val="28"/>
          <w:highlight w:val="none"/>
          <w:u w:val="single"/>
        </w:rPr>
        <w:t>山东盛和招标代理有限公司</w:t>
      </w:r>
    </w:p>
    <w:p>
      <w:pPr>
        <w:pageBreakBefore w:val="0"/>
        <w:kinsoku/>
        <w:overflowPunct/>
        <w:topLinePunct w:val="0"/>
        <w:bidi w:val="0"/>
        <w:snapToGrid/>
        <w:spacing w:line="360" w:lineRule="auto"/>
        <w:rPr>
          <w:rFonts w:hint="eastAsia" w:ascii="仿宋" w:hAnsi="仿宋" w:eastAsia="仿宋" w:cs="仿宋"/>
          <w:sz w:val="28"/>
          <w:szCs w:val="28"/>
          <w:highlight w:val="none"/>
          <w:u w:val="single"/>
        </w:rPr>
      </w:pPr>
      <w:bookmarkStart w:id="13" w:name="_Toc326783409"/>
      <w:bookmarkStart w:id="14" w:name="_Toc325446795"/>
      <w:bookmarkStart w:id="15" w:name="_Toc325731734"/>
      <w:r>
        <w:rPr>
          <w:rFonts w:hint="eastAsia" w:ascii="仿宋" w:hAnsi="仿宋" w:eastAsia="仿宋" w:cs="仿宋"/>
          <w:sz w:val="28"/>
          <w:szCs w:val="28"/>
          <w:highlight w:val="none"/>
        </w:rPr>
        <w:t>日       期 ：</w:t>
      </w:r>
      <w:r>
        <w:rPr>
          <w:rFonts w:hint="eastAsia" w:ascii="仿宋" w:hAnsi="仿宋" w:eastAsia="仿宋" w:cs="仿宋"/>
          <w:iCs/>
          <w:sz w:val="28"/>
          <w:szCs w:val="28"/>
          <w:highlight w:val="none"/>
          <w:u w:val="single"/>
        </w:rPr>
        <w:t>202</w:t>
      </w:r>
      <w:r>
        <w:rPr>
          <w:rFonts w:hint="eastAsia" w:ascii="仿宋" w:hAnsi="仿宋" w:eastAsia="仿宋" w:cs="仿宋"/>
          <w:iCs/>
          <w:sz w:val="28"/>
          <w:szCs w:val="28"/>
          <w:highlight w:val="none"/>
          <w:u w:val="single"/>
          <w:lang w:val="en-US" w:eastAsia="zh-CN"/>
        </w:rPr>
        <w:t>2</w:t>
      </w:r>
      <w:r>
        <w:rPr>
          <w:rFonts w:hint="eastAsia" w:ascii="仿宋" w:hAnsi="仿宋" w:eastAsia="仿宋" w:cs="仿宋"/>
          <w:iCs/>
          <w:sz w:val="28"/>
          <w:szCs w:val="28"/>
          <w:highlight w:val="none"/>
          <w:u w:val="single"/>
        </w:rPr>
        <w:t>年</w:t>
      </w:r>
      <w:r>
        <w:rPr>
          <w:rFonts w:hint="eastAsia" w:ascii="仿宋" w:hAnsi="仿宋" w:eastAsia="仿宋" w:cs="仿宋"/>
          <w:iCs/>
          <w:sz w:val="28"/>
          <w:szCs w:val="28"/>
          <w:highlight w:val="none"/>
          <w:u w:val="single"/>
          <w:lang w:val="en-US" w:eastAsia="zh-CN"/>
        </w:rPr>
        <w:t>5</w:t>
      </w:r>
      <w:r>
        <w:rPr>
          <w:rFonts w:hint="eastAsia" w:ascii="仿宋" w:hAnsi="仿宋" w:eastAsia="仿宋" w:cs="仿宋"/>
          <w:iCs/>
          <w:sz w:val="28"/>
          <w:szCs w:val="28"/>
          <w:highlight w:val="none"/>
          <w:u w:val="single"/>
        </w:rPr>
        <w:t>月</w:t>
      </w:r>
      <w:r>
        <w:rPr>
          <w:rFonts w:hint="eastAsia" w:ascii="仿宋" w:hAnsi="仿宋" w:eastAsia="仿宋" w:cs="仿宋"/>
          <w:iCs/>
          <w:sz w:val="28"/>
          <w:szCs w:val="28"/>
          <w:highlight w:val="none"/>
          <w:u w:val="single"/>
          <w:lang w:val="en-US" w:eastAsia="zh-CN"/>
        </w:rPr>
        <w:t>11</w:t>
      </w:r>
      <w:r>
        <w:rPr>
          <w:rFonts w:hint="eastAsia" w:ascii="仿宋" w:hAnsi="仿宋" w:eastAsia="仿宋" w:cs="仿宋"/>
          <w:iCs/>
          <w:sz w:val="28"/>
          <w:szCs w:val="28"/>
          <w:highlight w:val="none"/>
          <w:u w:val="single"/>
        </w:rPr>
        <w:t>日</w:t>
      </w:r>
      <w:bookmarkEnd w:id="13"/>
      <w:bookmarkEnd w:id="14"/>
      <w:bookmarkEnd w:id="15"/>
    </w:p>
    <w:p>
      <w:pPr>
        <w:rPr>
          <w:rFonts w:hint="eastAsia" w:ascii="仿宋" w:hAnsi="仿宋" w:eastAsia="仿宋" w:cs="仿宋"/>
        </w:rPr>
      </w:pPr>
    </w:p>
    <w:p>
      <w:pPr>
        <w:pageBreakBefore w:val="0"/>
        <w:kinsoku/>
        <w:overflowPunct/>
        <w:topLinePunct w:val="0"/>
        <w:bidi w:val="0"/>
        <w:snapToGrid/>
        <w:spacing w:line="360" w:lineRule="auto"/>
        <w:ind w:firstLine="560" w:firstLineChars="200"/>
        <w:jc w:val="center"/>
        <w:rPr>
          <w:rFonts w:hint="eastAsia" w:ascii="仿宋" w:hAnsi="仿宋" w:eastAsia="仿宋" w:cs="仿宋"/>
          <w:b/>
          <w:bCs w:val="0"/>
          <w:sz w:val="28"/>
          <w:szCs w:val="28"/>
          <w:highlight w:val="none"/>
        </w:rPr>
      </w:pPr>
      <w:r>
        <w:rPr>
          <w:rFonts w:hint="eastAsia" w:ascii="仿宋" w:hAnsi="仿宋" w:eastAsia="仿宋" w:cs="仿宋"/>
          <w:sz w:val="28"/>
          <w:szCs w:val="28"/>
          <w:highlight w:val="none"/>
        </w:rPr>
        <w:br w:type="page"/>
      </w:r>
      <w:bookmarkStart w:id="16" w:name="_Toc357793028"/>
      <w:bookmarkStart w:id="17" w:name="_Toc375561634"/>
      <w:bookmarkStart w:id="18" w:name="_Toc415058577"/>
      <w:bookmarkStart w:id="19" w:name="_Toc362625917"/>
      <w:r>
        <w:rPr>
          <w:rFonts w:hint="eastAsia" w:ascii="仿宋" w:hAnsi="仿宋" w:eastAsia="仿宋" w:cs="仿宋"/>
          <w:b/>
          <w:bCs w:val="0"/>
          <w:sz w:val="28"/>
          <w:szCs w:val="28"/>
          <w:highlight w:val="none"/>
        </w:rPr>
        <w:t>目录</w:t>
      </w:r>
      <w:bookmarkEnd w:id="16"/>
      <w:bookmarkEnd w:id="17"/>
      <w:bookmarkEnd w:id="18"/>
      <w:bookmarkEnd w:id="19"/>
    </w:p>
    <w:p>
      <w:pPr>
        <w:pStyle w:val="24"/>
        <w:tabs>
          <w:tab w:val="right" w:leader="dot" w:pos="8867"/>
        </w:tabs>
        <w:spacing w:line="240" w:lineRule="auto"/>
        <w:rPr>
          <w:sz w:val="28"/>
          <w:szCs w:val="28"/>
        </w:rPr>
      </w:pPr>
      <w:bookmarkStart w:id="20" w:name="_Toc14684"/>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"1-3" \h \u </w:instrText>
      </w:r>
      <w:r>
        <w:rPr>
          <w:rFonts w:hint="eastAsia" w:ascii="仿宋" w:hAnsi="仿宋" w:eastAsia="仿宋" w:cs="仿宋"/>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_Toc5357 </w:instrText>
      </w:r>
      <w:r>
        <w:rPr>
          <w:rFonts w:hint="eastAsia" w:ascii="仿宋" w:hAnsi="仿宋" w:eastAsia="仿宋" w:cs="仿宋"/>
          <w:sz w:val="28"/>
          <w:szCs w:val="28"/>
        </w:rPr>
        <w:fldChar w:fldCharType="separate"/>
      </w:r>
      <w:r>
        <w:rPr>
          <w:rFonts w:hint="eastAsia" w:ascii="仿宋" w:hAnsi="仿宋" w:eastAsia="仿宋" w:cs="仿宋"/>
          <w:bCs w:val="0"/>
          <w:sz w:val="28"/>
          <w:szCs w:val="28"/>
          <w:highlight w:val="none"/>
        </w:rPr>
        <w:t>第一部分 招标</w:t>
      </w:r>
      <w:r>
        <w:rPr>
          <w:rFonts w:hint="eastAsia" w:ascii="仿宋" w:hAnsi="仿宋" w:eastAsia="仿宋" w:cs="仿宋"/>
          <w:bCs w:val="0"/>
          <w:sz w:val="28"/>
          <w:szCs w:val="28"/>
          <w:highlight w:val="none"/>
          <w:lang w:val="en-US" w:eastAsia="zh-CN"/>
        </w:rPr>
        <w:t>公告</w:t>
      </w:r>
      <w:r>
        <w:rPr>
          <w:sz w:val="28"/>
          <w:szCs w:val="28"/>
        </w:rPr>
        <w:tab/>
      </w:r>
      <w:r>
        <w:rPr>
          <w:sz w:val="28"/>
          <w:szCs w:val="28"/>
        </w:rPr>
        <w:fldChar w:fldCharType="begin"/>
      </w:r>
      <w:r>
        <w:rPr>
          <w:sz w:val="28"/>
          <w:szCs w:val="28"/>
        </w:rPr>
        <w:instrText xml:space="preserve"> PAGEREF _Toc5357 \h </w:instrText>
      </w:r>
      <w:r>
        <w:rPr>
          <w:sz w:val="28"/>
          <w:szCs w:val="28"/>
        </w:rPr>
        <w:fldChar w:fldCharType="separate"/>
      </w:r>
      <w:r>
        <w:rPr>
          <w:sz w:val="28"/>
          <w:szCs w:val="28"/>
        </w:rPr>
        <w:t>4</w:t>
      </w:r>
      <w:r>
        <w:rPr>
          <w:sz w:val="28"/>
          <w:szCs w:val="28"/>
        </w:rPr>
        <w:fldChar w:fldCharType="end"/>
      </w:r>
      <w:r>
        <w:rPr>
          <w:rFonts w:hint="eastAsia" w:ascii="仿宋" w:hAnsi="仿宋" w:eastAsia="仿宋" w:cs="仿宋"/>
          <w:sz w:val="28"/>
          <w:szCs w:val="28"/>
        </w:rPr>
        <w:fldChar w:fldCharType="end"/>
      </w:r>
    </w:p>
    <w:p>
      <w:pPr>
        <w:pStyle w:val="24"/>
        <w:tabs>
          <w:tab w:val="right" w:leader="dot" w:pos="886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_Toc20206 </w:instrText>
      </w:r>
      <w:r>
        <w:rPr>
          <w:rFonts w:hint="eastAsia" w:ascii="仿宋" w:hAnsi="仿宋" w:eastAsia="仿宋" w:cs="仿宋"/>
          <w:sz w:val="28"/>
          <w:szCs w:val="28"/>
        </w:rPr>
        <w:fldChar w:fldCharType="separate"/>
      </w:r>
      <w:r>
        <w:rPr>
          <w:rFonts w:hint="eastAsia" w:ascii="仿宋" w:hAnsi="仿宋" w:eastAsia="仿宋" w:cs="仿宋"/>
          <w:bCs w:val="0"/>
          <w:sz w:val="28"/>
          <w:szCs w:val="28"/>
          <w:highlight w:val="none"/>
          <w:lang w:val="en-US" w:eastAsia="zh-CN"/>
        </w:rPr>
        <w:t xml:space="preserve">第二部分 </w:t>
      </w:r>
      <w:r>
        <w:rPr>
          <w:rFonts w:hint="eastAsia" w:ascii="仿宋" w:hAnsi="仿宋" w:eastAsia="仿宋" w:cs="仿宋"/>
          <w:bCs w:val="0"/>
          <w:sz w:val="28"/>
          <w:szCs w:val="28"/>
          <w:highlight w:val="none"/>
        </w:rPr>
        <w:t>投标人须知</w:t>
      </w:r>
      <w:r>
        <w:rPr>
          <w:sz w:val="28"/>
          <w:szCs w:val="28"/>
        </w:rPr>
        <w:tab/>
      </w:r>
      <w:r>
        <w:rPr>
          <w:sz w:val="28"/>
          <w:szCs w:val="28"/>
        </w:rPr>
        <w:fldChar w:fldCharType="begin"/>
      </w:r>
      <w:r>
        <w:rPr>
          <w:sz w:val="28"/>
          <w:szCs w:val="28"/>
        </w:rPr>
        <w:instrText xml:space="preserve"> PAGEREF _Toc20206 \h </w:instrText>
      </w:r>
      <w:r>
        <w:rPr>
          <w:sz w:val="28"/>
          <w:szCs w:val="28"/>
        </w:rPr>
        <w:fldChar w:fldCharType="separate"/>
      </w:r>
      <w:r>
        <w:rPr>
          <w:sz w:val="28"/>
          <w:szCs w:val="28"/>
        </w:rPr>
        <w:t>7</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_Toc5358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一、适用范围</w:t>
      </w:r>
      <w:r>
        <w:rPr>
          <w:sz w:val="28"/>
          <w:szCs w:val="28"/>
        </w:rPr>
        <w:tab/>
      </w:r>
      <w:r>
        <w:rPr>
          <w:sz w:val="28"/>
          <w:szCs w:val="28"/>
        </w:rPr>
        <w:fldChar w:fldCharType="begin"/>
      </w:r>
      <w:r>
        <w:rPr>
          <w:sz w:val="28"/>
          <w:szCs w:val="28"/>
        </w:rPr>
        <w:instrText xml:space="preserve"> PAGEREF _Toc5358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_Toc25048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二、定义</w:t>
      </w:r>
      <w:r>
        <w:rPr>
          <w:sz w:val="28"/>
          <w:szCs w:val="28"/>
        </w:rPr>
        <w:tab/>
      </w:r>
      <w:r>
        <w:rPr>
          <w:sz w:val="28"/>
          <w:szCs w:val="28"/>
        </w:rPr>
        <w:fldChar w:fldCharType="begin"/>
      </w:r>
      <w:r>
        <w:rPr>
          <w:sz w:val="28"/>
          <w:szCs w:val="28"/>
        </w:rPr>
        <w:instrText xml:space="preserve"> PAGEREF _Toc25048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_Toc28042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三、投标人具备的条件</w:t>
      </w:r>
      <w:r>
        <w:rPr>
          <w:sz w:val="28"/>
          <w:szCs w:val="28"/>
        </w:rPr>
        <w:tab/>
      </w:r>
      <w:r>
        <w:rPr>
          <w:sz w:val="28"/>
          <w:szCs w:val="28"/>
        </w:rPr>
        <w:fldChar w:fldCharType="begin"/>
      </w:r>
      <w:r>
        <w:rPr>
          <w:sz w:val="28"/>
          <w:szCs w:val="28"/>
        </w:rPr>
        <w:instrText xml:space="preserve"> PAGEREF _Toc28042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_Toc17808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四、招标文件的澄清或修改</w:t>
      </w:r>
      <w:r>
        <w:rPr>
          <w:sz w:val="28"/>
          <w:szCs w:val="28"/>
        </w:rPr>
        <w:tab/>
      </w:r>
      <w:r>
        <w:rPr>
          <w:sz w:val="28"/>
          <w:szCs w:val="28"/>
        </w:rPr>
        <w:fldChar w:fldCharType="begin"/>
      </w:r>
      <w:r>
        <w:rPr>
          <w:sz w:val="28"/>
          <w:szCs w:val="28"/>
        </w:rPr>
        <w:instrText xml:space="preserve"> PAGEREF _Toc17808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_Toc5341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五、投标文件的编写</w:t>
      </w:r>
      <w:r>
        <w:rPr>
          <w:sz w:val="28"/>
          <w:szCs w:val="28"/>
        </w:rPr>
        <w:tab/>
      </w:r>
      <w:r>
        <w:rPr>
          <w:sz w:val="28"/>
          <w:szCs w:val="28"/>
        </w:rPr>
        <w:fldChar w:fldCharType="begin"/>
      </w:r>
      <w:r>
        <w:rPr>
          <w:sz w:val="28"/>
          <w:szCs w:val="28"/>
        </w:rPr>
        <w:instrText xml:space="preserve"> PAGEREF _Toc5341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六、</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有效期</w:t>
      </w:r>
      <w:r>
        <w:rPr>
          <w:sz w:val="28"/>
          <w:szCs w:val="28"/>
        </w:rPr>
        <w:tab/>
      </w:r>
      <w:r>
        <w:rPr>
          <w:sz w:val="28"/>
          <w:szCs w:val="28"/>
        </w:rPr>
        <w:fldChar w:fldCharType="begin"/>
      </w:r>
      <w:r>
        <w:rPr>
          <w:sz w:val="28"/>
          <w:szCs w:val="28"/>
        </w:rPr>
        <w:instrText xml:space="preserve"> PAGEREF _Toc1732 \h </w:instrText>
      </w:r>
      <w:r>
        <w:rPr>
          <w:sz w:val="28"/>
          <w:szCs w:val="28"/>
        </w:rPr>
        <w:fldChar w:fldCharType="separate"/>
      </w:r>
      <w:r>
        <w:rPr>
          <w:sz w:val="28"/>
          <w:szCs w:val="28"/>
        </w:rPr>
        <w:t>17</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_Toc8151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七、投标费用</w:t>
      </w:r>
      <w:r>
        <w:rPr>
          <w:sz w:val="28"/>
          <w:szCs w:val="28"/>
        </w:rPr>
        <w:tab/>
      </w:r>
      <w:r>
        <w:rPr>
          <w:sz w:val="28"/>
          <w:szCs w:val="28"/>
        </w:rPr>
        <w:fldChar w:fldCharType="begin"/>
      </w:r>
      <w:r>
        <w:rPr>
          <w:sz w:val="28"/>
          <w:szCs w:val="28"/>
        </w:rPr>
        <w:instrText xml:space="preserve"> PAGEREF _Toc8151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_Toc7609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八、保证金</w:t>
      </w:r>
      <w:r>
        <w:rPr>
          <w:sz w:val="28"/>
          <w:szCs w:val="28"/>
        </w:rPr>
        <w:tab/>
      </w:r>
      <w:r>
        <w:rPr>
          <w:sz w:val="28"/>
          <w:szCs w:val="28"/>
        </w:rPr>
        <w:fldChar w:fldCharType="begin"/>
      </w:r>
      <w:r>
        <w:rPr>
          <w:sz w:val="28"/>
          <w:szCs w:val="28"/>
        </w:rPr>
        <w:instrText xml:space="preserve"> PAGEREF _Toc7609 \h </w:instrText>
      </w:r>
      <w:r>
        <w:rPr>
          <w:sz w:val="28"/>
          <w:szCs w:val="28"/>
        </w:rPr>
        <w:fldChar w:fldCharType="separate"/>
      </w:r>
      <w:r>
        <w:rPr>
          <w:sz w:val="28"/>
          <w:szCs w:val="28"/>
        </w:rPr>
        <w:t>18</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_Toc18543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九、无效投标</w:t>
      </w:r>
      <w:r>
        <w:rPr>
          <w:sz w:val="28"/>
          <w:szCs w:val="28"/>
        </w:rPr>
        <w:tab/>
      </w:r>
      <w:r>
        <w:rPr>
          <w:sz w:val="28"/>
          <w:szCs w:val="28"/>
        </w:rPr>
        <w:fldChar w:fldCharType="begin"/>
      </w:r>
      <w:r>
        <w:rPr>
          <w:sz w:val="28"/>
          <w:szCs w:val="28"/>
        </w:rPr>
        <w:instrText xml:space="preserve"> PAGEREF _Toc18543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_Toc7212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eastAsia="zh-CN"/>
        </w:rPr>
        <w:t>十、质疑的提出与答复</w:t>
      </w:r>
      <w:r>
        <w:rPr>
          <w:sz w:val="28"/>
          <w:szCs w:val="28"/>
        </w:rPr>
        <w:tab/>
      </w:r>
      <w:r>
        <w:rPr>
          <w:sz w:val="28"/>
          <w:szCs w:val="28"/>
        </w:rPr>
        <w:fldChar w:fldCharType="begin"/>
      </w:r>
      <w:r>
        <w:rPr>
          <w:sz w:val="28"/>
          <w:szCs w:val="28"/>
        </w:rPr>
        <w:instrText xml:space="preserve"> PAGEREF _Toc7212 \h </w:instrText>
      </w:r>
      <w:r>
        <w:rPr>
          <w:sz w:val="28"/>
          <w:szCs w:val="28"/>
        </w:rPr>
        <w:fldChar w:fldCharType="separate"/>
      </w:r>
      <w:r>
        <w:rPr>
          <w:sz w:val="28"/>
          <w:szCs w:val="28"/>
        </w:rPr>
        <w:t>19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_Toc8843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十</w:t>
      </w:r>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r>
        <w:rPr>
          <w:sz w:val="28"/>
          <w:szCs w:val="28"/>
        </w:rPr>
        <w:tab/>
      </w:r>
      <w:r>
        <w:rPr>
          <w:sz w:val="28"/>
          <w:szCs w:val="28"/>
        </w:rPr>
        <w:fldChar w:fldCharType="begin"/>
      </w:r>
      <w:r>
        <w:rPr>
          <w:sz w:val="28"/>
          <w:szCs w:val="28"/>
        </w:rPr>
        <w:instrText xml:space="preserve"> PAGEREF _Toc8843 \h </w:instrText>
      </w:r>
      <w:r>
        <w:rPr>
          <w:sz w:val="28"/>
          <w:szCs w:val="28"/>
        </w:rPr>
        <w:fldChar w:fldCharType="separate"/>
      </w:r>
      <w:r>
        <w:rPr>
          <w:sz w:val="28"/>
          <w:szCs w:val="28"/>
        </w:rPr>
        <w:t>21</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_Toc21272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r>
        <w:rPr>
          <w:sz w:val="28"/>
          <w:szCs w:val="28"/>
        </w:rPr>
        <w:tab/>
      </w:r>
      <w:r>
        <w:rPr>
          <w:sz w:val="28"/>
          <w:szCs w:val="28"/>
        </w:rPr>
        <w:fldChar w:fldCharType="begin"/>
      </w:r>
      <w:r>
        <w:rPr>
          <w:sz w:val="28"/>
          <w:szCs w:val="28"/>
        </w:rPr>
        <w:instrText xml:space="preserve"> PAGEREF _Toc21272 \h </w:instrText>
      </w:r>
      <w:r>
        <w:rPr>
          <w:sz w:val="28"/>
          <w:szCs w:val="28"/>
        </w:rPr>
        <w:fldChar w:fldCharType="separate"/>
      </w:r>
      <w:r>
        <w:rPr>
          <w:sz w:val="28"/>
          <w:szCs w:val="28"/>
        </w:rPr>
        <w:t>22</w:t>
      </w:r>
      <w:r>
        <w:rPr>
          <w:sz w:val="28"/>
          <w:szCs w:val="28"/>
        </w:rPr>
        <w:fldChar w:fldCharType="end"/>
      </w:r>
      <w:r>
        <w:rPr>
          <w:rFonts w:hint="eastAsia" w:ascii="仿宋" w:hAnsi="仿宋" w:eastAsia="仿宋" w:cs="仿宋"/>
          <w:sz w:val="28"/>
          <w:szCs w:val="28"/>
        </w:rPr>
        <w:fldChar w:fldCharType="end"/>
      </w:r>
    </w:p>
    <w:p>
      <w:pPr>
        <w:pStyle w:val="24"/>
        <w:tabs>
          <w:tab w:val="right" w:leader="dot" w:pos="886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_Toc23845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第三部分 开标、评审、中标</w:t>
      </w:r>
      <w:r>
        <w:rPr>
          <w:sz w:val="28"/>
          <w:szCs w:val="28"/>
        </w:rPr>
        <w:tab/>
      </w:r>
      <w:r>
        <w:rPr>
          <w:sz w:val="28"/>
          <w:szCs w:val="28"/>
        </w:rPr>
        <w:fldChar w:fldCharType="begin"/>
      </w:r>
      <w:r>
        <w:rPr>
          <w:sz w:val="28"/>
          <w:szCs w:val="28"/>
        </w:rPr>
        <w:instrText xml:space="preserve"> PAGEREF _Toc23845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_Toc30679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一、开标</w:t>
      </w:r>
      <w:r>
        <w:rPr>
          <w:sz w:val="28"/>
          <w:szCs w:val="28"/>
        </w:rPr>
        <w:tab/>
      </w:r>
      <w:r>
        <w:rPr>
          <w:sz w:val="28"/>
          <w:szCs w:val="28"/>
        </w:rPr>
        <w:fldChar w:fldCharType="begin"/>
      </w:r>
      <w:r>
        <w:rPr>
          <w:sz w:val="28"/>
          <w:szCs w:val="28"/>
        </w:rPr>
        <w:instrText xml:space="preserve"> PAGEREF _Toc30679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_Toc6500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二、评审委员会</w:t>
      </w:r>
      <w:r>
        <w:rPr>
          <w:sz w:val="28"/>
          <w:szCs w:val="28"/>
        </w:rPr>
        <w:tab/>
      </w:r>
      <w:r>
        <w:rPr>
          <w:sz w:val="28"/>
          <w:szCs w:val="28"/>
        </w:rPr>
        <w:fldChar w:fldCharType="begin"/>
      </w:r>
      <w:r>
        <w:rPr>
          <w:sz w:val="28"/>
          <w:szCs w:val="28"/>
        </w:rPr>
        <w:instrText xml:space="preserve"> PAGEREF _Toc6500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_Toc19266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三、评审原则</w:t>
      </w:r>
      <w:r>
        <w:rPr>
          <w:sz w:val="28"/>
          <w:szCs w:val="28"/>
        </w:rPr>
        <w:tab/>
      </w:r>
      <w:r>
        <w:rPr>
          <w:sz w:val="28"/>
          <w:szCs w:val="28"/>
        </w:rPr>
        <w:fldChar w:fldCharType="begin"/>
      </w:r>
      <w:r>
        <w:rPr>
          <w:sz w:val="28"/>
          <w:szCs w:val="28"/>
        </w:rPr>
        <w:instrText xml:space="preserve"> PAGEREF _Toc19266 \h </w:instrText>
      </w:r>
      <w:r>
        <w:rPr>
          <w:sz w:val="28"/>
          <w:szCs w:val="28"/>
        </w:rPr>
        <w:fldChar w:fldCharType="separate"/>
      </w:r>
      <w:r>
        <w:rPr>
          <w:sz w:val="28"/>
          <w:szCs w:val="28"/>
        </w:rPr>
        <w:t>23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_Toc28621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四、评审办法</w:t>
      </w:r>
      <w:r>
        <w:rPr>
          <w:sz w:val="28"/>
          <w:szCs w:val="28"/>
        </w:rPr>
        <w:tab/>
      </w:r>
      <w:r>
        <w:rPr>
          <w:sz w:val="28"/>
          <w:szCs w:val="28"/>
        </w:rPr>
        <w:fldChar w:fldCharType="begin"/>
      </w:r>
      <w:r>
        <w:rPr>
          <w:sz w:val="28"/>
          <w:szCs w:val="28"/>
        </w:rPr>
        <w:instrText xml:space="preserve"> PAGEREF _Toc28621 \h </w:instrText>
      </w:r>
      <w:r>
        <w:rPr>
          <w:sz w:val="28"/>
          <w:szCs w:val="28"/>
        </w:rPr>
        <w:fldChar w:fldCharType="separate"/>
      </w:r>
      <w:r>
        <w:rPr>
          <w:sz w:val="28"/>
          <w:szCs w:val="28"/>
        </w:rPr>
        <w:t>24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_Toc6828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五、废标</w:t>
      </w:r>
      <w:r>
        <w:rPr>
          <w:sz w:val="28"/>
          <w:szCs w:val="28"/>
        </w:rPr>
        <w:tab/>
      </w:r>
      <w:r>
        <w:rPr>
          <w:sz w:val="28"/>
          <w:szCs w:val="28"/>
        </w:rPr>
        <w:fldChar w:fldCharType="begin"/>
      </w:r>
      <w:r>
        <w:rPr>
          <w:sz w:val="28"/>
          <w:szCs w:val="28"/>
        </w:rPr>
        <w:instrText xml:space="preserve"> PAGEREF _Toc6828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_Toc15291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六、中标通知书</w:t>
      </w:r>
      <w:r>
        <w:rPr>
          <w:sz w:val="28"/>
          <w:szCs w:val="28"/>
        </w:rPr>
        <w:tab/>
      </w:r>
      <w:r>
        <w:rPr>
          <w:sz w:val="28"/>
          <w:szCs w:val="28"/>
        </w:rPr>
        <w:fldChar w:fldCharType="begin"/>
      </w:r>
      <w:r>
        <w:rPr>
          <w:sz w:val="28"/>
          <w:szCs w:val="28"/>
        </w:rPr>
        <w:instrText xml:space="preserve"> PAGEREF _Toc15291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sz w:val="28"/>
          <w:szCs w:val="28"/>
        </w:rPr>
        <w:fldChar w:fldCharType="end"/>
      </w:r>
    </w:p>
    <w:p>
      <w:pPr>
        <w:pStyle w:val="24"/>
        <w:tabs>
          <w:tab w:val="right" w:leader="dot" w:pos="886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_Toc29176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第四部分 授予合同</w:t>
      </w:r>
      <w:r>
        <w:rPr>
          <w:sz w:val="28"/>
          <w:szCs w:val="28"/>
        </w:rPr>
        <w:tab/>
      </w:r>
      <w:r>
        <w:rPr>
          <w:sz w:val="28"/>
          <w:szCs w:val="28"/>
        </w:rPr>
        <w:fldChar w:fldCharType="begin"/>
      </w:r>
      <w:r>
        <w:rPr>
          <w:sz w:val="28"/>
          <w:szCs w:val="28"/>
        </w:rPr>
        <w:instrText xml:space="preserve"> PAGEREF _Toc29176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_Toc18355 </w:instrText>
      </w:r>
      <w:r>
        <w:rPr>
          <w:rFonts w:hint="eastAsia" w:ascii="仿宋" w:hAnsi="仿宋" w:eastAsia="仿宋" w:cs="仿宋"/>
          <w:sz w:val="28"/>
          <w:szCs w:val="28"/>
        </w:rPr>
        <w:fldChar w:fldCharType="separate"/>
      </w:r>
      <w:r>
        <w:rPr>
          <w:rFonts w:hint="eastAsia" w:ascii="仿宋" w:hAnsi="仿宋" w:eastAsia="仿宋" w:cs="仿宋"/>
          <w:bCs w:val="0"/>
          <w:sz w:val="28"/>
          <w:szCs w:val="28"/>
          <w:highlight w:val="none"/>
          <w:lang w:val="en-US" w:eastAsia="zh-CN" w:bidi="ar-SA"/>
        </w:rPr>
        <w:t>一、签订合同</w:t>
      </w:r>
      <w:r>
        <w:rPr>
          <w:sz w:val="28"/>
          <w:szCs w:val="28"/>
        </w:rPr>
        <w:tab/>
      </w:r>
      <w:r>
        <w:rPr>
          <w:sz w:val="28"/>
          <w:szCs w:val="28"/>
        </w:rPr>
        <w:fldChar w:fldCharType="begin"/>
      </w:r>
      <w:r>
        <w:rPr>
          <w:sz w:val="28"/>
          <w:szCs w:val="28"/>
        </w:rPr>
        <w:instrText xml:space="preserve"> PAGEREF _Toc18355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_Toc20248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二、合同格式</w:t>
      </w:r>
      <w:r>
        <w:rPr>
          <w:sz w:val="28"/>
          <w:szCs w:val="28"/>
        </w:rPr>
        <w:tab/>
      </w:r>
      <w:r>
        <w:rPr>
          <w:sz w:val="28"/>
          <w:szCs w:val="28"/>
        </w:rPr>
        <w:fldChar w:fldCharType="begin"/>
      </w:r>
      <w:r>
        <w:rPr>
          <w:sz w:val="28"/>
          <w:szCs w:val="28"/>
        </w:rPr>
        <w:instrText xml:space="preserve"> PAGEREF _Toc20248 \h </w:instrText>
      </w:r>
      <w:r>
        <w:rPr>
          <w:sz w:val="28"/>
          <w:szCs w:val="28"/>
        </w:rPr>
        <w:fldChar w:fldCharType="separate"/>
      </w:r>
      <w:r>
        <w:rPr>
          <w:sz w:val="28"/>
          <w:szCs w:val="28"/>
        </w:rPr>
        <w:t>29</w:t>
      </w:r>
      <w:r>
        <w:rPr>
          <w:sz w:val="28"/>
          <w:szCs w:val="28"/>
        </w:rPr>
        <w:fldChar w:fldCharType="end"/>
      </w:r>
      <w:r>
        <w:rPr>
          <w:rFonts w:hint="eastAsia" w:ascii="仿宋" w:hAnsi="仿宋" w:eastAsia="仿宋" w:cs="仿宋"/>
          <w:sz w:val="28"/>
          <w:szCs w:val="28"/>
        </w:rPr>
        <w:fldChar w:fldCharType="end"/>
      </w:r>
    </w:p>
    <w:p>
      <w:pPr>
        <w:pStyle w:val="24"/>
        <w:tabs>
          <w:tab w:val="right" w:leader="dot" w:pos="886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_Toc2395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第五部分 项目说明及要求</w:t>
      </w:r>
      <w:r>
        <w:rPr>
          <w:sz w:val="28"/>
          <w:szCs w:val="28"/>
        </w:rPr>
        <w:tab/>
      </w:r>
      <w:r>
        <w:rPr>
          <w:sz w:val="28"/>
          <w:szCs w:val="28"/>
        </w:rPr>
        <w:fldChar w:fldCharType="begin"/>
      </w:r>
      <w:r>
        <w:rPr>
          <w:sz w:val="28"/>
          <w:szCs w:val="28"/>
        </w:rPr>
        <w:instrText xml:space="preserve"> PAGEREF _Toc2395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_Toc27309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一、项目名称</w:t>
      </w:r>
      <w:r>
        <w:rPr>
          <w:sz w:val="28"/>
          <w:szCs w:val="28"/>
        </w:rPr>
        <w:tab/>
      </w:r>
      <w:r>
        <w:rPr>
          <w:sz w:val="28"/>
          <w:szCs w:val="28"/>
        </w:rPr>
        <w:fldChar w:fldCharType="begin"/>
      </w:r>
      <w:r>
        <w:rPr>
          <w:sz w:val="28"/>
          <w:szCs w:val="28"/>
        </w:rPr>
        <w:instrText xml:space="preserve"> PAGEREF _Toc27309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_Toc21014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二、项目说明</w:t>
      </w:r>
      <w:r>
        <w:rPr>
          <w:sz w:val="28"/>
          <w:szCs w:val="28"/>
        </w:rPr>
        <w:tab/>
      </w:r>
      <w:r>
        <w:rPr>
          <w:sz w:val="28"/>
          <w:szCs w:val="28"/>
        </w:rPr>
        <w:fldChar w:fldCharType="begin"/>
      </w:r>
      <w:r>
        <w:rPr>
          <w:sz w:val="28"/>
          <w:szCs w:val="28"/>
        </w:rPr>
        <w:instrText xml:space="preserve"> PAGEREF _Toc21014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_Toc1712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三、商务条件</w:t>
      </w:r>
      <w:r>
        <w:rPr>
          <w:sz w:val="28"/>
          <w:szCs w:val="28"/>
        </w:rPr>
        <w:tab/>
      </w:r>
      <w:r>
        <w:rPr>
          <w:sz w:val="28"/>
          <w:szCs w:val="28"/>
        </w:rPr>
        <w:fldChar w:fldCharType="begin"/>
      </w:r>
      <w:r>
        <w:rPr>
          <w:sz w:val="28"/>
          <w:szCs w:val="28"/>
        </w:rPr>
        <w:instrText xml:space="preserve"> PAGEREF _Toc1712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_Toc16787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lang w:val="en-US" w:eastAsia="zh-CN"/>
        </w:rPr>
        <w:t>四、服务要求</w:t>
      </w:r>
      <w:r>
        <w:rPr>
          <w:sz w:val="28"/>
          <w:szCs w:val="28"/>
        </w:rPr>
        <w:tab/>
      </w:r>
      <w:r>
        <w:rPr>
          <w:sz w:val="28"/>
          <w:szCs w:val="28"/>
        </w:rPr>
        <w:fldChar w:fldCharType="begin"/>
      </w:r>
      <w:r>
        <w:rPr>
          <w:sz w:val="28"/>
          <w:szCs w:val="28"/>
        </w:rPr>
        <w:instrText xml:space="preserve"> PAGEREF _Toc16787 \h </w:instrText>
      </w:r>
      <w:r>
        <w:rPr>
          <w:sz w:val="28"/>
          <w:szCs w:val="28"/>
        </w:rPr>
        <w:fldChar w:fldCharType="separate"/>
      </w:r>
      <w:r>
        <w:rPr>
          <w:sz w:val="28"/>
          <w:szCs w:val="28"/>
        </w:rPr>
        <w:t>35</w:t>
      </w:r>
      <w:r>
        <w:rPr>
          <w:sz w:val="28"/>
          <w:szCs w:val="28"/>
        </w:rPr>
        <w:fldChar w:fldCharType="end"/>
      </w:r>
      <w:r>
        <w:rPr>
          <w:rFonts w:hint="eastAsia" w:ascii="仿宋" w:hAnsi="仿宋" w:eastAsia="仿宋" w:cs="仿宋"/>
          <w:sz w:val="28"/>
          <w:szCs w:val="28"/>
        </w:rPr>
        <w:fldChar w:fldCharType="end"/>
      </w:r>
    </w:p>
    <w:p>
      <w:pPr>
        <w:pStyle w:val="24"/>
        <w:tabs>
          <w:tab w:val="right" w:leader="dot" w:pos="886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_Toc31555 </w:instrText>
      </w:r>
      <w:r>
        <w:rPr>
          <w:rFonts w:hint="eastAsia" w:ascii="仿宋" w:hAnsi="仿宋" w:eastAsia="仿宋" w:cs="仿宋"/>
          <w:sz w:val="28"/>
          <w:szCs w:val="28"/>
        </w:rPr>
        <w:fldChar w:fldCharType="separate"/>
      </w:r>
      <w:r>
        <w:rPr>
          <w:rFonts w:hint="eastAsia" w:ascii="仿宋" w:hAnsi="仿宋" w:eastAsia="仿宋" w:cs="仿宋"/>
          <w:bCs w:val="0"/>
          <w:sz w:val="28"/>
          <w:szCs w:val="28"/>
          <w:highlight w:val="none"/>
        </w:rPr>
        <w:t>第六部分  附件</w:t>
      </w:r>
      <w:r>
        <w:rPr>
          <w:sz w:val="28"/>
          <w:szCs w:val="28"/>
        </w:rPr>
        <w:tab/>
      </w:r>
      <w:r>
        <w:rPr>
          <w:sz w:val="28"/>
          <w:szCs w:val="28"/>
        </w:rPr>
        <w:fldChar w:fldCharType="begin"/>
      </w:r>
      <w:r>
        <w:rPr>
          <w:sz w:val="28"/>
          <w:szCs w:val="28"/>
        </w:rPr>
        <w:instrText xml:space="preserve"> PAGEREF _Toc31555 \h </w:instrText>
      </w:r>
      <w:r>
        <w:rPr>
          <w:sz w:val="28"/>
          <w:szCs w:val="28"/>
        </w:rPr>
        <w:fldChar w:fldCharType="separate"/>
      </w:r>
      <w:r>
        <w:rPr>
          <w:sz w:val="28"/>
          <w:szCs w:val="28"/>
        </w:rPr>
        <w:t>39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_Toc29145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r>
        <w:rPr>
          <w:sz w:val="28"/>
          <w:szCs w:val="28"/>
        </w:rPr>
        <w:tab/>
      </w:r>
      <w:r>
        <w:rPr>
          <w:sz w:val="28"/>
          <w:szCs w:val="28"/>
        </w:rPr>
        <w:fldChar w:fldCharType="begin"/>
      </w:r>
      <w:r>
        <w:rPr>
          <w:sz w:val="28"/>
          <w:szCs w:val="28"/>
        </w:rPr>
        <w:instrText xml:space="preserve"> PAGEREF _Toc29145 \h </w:instrText>
      </w:r>
      <w:r>
        <w:rPr>
          <w:sz w:val="28"/>
          <w:szCs w:val="28"/>
        </w:rPr>
        <w:fldChar w:fldCharType="separate"/>
      </w:r>
      <w:r>
        <w:rPr>
          <w:sz w:val="28"/>
          <w:szCs w:val="28"/>
        </w:rPr>
        <w:t>39</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_Toc15128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附件二：法定代表人授权委托书</w:t>
      </w:r>
      <w:r>
        <w:rPr>
          <w:sz w:val="28"/>
          <w:szCs w:val="28"/>
        </w:rPr>
        <w:tab/>
      </w:r>
      <w:r>
        <w:rPr>
          <w:sz w:val="28"/>
          <w:szCs w:val="28"/>
        </w:rPr>
        <w:fldChar w:fldCharType="begin"/>
      </w:r>
      <w:r>
        <w:rPr>
          <w:sz w:val="28"/>
          <w:szCs w:val="28"/>
        </w:rPr>
        <w:instrText xml:space="preserve"> PAGEREF _Toc15128 \h </w:instrText>
      </w:r>
      <w:r>
        <w:rPr>
          <w:sz w:val="28"/>
          <w:szCs w:val="28"/>
        </w:rPr>
        <w:fldChar w:fldCharType="separate"/>
      </w:r>
      <w:r>
        <w:rPr>
          <w:sz w:val="28"/>
          <w:szCs w:val="28"/>
        </w:rPr>
        <w:t>41</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_Toc20618 </w:instrText>
      </w:r>
      <w:r>
        <w:rPr>
          <w:rFonts w:hint="eastAsia" w:ascii="仿宋" w:hAnsi="仿宋" w:eastAsia="仿宋" w:cs="仿宋"/>
          <w:sz w:val="28"/>
          <w:szCs w:val="28"/>
        </w:rPr>
        <w:fldChar w:fldCharType="separate"/>
      </w:r>
      <w:r>
        <w:rPr>
          <w:rFonts w:hint="eastAsia" w:ascii="仿宋" w:hAnsi="仿宋" w:eastAsia="仿宋" w:cs="仿宋"/>
          <w:bCs/>
          <w:kern w:val="0"/>
          <w:sz w:val="28"/>
          <w:szCs w:val="28"/>
          <w:highlight w:val="none"/>
          <w:lang w:val="en-US" w:eastAsia="zh-CN" w:bidi="ar-SA"/>
        </w:rPr>
        <w:t>附件三：在经营活动中没有重大违法记录的书面声明</w:t>
      </w:r>
      <w:r>
        <w:rPr>
          <w:sz w:val="28"/>
          <w:szCs w:val="28"/>
        </w:rPr>
        <w:tab/>
      </w:r>
      <w:r>
        <w:rPr>
          <w:sz w:val="28"/>
          <w:szCs w:val="28"/>
        </w:rPr>
        <w:fldChar w:fldCharType="begin"/>
      </w:r>
      <w:r>
        <w:rPr>
          <w:sz w:val="28"/>
          <w:szCs w:val="28"/>
        </w:rPr>
        <w:instrText xml:space="preserve"> PAGEREF _Toc20618 \h </w:instrText>
      </w:r>
      <w:r>
        <w:rPr>
          <w:sz w:val="28"/>
          <w:szCs w:val="28"/>
        </w:rPr>
        <w:fldChar w:fldCharType="separate"/>
      </w:r>
      <w:r>
        <w:rPr>
          <w:sz w:val="28"/>
          <w:szCs w:val="28"/>
        </w:rPr>
        <w:t>42</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_Toc5142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附件四：报  价 一 览 表</w:t>
      </w:r>
      <w:r>
        <w:rPr>
          <w:sz w:val="28"/>
          <w:szCs w:val="28"/>
        </w:rPr>
        <w:tab/>
      </w:r>
      <w:r>
        <w:rPr>
          <w:sz w:val="28"/>
          <w:szCs w:val="28"/>
        </w:rPr>
        <w:fldChar w:fldCharType="begin"/>
      </w:r>
      <w:r>
        <w:rPr>
          <w:sz w:val="28"/>
          <w:szCs w:val="28"/>
        </w:rPr>
        <w:instrText xml:space="preserve"> PAGEREF _Toc5142 \h </w:instrText>
      </w:r>
      <w:r>
        <w:rPr>
          <w:sz w:val="28"/>
          <w:szCs w:val="28"/>
        </w:rPr>
        <w:fldChar w:fldCharType="separate"/>
      </w:r>
      <w:r>
        <w:rPr>
          <w:sz w:val="28"/>
          <w:szCs w:val="28"/>
        </w:rPr>
        <w:t>43</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_Toc30587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报价明细表</w:t>
      </w:r>
      <w:r>
        <w:rPr>
          <w:sz w:val="28"/>
          <w:szCs w:val="28"/>
        </w:rPr>
        <w:tab/>
      </w:r>
      <w:r>
        <w:rPr>
          <w:sz w:val="28"/>
          <w:szCs w:val="28"/>
        </w:rPr>
        <w:fldChar w:fldCharType="begin"/>
      </w:r>
      <w:r>
        <w:rPr>
          <w:sz w:val="28"/>
          <w:szCs w:val="28"/>
        </w:rPr>
        <w:instrText xml:space="preserve"> PAGEREF _Toc30587 \h </w:instrText>
      </w:r>
      <w:r>
        <w:rPr>
          <w:sz w:val="28"/>
          <w:szCs w:val="28"/>
        </w:rPr>
        <w:fldChar w:fldCharType="separate"/>
      </w:r>
      <w:r>
        <w:rPr>
          <w:sz w:val="28"/>
          <w:szCs w:val="28"/>
        </w:rPr>
        <w:t>44</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_Toc22051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：服务</w:t>
      </w:r>
      <w:r>
        <w:rPr>
          <w:rFonts w:hint="eastAsia" w:ascii="仿宋" w:hAnsi="仿宋" w:eastAsia="仿宋" w:cs="仿宋"/>
          <w:sz w:val="28"/>
          <w:szCs w:val="28"/>
          <w:highlight w:val="none"/>
          <w:lang w:val="en-US" w:eastAsia="zh-CN"/>
        </w:rPr>
        <w:t>方案</w:t>
      </w:r>
      <w:r>
        <w:rPr>
          <w:rFonts w:hint="eastAsia" w:ascii="仿宋" w:hAnsi="仿宋" w:eastAsia="仿宋" w:cs="仿宋"/>
          <w:sz w:val="28"/>
          <w:szCs w:val="28"/>
          <w:highlight w:val="none"/>
        </w:rPr>
        <w:t>偏离表</w:t>
      </w:r>
      <w:r>
        <w:rPr>
          <w:sz w:val="28"/>
          <w:szCs w:val="28"/>
        </w:rPr>
        <w:tab/>
      </w:r>
      <w:r>
        <w:rPr>
          <w:sz w:val="28"/>
          <w:szCs w:val="28"/>
        </w:rPr>
        <w:fldChar w:fldCharType="begin"/>
      </w:r>
      <w:r>
        <w:rPr>
          <w:sz w:val="28"/>
          <w:szCs w:val="28"/>
        </w:rPr>
        <w:instrText xml:space="preserve"> PAGEREF _Toc22051 \h </w:instrText>
      </w:r>
      <w:r>
        <w:rPr>
          <w:sz w:val="28"/>
          <w:szCs w:val="28"/>
        </w:rPr>
        <w:fldChar w:fldCharType="separate"/>
      </w:r>
      <w:r>
        <w:rPr>
          <w:sz w:val="28"/>
          <w:szCs w:val="28"/>
        </w:rPr>
        <w:t>45</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_Toc9939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GB"/>
        </w:rPr>
        <w:t>商务响应表</w:t>
      </w:r>
      <w:r>
        <w:rPr>
          <w:sz w:val="28"/>
          <w:szCs w:val="28"/>
        </w:rPr>
        <w:tab/>
      </w:r>
      <w:r>
        <w:rPr>
          <w:sz w:val="28"/>
          <w:szCs w:val="28"/>
        </w:rPr>
        <w:fldChar w:fldCharType="begin"/>
      </w:r>
      <w:r>
        <w:rPr>
          <w:sz w:val="28"/>
          <w:szCs w:val="28"/>
        </w:rPr>
        <w:instrText xml:space="preserve"> PAGEREF _Toc9939 \h </w:instrText>
      </w:r>
      <w:r>
        <w:rPr>
          <w:sz w:val="28"/>
          <w:szCs w:val="28"/>
        </w:rPr>
        <w:fldChar w:fldCharType="separate"/>
      </w:r>
      <w:r>
        <w:rPr>
          <w:sz w:val="28"/>
          <w:szCs w:val="28"/>
        </w:rPr>
        <w:t>46</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_Toc6459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驾驶员情况</w:t>
      </w:r>
      <w:r>
        <w:rPr>
          <w:rFonts w:hint="eastAsia" w:ascii="仿宋" w:hAnsi="仿宋" w:eastAsia="仿宋" w:cs="仿宋"/>
          <w:sz w:val="28"/>
          <w:szCs w:val="28"/>
          <w:highlight w:val="none"/>
        </w:rPr>
        <w:t>一览表</w:t>
      </w:r>
      <w:r>
        <w:rPr>
          <w:sz w:val="28"/>
          <w:szCs w:val="28"/>
        </w:rPr>
        <w:tab/>
      </w:r>
      <w:r>
        <w:rPr>
          <w:sz w:val="28"/>
          <w:szCs w:val="28"/>
        </w:rPr>
        <w:fldChar w:fldCharType="begin"/>
      </w:r>
      <w:r>
        <w:rPr>
          <w:sz w:val="28"/>
          <w:szCs w:val="28"/>
        </w:rPr>
        <w:instrText xml:space="preserve"> PAGEREF _Toc6459 \h </w:instrText>
      </w:r>
      <w:r>
        <w:rPr>
          <w:sz w:val="28"/>
          <w:szCs w:val="28"/>
        </w:rPr>
        <w:fldChar w:fldCharType="separate"/>
      </w:r>
      <w:r>
        <w:rPr>
          <w:sz w:val="28"/>
          <w:szCs w:val="28"/>
        </w:rPr>
        <w:t>47</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_Toc21833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r>
        <w:rPr>
          <w:sz w:val="28"/>
          <w:szCs w:val="28"/>
        </w:rPr>
        <w:tab/>
      </w:r>
      <w:r>
        <w:rPr>
          <w:sz w:val="28"/>
          <w:szCs w:val="28"/>
        </w:rPr>
        <w:fldChar w:fldCharType="begin"/>
      </w:r>
      <w:r>
        <w:rPr>
          <w:sz w:val="28"/>
          <w:szCs w:val="28"/>
        </w:rPr>
        <w:instrText xml:space="preserve"> PAGEREF _Toc21833 \h </w:instrText>
      </w:r>
      <w:r>
        <w:rPr>
          <w:sz w:val="28"/>
          <w:szCs w:val="28"/>
        </w:rPr>
        <w:fldChar w:fldCharType="separate"/>
      </w:r>
      <w:r>
        <w:rPr>
          <w:sz w:val="28"/>
          <w:szCs w:val="28"/>
        </w:rPr>
        <w:t>48</w:t>
      </w:r>
      <w:r>
        <w:rPr>
          <w:sz w:val="28"/>
          <w:szCs w:val="28"/>
        </w:rPr>
        <w:fldChar w:fldCharType="end"/>
      </w:r>
      <w:r>
        <w:rPr>
          <w:rFonts w:hint="eastAsia" w:ascii="仿宋" w:hAnsi="仿宋" w:eastAsia="仿宋" w:cs="仿宋"/>
          <w:sz w:val="28"/>
          <w:szCs w:val="28"/>
        </w:rPr>
        <w:fldChar w:fldCharType="end"/>
      </w:r>
    </w:p>
    <w:p>
      <w:pPr>
        <w:pStyle w:val="28"/>
        <w:tabs>
          <w:tab w:val="right" w:leader="dot" w:pos="8867"/>
          <w:tab w:val="clear" w:pos="8857"/>
        </w:tabs>
        <w:spacing w:line="240" w:lineRule="auto"/>
        <w:rPr>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_Toc25915 </w:instrText>
      </w:r>
      <w:r>
        <w:rPr>
          <w:rFonts w:hint="eastAsia" w:ascii="仿宋" w:hAnsi="仿宋" w:eastAsia="仿宋" w:cs="仿宋"/>
          <w:sz w:val="28"/>
          <w:szCs w:val="28"/>
        </w:rPr>
        <w:fldChar w:fldCharType="separate"/>
      </w:r>
      <w:r>
        <w:rPr>
          <w:rFonts w:hint="eastAsia" w:ascii="仿宋" w:hAnsi="仿宋" w:eastAsia="仿宋" w:cs="仿宋"/>
          <w:sz w:val="28"/>
          <w:szCs w:val="28"/>
          <w:highlight w:val="none"/>
        </w:rPr>
        <w:t>附件十：封面格式</w:t>
      </w:r>
      <w:r>
        <w:rPr>
          <w:sz w:val="28"/>
          <w:szCs w:val="28"/>
        </w:rPr>
        <w:tab/>
      </w:r>
      <w:r>
        <w:rPr>
          <w:sz w:val="28"/>
          <w:szCs w:val="28"/>
        </w:rPr>
        <w:fldChar w:fldCharType="begin"/>
      </w:r>
      <w:r>
        <w:rPr>
          <w:sz w:val="28"/>
          <w:szCs w:val="28"/>
        </w:rPr>
        <w:instrText xml:space="preserve"> PAGEREF _Toc25915 \h </w:instrText>
      </w:r>
      <w:r>
        <w:rPr>
          <w:sz w:val="28"/>
          <w:szCs w:val="28"/>
        </w:rPr>
        <w:fldChar w:fldCharType="separate"/>
      </w:r>
      <w:r>
        <w:rPr>
          <w:sz w:val="28"/>
          <w:szCs w:val="28"/>
        </w:rPr>
        <w:t>50</w:t>
      </w:r>
      <w:r>
        <w:rPr>
          <w:sz w:val="28"/>
          <w:szCs w:val="28"/>
        </w:rPr>
        <w:fldChar w:fldCharType="end"/>
      </w:r>
      <w:r>
        <w:rPr>
          <w:rFonts w:hint="eastAsia" w:ascii="仿宋" w:hAnsi="仿宋" w:eastAsia="仿宋" w:cs="仿宋"/>
          <w:sz w:val="28"/>
          <w:szCs w:val="28"/>
        </w:rPr>
        <w:fldChar w:fldCharType="end"/>
      </w:r>
    </w:p>
    <w:p>
      <w:pPr>
        <w:spacing w:line="240" w:lineRule="auto"/>
        <w:rPr>
          <w:rFonts w:hint="eastAsia" w:ascii="仿宋" w:hAnsi="仿宋" w:eastAsia="仿宋" w:cs="仿宋"/>
        </w:rPr>
      </w:pPr>
      <w:r>
        <w:rPr>
          <w:rFonts w:hint="eastAsia" w:ascii="仿宋" w:hAnsi="仿宋" w:eastAsia="仿宋" w:cs="仿宋"/>
          <w:sz w:val="28"/>
          <w:szCs w:val="28"/>
        </w:rPr>
        <w:fldChar w:fldCharType="end"/>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kern w:val="0"/>
          <w:sz w:val="28"/>
          <w:szCs w:val="28"/>
          <w:highlight w:val="none"/>
        </w:rPr>
      </w:pPr>
      <w:r>
        <w:rPr>
          <w:rFonts w:hint="eastAsia" w:ascii="仿宋" w:hAnsi="仿宋" w:eastAsia="仿宋" w:cs="仿宋"/>
          <w:sz w:val="28"/>
          <w:szCs w:val="28"/>
          <w:highlight w:val="none"/>
        </w:rPr>
        <w:br w:type="page"/>
      </w:r>
      <w:bookmarkStart w:id="21" w:name="_Toc356491305"/>
      <w:bookmarkStart w:id="22" w:name="_Toc5365"/>
      <w:bookmarkStart w:id="23" w:name="_Toc5357"/>
      <w:r>
        <w:rPr>
          <w:rFonts w:hint="eastAsia" w:ascii="仿宋" w:hAnsi="仿宋" w:eastAsia="仿宋" w:cs="仿宋"/>
          <w:b/>
          <w:bCs w:val="0"/>
          <w:sz w:val="28"/>
          <w:szCs w:val="28"/>
          <w:highlight w:val="none"/>
        </w:rPr>
        <w:t>第一部分 招标</w:t>
      </w:r>
      <w:bookmarkEnd w:id="21"/>
      <w:bookmarkEnd w:id="22"/>
      <w:r>
        <w:rPr>
          <w:rFonts w:hint="eastAsia" w:ascii="仿宋" w:hAnsi="仿宋" w:eastAsia="仿宋" w:cs="仿宋"/>
          <w:b/>
          <w:bCs w:val="0"/>
          <w:sz w:val="28"/>
          <w:szCs w:val="28"/>
          <w:highlight w:val="none"/>
          <w:lang w:val="en-US" w:eastAsia="zh-CN"/>
        </w:rPr>
        <w:t>公告</w:t>
      </w:r>
      <w:bookmarkEnd w:id="20"/>
      <w:bookmarkEnd w:id="23"/>
      <w:bookmarkStart w:id="24" w:name="_Toc325582571"/>
      <w:bookmarkStart w:id="25" w:name="_Toc325582066"/>
      <w:bookmarkStart w:id="26" w:name="_Toc325620702"/>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项目概况</w:t>
      </w:r>
    </w:p>
    <w:p>
      <w:pPr>
        <w:pBdr>
          <w:top w:val="single" w:color="auto" w:sz="4" w:space="1"/>
          <w:left w:val="single" w:color="auto" w:sz="4" w:space="4"/>
          <w:bottom w:val="single" w:color="auto" w:sz="4" w:space="1"/>
          <w:right w:val="single" w:color="auto" w:sz="4" w:space="4"/>
        </w:pBd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 xml:space="preserve"> 山东大学第二医院</w:t>
      </w:r>
      <w:r>
        <w:rPr>
          <w:rFonts w:hint="eastAsia" w:ascii="仿宋" w:hAnsi="仿宋" w:eastAsia="仿宋" w:cs="仿宋"/>
          <w:sz w:val="28"/>
          <w:szCs w:val="28"/>
          <w:highlight w:val="none"/>
          <w:u w:val="single"/>
          <w:lang w:eastAsia="zh-CN"/>
        </w:rPr>
        <w:t>院前急救科驾驶员外包服务</w:t>
      </w:r>
      <w:r>
        <w:rPr>
          <w:rFonts w:hint="eastAsia" w:ascii="仿宋" w:hAnsi="仿宋" w:eastAsia="仿宋" w:cs="仿宋"/>
          <w:sz w:val="28"/>
          <w:szCs w:val="28"/>
          <w:highlight w:val="none"/>
        </w:rPr>
        <w:t>招标项目的潜在投标人应在山东济南唐冶西路868号山东设计创意产业园南区B1楼获取招标文件，并</w:t>
      </w:r>
      <w:r>
        <w:rPr>
          <w:rFonts w:hint="eastAsia" w:ascii="仿宋" w:hAnsi="仿宋" w:eastAsia="仿宋" w:cs="仿宋"/>
          <w:color w:val="auto"/>
          <w:sz w:val="28"/>
          <w:szCs w:val="28"/>
          <w:highlight w:val="none"/>
        </w:rPr>
        <w:t>于</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2</w:t>
      </w:r>
      <w:r>
        <w:rPr>
          <w:rFonts w:hint="eastAsia" w:ascii="仿宋" w:hAnsi="仿宋" w:eastAsia="仿宋" w:cs="仿宋"/>
          <w:color w:val="auto"/>
          <w:sz w:val="28"/>
          <w:szCs w:val="28"/>
          <w:highlight w:val="none"/>
          <w:u w:val="single"/>
        </w:rPr>
        <w:t>年</w:t>
      </w:r>
      <w:r>
        <w:rPr>
          <w:rFonts w:hint="eastAsia" w:ascii="仿宋" w:hAnsi="仿宋" w:eastAsia="仿宋" w:cs="仿宋"/>
          <w:color w:val="auto"/>
          <w:sz w:val="28"/>
          <w:szCs w:val="28"/>
          <w:highlight w:val="none"/>
          <w:u w:val="single"/>
          <w:lang w:val="en-US" w:eastAsia="zh-CN"/>
        </w:rPr>
        <w:t>6</w:t>
      </w:r>
      <w:r>
        <w:rPr>
          <w:rFonts w:hint="eastAsia" w:ascii="仿宋" w:hAnsi="仿宋" w:eastAsia="仿宋" w:cs="仿宋"/>
          <w:color w:val="auto"/>
          <w:sz w:val="28"/>
          <w:szCs w:val="28"/>
          <w:highlight w:val="none"/>
          <w:u w:val="single"/>
        </w:rPr>
        <w:t>月</w:t>
      </w:r>
      <w:r>
        <w:rPr>
          <w:rFonts w:hint="eastAsia" w:ascii="仿宋" w:hAnsi="仿宋" w:eastAsia="仿宋" w:cs="仿宋"/>
          <w:color w:val="auto"/>
          <w:sz w:val="28"/>
          <w:szCs w:val="28"/>
          <w:highlight w:val="none"/>
          <w:u w:val="single"/>
          <w:lang w:val="en-US" w:eastAsia="zh-CN"/>
        </w:rPr>
        <w:t>7</w:t>
      </w:r>
      <w:r>
        <w:rPr>
          <w:rFonts w:hint="eastAsia" w:ascii="仿宋" w:hAnsi="仿宋" w:eastAsia="仿宋" w:cs="仿宋"/>
          <w:color w:val="auto"/>
          <w:sz w:val="28"/>
          <w:szCs w:val="28"/>
          <w:highlight w:val="none"/>
          <w:u w:val="single"/>
        </w:rPr>
        <w:t>日</w:t>
      </w:r>
      <w:r>
        <w:rPr>
          <w:rFonts w:hint="eastAsia" w:ascii="仿宋" w:hAnsi="仿宋" w:eastAsia="仿宋" w:cs="仿宋"/>
          <w:color w:val="auto"/>
          <w:sz w:val="28"/>
          <w:szCs w:val="28"/>
          <w:highlight w:val="none"/>
          <w:u w:val="single"/>
          <w:lang w:val="en-US" w:eastAsia="zh-CN"/>
        </w:rPr>
        <w:t>9</w:t>
      </w:r>
      <w:r>
        <w:rPr>
          <w:rFonts w:hint="eastAsia" w:ascii="仿宋" w:hAnsi="仿宋" w:eastAsia="仿宋" w:cs="仿宋"/>
          <w:color w:val="auto"/>
          <w:sz w:val="28"/>
          <w:szCs w:val="28"/>
          <w:highlight w:val="none"/>
          <w:u w:val="single"/>
        </w:rPr>
        <w:t>点</w:t>
      </w:r>
      <w:r>
        <w:rPr>
          <w:rFonts w:hint="eastAsia" w:ascii="仿宋" w:hAnsi="仿宋" w:eastAsia="仿宋" w:cs="仿宋"/>
          <w:color w:val="auto"/>
          <w:sz w:val="28"/>
          <w:szCs w:val="28"/>
          <w:highlight w:val="none"/>
          <w:u w:val="single"/>
          <w:lang w:val="en-US" w:eastAsia="zh-CN"/>
        </w:rPr>
        <w:t>00</w:t>
      </w:r>
      <w:r>
        <w:rPr>
          <w:rFonts w:hint="eastAsia" w:ascii="仿宋" w:hAnsi="仿宋" w:eastAsia="仿宋" w:cs="仿宋"/>
          <w:color w:val="auto"/>
          <w:sz w:val="28"/>
          <w:szCs w:val="28"/>
          <w:highlight w:val="none"/>
          <w:u w:val="single"/>
        </w:rPr>
        <w:t>分</w:t>
      </w:r>
      <w:r>
        <w:rPr>
          <w:rFonts w:hint="eastAsia" w:ascii="仿宋" w:hAnsi="仿宋" w:eastAsia="仿宋" w:cs="仿宋"/>
          <w:bCs/>
          <w:color w:val="auto"/>
          <w:sz w:val="28"/>
          <w:szCs w:val="28"/>
          <w:highlight w:val="none"/>
          <w:u w:val="single"/>
        </w:rPr>
        <w:t>（</w:t>
      </w:r>
      <w:r>
        <w:rPr>
          <w:rFonts w:hint="eastAsia" w:ascii="仿宋" w:hAnsi="仿宋" w:eastAsia="仿宋" w:cs="仿宋"/>
          <w:bCs/>
          <w:sz w:val="28"/>
          <w:szCs w:val="28"/>
          <w:highlight w:val="none"/>
        </w:rPr>
        <w:t>北京时间）前递交投标文件</w:t>
      </w:r>
      <w:r>
        <w:rPr>
          <w:rFonts w:hint="eastAsia" w:ascii="仿宋" w:hAnsi="仿宋" w:eastAsia="仿宋" w:cs="仿宋"/>
          <w:sz w:val="28"/>
          <w:szCs w:val="28"/>
          <w:highlight w:val="none"/>
        </w:rPr>
        <w:t>。</w:t>
      </w:r>
    </w:p>
    <w:p>
      <w:pPr>
        <w:rPr>
          <w:rFonts w:hint="eastAsia" w:ascii="仿宋" w:hAnsi="仿宋" w:eastAsia="仿宋" w:cs="仿宋"/>
          <w:sz w:val="28"/>
          <w:szCs w:val="28"/>
          <w:highlight w:val="none"/>
        </w:rPr>
      </w:pPr>
    </w:p>
    <w:p>
      <w:pPr>
        <w:spacing w:line="360" w:lineRule="auto"/>
        <w:outlineLvl w:val="9"/>
        <w:rPr>
          <w:rFonts w:hint="eastAsia" w:ascii="仿宋" w:hAnsi="仿宋" w:eastAsia="仿宋" w:cs="仿宋"/>
          <w:b w:val="0"/>
          <w:sz w:val="28"/>
          <w:szCs w:val="28"/>
          <w:highlight w:val="none"/>
        </w:rPr>
      </w:pPr>
      <w:bookmarkStart w:id="27" w:name="_Toc35393621"/>
      <w:bookmarkStart w:id="28" w:name="_Toc28359079"/>
      <w:bookmarkStart w:id="29" w:name="_Toc28359002"/>
      <w:bookmarkStart w:id="30" w:name="_Toc35393790"/>
      <w:bookmarkStart w:id="31" w:name="_Hlk24379207"/>
      <w:r>
        <w:rPr>
          <w:rFonts w:hint="eastAsia" w:ascii="仿宋" w:hAnsi="仿宋" w:eastAsia="仿宋" w:cs="仿宋"/>
          <w:b w:val="0"/>
          <w:sz w:val="28"/>
          <w:szCs w:val="28"/>
          <w:highlight w:val="none"/>
        </w:rPr>
        <w:t>一、项目基本情况</w:t>
      </w:r>
      <w:bookmarkEnd w:id="27"/>
      <w:bookmarkEnd w:id="28"/>
      <w:bookmarkEnd w:id="29"/>
      <w:bookmarkEnd w:id="30"/>
    </w:p>
    <w:p>
      <w:pPr>
        <w:spacing w:line="360" w:lineRule="auto"/>
        <w:ind w:firstLine="560" w:firstLineChars="200"/>
        <w:rPr>
          <w:rFonts w:hint="eastAsia" w:ascii="仿宋" w:hAnsi="仿宋" w:eastAsia="仿宋" w:cs="仿宋"/>
          <w:color w:val="FF0000"/>
          <w:sz w:val="28"/>
          <w:szCs w:val="28"/>
          <w:highlight w:val="none"/>
          <w:lang w:eastAsia="zh-CN"/>
        </w:rPr>
      </w:pPr>
      <w:r>
        <w:rPr>
          <w:rFonts w:hint="eastAsia" w:ascii="仿宋" w:hAnsi="仿宋" w:eastAsia="仿宋" w:cs="仿宋"/>
          <w:sz w:val="28"/>
          <w:szCs w:val="28"/>
          <w:highlight w:val="none"/>
        </w:rPr>
        <w:t>项目编号：</w:t>
      </w:r>
      <w:r>
        <w:rPr>
          <w:rFonts w:hint="eastAsia" w:ascii="仿宋" w:hAnsi="仿宋" w:eastAsia="仿宋" w:cs="仿宋"/>
          <w:sz w:val="28"/>
          <w:szCs w:val="28"/>
          <w:highlight w:val="none"/>
          <w:lang w:eastAsia="zh-CN"/>
        </w:rPr>
        <w:t>SDSHZB2022-347</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项目名称：山东大学第二医院</w:t>
      </w:r>
      <w:r>
        <w:rPr>
          <w:rFonts w:hint="eastAsia" w:ascii="仿宋" w:hAnsi="仿宋" w:eastAsia="仿宋" w:cs="仿宋"/>
          <w:sz w:val="28"/>
          <w:szCs w:val="28"/>
          <w:highlight w:val="none"/>
          <w:lang w:eastAsia="zh-CN"/>
        </w:rPr>
        <w:t>院前急救科驾驶员外包服务项目</w:t>
      </w:r>
    </w:p>
    <w:bookmarkEnd w:id="31"/>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预算金额：</w:t>
      </w:r>
      <w:r>
        <w:rPr>
          <w:rFonts w:hint="eastAsia" w:ascii="仿宋" w:hAnsi="仿宋" w:eastAsia="仿宋" w:cs="仿宋"/>
          <w:sz w:val="28"/>
          <w:szCs w:val="28"/>
          <w:highlight w:val="none"/>
          <w:lang w:val="en-US" w:eastAsia="zh-CN"/>
        </w:rPr>
        <w:t>285万元/</w:t>
      </w:r>
      <w:bookmarkStart w:id="330" w:name="_GoBack"/>
      <w:r>
        <w:rPr>
          <w:rFonts w:hint="eastAsia" w:ascii="仿宋" w:hAnsi="仿宋" w:eastAsia="仿宋" w:cs="仿宋"/>
          <w:sz w:val="28"/>
          <w:szCs w:val="28"/>
          <w:highlight w:val="none"/>
          <w:lang w:val="en-US" w:eastAsia="zh-CN"/>
        </w:rPr>
        <w:t>30</w:t>
      </w:r>
      <w:bookmarkEnd w:id="330"/>
      <w:r>
        <w:rPr>
          <w:rFonts w:hint="eastAsia" w:ascii="仿宋" w:hAnsi="仿宋" w:eastAsia="仿宋" w:cs="仿宋"/>
          <w:sz w:val="28"/>
          <w:szCs w:val="28"/>
          <w:highlight w:val="none"/>
          <w:lang w:val="en-US" w:eastAsia="zh-CN"/>
        </w:rPr>
        <w:t>个月</w:t>
      </w:r>
      <w:r>
        <w:rPr>
          <w:rFonts w:hint="eastAsia" w:ascii="仿宋" w:hAnsi="仿宋" w:eastAsia="仿宋" w:cs="仿宋"/>
          <w:sz w:val="28"/>
          <w:szCs w:val="28"/>
          <w:highlight w:val="none"/>
        </w:rPr>
        <w:t>（人民币）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最高限价（如有）：</w:t>
      </w:r>
      <w:r>
        <w:rPr>
          <w:rFonts w:hint="eastAsia" w:ascii="仿宋" w:hAnsi="仿宋" w:eastAsia="仿宋" w:cs="仿宋"/>
          <w:sz w:val="28"/>
          <w:szCs w:val="28"/>
          <w:highlight w:val="none"/>
          <w:lang w:val="en-US" w:eastAsia="zh-CN"/>
        </w:rPr>
        <w:t>285万元/30个月</w:t>
      </w:r>
      <w:r>
        <w:rPr>
          <w:rFonts w:hint="eastAsia" w:ascii="仿宋" w:hAnsi="仿宋" w:eastAsia="仿宋" w:cs="仿宋"/>
          <w:sz w:val="28"/>
          <w:szCs w:val="28"/>
          <w:highlight w:val="none"/>
        </w:rPr>
        <w:t>（人民币）</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采购需求：</w:t>
      </w:r>
    </w:p>
    <w:tbl>
      <w:tblPr>
        <w:tblStyle w:val="35"/>
        <w:tblpPr w:leftFromText="180" w:rightFromText="180" w:vertAnchor="text" w:horzAnchor="page" w:tblpXSpec="center" w:tblpY="450"/>
        <w:tblOverlap w:val="never"/>
        <w:tblW w:w="8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013"/>
        <w:gridCol w:w="917"/>
        <w:gridCol w:w="4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914" w:type="dxa"/>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标包</w:t>
            </w:r>
          </w:p>
        </w:tc>
        <w:tc>
          <w:tcPr>
            <w:tcW w:w="2013" w:type="dxa"/>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服务名称</w:t>
            </w:r>
          </w:p>
        </w:tc>
        <w:tc>
          <w:tcPr>
            <w:tcW w:w="917" w:type="dxa"/>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数量</w:t>
            </w:r>
          </w:p>
        </w:tc>
        <w:tc>
          <w:tcPr>
            <w:tcW w:w="4821" w:type="dxa"/>
            <w:vAlign w:val="center"/>
          </w:tcPr>
          <w:p>
            <w:pPr>
              <w:widowControl/>
              <w:spacing w:line="360" w:lineRule="auto"/>
              <w:jc w:val="center"/>
              <w:rPr>
                <w:rFonts w:hint="eastAsia" w:ascii="仿宋" w:hAnsi="仿宋" w:eastAsia="仿宋" w:cs="仿宋"/>
                <w:b/>
                <w:bCs/>
                <w:snapToGrid w:val="0"/>
                <w:kern w:val="0"/>
                <w:sz w:val="24"/>
              </w:rPr>
            </w:pPr>
            <w:r>
              <w:rPr>
                <w:rFonts w:hint="eastAsia" w:ascii="仿宋" w:hAnsi="仿宋" w:eastAsia="仿宋" w:cs="仿宋"/>
                <w:b/>
                <w:bCs/>
                <w:snapToGrid w:val="0"/>
                <w:kern w:val="0"/>
                <w:sz w:val="24"/>
              </w:rPr>
              <w:t>简要技术需求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914" w:type="dxa"/>
            <w:vAlign w:val="center"/>
          </w:tcPr>
          <w:p>
            <w:pPr>
              <w:pStyle w:val="16"/>
              <w:spacing w:line="36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01</w:t>
            </w:r>
          </w:p>
        </w:tc>
        <w:tc>
          <w:tcPr>
            <w:tcW w:w="2013" w:type="dxa"/>
            <w:vAlign w:val="center"/>
          </w:tcPr>
          <w:p>
            <w:pPr>
              <w:pStyle w:val="16"/>
              <w:spacing w:line="240" w:lineRule="auto"/>
              <w:ind w:left="0" w:firstLine="0"/>
              <w:jc w:val="center"/>
              <w:rPr>
                <w:rFonts w:hint="eastAsia" w:ascii="仿宋" w:hAnsi="仿宋" w:eastAsia="仿宋" w:cs="仿宋"/>
                <w:snapToGrid w:val="0"/>
                <w:kern w:val="0"/>
                <w:sz w:val="28"/>
                <w:szCs w:val="28"/>
                <w:lang w:eastAsia="zh-CN"/>
              </w:rPr>
            </w:pPr>
            <w:r>
              <w:rPr>
                <w:rFonts w:hint="eastAsia" w:ascii="仿宋" w:hAnsi="仿宋" w:eastAsia="仿宋" w:cs="仿宋"/>
                <w:snapToGrid w:val="0"/>
                <w:kern w:val="0"/>
                <w:sz w:val="28"/>
                <w:szCs w:val="28"/>
                <w:lang w:eastAsia="zh-CN"/>
              </w:rPr>
              <w:t>院前急救科驾驶员外包服务</w:t>
            </w:r>
          </w:p>
        </w:tc>
        <w:tc>
          <w:tcPr>
            <w:tcW w:w="917" w:type="dxa"/>
            <w:vAlign w:val="center"/>
          </w:tcPr>
          <w:p>
            <w:pPr>
              <w:pStyle w:val="16"/>
              <w:spacing w:line="240" w:lineRule="auto"/>
              <w:ind w:left="0" w:firstLine="0"/>
              <w:jc w:val="center"/>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1项</w:t>
            </w:r>
          </w:p>
        </w:tc>
        <w:tc>
          <w:tcPr>
            <w:tcW w:w="4821" w:type="dxa"/>
          </w:tcPr>
          <w:p>
            <w:pPr>
              <w:widowControl/>
              <w:spacing w:line="240" w:lineRule="auto"/>
              <w:jc w:val="left"/>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本项目为山东大学第二医院</w:t>
            </w:r>
            <w:r>
              <w:rPr>
                <w:rFonts w:hint="eastAsia" w:ascii="仿宋" w:hAnsi="仿宋" w:eastAsia="仿宋" w:cs="仿宋"/>
                <w:snapToGrid w:val="0"/>
                <w:kern w:val="0"/>
                <w:sz w:val="28"/>
                <w:szCs w:val="28"/>
                <w:lang w:eastAsia="zh-CN"/>
              </w:rPr>
              <w:t>院前急救科驾驶员外包服务项目</w:t>
            </w:r>
            <w:r>
              <w:rPr>
                <w:rFonts w:hint="eastAsia" w:ascii="仿宋" w:hAnsi="仿宋" w:eastAsia="仿宋" w:cs="仿宋"/>
                <w:snapToGrid w:val="0"/>
                <w:kern w:val="0"/>
                <w:sz w:val="28"/>
                <w:szCs w:val="28"/>
              </w:rPr>
              <w:t>，用于满足医院</w:t>
            </w:r>
            <w:r>
              <w:rPr>
                <w:rFonts w:hint="eastAsia" w:ascii="仿宋" w:hAnsi="仿宋" w:eastAsia="仿宋" w:cs="仿宋"/>
                <w:color w:val="000000"/>
                <w:sz w:val="28"/>
                <w:szCs w:val="28"/>
              </w:rPr>
              <w:t>使用</w:t>
            </w:r>
            <w:r>
              <w:rPr>
                <w:rFonts w:hint="eastAsia" w:ascii="仿宋" w:hAnsi="仿宋" w:eastAsia="仿宋" w:cs="仿宋"/>
                <w:snapToGrid w:val="0"/>
                <w:kern w:val="0"/>
                <w:sz w:val="28"/>
                <w:szCs w:val="28"/>
              </w:rPr>
              <w:t>需求。</w:t>
            </w:r>
          </w:p>
        </w:tc>
      </w:tr>
    </w:tbl>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合同履行期限：本项目合同签订之日起至项目结束时间止。</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本项目</w:t>
      </w:r>
      <w:r>
        <w:rPr>
          <w:rFonts w:hint="eastAsia" w:ascii="仿宋" w:hAnsi="仿宋" w:eastAsia="仿宋" w:cs="仿宋"/>
          <w:sz w:val="28"/>
          <w:szCs w:val="28"/>
          <w:highlight w:val="none"/>
          <w:lang w:val="en-US" w:eastAsia="zh-CN"/>
        </w:rPr>
        <w:t>不</w:t>
      </w:r>
      <w:r>
        <w:rPr>
          <w:rFonts w:hint="eastAsia" w:ascii="仿宋" w:hAnsi="仿宋" w:eastAsia="仿宋" w:cs="仿宋"/>
          <w:sz w:val="28"/>
          <w:szCs w:val="28"/>
          <w:highlight w:val="none"/>
        </w:rPr>
        <w:t>接受联合体投标。</w:t>
      </w:r>
    </w:p>
    <w:p>
      <w:pPr>
        <w:spacing w:line="360" w:lineRule="auto"/>
        <w:outlineLvl w:val="9"/>
        <w:rPr>
          <w:rFonts w:hint="eastAsia" w:ascii="仿宋" w:hAnsi="仿宋" w:eastAsia="仿宋" w:cs="仿宋"/>
          <w:b w:val="0"/>
          <w:sz w:val="28"/>
          <w:szCs w:val="28"/>
          <w:highlight w:val="none"/>
        </w:rPr>
      </w:pPr>
      <w:bookmarkStart w:id="32" w:name="_Toc35393622"/>
      <w:bookmarkStart w:id="33" w:name="_Toc28359003"/>
      <w:bookmarkStart w:id="34" w:name="_Toc28359080"/>
      <w:bookmarkStart w:id="35" w:name="_Toc35393791"/>
      <w:r>
        <w:rPr>
          <w:rFonts w:hint="eastAsia" w:ascii="仿宋" w:hAnsi="仿宋" w:eastAsia="仿宋" w:cs="仿宋"/>
          <w:b w:val="0"/>
          <w:sz w:val="28"/>
          <w:szCs w:val="28"/>
          <w:highlight w:val="none"/>
        </w:rPr>
        <w:t>二、申请人的资格要求：</w:t>
      </w:r>
      <w:bookmarkEnd w:id="32"/>
      <w:bookmarkEnd w:id="33"/>
      <w:bookmarkEnd w:id="34"/>
      <w:bookmarkEnd w:id="35"/>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1.满足《中华人民共和国政府采购法》第二十二条规定；</w:t>
      </w:r>
    </w:p>
    <w:p>
      <w:pPr>
        <w:spacing w:line="360" w:lineRule="auto"/>
        <w:ind w:firstLine="560" w:firstLineChars="200"/>
        <w:rPr>
          <w:rFonts w:hint="eastAsia" w:ascii="仿宋" w:hAnsi="仿宋" w:eastAsia="仿宋" w:cs="仿宋"/>
          <w:sz w:val="28"/>
          <w:szCs w:val="28"/>
          <w:highlight w:val="none"/>
        </w:rPr>
      </w:pPr>
      <w:bookmarkStart w:id="36" w:name="_Toc28359081"/>
      <w:bookmarkStart w:id="37" w:name="_Toc28359004"/>
      <w:r>
        <w:rPr>
          <w:rFonts w:hint="eastAsia" w:ascii="仿宋" w:hAnsi="仿宋" w:eastAsia="仿宋" w:cs="仿宋"/>
          <w:sz w:val="28"/>
          <w:szCs w:val="28"/>
          <w:highlight w:val="none"/>
        </w:rPr>
        <w:t>2.落实政府采购政策需满足的资格要求：本采购项目需落实中小型企业、监狱企业及残疾人福利性单位等优惠政策和办法，具体要求详见招标文件。</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3.本项目的特定资格要求：</w:t>
      </w:r>
      <w:bookmarkStart w:id="38" w:name="_Toc35393792"/>
      <w:bookmarkStart w:id="39" w:name="_Toc35393623"/>
    </w:p>
    <w:p>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在“信用中国”(www.creditchina.gov.cn)、中国政府采购网(www.ccgp.gov.cn)等任何一个网站中被列入失信被执行人、重大税收违法案件当事人名单、政府采购严重违法失信行为记录名单的供应商，不得参加本次政府采购活动</w:t>
      </w:r>
      <w:r>
        <w:rPr>
          <w:rFonts w:hint="eastAsia" w:ascii="仿宋" w:hAnsi="仿宋" w:eastAsia="仿宋" w:cs="仿宋"/>
          <w:sz w:val="28"/>
          <w:szCs w:val="28"/>
          <w:highlight w:val="none"/>
          <w:lang w:eastAsia="zh-CN"/>
        </w:rPr>
        <w:t>。</w:t>
      </w:r>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三、获取招标文件</w:t>
      </w:r>
      <w:bookmarkEnd w:id="36"/>
      <w:bookmarkEnd w:id="37"/>
      <w:bookmarkEnd w:id="38"/>
      <w:bookmarkEnd w:id="39"/>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时间：202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11</w:t>
      </w:r>
      <w:r>
        <w:rPr>
          <w:rFonts w:hint="eastAsia" w:ascii="仿宋" w:hAnsi="仿宋" w:eastAsia="仿宋" w:cs="仿宋"/>
          <w:sz w:val="28"/>
          <w:szCs w:val="28"/>
          <w:highlight w:val="none"/>
        </w:rPr>
        <w:t>日至 202</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18</w:t>
      </w:r>
      <w:r>
        <w:rPr>
          <w:rFonts w:hint="eastAsia" w:ascii="仿宋" w:hAnsi="仿宋" w:eastAsia="仿宋" w:cs="仿宋"/>
          <w:sz w:val="28"/>
          <w:szCs w:val="28"/>
          <w:highlight w:val="none"/>
        </w:rPr>
        <w:t>日，每天上午8:30至12:00，下午12:00至17:30。（北京时间，法定节假日除外）</w:t>
      </w:r>
    </w:p>
    <w:p>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地点：山东济南唐冶西路868号山东设计创意产业园南区B1楼</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方式：凡有意参加本次政府采购的供应商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可选择以下任意一种方式：</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方式一：</w:t>
      </w:r>
      <w:r>
        <w:rPr>
          <w:rFonts w:hint="eastAsia" w:ascii="仿宋" w:hAnsi="仿宋" w:eastAsia="仿宋" w:cs="仿宋"/>
          <w:sz w:val="28"/>
          <w:szCs w:val="28"/>
          <w:highlight w:val="none"/>
        </w:rPr>
        <w:t>供应商须携带营业执照、法定代表人授权委托书及身份证、授权代表依法缴纳社保的证明材料，在“信用中国”网站、中国政府采购网站查询的信用截图。以上资料需携带原件及加盖公章的复印件一套到山东济南唐冶西路868号山东设计创意产业园南区B1楼获取</w:t>
      </w:r>
      <w:r>
        <w:rPr>
          <w:rFonts w:hint="eastAsia" w:ascii="仿宋" w:hAnsi="仿宋" w:eastAsia="仿宋" w:cs="仿宋"/>
          <w:sz w:val="28"/>
          <w:szCs w:val="28"/>
          <w:highlight w:val="none"/>
          <w:lang w:eastAsia="zh-CN"/>
        </w:rPr>
        <w:t>招标文件</w:t>
      </w:r>
      <w:r>
        <w:rPr>
          <w:rFonts w:hint="eastAsia" w:ascii="仿宋" w:hAnsi="仿宋" w:eastAsia="仿宋" w:cs="仿宋"/>
          <w:sz w:val="28"/>
          <w:szCs w:val="28"/>
          <w:highlight w:val="none"/>
        </w:rPr>
        <w:t>。</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方式二：</w:t>
      </w:r>
      <w:r>
        <w:rPr>
          <w:rFonts w:hint="eastAsia" w:ascii="仿宋" w:hAnsi="仿宋" w:eastAsia="仿宋" w:cs="仿宋"/>
          <w:sz w:val="28"/>
          <w:szCs w:val="28"/>
          <w:highlight w:val="none"/>
        </w:rPr>
        <w:t>通过邮件报名：邮件内容：项目名称、项目编号、公司名称、联系人、联系电话、邮箱、营业执照副本扫描件、标书费汇款底单发送至山东盛和招标代理有限公司邮箱</w:t>
      </w:r>
      <w:r>
        <w:rPr>
          <w:rFonts w:hint="eastAsia" w:ascii="仿宋" w:hAnsi="仿宋" w:eastAsia="仿宋" w:cs="仿宋"/>
          <w:sz w:val="28"/>
          <w:szCs w:val="28"/>
          <w:highlight w:val="none"/>
          <w:lang w:eastAsia="zh-CN"/>
        </w:rPr>
        <w:t>cnshzbegs@163.com</w:t>
      </w:r>
      <w:r>
        <w:rPr>
          <w:rFonts w:hint="eastAsia" w:ascii="仿宋" w:hAnsi="仿宋" w:eastAsia="仿宋" w:cs="仿宋"/>
          <w:sz w:val="28"/>
          <w:szCs w:val="28"/>
          <w:highlight w:val="none"/>
        </w:rPr>
        <w:t>，邮件名称命名为山东大学第二医院</w:t>
      </w:r>
      <w:r>
        <w:rPr>
          <w:rFonts w:hint="eastAsia" w:ascii="仿宋" w:hAnsi="仿宋" w:eastAsia="仿宋" w:cs="仿宋"/>
          <w:sz w:val="28"/>
          <w:szCs w:val="28"/>
          <w:highlight w:val="none"/>
          <w:lang w:eastAsia="zh-CN"/>
        </w:rPr>
        <w:t>院前急救科驾驶员外包服务项目</w:t>
      </w:r>
      <w:r>
        <w:rPr>
          <w:rFonts w:hint="eastAsia" w:ascii="仿宋" w:hAnsi="仿宋" w:eastAsia="仿宋" w:cs="仿宋"/>
          <w:sz w:val="28"/>
          <w:szCs w:val="28"/>
          <w:highlight w:val="none"/>
        </w:rPr>
        <w:t>-报名-“响应单位名称”。开户单位全称：山东盛和招标代理有限公司。开户行：兴业银行济南燕山支行。账号：376060100100168341。</w:t>
      </w:r>
    </w:p>
    <w:p>
      <w:pPr>
        <w:spacing w:line="360" w:lineRule="auto"/>
        <w:ind w:firstLine="54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售价：￥300.0 元（人民币）</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售后不退。</w:t>
      </w:r>
    </w:p>
    <w:p>
      <w:pPr>
        <w:spacing w:line="360" w:lineRule="auto"/>
        <w:ind w:firstLine="540"/>
        <w:rPr>
          <w:rFonts w:hint="eastAsia" w:ascii="仿宋" w:hAnsi="仿宋" w:eastAsia="仿宋" w:cs="仿宋"/>
          <w:sz w:val="28"/>
          <w:szCs w:val="28"/>
          <w:highlight w:val="none"/>
        </w:rPr>
      </w:pPr>
      <w:r>
        <w:rPr>
          <w:rFonts w:hint="eastAsia" w:ascii="仿宋" w:hAnsi="仿宋" w:eastAsia="仿宋" w:cs="仿宋"/>
          <w:sz w:val="28"/>
          <w:szCs w:val="28"/>
          <w:highlight w:val="none"/>
        </w:rPr>
        <w:t>注：1、本项目实行资格后审，获取招标文件成功不代表资格后审的通过。</w:t>
      </w:r>
    </w:p>
    <w:p>
      <w:pPr>
        <w:spacing w:line="360" w:lineRule="auto"/>
        <w:ind w:firstLine="540"/>
        <w:rPr>
          <w:rFonts w:hint="eastAsia" w:ascii="仿宋" w:hAnsi="仿宋" w:eastAsia="仿宋" w:cs="仿宋"/>
          <w:lang w:val="en-US" w:eastAsia="zh-CN"/>
        </w:rPr>
      </w:pPr>
      <w:r>
        <w:rPr>
          <w:rFonts w:hint="eastAsia" w:ascii="仿宋" w:hAnsi="仿宋" w:eastAsia="仿宋" w:cs="仿宋"/>
          <w:sz w:val="28"/>
          <w:szCs w:val="28"/>
          <w:highlight w:val="none"/>
        </w:rPr>
        <w:t>2、本采购项目的变更、修改、澄清等内容均在“中国政府采购网”发布。相关内容一经在“中国政府采购网”发布，视作已发放给所有潜在投标人。各潜在投标人应随时关注并及时自行查阅网站信息，未按要求查阅者自行承担相应后果。</w:t>
      </w:r>
    </w:p>
    <w:p>
      <w:pPr>
        <w:spacing w:line="360" w:lineRule="auto"/>
        <w:outlineLvl w:val="9"/>
        <w:rPr>
          <w:rFonts w:hint="eastAsia" w:ascii="仿宋" w:hAnsi="仿宋" w:eastAsia="仿宋" w:cs="仿宋"/>
          <w:b w:val="0"/>
          <w:sz w:val="28"/>
          <w:szCs w:val="28"/>
          <w:highlight w:val="none"/>
        </w:rPr>
      </w:pPr>
      <w:bookmarkStart w:id="40" w:name="_Toc28359082"/>
      <w:bookmarkStart w:id="41" w:name="_Toc28359005"/>
      <w:bookmarkStart w:id="42" w:name="_Toc35393793"/>
      <w:bookmarkStart w:id="43" w:name="_Toc35393624"/>
      <w:r>
        <w:rPr>
          <w:rFonts w:hint="eastAsia" w:ascii="仿宋" w:hAnsi="仿宋" w:eastAsia="仿宋" w:cs="仿宋"/>
          <w:b w:val="0"/>
          <w:sz w:val="28"/>
          <w:szCs w:val="28"/>
          <w:highlight w:val="none"/>
        </w:rPr>
        <w:t>四、提交投标文件</w:t>
      </w:r>
      <w:bookmarkEnd w:id="40"/>
      <w:bookmarkEnd w:id="41"/>
      <w:r>
        <w:rPr>
          <w:rFonts w:hint="eastAsia" w:ascii="仿宋" w:hAnsi="仿宋" w:eastAsia="仿宋" w:cs="仿宋"/>
          <w:b w:val="0"/>
          <w:sz w:val="28"/>
          <w:szCs w:val="28"/>
          <w:highlight w:val="none"/>
        </w:rPr>
        <w:t>截止时间、开标时间和地点</w:t>
      </w:r>
      <w:bookmarkEnd w:id="42"/>
      <w:bookmarkEnd w:id="43"/>
    </w:p>
    <w:p>
      <w:pPr>
        <w:spacing w:line="360" w:lineRule="auto"/>
        <w:ind w:firstLine="560" w:firstLineChars="200"/>
        <w:rPr>
          <w:rFonts w:hint="eastAsia" w:ascii="仿宋" w:hAnsi="仿宋" w:eastAsia="仿宋" w:cs="仿宋"/>
          <w:bCs/>
          <w:color w:val="000000" w:themeColor="text1"/>
          <w:sz w:val="28"/>
          <w:szCs w:val="28"/>
          <w:highlight w:val="none"/>
          <w:u w:val="single"/>
          <w14:textFill>
            <w14:solidFill>
              <w14:schemeClr w14:val="tx1"/>
            </w14:solidFill>
          </w14:textFill>
        </w:rPr>
      </w:pP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2022</w:t>
      </w:r>
      <w:r>
        <w:rPr>
          <w:rFonts w:hint="eastAsia" w:ascii="仿宋" w:hAnsi="仿宋" w:eastAsia="仿宋" w:cs="仿宋"/>
          <w:bCs/>
          <w:color w:val="000000" w:themeColor="text1"/>
          <w:sz w:val="28"/>
          <w:szCs w:val="28"/>
          <w:highlight w:val="none"/>
          <w:u w:val="single"/>
          <w14:textFill>
            <w14:solidFill>
              <w14:schemeClr w14:val="tx1"/>
            </w14:solidFill>
          </w14:textFill>
        </w:rPr>
        <w:t>年</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6</w:t>
      </w:r>
      <w:r>
        <w:rPr>
          <w:rFonts w:hint="eastAsia" w:ascii="仿宋" w:hAnsi="仿宋" w:eastAsia="仿宋" w:cs="仿宋"/>
          <w:bCs/>
          <w:color w:val="000000" w:themeColor="text1"/>
          <w:sz w:val="28"/>
          <w:szCs w:val="28"/>
          <w:highlight w:val="none"/>
          <w:u w:val="single"/>
          <w14:textFill>
            <w14:solidFill>
              <w14:schemeClr w14:val="tx1"/>
            </w14:solidFill>
          </w14:textFill>
        </w:rPr>
        <w:t>月</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7</w:t>
      </w:r>
      <w:r>
        <w:rPr>
          <w:rFonts w:hint="eastAsia" w:ascii="仿宋" w:hAnsi="仿宋" w:eastAsia="仿宋" w:cs="仿宋"/>
          <w:bCs/>
          <w:color w:val="000000" w:themeColor="text1"/>
          <w:sz w:val="28"/>
          <w:szCs w:val="28"/>
          <w:highlight w:val="none"/>
          <w:u w:val="single"/>
          <w14:textFill>
            <w14:solidFill>
              <w14:schemeClr w14:val="tx1"/>
            </w14:solidFill>
          </w14:textFill>
        </w:rPr>
        <w:t>日</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9</w:t>
      </w:r>
      <w:r>
        <w:rPr>
          <w:rFonts w:hint="eastAsia" w:ascii="仿宋" w:hAnsi="仿宋" w:eastAsia="仿宋" w:cs="仿宋"/>
          <w:bCs/>
          <w:color w:val="000000" w:themeColor="text1"/>
          <w:sz w:val="28"/>
          <w:szCs w:val="28"/>
          <w:highlight w:val="none"/>
          <w:u w:val="single"/>
          <w14:textFill>
            <w14:solidFill>
              <w14:schemeClr w14:val="tx1"/>
            </w14:solidFill>
          </w14:textFill>
        </w:rPr>
        <w:t>点</w:t>
      </w:r>
      <w:r>
        <w:rPr>
          <w:rFonts w:hint="eastAsia" w:ascii="仿宋" w:hAnsi="仿宋" w:eastAsia="仿宋" w:cs="仿宋"/>
          <w:bCs/>
          <w:color w:val="000000" w:themeColor="text1"/>
          <w:sz w:val="28"/>
          <w:szCs w:val="28"/>
          <w:highlight w:val="none"/>
          <w:u w:val="single"/>
          <w:lang w:val="en-US" w:eastAsia="zh-CN"/>
          <w14:textFill>
            <w14:solidFill>
              <w14:schemeClr w14:val="tx1"/>
            </w14:solidFill>
          </w14:textFill>
        </w:rPr>
        <w:t>00</w:t>
      </w:r>
      <w:r>
        <w:rPr>
          <w:rFonts w:hint="eastAsia" w:ascii="仿宋" w:hAnsi="仿宋" w:eastAsia="仿宋" w:cs="仿宋"/>
          <w:bCs/>
          <w:color w:val="000000" w:themeColor="text1"/>
          <w:sz w:val="28"/>
          <w:szCs w:val="28"/>
          <w:highlight w:val="none"/>
          <w:u w:val="single"/>
          <w14:textFill>
            <w14:solidFill>
              <w14:schemeClr w14:val="tx1"/>
            </w14:solidFill>
          </w14:textFill>
        </w:rPr>
        <w:t>分</w:t>
      </w:r>
      <w:r>
        <w:rPr>
          <w:rFonts w:hint="eastAsia" w:ascii="仿宋" w:hAnsi="仿宋" w:eastAsia="仿宋" w:cs="仿宋"/>
          <w:bCs/>
          <w:color w:val="000000" w:themeColor="text1"/>
          <w:sz w:val="28"/>
          <w:szCs w:val="28"/>
          <w:highlight w:val="none"/>
          <w14:textFill>
            <w14:solidFill>
              <w14:schemeClr w14:val="tx1"/>
            </w14:solidFill>
          </w14:textFill>
        </w:rPr>
        <w:t>（北京时间）</w:t>
      </w:r>
    </w:p>
    <w:p>
      <w:pPr>
        <w:spacing w:line="360" w:lineRule="auto"/>
        <w:ind w:firstLine="560" w:firstLineChars="200"/>
        <w:rPr>
          <w:rFonts w:hint="eastAsia" w:ascii="仿宋" w:hAnsi="仿宋" w:eastAsia="仿宋" w:cs="仿宋"/>
          <w:bCs/>
          <w:sz w:val="28"/>
          <w:szCs w:val="28"/>
          <w:highlight w:val="none"/>
          <w:u w:val="single"/>
        </w:rPr>
      </w:pPr>
      <w:r>
        <w:rPr>
          <w:rFonts w:hint="eastAsia" w:ascii="仿宋" w:hAnsi="仿宋" w:eastAsia="仿宋" w:cs="仿宋"/>
          <w:sz w:val="28"/>
          <w:szCs w:val="28"/>
          <w:highlight w:val="none"/>
        </w:rPr>
        <w:t>地点：山东大学第二医院</w:t>
      </w:r>
      <w:r>
        <w:rPr>
          <w:rFonts w:hint="eastAsia" w:ascii="仿宋" w:hAnsi="仿宋" w:eastAsia="仿宋" w:cs="仿宋"/>
          <w:sz w:val="28"/>
          <w:szCs w:val="28"/>
          <w:highlight w:val="none"/>
          <w:lang w:eastAsia="zh-CN"/>
        </w:rPr>
        <w:t>文会</w:t>
      </w:r>
      <w:r>
        <w:rPr>
          <w:rFonts w:hint="eastAsia" w:ascii="仿宋" w:hAnsi="仿宋" w:eastAsia="仿宋" w:cs="仿宋"/>
          <w:sz w:val="28"/>
          <w:szCs w:val="28"/>
          <w:highlight w:val="none"/>
        </w:rPr>
        <w:t>学堂（地址：济南市天桥区北园大街247号）。</w:t>
      </w:r>
    </w:p>
    <w:p>
      <w:pPr>
        <w:spacing w:line="360" w:lineRule="auto"/>
        <w:outlineLvl w:val="9"/>
        <w:rPr>
          <w:rFonts w:hint="eastAsia" w:ascii="仿宋" w:hAnsi="仿宋" w:eastAsia="仿宋" w:cs="仿宋"/>
          <w:b w:val="0"/>
          <w:sz w:val="28"/>
          <w:szCs w:val="28"/>
          <w:highlight w:val="none"/>
        </w:rPr>
      </w:pPr>
      <w:bookmarkStart w:id="44" w:name="_Toc28359084"/>
      <w:bookmarkStart w:id="45" w:name="_Toc28359007"/>
      <w:bookmarkStart w:id="46" w:name="_Toc35393794"/>
      <w:bookmarkStart w:id="47" w:name="_Toc35393625"/>
      <w:r>
        <w:rPr>
          <w:rFonts w:hint="eastAsia" w:ascii="仿宋" w:hAnsi="仿宋" w:eastAsia="仿宋" w:cs="仿宋"/>
          <w:b w:val="0"/>
          <w:sz w:val="28"/>
          <w:szCs w:val="28"/>
          <w:highlight w:val="none"/>
        </w:rPr>
        <w:t>五、公告期限</w:t>
      </w:r>
      <w:bookmarkEnd w:id="44"/>
      <w:bookmarkEnd w:id="45"/>
      <w:bookmarkEnd w:id="46"/>
      <w:bookmarkEnd w:id="47"/>
    </w:p>
    <w:p>
      <w:pPr>
        <w:spacing w:line="360" w:lineRule="auto"/>
        <w:ind w:firstLine="560" w:firstLineChars="20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自本公告发布之日起5个工作日。</w:t>
      </w:r>
    </w:p>
    <w:p>
      <w:pPr>
        <w:spacing w:line="360" w:lineRule="auto"/>
        <w:outlineLvl w:val="9"/>
        <w:rPr>
          <w:rFonts w:hint="eastAsia" w:ascii="仿宋" w:hAnsi="仿宋" w:eastAsia="仿宋" w:cs="仿宋"/>
          <w:b w:val="0"/>
          <w:sz w:val="28"/>
          <w:szCs w:val="28"/>
          <w:highlight w:val="none"/>
        </w:rPr>
      </w:pPr>
      <w:bookmarkStart w:id="48" w:name="_Toc35393626"/>
      <w:bookmarkStart w:id="49" w:name="_Toc35393795"/>
      <w:r>
        <w:rPr>
          <w:rFonts w:hint="eastAsia" w:ascii="仿宋" w:hAnsi="仿宋" w:eastAsia="仿宋" w:cs="仿宋"/>
          <w:b w:val="0"/>
          <w:sz w:val="28"/>
          <w:szCs w:val="28"/>
          <w:highlight w:val="none"/>
        </w:rPr>
        <w:t>六、其他补充事宜</w:t>
      </w:r>
      <w:bookmarkEnd w:id="48"/>
      <w:bookmarkEnd w:id="49"/>
    </w:p>
    <w:p>
      <w:pPr>
        <w:spacing w:line="360" w:lineRule="auto"/>
        <w:ind w:firstLine="540"/>
        <w:rPr>
          <w:rFonts w:hint="eastAsia" w:ascii="仿宋" w:hAnsi="仿宋" w:eastAsia="仿宋" w:cs="仿宋"/>
          <w:sz w:val="28"/>
          <w:szCs w:val="28"/>
          <w:highlight w:val="none"/>
        </w:rPr>
      </w:pPr>
      <w:bookmarkStart w:id="50" w:name="_Toc11380"/>
      <w:bookmarkStart w:id="51" w:name="_Toc27143"/>
      <w:bookmarkStart w:id="52" w:name="_Toc13738"/>
      <w:bookmarkStart w:id="53" w:name="_Toc9359"/>
      <w:bookmarkStart w:id="54" w:name="_Toc8523"/>
      <w:bookmarkStart w:id="55" w:name="_Toc27247"/>
      <w:bookmarkStart w:id="56" w:name="_Toc28359008"/>
      <w:bookmarkStart w:id="57" w:name="_Toc35393796"/>
      <w:bookmarkStart w:id="58" w:name="_Toc28359085"/>
      <w:bookmarkStart w:id="59" w:name="_Toc35393627"/>
      <w:r>
        <w:rPr>
          <w:rFonts w:hint="eastAsia" w:ascii="仿宋" w:hAnsi="仿宋" w:eastAsia="仿宋" w:cs="仿宋"/>
          <w:sz w:val="28"/>
          <w:szCs w:val="28"/>
          <w:highlight w:val="none"/>
        </w:rPr>
        <w:t>采购项目需要落实的政府采购政策</w:t>
      </w:r>
      <w:bookmarkEnd w:id="50"/>
      <w:bookmarkEnd w:id="51"/>
      <w:bookmarkEnd w:id="52"/>
      <w:bookmarkEnd w:id="53"/>
      <w:bookmarkEnd w:id="54"/>
      <w:bookmarkEnd w:id="55"/>
    </w:p>
    <w:p>
      <w:pPr>
        <w:spacing w:line="360" w:lineRule="auto"/>
        <w:ind w:firstLine="540"/>
        <w:rPr>
          <w:rFonts w:hint="eastAsia" w:ascii="仿宋" w:hAnsi="仿宋" w:eastAsia="仿宋" w:cs="仿宋"/>
          <w:sz w:val="28"/>
          <w:szCs w:val="28"/>
          <w:highlight w:val="none"/>
        </w:rPr>
      </w:pPr>
      <w:bookmarkStart w:id="60" w:name="_Toc5740"/>
      <w:bookmarkStart w:id="61" w:name="_Toc21415"/>
      <w:bookmarkStart w:id="62" w:name="_Toc4986"/>
      <w:bookmarkStart w:id="63" w:name="_Toc32511"/>
      <w:bookmarkStart w:id="64" w:name="_Toc25231"/>
      <w:bookmarkStart w:id="65" w:name="_Toc13114"/>
      <w:r>
        <w:rPr>
          <w:rFonts w:hint="eastAsia" w:ascii="仿宋" w:hAnsi="仿宋" w:eastAsia="仿宋" w:cs="仿宋"/>
          <w:sz w:val="28"/>
          <w:szCs w:val="28"/>
          <w:highlight w:val="none"/>
        </w:rPr>
        <w:t>（一）中小微型企业政府采购政策</w:t>
      </w:r>
      <w:bookmarkEnd w:id="60"/>
      <w:bookmarkEnd w:id="61"/>
      <w:bookmarkEnd w:id="62"/>
      <w:bookmarkEnd w:id="63"/>
      <w:bookmarkEnd w:id="64"/>
      <w:bookmarkEnd w:id="65"/>
    </w:p>
    <w:p>
      <w:pPr>
        <w:spacing w:line="360" w:lineRule="auto"/>
        <w:ind w:firstLine="540"/>
        <w:rPr>
          <w:rFonts w:hint="eastAsia" w:ascii="仿宋" w:hAnsi="仿宋" w:eastAsia="仿宋" w:cs="仿宋"/>
          <w:sz w:val="28"/>
          <w:szCs w:val="28"/>
          <w:highlight w:val="none"/>
        </w:rPr>
      </w:pPr>
      <w:bookmarkStart w:id="66" w:name="_Toc27124"/>
      <w:bookmarkStart w:id="67" w:name="_Toc24918"/>
      <w:bookmarkStart w:id="68" w:name="_Toc2425"/>
      <w:bookmarkStart w:id="69" w:name="_Toc6934"/>
      <w:bookmarkStart w:id="70" w:name="_Toc18856"/>
      <w:bookmarkStart w:id="71" w:name="_Toc16973"/>
      <w:r>
        <w:rPr>
          <w:rFonts w:hint="eastAsia" w:ascii="仿宋" w:hAnsi="仿宋" w:eastAsia="仿宋" w:cs="仿宋"/>
          <w:sz w:val="28"/>
          <w:szCs w:val="28"/>
          <w:highlight w:val="none"/>
        </w:rPr>
        <w:t>（二）监狱企业政府采购政策</w:t>
      </w:r>
      <w:bookmarkEnd w:id="66"/>
      <w:bookmarkEnd w:id="67"/>
      <w:bookmarkEnd w:id="68"/>
      <w:bookmarkEnd w:id="69"/>
      <w:bookmarkEnd w:id="70"/>
      <w:bookmarkEnd w:id="71"/>
    </w:p>
    <w:p>
      <w:pPr>
        <w:spacing w:line="360" w:lineRule="auto"/>
        <w:ind w:firstLine="540"/>
        <w:rPr>
          <w:rFonts w:hint="eastAsia" w:ascii="仿宋" w:hAnsi="仿宋" w:eastAsia="仿宋" w:cs="仿宋"/>
          <w:sz w:val="28"/>
          <w:szCs w:val="28"/>
          <w:highlight w:val="none"/>
        </w:rPr>
      </w:pPr>
      <w:bookmarkStart w:id="72" w:name="_Toc18488"/>
      <w:bookmarkStart w:id="73" w:name="_Toc25943"/>
      <w:bookmarkStart w:id="74" w:name="_Toc19604"/>
      <w:bookmarkStart w:id="75" w:name="_Toc28309"/>
      <w:bookmarkStart w:id="76" w:name="_Toc32242"/>
      <w:bookmarkStart w:id="77" w:name="_Toc19142"/>
      <w:r>
        <w:rPr>
          <w:rFonts w:hint="eastAsia" w:ascii="仿宋" w:hAnsi="仿宋" w:eastAsia="仿宋" w:cs="仿宋"/>
          <w:sz w:val="28"/>
          <w:szCs w:val="28"/>
          <w:highlight w:val="none"/>
        </w:rPr>
        <w:t>（三）促进残疾人就业政府采购政策</w:t>
      </w:r>
      <w:bookmarkEnd w:id="72"/>
      <w:bookmarkEnd w:id="73"/>
      <w:bookmarkEnd w:id="74"/>
      <w:bookmarkEnd w:id="75"/>
      <w:bookmarkEnd w:id="76"/>
      <w:bookmarkEnd w:id="77"/>
    </w:p>
    <w:p>
      <w:pPr>
        <w:spacing w:line="360" w:lineRule="auto"/>
        <w:outlineLvl w:val="9"/>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七、对本次招标提出询问，请按以下方式联系。</w:t>
      </w:r>
      <w:bookmarkEnd w:id="56"/>
      <w:bookmarkEnd w:id="57"/>
      <w:bookmarkEnd w:id="58"/>
      <w:bookmarkEnd w:id="59"/>
    </w:p>
    <w:p>
      <w:pPr>
        <w:widowControl/>
        <w:spacing w:line="360" w:lineRule="auto"/>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　　　1.采购人信息</w:t>
      </w:r>
    </w:p>
    <w:p>
      <w:pPr>
        <w:spacing w:line="360" w:lineRule="auto"/>
        <w:ind w:left="1389" w:leftChars="371" w:hanging="350" w:hangingChars="125"/>
        <w:jc w:val="left"/>
        <w:rPr>
          <w:rFonts w:hint="eastAsia" w:ascii="仿宋" w:hAnsi="仿宋" w:eastAsia="仿宋" w:cs="仿宋"/>
          <w:sz w:val="28"/>
          <w:szCs w:val="28"/>
          <w:highlight w:val="none"/>
        </w:rPr>
      </w:pPr>
      <w:bookmarkStart w:id="78" w:name="_Toc28359009"/>
      <w:bookmarkStart w:id="79" w:name="_Toc28359086"/>
      <w:r>
        <w:rPr>
          <w:rFonts w:hint="eastAsia" w:ascii="仿宋" w:hAnsi="仿宋" w:eastAsia="仿宋" w:cs="仿宋"/>
          <w:sz w:val="28"/>
          <w:szCs w:val="28"/>
          <w:highlight w:val="none"/>
        </w:rPr>
        <w:t>名称：山东大学</w:t>
      </w:r>
      <w:r>
        <w:rPr>
          <w:rFonts w:hint="eastAsia" w:ascii="仿宋" w:hAnsi="仿宋" w:eastAsia="仿宋" w:cs="仿宋"/>
          <w:sz w:val="28"/>
          <w:szCs w:val="28"/>
          <w:highlight w:val="none"/>
          <w:lang w:val="en-US" w:eastAsia="zh-CN"/>
        </w:rPr>
        <w:t>第二医院</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r>
        <w:rPr>
          <w:rFonts w:hint="eastAsia" w:ascii="仿宋" w:hAnsi="仿宋" w:eastAsia="仿宋" w:cs="仿宋"/>
          <w:sz w:val="28"/>
          <w:szCs w:val="28"/>
          <w:highlight w:val="none"/>
          <w:lang w:val="en-US" w:eastAsia="zh-CN"/>
        </w:rPr>
        <w:t>山东省济南市天桥区北园大街247号</w:t>
      </w:r>
      <w:r>
        <w:rPr>
          <w:rFonts w:hint="eastAsia" w:ascii="仿宋" w:hAnsi="仿宋" w:eastAsia="仿宋" w:cs="仿宋"/>
          <w:sz w:val="28"/>
          <w:szCs w:val="28"/>
          <w:highlight w:val="none"/>
        </w:rPr>
        <w:t>　　　　　　　　</w:t>
      </w:r>
    </w:p>
    <w:p>
      <w:pPr>
        <w:spacing w:line="360" w:lineRule="auto"/>
        <w:ind w:left="1389" w:leftChars="371" w:hanging="350" w:hangingChars="125"/>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w:t>
      </w:r>
      <w:r>
        <w:rPr>
          <w:rFonts w:hint="eastAsia" w:ascii="仿宋" w:hAnsi="仿宋" w:eastAsia="仿宋" w:cs="仿宋"/>
          <w:sz w:val="28"/>
          <w:szCs w:val="28"/>
          <w:highlight w:val="none"/>
          <w:lang w:val="en-US" w:eastAsia="zh-CN"/>
        </w:rPr>
        <w:t>85875076</w:t>
      </w:r>
      <w:r>
        <w:rPr>
          <w:rFonts w:hint="eastAsia" w:ascii="仿宋" w:hAnsi="仿宋" w:eastAsia="仿宋" w:cs="仿宋"/>
          <w:sz w:val="28"/>
          <w:szCs w:val="28"/>
          <w:highlight w:val="none"/>
        </w:rPr>
        <w:t>　　</w:t>
      </w:r>
    </w:p>
    <w:p>
      <w:pPr>
        <w:spacing w:line="360" w:lineRule="auto"/>
        <w:ind w:firstLine="840" w:firstLineChars="300"/>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2.采购代理机构信息</w:t>
      </w:r>
      <w:bookmarkEnd w:id="78"/>
      <w:bookmarkEnd w:id="79"/>
    </w:p>
    <w:p>
      <w:pPr>
        <w:spacing w:line="360" w:lineRule="auto"/>
        <w:ind w:firstLine="840" w:firstLineChars="300"/>
        <w:rPr>
          <w:rFonts w:hint="eastAsia" w:ascii="仿宋" w:hAnsi="仿宋" w:eastAsia="仿宋" w:cs="仿宋"/>
          <w:sz w:val="28"/>
          <w:szCs w:val="28"/>
          <w:highlight w:val="none"/>
        </w:rPr>
      </w:pPr>
      <w:bookmarkStart w:id="80" w:name="_Toc28359087"/>
      <w:bookmarkStart w:id="81" w:name="_Toc28359010"/>
      <w:r>
        <w:rPr>
          <w:rFonts w:hint="eastAsia" w:ascii="仿宋" w:hAnsi="仿宋" w:eastAsia="仿宋" w:cs="仿宋"/>
          <w:sz w:val="28"/>
          <w:szCs w:val="28"/>
          <w:highlight w:val="none"/>
        </w:rPr>
        <w:t>名 称：山东盛和招标代理有限公司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地　址：山东济南唐冶西路868号山东设计创意产业园南区B1楼　　　　　　　　　　　　</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联系方式：0531-88260506　　　</w:t>
      </w:r>
    </w:p>
    <w:p>
      <w:pPr>
        <w:spacing w:line="360" w:lineRule="auto"/>
        <w:ind w:firstLine="840" w:firstLineChars="300"/>
        <w:rPr>
          <w:rFonts w:hint="eastAsia" w:ascii="仿宋" w:hAnsi="仿宋" w:eastAsia="仿宋" w:cs="仿宋"/>
          <w:sz w:val="28"/>
          <w:szCs w:val="28"/>
          <w:highlight w:val="none"/>
          <w:u w:val="single"/>
        </w:rPr>
      </w:pPr>
      <w:r>
        <w:rPr>
          <w:rFonts w:hint="eastAsia" w:ascii="仿宋" w:hAnsi="仿宋" w:eastAsia="仿宋" w:cs="仿宋"/>
          <w:sz w:val="28"/>
          <w:szCs w:val="28"/>
          <w:highlight w:val="none"/>
        </w:rPr>
        <w:t>3.项目联系方式</w:t>
      </w:r>
      <w:bookmarkEnd w:id="80"/>
      <w:bookmarkEnd w:id="81"/>
    </w:p>
    <w:p>
      <w:pPr>
        <w:spacing w:line="360" w:lineRule="auto"/>
        <w:ind w:firstLine="840" w:firstLineChars="3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项目联系人：</w:t>
      </w:r>
      <w:r>
        <w:rPr>
          <w:rFonts w:hint="eastAsia" w:ascii="仿宋" w:hAnsi="仿宋" w:eastAsia="仿宋" w:cs="仿宋"/>
          <w:sz w:val="28"/>
          <w:szCs w:val="28"/>
          <w:highlight w:val="none"/>
          <w:lang w:val="en-US" w:eastAsia="zh-CN"/>
        </w:rPr>
        <w:t>许铖铖、</w:t>
      </w:r>
      <w:r>
        <w:rPr>
          <w:rFonts w:hint="eastAsia" w:ascii="仿宋" w:hAnsi="仿宋" w:eastAsia="仿宋" w:cs="仿宋"/>
          <w:sz w:val="28"/>
          <w:szCs w:val="28"/>
          <w:highlight w:val="none"/>
        </w:rPr>
        <w:t>王凯</w:t>
      </w:r>
    </w:p>
    <w:p>
      <w:pPr>
        <w:spacing w:line="360" w:lineRule="auto"/>
        <w:ind w:firstLine="840" w:firstLineChars="300"/>
        <w:rPr>
          <w:rFonts w:hint="eastAsia" w:ascii="仿宋" w:hAnsi="仿宋" w:eastAsia="仿宋" w:cs="仿宋"/>
          <w:sz w:val="28"/>
          <w:szCs w:val="28"/>
          <w:highlight w:val="none"/>
        </w:rPr>
      </w:pPr>
      <w:r>
        <w:rPr>
          <w:rFonts w:hint="eastAsia" w:ascii="仿宋" w:hAnsi="仿宋" w:eastAsia="仿宋" w:cs="仿宋"/>
          <w:sz w:val="28"/>
          <w:szCs w:val="28"/>
          <w:highlight w:val="none"/>
        </w:rPr>
        <w:t>电　话：</w:t>
      </w:r>
      <w:r>
        <w:rPr>
          <w:rFonts w:hint="eastAsia" w:ascii="仿宋" w:hAnsi="仿宋" w:eastAsia="仿宋" w:cs="仿宋"/>
          <w:sz w:val="28"/>
          <w:szCs w:val="28"/>
          <w:highlight w:val="none"/>
          <w:lang w:val="en-US" w:eastAsia="zh-CN"/>
        </w:rPr>
        <w:t>0531-88260506、15264153233、</w:t>
      </w:r>
      <w:r>
        <w:rPr>
          <w:rFonts w:hint="eastAsia" w:ascii="仿宋" w:hAnsi="仿宋" w:eastAsia="仿宋" w:cs="仿宋"/>
          <w:sz w:val="28"/>
          <w:szCs w:val="28"/>
          <w:highlight w:val="none"/>
        </w:rPr>
        <w:t>15153117917</w:t>
      </w:r>
    </w:p>
    <w:p>
      <w:pPr>
        <w:pageBreakBefore w:val="0"/>
        <w:kinsoku/>
        <w:overflowPunct/>
        <w:topLinePunct w:val="0"/>
        <w:bidi w:val="0"/>
        <w:snapToGrid/>
        <w:spacing w:line="360" w:lineRule="auto"/>
        <w:ind w:firstLine="560" w:firstLineChars="200"/>
        <w:jc w:val="center"/>
        <w:outlineLvl w:val="0"/>
        <w:rPr>
          <w:rFonts w:hint="eastAsia" w:ascii="仿宋" w:hAnsi="仿宋" w:eastAsia="仿宋" w:cs="仿宋"/>
        </w:rPr>
      </w:pPr>
      <w:r>
        <w:rPr>
          <w:rFonts w:hint="eastAsia" w:ascii="仿宋" w:hAnsi="仿宋" w:eastAsia="仿宋" w:cs="仿宋"/>
          <w:sz w:val="28"/>
          <w:szCs w:val="28"/>
          <w:highlight w:val="none"/>
        </w:rPr>
        <w:br w:type="page"/>
      </w:r>
      <w:bookmarkStart w:id="82" w:name="_Toc20206"/>
      <w:bookmarkStart w:id="83" w:name="_Toc356491306"/>
      <w:bookmarkStart w:id="84" w:name="_Toc13436"/>
      <w:bookmarkStart w:id="85" w:name="_Toc6660"/>
      <w:r>
        <w:rPr>
          <w:rFonts w:hint="eastAsia" w:ascii="仿宋" w:hAnsi="仿宋" w:eastAsia="仿宋" w:cs="仿宋"/>
          <w:b/>
          <w:bCs w:val="0"/>
          <w:sz w:val="28"/>
          <w:szCs w:val="28"/>
          <w:highlight w:val="none"/>
          <w:lang w:val="en-US" w:eastAsia="zh-CN"/>
        </w:rPr>
        <w:t xml:space="preserve">第二部分 </w:t>
      </w:r>
      <w:r>
        <w:rPr>
          <w:rFonts w:hint="eastAsia" w:ascii="仿宋" w:hAnsi="仿宋" w:eastAsia="仿宋" w:cs="仿宋"/>
          <w:b/>
          <w:bCs w:val="0"/>
          <w:sz w:val="28"/>
          <w:szCs w:val="28"/>
          <w:highlight w:val="none"/>
        </w:rPr>
        <w:t>投标人须知</w:t>
      </w:r>
      <w:bookmarkEnd w:id="24"/>
      <w:bookmarkEnd w:id="25"/>
      <w:bookmarkEnd w:id="26"/>
      <w:bookmarkEnd w:id="82"/>
      <w:bookmarkEnd w:id="83"/>
      <w:bookmarkEnd w:id="84"/>
      <w:bookmarkEnd w:id="85"/>
    </w:p>
    <w:p>
      <w:pPr>
        <w:jc w:val="center"/>
        <w:outlineLvl w:val="9"/>
        <w:rPr>
          <w:rFonts w:hint="eastAsia" w:ascii="仿宋" w:hAnsi="仿宋" w:eastAsia="仿宋" w:cs="仿宋"/>
          <w:b/>
          <w:sz w:val="28"/>
          <w:szCs w:val="28"/>
        </w:rPr>
      </w:pPr>
      <w:r>
        <w:rPr>
          <w:rFonts w:hint="eastAsia" w:ascii="仿宋" w:hAnsi="仿宋" w:eastAsia="仿宋" w:cs="仿宋"/>
          <w:b/>
          <w:sz w:val="28"/>
          <w:szCs w:val="28"/>
        </w:rPr>
        <w:t>供应商须知前附表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本表是对“供应商须知”正文的具体补充和修改，如有不一致，以“前附表”为准。</w:t>
      </w:r>
    </w:p>
    <w:tbl>
      <w:tblPr>
        <w:tblStyle w:val="35"/>
        <w:tblW w:w="10018"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28" w:type="dxa"/>
          <w:bottom w:w="0" w:type="dxa"/>
          <w:right w:w="28" w:type="dxa"/>
        </w:tblCellMar>
      </w:tblPr>
      <w:tblGrid>
        <w:gridCol w:w="619"/>
        <w:gridCol w:w="1840"/>
        <w:gridCol w:w="755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2" w:hRule="atLeast"/>
          <w:tblHeader/>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1840"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内  容</w:t>
            </w:r>
          </w:p>
        </w:tc>
        <w:tc>
          <w:tcPr>
            <w:tcW w:w="7559" w:type="dxa"/>
            <w:vAlign w:val="center"/>
          </w:tcPr>
          <w:p>
            <w:pPr>
              <w:spacing w:line="360" w:lineRule="auto"/>
              <w:jc w:val="center"/>
              <w:rPr>
                <w:rFonts w:hint="eastAsia" w:ascii="仿宋" w:hAnsi="仿宋" w:eastAsia="仿宋" w:cs="仿宋"/>
                <w:b/>
                <w:sz w:val="24"/>
                <w:szCs w:val="24"/>
              </w:rPr>
            </w:pPr>
            <w:r>
              <w:rPr>
                <w:rFonts w:hint="eastAsia" w:ascii="仿宋" w:hAnsi="仿宋" w:eastAsia="仿宋" w:cs="仿宋"/>
                <w:b/>
                <w:sz w:val="24"/>
                <w:szCs w:val="24"/>
              </w:rPr>
              <w:t>说明或要求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8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项目信息</w:t>
            </w:r>
          </w:p>
        </w:tc>
        <w:tc>
          <w:tcPr>
            <w:tcW w:w="7559" w:type="dxa"/>
            <w:vAlign w:val="center"/>
          </w:tcPr>
          <w:p>
            <w:pPr>
              <w:spacing w:line="360" w:lineRule="auto"/>
              <w:ind w:firstLine="523" w:firstLineChars="218"/>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项目名称：山东大学第二医院</w:t>
            </w:r>
            <w:r>
              <w:rPr>
                <w:rFonts w:hint="eastAsia" w:ascii="仿宋" w:hAnsi="仿宋" w:eastAsia="仿宋" w:cs="仿宋"/>
                <w:color w:val="000000"/>
                <w:sz w:val="24"/>
                <w:szCs w:val="24"/>
                <w:lang w:eastAsia="zh-CN"/>
              </w:rPr>
              <w:t>院前急救科驾驶员外包服务</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项目编号：</w:t>
            </w:r>
            <w:r>
              <w:rPr>
                <w:rFonts w:hint="eastAsia" w:ascii="仿宋" w:hAnsi="仿宋" w:eastAsia="仿宋" w:cs="仿宋"/>
                <w:sz w:val="24"/>
                <w:szCs w:val="24"/>
                <w:lang w:eastAsia="zh-CN"/>
              </w:rPr>
              <w:t>SDSHZB2022-347</w:t>
            </w:r>
            <w:r>
              <w:rPr>
                <w:rFonts w:hint="eastAsia" w:ascii="仿宋" w:hAnsi="仿宋" w:eastAsia="仿宋" w:cs="仿宋"/>
                <w:color w:val="000000"/>
                <w:sz w:val="24"/>
                <w:szCs w:val="24"/>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05"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2</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采购人</w:t>
            </w:r>
          </w:p>
        </w:tc>
        <w:tc>
          <w:tcPr>
            <w:tcW w:w="7559" w:type="dxa"/>
            <w:vAlign w:val="center"/>
          </w:tcPr>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采购人：山东大学第二医院</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联系方式：0531-85875076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49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3</w:t>
            </w:r>
          </w:p>
        </w:tc>
        <w:tc>
          <w:tcPr>
            <w:tcW w:w="1840" w:type="dxa"/>
            <w:vAlign w:val="center"/>
          </w:tcPr>
          <w:p>
            <w:pPr>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代理机构</w:t>
            </w:r>
          </w:p>
        </w:tc>
        <w:tc>
          <w:tcPr>
            <w:tcW w:w="7559" w:type="dxa"/>
            <w:vAlign w:val="center"/>
          </w:tcPr>
          <w:p>
            <w:pPr>
              <w:spacing w:line="360" w:lineRule="auto"/>
              <w:ind w:firstLine="523" w:firstLineChars="218"/>
              <w:jc w:val="left"/>
              <w:rPr>
                <w:rFonts w:hint="eastAsia" w:ascii="仿宋" w:hAnsi="仿宋" w:eastAsia="仿宋" w:cs="仿宋"/>
                <w:sz w:val="24"/>
                <w:szCs w:val="24"/>
              </w:rPr>
            </w:pPr>
            <w:r>
              <w:rPr>
                <w:rFonts w:hint="eastAsia" w:ascii="仿宋" w:hAnsi="仿宋" w:eastAsia="仿宋" w:cs="仿宋"/>
                <w:sz w:val="24"/>
                <w:szCs w:val="24"/>
              </w:rPr>
              <w:t>代理机构：山东盛和招标代理有限公司</w:t>
            </w:r>
          </w:p>
          <w:p>
            <w:pPr>
              <w:widowControl/>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rPr>
              <w:t>联 系 人：许铖铖、王凯；</w:t>
            </w:r>
          </w:p>
          <w:p>
            <w:pPr>
              <w:spacing w:line="360" w:lineRule="auto"/>
              <w:ind w:firstLine="523" w:firstLineChars="218"/>
              <w:rPr>
                <w:rFonts w:hint="eastAsia" w:ascii="仿宋" w:hAnsi="仿宋" w:eastAsia="仿宋" w:cs="仿宋"/>
                <w:color w:val="000000"/>
                <w:sz w:val="24"/>
                <w:szCs w:val="24"/>
              </w:rPr>
            </w:pPr>
            <w:r>
              <w:rPr>
                <w:rFonts w:hint="eastAsia" w:ascii="仿宋" w:hAnsi="仿宋" w:eastAsia="仿宋" w:cs="仿宋"/>
                <w:sz w:val="24"/>
                <w:szCs w:val="24"/>
              </w:rPr>
              <w:t>联系电话：0531-</w:t>
            </w:r>
            <w:r>
              <w:rPr>
                <w:rFonts w:hint="eastAsia" w:ascii="仿宋" w:hAnsi="仿宋" w:eastAsia="仿宋" w:cs="仿宋"/>
                <w:sz w:val="24"/>
                <w:szCs w:val="24"/>
                <w:lang w:eastAsia="zh-CN"/>
              </w:rPr>
              <w:t>88260506</w:t>
            </w:r>
            <w:r>
              <w:rPr>
                <w:rFonts w:hint="eastAsia" w:ascii="仿宋" w:hAnsi="仿宋" w:eastAsia="仿宋" w:cs="仿宋"/>
                <w:sz w:val="24"/>
                <w:szCs w:val="24"/>
              </w:rPr>
              <w:t>,15264153233,15153117917。</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rPr>
              <w:t>资金来源与采购预算</w:t>
            </w:r>
          </w:p>
        </w:tc>
        <w:tc>
          <w:tcPr>
            <w:tcW w:w="7559" w:type="dxa"/>
          </w:tcPr>
          <w:p>
            <w:pPr>
              <w:pStyle w:val="13"/>
              <w:ind w:firstLine="480" w:firstLineChars="200"/>
              <w:rPr>
                <w:rFonts w:hint="eastAsia" w:ascii="仿宋" w:hAnsi="仿宋" w:eastAsia="仿宋" w:cs="仿宋"/>
                <w:bCs/>
                <w:sz w:val="24"/>
                <w:szCs w:val="24"/>
              </w:rPr>
            </w:pPr>
            <w:r>
              <w:rPr>
                <w:rFonts w:hint="eastAsia" w:ascii="仿宋" w:hAnsi="仿宋" w:eastAsia="仿宋" w:cs="仿宋"/>
                <w:bCs/>
                <w:sz w:val="24"/>
                <w:szCs w:val="24"/>
              </w:rPr>
              <w:t>资金来源：已落实</w:t>
            </w:r>
          </w:p>
          <w:p>
            <w:pPr>
              <w:pStyle w:val="13"/>
              <w:ind w:firstLine="480" w:firstLineChars="200"/>
              <w:rPr>
                <w:rFonts w:hint="eastAsia" w:ascii="仿宋" w:hAnsi="仿宋" w:eastAsia="仿宋" w:cs="仿宋"/>
                <w:bCs/>
                <w:sz w:val="24"/>
                <w:szCs w:val="24"/>
              </w:rPr>
            </w:pPr>
            <w:r>
              <w:rPr>
                <w:rFonts w:hint="eastAsia" w:ascii="仿宋" w:hAnsi="仿宋" w:eastAsia="仿宋" w:cs="仿宋"/>
                <w:bCs/>
                <w:sz w:val="24"/>
                <w:szCs w:val="24"/>
              </w:rPr>
              <w:t>预算金额：</w:t>
            </w:r>
            <w:r>
              <w:rPr>
                <w:rFonts w:hint="eastAsia" w:ascii="仿宋" w:hAnsi="仿宋" w:eastAsia="仿宋" w:cs="仿宋"/>
                <w:bCs/>
                <w:sz w:val="24"/>
                <w:szCs w:val="24"/>
                <w:lang w:val="en-US" w:eastAsia="zh-CN"/>
              </w:rPr>
              <w:t>285万元/30个月</w:t>
            </w:r>
          </w:p>
          <w:p>
            <w:pPr>
              <w:pStyle w:val="13"/>
              <w:ind w:firstLine="480" w:firstLineChars="200"/>
              <w:rPr>
                <w:rFonts w:hint="eastAsia" w:ascii="仿宋" w:hAnsi="仿宋" w:eastAsia="仿宋" w:cs="仿宋"/>
                <w:b/>
                <w:sz w:val="24"/>
                <w:szCs w:val="24"/>
              </w:rPr>
            </w:pPr>
            <w:r>
              <w:rPr>
                <w:rFonts w:hint="eastAsia" w:ascii="仿宋" w:hAnsi="仿宋" w:eastAsia="仿宋" w:cs="仿宋"/>
                <w:bCs/>
                <w:sz w:val="24"/>
                <w:szCs w:val="24"/>
              </w:rPr>
              <w:t>最高限价：</w:t>
            </w:r>
            <w:r>
              <w:rPr>
                <w:rFonts w:hint="eastAsia" w:ascii="仿宋" w:hAnsi="仿宋" w:eastAsia="仿宋" w:cs="仿宋"/>
                <w:bCs/>
                <w:sz w:val="24"/>
                <w:szCs w:val="24"/>
                <w:lang w:val="en-US" w:eastAsia="zh-CN"/>
              </w:rPr>
              <w:t>285万元/30个月</w:t>
            </w:r>
          </w:p>
          <w:tbl>
            <w:tblPr>
              <w:tblStyle w:val="35"/>
              <w:tblW w:w="7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373"/>
              <w:gridCol w:w="800"/>
              <w:gridCol w:w="1550"/>
              <w:gridCol w:w="1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tblHeader/>
                <w:jc w:val="center"/>
              </w:trPr>
              <w:tc>
                <w:tcPr>
                  <w:tcW w:w="959"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标包</w:t>
                  </w:r>
                </w:p>
              </w:tc>
              <w:tc>
                <w:tcPr>
                  <w:tcW w:w="2373"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服务名称</w:t>
                  </w:r>
                </w:p>
              </w:tc>
              <w:tc>
                <w:tcPr>
                  <w:tcW w:w="800"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数量</w:t>
                  </w:r>
                </w:p>
              </w:tc>
              <w:tc>
                <w:tcPr>
                  <w:tcW w:w="1550"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预算金额(万元</w:t>
                  </w:r>
                  <w:r>
                    <w:rPr>
                      <w:rFonts w:hint="eastAsia" w:ascii="仿宋" w:hAnsi="仿宋" w:eastAsia="仿宋" w:cs="仿宋"/>
                      <w:b/>
                      <w:kern w:val="0"/>
                      <w:sz w:val="24"/>
                      <w:szCs w:val="24"/>
                      <w:lang w:val="en-US" w:eastAsia="zh-CN"/>
                    </w:rPr>
                    <w:t>/30个月</w:t>
                  </w:r>
                  <w:r>
                    <w:rPr>
                      <w:rFonts w:hint="eastAsia" w:ascii="仿宋" w:hAnsi="仿宋" w:eastAsia="仿宋" w:cs="仿宋"/>
                      <w:b/>
                      <w:kern w:val="0"/>
                      <w:sz w:val="24"/>
                      <w:szCs w:val="24"/>
                    </w:rPr>
                    <w:t>)</w:t>
                  </w:r>
                </w:p>
              </w:tc>
              <w:tc>
                <w:tcPr>
                  <w:tcW w:w="1696" w:type="dxa"/>
                  <w:vAlign w:val="center"/>
                </w:tcPr>
                <w:p>
                  <w:pPr>
                    <w:jc w:val="center"/>
                    <w:rPr>
                      <w:rFonts w:hint="eastAsia" w:ascii="仿宋" w:hAnsi="仿宋" w:eastAsia="仿宋" w:cs="仿宋"/>
                      <w:b/>
                      <w:kern w:val="0"/>
                      <w:sz w:val="24"/>
                      <w:szCs w:val="24"/>
                    </w:rPr>
                  </w:pPr>
                  <w:r>
                    <w:rPr>
                      <w:rFonts w:hint="eastAsia" w:ascii="仿宋" w:hAnsi="仿宋" w:eastAsia="仿宋" w:cs="仿宋"/>
                      <w:b/>
                      <w:kern w:val="0"/>
                      <w:sz w:val="24"/>
                      <w:szCs w:val="24"/>
                    </w:rPr>
                    <w:t>最高限价（万元</w:t>
                  </w:r>
                  <w:r>
                    <w:rPr>
                      <w:rFonts w:hint="eastAsia" w:ascii="仿宋" w:hAnsi="仿宋" w:eastAsia="仿宋" w:cs="仿宋"/>
                      <w:b/>
                      <w:kern w:val="0"/>
                      <w:sz w:val="24"/>
                      <w:szCs w:val="24"/>
                      <w:lang w:val="en-US" w:eastAsia="zh-CN"/>
                    </w:rPr>
                    <w:t>/30个月</w:t>
                  </w:r>
                  <w:r>
                    <w:rPr>
                      <w:rFonts w:hint="eastAsia" w:ascii="仿宋" w:hAnsi="仿宋" w:eastAsia="仿宋" w:cs="仿宋"/>
                      <w:b/>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959"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01</w:t>
                  </w:r>
                </w:p>
              </w:tc>
              <w:tc>
                <w:tcPr>
                  <w:tcW w:w="2373" w:type="dxa"/>
                  <w:vAlign w:val="center"/>
                </w:tcPr>
                <w:p>
                  <w:pPr>
                    <w:jc w:val="center"/>
                    <w:rPr>
                      <w:rFonts w:hint="eastAsia" w:ascii="仿宋" w:hAnsi="仿宋" w:eastAsia="仿宋" w:cs="仿宋"/>
                      <w:bCs/>
                      <w:kern w:val="0"/>
                      <w:sz w:val="24"/>
                      <w:szCs w:val="24"/>
                      <w:lang w:eastAsia="zh-CN"/>
                    </w:rPr>
                  </w:pPr>
                  <w:r>
                    <w:rPr>
                      <w:rFonts w:hint="eastAsia" w:ascii="仿宋" w:hAnsi="仿宋" w:eastAsia="仿宋" w:cs="仿宋"/>
                      <w:bCs/>
                      <w:kern w:val="0"/>
                      <w:sz w:val="24"/>
                      <w:szCs w:val="24"/>
                      <w:lang w:eastAsia="zh-CN"/>
                    </w:rPr>
                    <w:t>院前急救科驾驶员外包服务</w:t>
                  </w:r>
                </w:p>
              </w:tc>
              <w:tc>
                <w:tcPr>
                  <w:tcW w:w="800" w:type="dxa"/>
                  <w:vAlign w:val="center"/>
                </w:tcPr>
                <w:p>
                  <w:pPr>
                    <w:jc w:val="center"/>
                    <w:rPr>
                      <w:rFonts w:hint="eastAsia" w:ascii="仿宋" w:hAnsi="仿宋" w:eastAsia="仿宋" w:cs="仿宋"/>
                      <w:bCs/>
                      <w:kern w:val="0"/>
                      <w:sz w:val="24"/>
                      <w:szCs w:val="24"/>
                    </w:rPr>
                  </w:pPr>
                  <w:r>
                    <w:rPr>
                      <w:rFonts w:hint="eastAsia" w:ascii="仿宋" w:hAnsi="仿宋" w:eastAsia="仿宋" w:cs="仿宋"/>
                      <w:bCs/>
                      <w:kern w:val="0"/>
                      <w:sz w:val="24"/>
                      <w:szCs w:val="24"/>
                    </w:rPr>
                    <w:t>1项</w:t>
                  </w:r>
                </w:p>
              </w:tc>
              <w:tc>
                <w:tcPr>
                  <w:tcW w:w="1550" w:type="dxa"/>
                  <w:vAlign w:val="center"/>
                </w:tcPr>
                <w:p>
                  <w:pPr>
                    <w:jc w:val="center"/>
                    <w:rPr>
                      <w:rFonts w:hint="default" w:ascii="仿宋" w:hAnsi="仿宋" w:eastAsia="仿宋" w:cs="仿宋"/>
                      <w:bCs/>
                      <w:kern w:val="0"/>
                      <w:sz w:val="24"/>
                      <w:szCs w:val="24"/>
                      <w:lang w:val="en-US" w:eastAsia="zh-CN"/>
                    </w:rPr>
                  </w:pPr>
                  <w:r>
                    <w:rPr>
                      <w:rFonts w:hint="eastAsia" w:ascii="仿宋" w:hAnsi="仿宋" w:eastAsia="仿宋" w:cs="仿宋"/>
                      <w:bCs/>
                      <w:kern w:val="0"/>
                      <w:sz w:val="24"/>
                      <w:szCs w:val="24"/>
                      <w:lang w:val="en-US" w:eastAsia="zh-CN"/>
                    </w:rPr>
                    <w:t>285</w:t>
                  </w:r>
                </w:p>
              </w:tc>
              <w:tc>
                <w:tcPr>
                  <w:tcW w:w="1696" w:type="dxa"/>
                  <w:vAlign w:val="center"/>
                </w:tcPr>
                <w:p>
                  <w:pPr>
                    <w:jc w:val="center"/>
                    <w:rPr>
                      <w:rFonts w:hint="default" w:ascii="仿宋" w:hAnsi="仿宋" w:eastAsia="仿宋" w:cs="仿宋"/>
                      <w:bCs/>
                      <w:kern w:val="0"/>
                      <w:sz w:val="24"/>
                      <w:szCs w:val="24"/>
                      <w:lang w:val="en-US"/>
                    </w:rPr>
                  </w:pPr>
                  <w:r>
                    <w:rPr>
                      <w:rFonts w:hint="eastAsia" w:ascii="仿宋" w:hAnsi="仿宋" w:eastAsia="仿宋" w:cs="仿宋"/>
                      <w:bCs/>
                      <w:kern w:val="0"/>
                      <w:sz w:val="24"/>
                      <w:szCs w:val="24"/>
                      <w:lang w:val="en-US" w:eastAsia="zh-CN"/>
                    </w:rPr>
                    <w:t>285</w:t>
                  </w:r>
                </w:p>
              </w:tc>
            </w:tr>
          </w:tbl>
          <w:p>
            <w:pPr>
              <w:pStyle w:val="13"/>
              <w:ind w:firstLine="241" w:firstLineChars="100"/>
              <w:rPr>
                <w:rFonts w:hint="eastAsia" w:ascii="仿宋" w:hAnsi="仿宋" w:eastAsia="仿宋" w:cs="仿宋"/>
                <w:sz w:val="24"/>
                <w:szCs w:val="24"/>
              </w:rPr>
            </w:pPr>
            <w:r>
              <w:rPr>
                <w:rFonts w:hint="eastAsia" w:ascii="仿宋" w:hAnsi="仿宋" w:eastAsia="仿宋" w:cs="仿宋"/>
                <w:b/>
                <w:sz w:val="24"/>
                <w:szCs w:val="24"/>
              </w:rPr>
              <w:t>投标报价超过预算金额</w:t>
            </w:r>
            <w:r>
              <w:rPr>
                <w:rFonts w:hint="eastAsia" w:ascii="仿宋" w:hAnsi="仿宋" w:eastAsia="仿宋" w:cs="仿宋"/>
                <w:b/>
                <w:color w:val="000000"/>
                <w:sz w:val="24"/>
                <w:szCs w:val="24"/>
              </w:rPr>
              <w:t>或最高限价</w:t>
            </w:r>
            <w:r>
              <w:rPr>
                <w:rFonts w:hint="eastAsia" w:ascii="仿宋" w:hAnsi="仿宋" w:eastAsia="仿宋" w:cs="仿宋"/>
                <w:b/>
                <w:sz w:val="24"/>
                <w:szCs w:val="24"/>
              </w:rPr>
              <w:t>的，按无效投标处理。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kern w:val="0"/>
                <w:sz w:val="24"/>
                <w:szCs w:val="24"/>
              </w:rPr>
              <w:t>供应商应提供的资格证明材料</w:t>
            </w:r>
          </w:p>
        </w:tc>
        <w:tc>
          <w:tcPr>
            <w:tcW w:w="7559" w:type="dxa"/>
            <w:vAlign w:val="center"/>
          </w:tcPr>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供应商资格要求：</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详见第一章招标公告。</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供应商应提供能够证明符合资格条件的下列材料：</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（1）供应商须具有独立承担民事责任的能力，向采购人提供服务的法人、其他组织或自然人，须提供相关证明材料，其中：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供应商是企业（包括合伙企业）的，应提供其在工商部门注册的有效“企业法人营业执照”或“营业执照”的复印件；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供应商是事业单位的，应提供其有效的“事业单位法人证书”复印件；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供应商是非企业专业服务机构的，应提供其有效的执业许可证复印件；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供应商是个体工商户的，应提供其有效的“个体工商户营业执照”复印件；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供应商是自然人的，应提供其有效的自然人身份证明。</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（2）供应商须具有良好的商业信誉和健全的财务会计制度，须提供相关证明材料，其中：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供应商是法人的，应提供2020年</w:t>
            </w:r>
            <w:r>
              <w:rPr>
                <w:rFonts w:hint="eastAsia" w:ascii="仿宋" w:hAnsi="仿宋" w:eastAsia="仿宋" w:cs="仿宋"/>
                <w:sz w:val="24"/>
                <w:szCs w:val="24"/>
                <w:lang w:val="en-US" w:eastAsia="zh-CN"/>
              </w:rPr>
              <w:t>或2021年</w:t>
            </w:r>
            <w:r>
              <w:rPr>
                <w:rFonts w:hint="eastAsia" w:ascii="仿宋" w:hAnsi="仿宋" w:eastAsia="仿宋" w:cs="仿宋"/>
                <w:sz w:val="24"/>
                <w:szCs w:val="24"/>
              </w:rPr>
              <w:t>经审计的财务报告复印件，或其基本开户银行出具的资信证明原件；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供应商是其他组织或自然人的，应提供银行出具的资信证明原件。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（3）供应商须具有履行合同所必需的设备和专业技术能力，须附相关证明材料或</w:t>
            </w:r>
            <w:r>
              <w:rPr>
                <w:rFonts w:hint="eastAsia" w:ascii="仿宋" w:hAnsi="仿宋" w:eastAsia="仿宋" w:cs="仿宋"/>
                <w:b/>
                <w:bCs/>
                <w:sz w:val="24"/>
                <w:szCs w:val="24"/>
              </w:rPr>
              <w:t>书面声明</w:t>
            </w:r>
            <w:r>
              <w:rPr>
                <w:rFonts w:hint="eastAsia" w:ascii="仿宋" w:hAnsi="仿宋" w:eastAsia="仿宋" w:cs="仿宋"/>
                <w:sz w:val="24"/>
                <w:szCs w:val="24"/>
              </w:rPr>
              <w:t xml:space="preserve">。 </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（4）供应商须具有依法缴纳税收和社会保障资金的良好记录，须提供相关证明材料，其中：</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供应商是法人的，缴纳税收的证明材料，应提供开标前</w:t>
            </w:r>
            <w:r>
              <w:rPr>
                <w:rFonts w:hint="eastAsia" w:ascii="仿宋" w:hAnsi="仿宋" w:eastAsia="仿宋" w:cs="仿宋"/>
                <w:sz w:val="24"/>
                <w:szCs w:val="24"/>
                <w:lang w:val="en-US" w:eastAsia="zh-CN"/>
              </w:rPr>
              <w:t>六</w:t>
            </w:r>
            <w:r>
              <w:rPr>
                <w:rFonts w:hint="eastAsia" w:ascii="仿宋" w:hAnsi="仿宋" w:eastAsia="仿宋" w:cs="仿宋"/>
                <w:sz w:val="24"/>
                <w:szCs w:val="24"/>
              </w:rPr>
              <w:t>个月内任意一个月的依法缴税凭据复印件；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供应商是法人的，缴纳社会保障资金的证明材料，应提供开标前</w:t>
            </w:r>
            <w:r>
              <w:rPr>
                <w:rFonts w:hint="eastAsia" w:ascii="仿宋" w:hAnsi="仿宋" w:eastAsia="仿宋" w:cs="仿宋"/>
                <w:sz w:val="24"/>
                <w:szCs w:val="24"/>
                <w:lang w:val="en-US" w:eastAsia="zh-CN"/>
              </w:rPr>
              <w:t>六</w:t>
            </w:r>
            <w:r>
              <w:rPr>
                <w:rFonts w:hint="eastAsia" w:ascii="仿宋" w:hAnsi="仿宋" w:eastAsia="仿宋" w:cs="仿宋"/>
                <w:sz w:val="24"/>
                <w:szCs w:val="24"/>
              </w:rPr>
              <w:t>个月内任意一个月的缴纳社会保险的凭据（专用收据或社会保险缴纳清单）复印件；</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供应商是其他组织和自然人的，需要提供开标前</w:t>
            </w:r>
            <w:r>
              <w:rPr>
                <w:rFonts w:hint="eastAsia" w:ascii="仿宋" w:hAnsi="仿宋" w:eastAsia="仿宋" w:cs="仿宋"/>
                <w:sz w:val="24"/>
                <w:szCs w:val="24"/>
                <w:lang w:val="en-US" w:eastAsia="zh-CN"/>
              </w:rPr>
              <w:t>六</w:t>
            </w:r>
            <w:r>
              <w:rPr>
                <w:rFonts w:hint="eastAsia" w:ascii="仿宋" w:hAnsi="仿宋" w:eastAsia="仿宋" w:cs="仿宋"/>
                <w:sz w:val="24"/>
                <w:szCs w:val="24"/>
              </w:rPr>
              <w:t>个月内任意一个月的缴纳税收和社会保险的凭据。</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注：依法免税或不需要缴纳社会保障资金的供应商，须提供相应文件证明其依法免税或不需要缴纳社会保障资金。</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（5）近三年内（本项目投标截止日前）供应商在经营活动中没有重大违法记录，其中：</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重大违法记录是指供应商因违法经营受到刑事处罚或者责令停产停业、吊销许可证或者执照、较大数额罚款等行政处罚；</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供应商须提供参与本采购活动前三年内在经营活动中没有重大违法记录的</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（6）</w:t>
            </w:r>
            <w:r>
              <w:rPr>
                <w:rFonts w:hint="eastAsia" w:ascii="仿宋" w:hAnsi="仿宋" w:eastAsia="仿宋" w:cs="仿宋"/>
                <w:sz w:val="24"/>
                <w:szCs w:val="24"/>
              </w:rPr>
              <w:tab/>
            </w:r>
            <w:r>
              <w:rPr>
                <w:rFonts w:hint="eastAsia" w:ascii="仿宋" w:hAnsi="仿宋" w:eastAsia="仿宋" w:cs="仿宋"/>
                <w:sz w:val="24"/>
                <w:szCs w:val="24"/>
              </w:rPr>
              <w:t>供应商在“信用中国”网站（www.creditchina.gov.cn）、“中国政府采购网”网站（www.ccgp.gov.cn）被列入失信被执行人、重大税收违法案件当事人名单的、政府采购严重违法失信行为记录名单（处罚期限尚未届满的）的，不得参与本项目的政府采购活动。</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依法对供应商的资格进行审查时，将在“信用中国”和“中国政府采购网”网站上对供应商进行查询并打印查询记录，查询截止时点为：本项目投标截止期当日。对经查询被“信用中国”网站（www.creditchina.gov.cn）、“中国政府采购网”网站（www.ccgp.gov.cn）被列入失信被执行人、重大税收违法案件当事人名单的、政府采购严重违法失信行为记录名单（处罚期限尚未届满的）的供应商，其投标将按无效投标处理。两个以上的自然人、法人或者其他组织组成一个联合体，以一个投标人的身份共同参加政府采购活动的，应当对所有联合体成员进行信用记录查询，联合体成员存在上述不良信用记录的，视同联合体存在不良信用记录，其投标将按无效投标处理。</w:t>
            </w:r>
          </w:p>
          <w:p>
            <w:pPr>
              <w:snapToGrid w:val="0"/>
              <w:spacing w:line="360" w:lineRule="auto"/>
              <w:ind w:firstLine="720" w:firstLineChars="300"/>
              <w:rPr>
                <w:rFonts w:hint="eastAsia" w:ascii="仿宋" w:hAnsi="仿宋" w:eastAsia="仿宋" w:cs="仿宋"/>
                <w:sz w:val="24"/>
                <w:szCs w:val="24"/>
              </w:rPr>
            </w:pPr>
            <w:r>
              <w:rPr>
                <w:rFonts w:hint="eastAsia" w:ascii="仿宋" w:hAnsi="仿宋" w:eastAsia="仿宋" w:cs="仿宋"/>
                <w:sz w:val="24"/>
                <w:szCs w:val="24"/>
              </w:rPr>
              <w:t>采购人或采购代理机构对于查询到的供应商失信行为事由、处理机关名称及处理日期、处理有效期间等，以屏幕截图的方式保存，并承诺查询记录仅用于本次采购活动过程中，不用于其他目的。</w:t>
            </w:r>
          </w:p>
          <w:p>
            <w:pPr>
              <w:numPr>
                <w:ilvl w:val="0"/>
                <w:numId w:val="2"/>
              </w:numPr>
              <w:snapToGrid w:val="0"/>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单位负责人为同一人或者存在直接控股、管理关系的不同供应商，不得参加同一包的投标或者未划分包的同一招标项目的投标，供应商须提供</w:t>
            </w:r>
            <w:r>
              <w:rPr>
                <w:rFonts w:hint="eastAsia" w:ascii="仿宋" w:hAnsi="仿宋" w:eastAsia="仿宋" w:cs="仿宋"/>
                <w:b/>
                <w:bCs/>
                <w:sz w:val="24"/>
                <w:szCs w:val="24"/>
              </w:rPr>
              <w:t>书面声明</w:t>
            </w:r>
            <w:r>
              <w:rPr>
                <w:rFonts w:hint="eastAsia" w:ascii="仿宋" w:hAnsi="仿宋" w:eastAsia="仿宋" w:cs="仿宋"/>
                <w:sz w:val="24"/>
                <w:szCs w:val="24"/>
              </w:rPr>
              <w:t>。</w:t>
            </w:r>
          </w:p>
          <w:p>
            <w:pPr>
              <w:snapToGrid w:val="0"/>
              <w:spacing w:line="360" w:lineRule="auto"/>
              <w:ind w:firstLine="480" w:firstLineChars="200"/>
              <w:rPr>
                <w:rFonts w:hint="eastAsia" w:ascii="仿宋" w:hAnsi="仿宋" w:eastAsia="仿宋" w:cs="仿宋"/>
                <w:kern w:val="0"/>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供应商符合法律、行政法规规定的其它要求。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6</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z w:val="24"/>
                <w:szCs w:val="24"/>
              </w:rPr>
              <w:t>对招标文件的疑问</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提交疑问时间：</w:t>
            </w:r>
            <w:r>
              <w:rPr>
                <w:rFonts w:hint="eastAsia" w:ascii="仿宋" w:hAnsi="仿宋" w:eastAsia="仿宋" w:cs="仿宋"/>
                <w:color w:val="000000" w:themeColor="text1"/>
                <w:sz w:val="24"/>
                <w:szCs w:val="24"/>
                <w:lang w:val="en-US"/>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2年5月19日12:00</w:t>
            </w:r>
            <w:r>
              <w:rPr>
                <w:rFonts w:hint="eastAsia" w:ascii="仿宋" w:hAnsi="仿宋" w:eastAsia="仿宋" w:cs="仿宋"/>
                <w:color w:val="000000" w:themeColor="text1"/>
                <w:sz w:val="24"/>
                <w:szCs w:val="24"/>
                <w14:textFill>
                  <w14:solidFill>
                    <w14:schemeClr w14:val="tx1"/>
                  </w14:solidFill>
                </w14:textFill>
              </w:rPr>
              <w:t>前。</w:t>
            </w:r>
          </w:p>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提交疑问方式：发电子邮件至</w:t>
            </w:r>
            <w:r>
              <w:rPr>
                <w:rFonts w:hint="eastAsia" w:ascii="仿宋" w:hAnsi="仿宋" w:eastAsia="仿宋" w:cs="仿宋"/>
                <w:color w:val="000000" w:themeColor="text1"/>
                <w:sz w:val="24"/>
                <w:szCs w:val="24"/>
                <w:u w:val="single"/>
                <w:lang w:eastAsia="zh-CN"/>
                <w14:textFill>
                  <w14:solidFill>
                    <w14:schemeClr w14:val="tx1"/>
                  </w14:solidFill>
                </w14:textFill>
              </w:rPr>
              <w:t>cnshzbegs@163.com</w:t>
            </w:r>
            <w:r>
              <w:rPr>
                <w:rFonts w:hint="eastAsia" w:ascii="仿宋" w:hAnsi="仿宋" w:eastAsia="仿宋" w:cs="仿宋"/>
                <w:color w:val="000000" w:themeColor="text1"/>
                <w:sz w:val="24"/>
                <w:szCs w:val="24"/>
                <w14:textFill>
                  <w14:solidFill>
                    <w14:schemeClr w14:val="tx1"/>
                  </w14:solidFill>
                </w14:textFill>
              </w:rPr>
              <w:t>（word文档及加盖公章的扫描件各一份），邮件主题为“ XX公司关于XX项目的疑问”</w:t>
            </w:r>
            <w:r>
              <w:rPr>
                <w:rFonts w:hint="eastAsia" w:ascii="仿宋" w:hAnsi="仿宋" w:eastAsia="仿宋" w:cs="仿宋"/>
                <w:color w:val="000000" w:themeColor="text1"/>
                <w:sz w:val="24"/>
                <w:szCs w:val="24"/>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7</w:t>
            </w:r>
          </w:p>
        </w:tc>
        <w:tc>
          <w:tcPr>
            <w:tcW w:w="1840" w:type="dxa"/>
            <w:vAlign w:val="center"/>
          </w:tcPr>
          <w:p>
            <w:pPr>
              <w:snapToGrid w:val="0"/>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招标文件澄清</w:t>
            </w:r>
          </w:p>
        </w:tc>
        <w:tc>
          <w:tcPr>
            <w:tcW w:w="7559" w:type="dxa"/>
            <w:vAlign w:val="center"/>
          </w:tcPr>
          <w:p>
            <w:pPr>
              <w:snapToGrid w:val="0"/>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澄清和修改文件发送时间（如有）</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val="en-US"/>
                <w14:textFill>
                  <w14:solidFill>
                    <w14:schemeClr w14:val="tx1"/>
                  </w14:solidFill>
                </w14:textFill>
              </w:rPr>
              <w:t>202</w:t>
            </w:r>
            <w:r>
              <w:rPr>
                <w:rFonts w:hint="eastAsia" w:ascii="仿宋" w:hAnsi="仿宋" w:eastAsia="仿宋" w:cs="仿宋"/>
                <w:color w:val="000000" w:themeColor="text1"/>
                <w:sz w:val="24"/>
                <w:szCs w:val="24"/>
                <w:lang w:val="en-US" w:eastAsia="zh-CN"/>
                <w14:textFill>
                  <w14:solidFill>
                    <w14:schemeClr w14:val="tx1"/>
                  </w14:solidFill>
                </w14:textFill>
              </w:rPr>
              <w:t>2年5月20日17:00</w:t>
            </w:r>
            <w:r>
              <w:rPr>
                <w:rFonts w:hint="eastAsia" w:ascii="仿宋" w:hAnsi="仿宋" w:eastAsia="仿宋" w:cs="仿宋"/>
                <w:color w:val="000000" w:themeColor="text1"/>
                <w:sz w:val="24"/>
                <w:szCs w:val="24"/>
                <w14:textFill>
                  <w14:solidFill>
                    <w14:schemeClr w14:val="tx1"/>
                  </w14:solidFill>
                </w14:textFill>
              </w:rPr>
              <w:t>前。</w:t>
            </w:r>
          </w:p>
          <w:p>
            <w:pPr>
              <w:pStyle w:val="13"/>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澄清和修改文件发送方式：</w:t>
            </w:r>
            <w:r>
              <w:rPr>
                <w:rFonts w:hint="eastAsia" w:ascii="仿宋" w:hAnsi="仿宋" w:eastAsia="仿宋" w:cs="仿宋"/>
                <w:color w:val="000000" w:themeColor="text1"/>
                <w:sz w:val="24"/>
                <w:szCs w:val="24"/>
                <w14:textFill>
                  <w14:solidFill>
                    <w14:schemeClr w14:val="tx1"/>
                  </w14:solidFill>
                </w14:textFill>
              </w:rPr>
              <w:t>招标代理机构将澄清或修改文件同时发送邮件至各供应商购买招标文件时登记的邮箱，但不标明问题的来源。</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8</w:t>
            </w:r>
          </w:p>
        </w:tc>
        <w:tc>
          <w:tcPr>
            <w:tcW w:w="1840" w:type="dxa"/>
            <w:vAlign w:val="center"/>
          </w:tcPr>
          <w:p>
            <w:pPr>
              <w:pStyle w:val="13"/>
              <w:spacing w:after="0" w:line="360" w:lineRule="auto"/>
              <w:rPr>
                <w:rFonts w:hint="eastAsia" w:ascii="仿宋" w:hAnsi="仿宋" w:eastAsia="仿宋" w:cs="仿宋"/>
                <w:kern w:val="2"/>
                <w:sz w:val="24"/>
                <w:szCs w:val="24"/>
              </w:rPr>
            </w:pPr>
            <w:r>
              <w:rPr>
                <w:rFonts w:hint="eastAsia" w:ascii="仿宋" w:hAnsi="仿宋" w:eastAsia="仿宋" w:cs="仿宋"/>
                <w:kern w:val="2"/>
                <w:sz w:val="24"/>
                <w:szCs w:val="24"/>
              </w:rPr>
              <w:t>投标文件份数</w:t>
            </w:r>
          </w:p>
        </w:tc>
        <w:tc>
          <w:tcPr>
            <w:tcW w:w="7559" w:type="dxa"/>
            <w:vAlign w:val="center"/>
          </w:tcPr>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纸质投标文件</w:t>
            </w:r>
            <w:r>
              <w:rPr>
                <w:rFonts w:hint="eastAsia" w:ascii="仿宋" w:hAnsi="仿宋" w:eastAsia="仿宋" w:cs="仿宋"/>
                <w:snapToGrid w:val="0"/>
                <w:sz w:val="24"/>
                <w:szCs w:val="24"/>
                <w:lang w:val="en-US" w:eastAsia="zh-CN"/>
              </w:rPr>
              <w:t>5</w:t>
            </w:r>
            <w:r>
              <w:rPr>
                <w:rFonts w:hint="eastAsia" w:ascii="仿宋" w:hAnsi="仿宋" w:eastAsia="仿宋" w:cs="仿宋"/>
                <w:snapToGrid w:val="0"/>
                <w:sz w:val="24"/>
                <w:szCs w:val="24"/>
              </w:rPr>
              <w:t>份，其中正本</w:t>
            </w:r>
            <w:r>
              <w:rPr>
                <w:rFonts w:hint="eastAsia" w:ascii="仿宋" w:hAnsi="仿宋" w:eastAsia="仿宋" w:cs="仿宋"/>
                <w:snapToGrid w:val="0"/>
                <w:sz w:val="24"/>
                <w:szCs w:val="24"/>
                <w:u w:val="single"/>
              </w:rPr>
              <w:t>1</w:t>
            </w:r>
            <w:r>
              <w:rPr>
                <w:rFonts w:hint="eastAsia" w:ascii="仿宋" w:hAnsi="仿宋" w:eastAsia="仿宋" w:cs="仿宋"/>
                <w:snapToGrid w:val="0"/>
                <w:sz w:val="24"/>
                <w:szCs w:val="24"/>
              </w:rPr>
              <w:t>份和副本</w:t>
            </w:r>
            <w:r>
              <w:rPr>
                <w:rFonts w:hint="eastAsia" w:ascii="仿宋" w:hAnsi="仿宋" w:eastAsia="仿宋" w:cs="仿宋"/>
                <w:snapToGrid w:val="0"/>
                <w:sz w:val="24"/>
                <w:szCs w:val="24"/>
                <w:lang w:val="en-US" w:eastAsia="zh-CN"/>
              </w:rPr>
              <w:t>4</w:t>
            </w:r>
            <w:r>
              <w:rPr>
                <w:rFonts w:hint="eastAsia" w:ascii="仿宋" w:hAnsi="仿宋" w:eastAsia="仿宋" w:cs="仿宋"/>
                <w:snapToGrid w:val="0"/>
                <w:sz w:val="24"/>
                <w:szCs w:val="24"/>
              </w:rPr>
              <w:t>份；</w:t>
            </w:r>
          </w:p>
          <w:p>
            <w:pPr>
              <w:pStyle w:val="13"/>
              <w:adjustRightInd w:val="0"/>
              <w:snapToGrid w:val="0"/>
              <w:spacing w:after="0" w:line="360" w:lineRule="auto"/>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USB接口设备存储的电子版投标文件1份；开标一览表一式</w:t>
            </w:r>
            <w:r>
              <w:rPr>
                <w:rFonts w:hint="eastAsia" w:ascii="仿宋" w:hAnsi="仿宋" w:eastAsia="仿宋" w:cs="仿宋"/>
                <w:snapToGrid w:val="0"/>
                <w:sz w:val="24"/>
                <w:szCs w:val="24"/>
                <w:u w:val="single"/>
              </w:rPr>
              <w:t>3</w:t>
            </w:r>
            <w:r>
              <w:rPr>
                <w:rFonts w:hint="eastAsia" w:ascii="仿宋" w:hAnsi="仿宋" w:eastAsia="仿宋" w:cs="仿宋"/>
                <w:snapToGrid w:val="0"/>
                <w:sz w:val="24"/>
                <w:szCs w:val="24"/>
              </w:rPr>
              <w:t>份。电子版内容应包含</w:t>
            </w:r>
            <w:r>
              <w:rPr>
                <w:rFonts w:hint="eastAsia" w:ascii="仿宋" w:hAnsi="仿宋" w:eastAsia="仿宋" w:cs="仿宋"/>
                <w:snapToGrid w:val="0"/>
                <w:sz w:val="24"/>
                <w:szCs w:val="24"/>
                <w:lang w:eastAsia="zh-CN"/>
              </w:rPr>
              <w:t>投标文件</w:t>
            </w:r>
            <w:r>
              <w:rPr>
                <w:rFonts w:hint="eastAsia" w:ascii="仿宋" w:hAnsi="仿宋" w:eastAsia="仿宋" w:cs="仿宋"/>
                <w:snapToGrid w:val="0"/>
                <w:sz w:val="24"/>
                <w:szCs w:val="24"/>
              </w:rPr>
              <w:t>的全部商务、报价、技术内容及技术资料，其中有英文资料的还应提供中、英文对照文本。</w:t>
            </w:r>
          </w:p>
          <w:p>
            <w:pPr>
              <w:pStyle w:val="13"/>
              <w:adjustRightInd w:val="0"/>
              <w:snapToGrid w:val="0"/>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注：</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纸质投标文件的装订：供应商须将投标文件（正本、副本）按照</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文件组成的顺序胶装成册，并在首页编制“目录”，正反双面打印，每页均应标注页码，装订应牢固、不易拆散和换页。装订要求：</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①每份</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文件的厚度不超过4.5cm，若超过4.5cm，可分册装订，每页标准页码；</w:t>
            </w:r>
          </w:p>
          <w:p>
            <w:pPr>
              <w:pStyle w:val="13"/>
              <w:spacing w:after="0" w:line="360" w:lineRule="auto"/>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②为节约成本，</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文件封皮请勿使用硬版纸；</w:t>
            </w:r>
          </w:p>
          <w:p>
            <w:pPr>
              <w:pStyle w:val="13"/>
              <w:adjustRightInd w:val="0"/>
              <w:snapToGrid w:val="0"/>
              <w:spacing w:after="0" w:line="360" w:lineRule="auto"/>
              <w:ind w:firstLine="482" w:firstLineChars="200"/>
              <w:rPr>
                <w:rFonts w:hint="eastAsia" w:ascii="仿宋" w:hAnsi="仿宋" w:eastAsia="仿宋" w:cs="仿宋"/>
                <w:kern w:val="2"/>
                <w:sz w:val="24"/>
                <w:szCs w:val="24"/>
              </w:rPr>
            </w:pPr>
            <w:r>
              <w:rPr>
                <w:rFonts w:hint="eastAsia" w:ascii="仿宋" w:hAnsi="仿宋" w:eastAsia="仿宋" w:cs="仿宋"/>
                <w:b/>
                <w:bCs/>
                <w:snapToGrid w:val="0"/>
                <w:sz w:val="24"/>
                <w:szCs w:val="24"/>
              </w:rPr>
              <w:t>③</w:t>
            </w:r>
            <w:r>
              <w:rPr>
                <w:rFonts w:hint="eastAsia" w:ascii="仿宋" w:hAnsi="仿宋" w:eastAsia="仿宋" w:cs="仿宋"/>
                <w:b/>
                <w:bCs/>
                <w:snapToGrid w:val="0"/>
                <w:sz w:val="24"/>
                <w:szCs w:val="24"/>
                <w:lang w:eastAsia="zh-CN"/>
              </w:rPr>
              <w:t>投标</w:t>
            </w:r>
            <w:r>
              <w:rPr>
                <w:rFonts w:hint="eastAsia" w:ascii="仿宋" w:hAnsi="仿宋" w:eastAsia="仿宋" w:cs="仿宋"/>
                <w:b/>
                <w:bCs/>
                <w:snapToGrid w:val="0"/>
                <w:sz w:val="24"/>
                <w:szCs w:val="24"/>
              </w:rPr>
              <w:t>文件封装背脊须打印：（XXX单位）投标文件。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9</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投标文件密封和标记</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供应商应将投标文件正本、副本、电子版及开标一览表密封，并在封套明显处注明以下内容：</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 项目编号、项目名称、包号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 正本或副本或电子版或开标一览表</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3) 供应商名称</w:t>
            </w:r>
            <w:r>
              <w:rPr>
                <w:rFonts w:hint="eastAsia" w:ascii="仿宋" w:hAnsi="仿宋" w:eastAsia="仿宋" w:cs="仿宋"/>
                <w:b/>
                <w:sz w:val="24"/>
                <w:szCs w:val="24"/>
              </w:rPr>
              <w:t>（加盖公章）</w:t>
            </w:r>
            <w:r>
              <w:rPr>
                <w:rFonts w:hint="eastAsia" w:ascii="仿宋" w:hAnsi="仿宋" w:eastAsia="仿宋" w:cs="仿宋"/>
                <w:sz w:val="24"/>
                <w:szCs w:val="24"/>
              </w:rPr>
              <w:t>、地址、电话</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4）每一密封件在封口处注明“</w:t>
            </w:r>
            <w:r>
              <w:rPr>
                <w:rFonts w:hint="eastAsia" w:ascii="仿宋" w:hAnsi="仿宋" w:eastAsia="仿宋" w:cs="仿宋"/>
                <w:color w:val="000000"/>
                <w:sz w:val="24"/>
                <w:szCs w:val="24"/>
              </w:rPr>
              <w:t>于__年__月__日</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时__分</w:t>
            </w:r>
            <w:r>
              <w:rPr>
                <w:rFonts w:hint="eastAsia" w:ascii="仿宋" w:hAnsi="仿宋" w:eastAsia="仿宋" w:cs="仿宋"/>
                <w:sz w:val="24"/>
                <w:szCs w:val="24"/>
              </w:rPr>
              <w:t>之前不准启封”字样。</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注：单包所有副本密封在一个包封内即可。</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16"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10</w:t>
            </w:r>
          </w:p>
        </w:tc>
        <w:tc>
          <w:tcPr>
            <w:tcW w:w="1840" w:type="dxa"/>
            <w:vAlign w:val="center"/>
          </w:tcPr>
          <w:p>
            <w:pPr>
              <w:pStyle w:val="13"/>
              <w:spacing w:after="0" w:line="360" w:lineRule="auto"/>
              <w:jc w:val="center"/>
              <w:rPr>
                <w:rFonts w:hint="eastAsia" w:ascii="仿宋" w:hAnsi="仿宋" w:eastAsia="仿宋" w:cs="仿宋"/>
                <w:kern w:val="2"/>
                <w:sz w:val="24"/>
                <w:szCs w:val="24"/>
              </w:rPr>
            </w:pPr>
            <w:r>
              <w:rPr>
                <w:rFonts w:hint="eastAsia" w:ascii="仿宋" w:hAnsi="仿宋" w:eastAsia="仿宋" w:cs="仿宋"/>
                <w:kern w:val="2"/>
                <w:sz w:val="24"/>
                <w:szCs w:val="24"/>
              </w:rPr>
              <w:t>投标文件的签署</w:t>
            </w:r>
          </w:p>
        </w:tc>
        <w:tc>
          <w:tcPr>
            <w:tcW w:w="7559" w:type="dxa"/>
            <w:vAlign w:val="center"/>
          </w:tcPr>
          <w:p>
            <w:pPr>
              <w:pStyle w:val="13"/>
              <w:spacing w:after="0" w:line="360" w:lineRule="auto"/>
              <w:ind w:firstLine="602" w:firstLineChars="250"/>
              <w:rPr>
                <w:rFonts w:hint="eastAsia" w:ascii="仿宋" w:hAnsi="仿宋" w:eastAsia="仿宋" w:cs="仿宋"/>
                <w:kern w:val="2"/>
                <w:sz w:val="24"/>
                <w:szCs w:val="24"/>
              </w:rPr>
            </w:pPr>
            <w:r>
              <w:rPr>
                <w:rFonts w:hint="eastAsia" w:ascii="仿宋" w:hAnsi="仿宋" w:eastAsia="仿宋" w:cs="仿宋"/>
                <w:b/>
                <w:bCs/>
                <w:sz w:val="24"/>
                <w:szCs w:val="24"/>
              </w:rPr>
              <w:t>投标函、开标一览表以及招标文件格式要求中注明需盖章的资料均应按要求签署。</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11</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投标保证金</w:t>
            </w:r>
          </w:p>
        </w:tc>
        <w:tc>
          <w:tcPr>
            <w:tcW w:w="7559" w:type="dxa"/>
            <w:vAlign w:val="center"/>
          </w:tcPr>
          <w:p>
            <w:pPr>
              <w:pStyle w:val="13"/>
              <w:ind w:firstLine="480" w:firstLineChars="200"/>
              <w:rPr>
                <w:rFonts w:hint="eastAsia" w:ascii="仿宋" w:hAnsi="仿宋" w:eastAsia="仿宋" w:cs="仿宋"/>
                <w:snapToGrid w:val="0"/>
                <w:sz w:val="24"/>
                <w:szCs w:val="24"/>
              </w:rPr>
            </w:pPr>
            <w:r>
              <w:rPr>
                <w:rFonts w:hint="eastAsia" w:ascii="仿宋" w:hAnsi="仿宋" w:eastAsia="仿宋" w:cs="仿宋"/>
                <w:snapToGrid w:val="0"/>
                <w:sz w:val="24"/>
                <w:szCs w:val="24"/>
              </w:rPr>
              <w:t>投标保证金金额：</w:t>
            </w:r>
            <w:r>
              <w:rPr>
                <w:rFonts w:hint="eastAsia" w:ascii="仿宋" w:hAnsi="仿宋" w:eastAsia="仿宋" w:cs="仿宋"/>
                <w:b/>
                <w:bCs w:val="0"/>
                <w:snapToGrid w:val="0"/>
                <w:sz w:val="24"/>
                <w:szCs w:val="24"/>
                <w:lang w:val="en-US" w:eastAsia="zh-CN"/>
              </w:rPr>
              <w:t>伍万</w:t>
            </w:r>
            <w:r>
              <w:rPr>
                <w:rFonts w:hint="eastAsia" w:ascii="仿宋" w:hAnsi="仿宋" w:eastAsia="仿宋" w:cs="仿宋"/>
                <w:b/>
                <w:bCs/>
                <w:snapToGrid w:val="0"/>
                <w:color w:val="000000"/>
                <w:sz w:val="24"/>
                <w:szCs w:val="24"/>
              </w:rPr>
              <w:t>元整</w:t>
            </w:r>
            <w:r>
              <w:rPr>
                <w:rFonts w:hint="eastAsia" w:ascii="仿宋" w:hAnsi="仿宋" w:eastAsia="仿宋" w:cs="仿宋"/>
                <w:snapToGrid w:val="0"/>
                <w:sz w:val="24"/>
                <w:szCs w:val="24"/>
              </w:rPr>
              <w:t>；</w:t>
            </w:r>
          </w:p>
          <w:p>
            <w:pPr>
              <w:pStyle w:val="13"/>
              <w:ind w:firstLine="482" w:firstLineChars="200"/>
              <w:rPr>
                <w:rFonts w:hint="eastAsia" w:ascii="仿宋" w:hAnsi="仿宋" w:eastAsia="仿宋" w:cs="仿宋"/>
                <w:b/>
                <w:bCs/>
                <w:snapToGrid w:val="0"/>
                <w:sz w:val="24"/>
                <w:szCs w:val="24"/>
              </w:rPr>
            </w:pPr>
            <w:r>
              <w:rPr>
                <w:rFonts w:hint="eastAsia" w:ascii="仿宋" w:hAnsi="仿宋" w:eastAsia="仿宋" w:cs="仿宋"/>
                <w:b/>
                <w:bCs/>
                <w:snapToGrid w:val="0"/>
                <w:sz w:val="24"/>
                <w:szCs w:val="24"/>
              </w:rPr>
              <w:t>投标保证金缴纳形式：网银转账或电汇，银行保函或第三方担保。</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以网银转账或电汇形式缴纳投标保证金时：</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开户银行及账号如下：</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color w:val="000000"/>
                <w:sz w:val="24"/>
                <w:szCs w:val="24"/>
              </w:rPr>
              <w:t>开户单位全称：山东盛和招标代理有限公司</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开户银行：兴业银行济南燕山支行</w:t>
            </w:r>
          </w:p>
          <w:p>
            <w:pPr>
              <w:spacing w:line="360" w:lineRule="auto"/>
              <w:ind w:firstLine="525" w:firstLineChars="218"/>
              <w:rPr>
                <w:rFonts w:hint="eastAsia" w:ascii="仿宋" w:hAnsi="仿宋" w:eastAsia="仿宋" w:cs="仿宋"/>
                <w:b/>
                <w:color w:val="000000"/>
                <w:sz w:val="24"/>
                <w:szCs w:val="24"/>
              </w:rPr>
            </w:pPr>
            <w:r>
              <w:rPr>
                <w:rFonts w:hint="eastAsia" w:ascii="仿宋" w:hAnsi="仿宋" w:eastAsia="仿宋" w:cs="仿宋"/>
                <w:b/>
                <w:bCs/>
                <w:color w:val="000000"/>
                <w:sz w:val="24"/>
                <w:szCs w:val="24"/>
              </w:rPr>
              <w:t>帐    号：376060100100168341</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备注：</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1）投标保证金到账截止时间为投标截止时间，逾期到账的，被视为“未按规定交纳投标保证金”，其投标文件将按无效投标处理；</w:t>
            </w:r>
          </w:p>
          <w:p>
            <w:pPr>
              <w:spacing w:line="360" w:lineRule="auto"/>
              <w:ind w:firstLine="525" w:firstLineChars="218"/>
              <w:rPr>
                <w:rFonts w:hint="eastAsia" w:ascii="仿宋" w:hAnsi="仿宋" w:eastAsia="仿宋" w:cs="仿宋"/>
                <w:b/>
                <w:snapToGrid w:val="0"/>
                <w:kern w:val="0"/>
                <w:sz w:val="24"/>
                <w:szCs w:val="24"/>
              </w:rPr>
            </w:pPr>
            <w:r>
              <w:rPr>
                <w:rFonts w:hint="eastAsia" w:ascii="仿宋" w:hAnsi="仿宋" w:eastAsia="仿宋" w:cs="仿宋"/>
                <w:b/>
                <w:snapToGrid w:val="0"/>
                <w:kern w:val="0"/>
                <w:sz w:val="24"/>
                <w:szCs w:val="24"/>
              </w:rPr>
              <w:t>2）投标保证金必须从投标单位账户转出，否则无效；未按上述规定递交投标保证金的供应商，其投标文件将按无效投标处理；</w:t>
            </w:r>
          </w:p>
          <w:p>
            <w:pPr>
              <w:spacing w:line="360" w:lineRule="auto"/>
              <w:ind w:firstLine="523" w:firstLineChars="218"/>
              <w:rPr>
                <w:rFonts w:hint="eastAsia" w:ascii="仿宋" w:hAnsi="仿宋" w:eastAsia="仿宋" w:cs="仿宋"/>
                <w:snapToGrid w:val="0"/>
                <w:kern w:val="0"/>
                <w:sz w:val="24"/>
                <w:szCs w:val="24"/>
              </w:rPr>
            </w:pPr>
            <w:r>
              <w:rPr>
                <w:rFonts w:hint="eastAsia" w:ascii="仿宋" w:hAnsi="仿宋" w:eastAsia="仿宋" w:cs="仿宋"/>
                <w:snapToGrid w:val="0"/>
                <w:kern w:val="0"/>
                <w:sz w:val="24"/>
                <w:szCs w:val="24"/>
              </w:rPr>
              <w:t>3）供应商应充分考虑银行信息交换时间，由此带来的保证金不能按时到帐的责任由供应商自行承担。</w:t>
            </w:r>
          </w:p>
          <w:p>
            <w:pPr>
              <w:spacing w:line="360" w:lineRule="auto"/>
              <w:ind w:firstLine="523" w:firstLineChars="218"/>
              <w:rPr>
                <w:rFonts w:hint="eastAsia" w:ascii="仿宋" w:hAnsi="仿宋" w:eastAsia="仿宋" w:cs="仿宋"/>
                <w:b/>
                <w:sz w:val="24"/>
                <w:szCs w:val="24"/>
              </w:rPr>
            </w:pPr>
            <w:r>
              <w:rPr>
                <w:rFonts w:hint="eastAsia" w:ascii="仿宋" w:hAnsi="仿宋" w:eastAsia="仿宋" w:cs="仿宋"/>
                <w:snapToGrid w:val="0"/>
                <w:kern w:val="0"/>
                <w:sz w:val="24"/>
                <w:szCs w:val="24"/>
              </w:rPr>
              <w:t>采用银行保函或第三方担保的，银行保函或第三方担保函应附在</w:t>
            </w:r>
            <w:r>
              <w:rPr>
                <w:rFonts w:hint="eastAsia" w:ascii="仿宋" w:hAnsi="仿宋" w:eastAsia="仿宋" w:cs="仿宋"/>
                <w:snapToGrid w:val="0"/>
                <w:kern w:val="0"/>
                <w:sz w:val="24"/>
                <w:szCs w:val="24"/>
                <w:lang w:eastAsia="zh-CN"/>
              </w:rPr>
              <w:t>投标文件</w:t>
            </w:r>
            <w:r>
              <w:rPr>
                <w:rFonts w:hint="eastAsia" w:ascii="仿宋" w:hAnsi="仿宋" w:eastAsia="仿宋" w:cs="仿宋"/>
                <w:snapToGrid w:val="0"/>
                <w:kern w:val="0"/>
                <w:sz w:val="24"/>
                <w:szCs w:val="24"/>
              </w:rPr>
              <w:t>中，原件需到期退还的，可以单独密封在包封中。</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74"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12</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投标有效期</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自投标截止之日起</w:t>
            </w:r>
            <w:r>
              <w:rPr>
                <w:rFonts w:hint="eastAsia" w:ascii="仿宋" w:hAnsi="仿宋" w:eastAsia="仿宋" w:cs="仿宋"/>
                <w:color w:val="000000"/>
                <w:sz w:val="24"/>
                <w:szCs w:val="24"/>
                <w:u w:val="single"/>
              </w:rPr>
              <w:t>90</w:t>
            </w:r>
            <w:r>
              <w:rPr>
                <w:rFonts w:hint="eastAsia" w:ascii="仿宋" w:hAnsi="仿宋" w:eastAsia="仿宋" w:cs="仿宋"/>
                <w:sz w:val="24"/>
                <w:szCs w:val="24"/>
              </w:rPr>
              <w:t>日历天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4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13</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投标文件递交</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投标文件递交截止时间</w:t>
            </w:r>
            <w:r>
              <w:rPr>
                <w:rFonts w:hint="eastAsia" w:ascii="仿宋" w:hAnsi="仿宋" w:eastAsia="仿宋" w:cs="仿宋"/>
                <w:color w:val="000000"/>
                <w:sz w:val="24"/>
                <w:szCs w:val="24"/>
              </w:rPr>
              <w:t>：详见招标公告；</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投标文件递交地点：山东大学第二医院</w:t>
            </w:r>
            <w:r>
              <w:rPr>
                <w:rFonts w:hint="eastAsia" w:ascii="仿宋" w:hAnsi="仿宋" w:eastAsia="仿宋" w:cs="仿宋"/>
                <w:sz w:val="24"/>
                <w:szCs w:val="24"/>
                <w:lang w:eastAsia="zh-CN"/>
              </w:rPr>
              <w:t>文会</w:t>
            </w:r>
            <w:r>
              <w:rPr>
                <w:rFonts w:hint="eastAsia" w:ascii="仿宋" w:hAnsi="仿宋" w:eastAsia="仿宋" w:cs="仿宋"/>
                <w:sz w:val="24"/>
                <w:szCs w:val="24"/>
              </w:rPr>
              <w:t>学堂（地址：济南市天桥区北园大街247号）。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058"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14</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开标时间、开标地点</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开标时间：同投标文件递交截止时间；</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地点：同投标文件递交地点。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719"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15</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用于评分的证明材料</w:t>
            </w:r>
          </w:p>
          <w:p>
            <w:pPr>
              <w:spacing w:line="360" w:lineRule="auto"/>
              <w:ind w:firstLine="523" w:firstLineChars="218"/>
              <w:jc w:val="center"/>
              <w:rPr>
                <w:rFonts w:hint="eastAsia" w:ascii="仿宋" w:hAnsi="仿宋" w:eastAsia="仿宋" w:cs="仿宋"/>
                <w:sz w:val="24"/>
                <w:szCs w:val="24"/>
              </w:rPr>
            </w:pP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1)执行政府采购优惠政策的有效的证明材料（如有）：</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①《中小企业声明函》；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② 省级以上监狱管理局、戒毒管理局（含新疆生产建设兵团）出具的属于监狱企业的证明文件；</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③《残疾人福利性单位声明函》；</w:t>
            </w:r>
          </w:p>
          <w:p>
            <w:pPr>
              <w:spacing w:line="360" w:lineRule="auto"/>
              <w:ind w:firstLine="523" w:firstLineChars="218"/>
              <w:rPr>
                <w:rFonts w:hint="eastAsia" w:ascii="仿宋" w:hAnsi="仿宋" w:eastAsia="仿宋" w:cs="仿宋"/>
                <w:sz w:val="24"/>
                <w:szCs w:val="24"/>
              </w:rPr>
            </w:pPr>
            <w:r>
              <w:rPr>
                <w:rFonts w:hint="eastAsia" w:ascii="仿宋" w:hAnsi="仿宋" w:eastAsia="仿宋" w:cs="仿宋"/>
                <w:sz w:val="24"/>
                <w:szCs w:val="24"/>
              </w:rPr>
              <w:t>2)提供评分办法涉及的业绩合同、信誉或荣誉证书、获奖证书等证明材料（详见评分办法）。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42"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16</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年份要求</w:t>
            </w:r>
          </w:p>
        </w:tc>
        <w:tc>
          <w:tcPr>
            <w:tcW w:w="7559" w:type="dxa"/>
            <w:vAlign w:val="center"/>
          </w:tcPr>
          <w:p>
            <w:pPr>
              <w:pStyle w:val="13"/>
              <w:spacing w:line="360" w:lineRule="auto"/>
              <w:ind w:firstLine="480" w:firstLineChars="200"/>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近三年：自开标之日起</w:t>
            </w:r>
            <w:r>
              <w:rPr>
                <w:rFonts w:hint="eastAsia" w:ascii="仿宋" w:hAnsi="仿宋" w:eastAsia="仿宋" w:cs="仿宋"/>
                <w:color w:val="auto"/>
                <w:kern w:val="2"/>
                <w:sz w:val="24"/>
                <w:szCs w:val="24"/>
                <w:lang w:eastAsia="zh-CN"/>
              </w:rPr>
              <w:t>往前推</w:t>
            </w:r>
            <w:r>
              <w:rPr>
                <w:rFonts w:hint="eastAsia" w:ascii="仿宋" w:hAnsi="仿宋" w:eastAsia="仿宋" w:cs="仿宋"/>
                <w:color w:val="auto"/>
                <w:kern w:val="2"/>
                <w:sz w:val="24"/>
                <w:szCs w:val="24"/>
              </w:rPr>
              <w:t>三年</w:t>
            </w:r>
            <w:r>
              <w:rPr>
                <w:rFonts w:hint="eastAsia" w:ascii="仿宋" w:hAnsi="仿宋" w:eastAsia="仿宋" w:cs="仿宋"/>
                <w:color w:val="auto"/>
                <w:kern w:val="2"/>
                <w:sz w:val="24"/>
                <w:szCs w:val="24"/>
                <w:lang w:eastAsia="zh-CN"/>
              </w:rPr>
              <w:t>精确到日</w:t>
            </w:r>
            <w:r>
              <w:rPr>
                <w:rFonts w:hint="eastAsia" w:ascii="仿宋" w:hAnsi="仿宋" w:eastAsia="仿宋" w:cs="仿宋"/>
                <w:color w:val="auto"/>
                <w:kern w:val="2"/>
                <w:sz w:val="24"/>
                <w:szCs w:val="24"/>
              </w:rPr>
              <w:t>；</w:t>
            </w:r>
          </w:p>
          <w:p>
            <w:pPr>
              <w:pStyle w:val="13"/>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kern w:val="2"/>
                <w:sz w:val="24"/>
                <w:szCs w:val="24"/>
              </w:rPr>
              <w:t>如成立时间较短的供应商，可提供成立至今的相关证明材料。</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07" w:hRule="atLeast"/>
          <w:jc w:val="center"/>
        </w:trPr>
        <w:tc>
          <w:tcPr>
            <w:tcW w:w="619"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17</w:t>
            </w:r>
          </w:p>
        </w:tc>
        <w:tc>
          <w:tcPr>
            <w:tcW w:w="1840" w:type="dxa"/>
            <w:vAlign w:val="center"/>
          </w:tcPr>
          <w:p>
            <w:pPr>
              <w:spacing w:line="360" w:lineRule="auto"/>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服务期</w:t>
            </w:r>
          </w:p>
        </w:tc>
        <w:tc>
          <w:tcPr>
            <w:tcW w:w="7559" w:type="dxa"/>
            <w:vAlign w:val="center"/>
          </w:tcPr>
          <w:p>
            <w:pPr>
              <w:spacing w:line="360" w:lineRule="auto"/>
              <w:ind w:firstLine="480" w:firstLineChars="200"/>
              <w:jc w:val="left"/>
              <w:rPr>
                <w:rFonts w:hint="eastAsia" w:ascii="仿宋" w:hAnsi="仿宋" w:eastAsia="仿宋" w:cs="仿宋"/>
                <w:sz w:val="24"/>
                <w:szCs w:val="24"/>
              </w:rPr>
            </w:pPr>
            <w:r>
              <w:rPr>
                <w:rFonts w:hint="eastAsia" w:ascii="仿宋" w:hAnsi="仿宋" w:eastAsia="仿宋" w:cs="仿宋"/>
                <w:sz w:val="24"/>
                <w:szCs w:val="24"/>
                <w:lang w:val="en-US" w:eastAsia="zh-CN"/>
              </w:rPr>
              <w:t>30个月</w:t>
            </w: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629" w:hRule="atLeast"/>
          <w:jc w:val="center"/>
        </w:trPr>
        <w:tc>
          <w:tcPr>
            <w:tcW w:w="619"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1</w:t>
            </w:r>
            <w:r>
              <w:rPr>
                <w:rFonts w:hint="eastAsia" w:ascii="仿宋" w:hAnsi="仿宋" w:eastAsia="仿宋" w:cs="仿宋"/>
                <w:sz w:val="24"/>
                <w:szCs w:val="24"/>
                <w:lang w:val="en-US" w:eastAsia="zh-CN"/>
              </w:rPr>
              <w:t>8</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highlight w:val="none"/>
              </w:rPr>
              <w:t>付款方式</w:t>
            </w:r>
          </w:p>
        </w:tc>
        <w:tc>
          <w:tcPr>
            <w:tcW w:w="7559" w:type="dxa"/>
            <w:vAlign w:val="center"/>
          </w:tcPr>
          <w:p>
            <w:pPr>
              <w:spacing w:line="360" w:lineRule="auto"/>
              <w:ind w:firstLine="480" w:firstLineChars="200"/>
              <w:jc w:val="left"/>
              <w:rPr>
                <w:rFonts w:hint="default" w:ascii="仿宋" w:hAnsi="仿宋" w:eastAsia="仿宋" w:cs="仿宋"/>
                <w:sz w:val="24"/>
                <w:szCs w:val="24"/>
                <w:lang w:val="en-US" w:eastAsia="zh-CN"/>
              </w:rPr>
            </w:pPr>
            <w:r>
              <w:rPr>
                <w:rFonts w:hint="default" w:ascii="仿宋" w:hAnsi="仿宋" w:eastAsia="仿宋" w:cs="仿宋"/>
                <w:sz w:val="24"/>
                <w:szCs w:val="24"/>
                <w:highlight w:val="none"/>
                <w:lang w:val="en-US" w:eastAsia="zh-CN"/>
              </w:rPr>
              <w:t>每季度付款一次，付款前，甲方对乙方阶段服务情况进行评分，并根据实际评分情况测算出应当支付的服务费数额。双方确认无误后，乙方开具相应金额的服务费增值税普通发票，甲方收到相应票据后在30日内支付上一季度款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846" w:hRule="atLeast"/>
          <w:jc w:val="center"/>
        </w:trPr>
        <w:tc>
          <w:tcPr>
            <w:tcW w:w="619" w:type="dxa"/>
            <w:vAlign w:val="center"/>
          </w:tcPr>
          <w:p>
            <w:pPr>
              <w:spacing w:line="360" w:lineRule="auto"/>
              <w:jc w:val="center"/>
              <w:rPr>
                <w:rFonts w:hint="eastAsia" w:ascii="仿宋" w:hAnsi="仿宋" w:eastAsia="仿宋" w:cs="仿宋"/>
                <w:bCs/>
                <w:sz w:val="24"/>
                <w:szCs w:val="24"/>
                <w:lang w:val="en-US" w:eastAsia="zh-CN"/>
              </w:rPr>
            </w:pPr>
            <w:r>
              <w:rPr>
                <w:rFonts w:hint="eastAsia" w:ascii="仿宋" w:hAnsi="仿宋" w:eastAsia="仿宋" w:cs="仿宋"/>
                <w:bCs/>
                <w:sz w:val="24"/>
                <w:szCs w:val="24"/>
                <w:lang w:val="en-US" w:eastAsia="zh-CN"/>
              </w:rPr>
              <w:t>19</w:t>
            </w:r>
          </w:p>
        </w:tc>
        <w:tc>
          <w:tcPr>
            <w:tcW w:w="1840" w:type="dxa"/>
            <w:vAlign w:val="center"/>
          </w:tcPr>
          <w:p>
            <w:pPr>
              <w:jc w:val="center"/>
              <w:rPr>
                <w:rFonts w:hint="eastAsia" w:ascii="仿宋" w:hAnsi="仿宋" w:eastAsia="仿宋" w:cs="仿宋"/>
                <w:sz w:val="24"/>
                <w:szCs w:val="24"/>
              </w:rPr>
            </w:pPr>
            <w:r>
              <w:rPr>
                <w:rFonts w:hint="eastAsia" w:ascii="仿宋" w:hAnsi="仿宋" w:eastAsia="仿宋" w:cs="仿宋"/>
                <w:sz w:val="24"/>
                <w:szCs w:val="24"/>
              </w:rPr>
              <w:t>评标委员会组成</w:t>
            </w:r>
          </w:p>
        </w:tc>
        <w:tc>
          <w:tcPr>
            <w:tcW w:w="7559" w:type="dxa"/>
            <w:vAlign w:val="center"/>
          </w:tcPr>
          <w:p>
            <w:pPr>
              <w:spacing w:line="360" w:lineRule="auto"/>
              <w:ind w:firstLine="523" w:firstLineChars="218"/>
              <w:rPr>
                <w:rFonts w:hint="eastAsia" w:ascii="仿宋" w:hAnsi="仿宋" w:eastAsia="仿宋" w:cs="仿宋"/>
                <w:sz w:val="24"/>
                <w:szCs w:val="24"/>
              </w:rPr>
            </w:pPr>
            <w:r>
              <w:rPr>
                <w:rFonts w:hint="eastAsia" w:ascii="仿宋" w:hAnsi="仿宋" w:eastAsia="仿宋" w:cs="仿宋"/>
                <w:snapToGrid w:val="0"/>
                <w:kern w:val="0"/>
                <w:sz w:val="24"/>
                <w:szCs w:val="24"/>
              </w:rPr>
              <w:t>根据本项目的特点组建评标委员会，其成员由有关评审专家和采购人代表等五人或以上单数组成，其中评审专家不得少于成员总数的三分之二。</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272" w:hRule="atLeast"/>
          <w:jc w:val="center"/>
        </w:trPr>
        <w:tc>
          <w:tcPr>
            <w:tcW w:w="619" w:type="dxa"/>
            <w:vAlign w:val="center"/>
          </w:tcPr>
          <w:p>
            <w:pPr>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0</w:t>
            </w:r>
          </w:p>
        </w:tc>
        <w:tc>
          <w:tcPr>
            <w:tcW w:w="1840" w:type="dxa"/>
            <w:vAlign w:val="center"/>
          </w:tcPr>
          <w:p>
            <w:pPr>
              <w:spacing w:line="360" w:lineRule="auto"/>
              <w:jc w:val="center"/>
              <w:rPr>
                <w:rFonts w:hint="eastAsia" w:ascii="仿宋" w:hAnsi="仿宋" w:eastAsia="仿宋" w:cs="仿宋"/>
                <w:sz w:val="24"/>
                <w:szCs w:val="24"/>
              </w:rPr>
            </w:pPr>
            <w:r>
              <w:rPr>
                <w:rFonts w:hint="eastAsia" w:ascii="仿宋" w:hAnsi="仿宋" w:eastAsia="仿宋" w:cs="仿宋"/>
                <w:sz w:val="24"/>
                <w:szCs w:val="24"/>
              </w:rPr>
              <w:t>评标方法</w:t>
            </w:r>
          </w:p>
        </w:tc>
        <w:tc>
          <w:tcPr>
            <w:tcW w:w="7559" w:type="dxa"/>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本次评标采用综合评分法，评标委员会成员根据第三章“评分办法”进行打分，按照得分由高到低顺序对各供应商进行排序，提出书面评标报告，推荐中标候选人。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118" w:hRule="atLeast"/>
          <w:jc w:val="center"/>
        </w:trPr>
        <w:tc>
          <w:tcPr>
            <w:tcW w:w="619" w:type="dxa"/>
            <w:vAlign w:val="center"/>
          </w:tcPr>
          <w:p>
            <w:pPr>
              <w:spacing w:line="360" w:lineRule="auto"/>
              <w:jc w:val="center"/>
              <w:rPr>
                <w:rFonts w:hint="eastAsia" w:ascii="仿宋" w:hAnsi="仿宋" w:eastAsia="仿宋" w:cs="仿宋"/>
                <w:bCs/>
                <w:sz w:val="24"/>
                <w:szCs w:val="24"/>
                <w:lang w:eastAsia="zh-CN"/>
              </w:rPr>
            </w:pPr>
            <w:r>
              <w:rPr>
                <w:rFonts w:hint="eastAsia" w:ascii="仿宋" w:hAnsi="仿宋" w:eastAsia="仿宋" w:cs="仿宋"/>
                <w:bCs/>
                <w:sz w:val="24"/>
                <w:szCs w:val="24"/>
              </w:rPr>
              <w:t>2</w:t>
            </w:r>
            <w:r>
              <w:rPr>
                <w:rFonts w:hint="eastAsia" w:ascii="仿宋" w:hAnsi="仿宋" w:eastAsia="仿宋" w:cs="仿宋"/>
                <w:bCs/>
                <w:sz w:val="24"/>
                <w:szCs w:val="24"/>
                <w:lang w:val="en-US" w:eastAsia="zh-CN"/>
              </w:rPr>
              <w:t>1</w:t>
            </w:r>
          </w:p>
        </w:tc>
        <w:tc>
          <w:tcPr>
            <w:tcW w:w="1840" w:type="dxa"/>
            <w:vAlign w:val="center"/>
          </w:tcPr>
          <w:p>
            <w:pPr>
              <w:spacing w:line="360" w:lineRule="auto"/>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是否授权评标委员会确定中标人</w:t>
            </w:r>
          </w:p>
        </w:tc>
        <w:tc>
          <w:tcPr>
            <w:tcW w:w="7559" w:type="dxa"/>
            <w:vAlign w:val="center"/>
          </w:tcPr>
          <w:p>
            <w:pPr>
              <w:spacing w:line="360" w:lineRule="auto"/>
              <w:ind w:firstLine="480" w:firstLineChars="20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□否，评标委员会推荐</w:t>
            </w:r>
            <w:r>
              <w:rPr>
                <w:rFonts w:hint="eastAsia" w:ascii="仿宋" w:hAnsi="仿宋" w:eastAsia="仿宋" w:cs="仿宋"/>
                <w:color w:val="000000"/>
                <w:sz w:val="24"/>
                <w:szCs w:val="24"/>
                <w:highlight w:val="none"/>
                <w:u w:val="single"/>
              </w:rPr>
              <w:t xml:space="preserve">  </w:t>
            </w:r>
            <w:r>
              <w:rPr>
                <w:rFonts w:hint="eastAsia" w:ascii="仿宋" w:hAnsi="仿宋" w:eastAsia="仿宋" w:cs="仿宋"/>
                <w:color w:val="000000"/>
                <w:sz w:val="24"/>
                <w:szCs w:val="24"/>
                <w:highlight w:val="none"/>
              </w:rPr>
              <w:t>名中标候选人，由采购人依法确定中标人；</w:t>
            </w:r>
          </w:p>
          <w:p>
            <w:pPr>
              <w:spacing w:line="360" w:lineRule="auto"/>
              <w:ind w:firstLine="480" w:firstLineChars="200"/>
              <w:rPr>
                <w:rFonts w:hint="eastAsia" w:ascii="仿宋" w:hAnsi="仿宋" w:eastAsia="仿宋" w:cs="仿宋"/>
                <w:sz w:val="24"/>
                <w:szCs w:val="24"/>
                <w:highlight w:val="none"/>
              </w:rPr>
            </w:pPr>
            <w:r>
              <w:rPr>
                <w:rFonts w:hint="eastAsia" w:ascii="仿宋" w:hAnsi="仿宋" w:eastAsia="仿宋" w:cs="仿宋"/>
                <w:color w:val="000000"/>
                <w:sz w:val="24"/>
                <w:szCs w:val="24"/>
                <w:highlight w:val="none"/>
              </w:rPr>
              <w:t>☑是，评标委员会推荐</w:t>
            </w:r>
            <w:r>
              <w:rPr>
                <w:rFonts w:hint="eastAsia" w:ascii="仿宋" w:hAnsi="仿宋" w:eastAsia="仿宋" w:cs="仿宋"/>
                <w:color w:val="000000"/>
                <w:sz w:val="24"/>
                <w:szCs w:val="24"/>
                <w:highlight w:val="none"/>
                <w:u w:val="single"/>
              </w:rPr>
              <w:t>3</w:t>
            </w:r>
            <w:r>
              <w:rPr>
                <w:rFonts w:hint="eastAsia" w:ascii="仿宋" w:hAnsi="仿宋" w:eastAsia="仿宋" w:cs="仿宋"/>
                <w:color w:val="000000"/>
                <w:sz w:val="24"/>
                <w:szCs w:val="24"/>
                <w:highlight w:val="none"/>
              </w:rPr>
              <w:t>名中标候选人，并直接确定</w:t>
            </w:r>
            <w:r>
              <w:rPr>
                <w:rFonts w:hint="eastAsia" w:ascii="仿宋" w:hAnsi="仿宋" w:eastAsia="仿宋" w:cs="仿宋"/>
                <w:color w:val="000000"/>
                <w:sz w:val="24"/>
                <w:szCs w:val="24"/>
                <w:highlight w:val="none"/>
                <w:u w:val="single"/>
              </w:rPr>
              <w:t>1</w:t>
            </w:r>
            <w:r>
              <w:rPr>
                <w:rFonts w:hint="eastAsia" w:ascii="仿宋" w:hAnsi="仿宋" w:eastAsia="仿宋" w:cs="仿宋"/>
                <w:color w:val="000000"/>
                <w:sz w:val="24"/>
                <w:szCs w:val="24"/>
                <w:highlight w:val="none"/>
              </w:rPr>
              <w:t>名中标人。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1786" w:hRule="atLeast"/>
          <w:jc w:val="center"/>
        </w:trPr>
        <w:tc>
          <w:tcPr>
            <w:tcW w:w="619" w:type="dxa"/>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2</w:t>
            </w:r>
          </w:p>
        </w:tc>
        <w:tc>
          <w:tcPr>
            <w:tcW w:w="1840" w:type="dxa"/>
            <w:vAlign w:val="center"/>
          </w:tcPr>
          <w:p>
            <w:pPr>
              <w:spacing w:line="360" w:lineRule="auto"/>
              <w:jc w:val="center"/>
              <w:rPr>
                <w:rFonts w:hint="eastAsia" w:ascii="仿宋" w:hAnsi="仿宋" w:eastAsia="仿宋" w:cs="仿宋"/>
                <w:kern w:val="0"/>
                <w:sz w:val="24"/>
                <w:szCs w:val="24"/>
              </w:rPr>
            </w:pPr>
            <w:r>
              <w:rPr>
                <w:rFonts w:hint="eastAsia" w:ascii="仿宋" w:hAnsi="仿宋" w:eastAsia="仿宋" w:cs="仿宋"/>
                <w:kern w:val="0"/>
                <w:sz w:val="24"/>
                <w:szCs w:val="24"/>
              </w:rPr>
              <w:t>相关费用</w:t>
            </w:r>
          </w:p>
        </w:tc>
        <w:tc>
          <w:tcPr>
            <w:tcW w:w="7559" w:type="dxa"/>
            <w:vAlign w:val="center"/>
          </w:tcPr>
          <w:p>
            <w:pPr>
              <w:spacing w:line="360" w:lineRule="auto"/>
              <w:ind w:firstLine="523" w:firstLineChars="218"/>
              <w:rPr>
                <w:rFonts w:hint="eastAsia" w:ascii="仿宋" w:hAnsi="仿宋" w:eastAsia="仿宋" w:cs="仿宋"/>
                <w:kern w:val="0"/>
                <w:sz w:val="24"/>
                <w:szCs w:val="24"/>
              </w:rPr>
            </w:pPr>
            <w:r>
              <w:rPr>
                <w:rFonts w:hint="eastAsia" w:ascii="仿宋" w:hAnsi="仿宋" w:eastAsia="仿宋" w:cs="仿宋"/>
                <w:kern w:val="0"/>
                <w:sz w:val="24"/>
                <w:szCs w:val="24"/>
              </w:rPr>
              <w:t>中标服务费：</w:t>
            </w:r>
          </w:p>
          <w:p>
            <w:pPr>
              <w:spacing w:line="360" w:lineRule="auto"/>
              <w:ind w:firstLine="523" w:firstLineChars="218"/>
              <w:rPr>
                <w:rFonts w:hint="eastAsia" w:ascii="仿宋" w:hAnsi="仿宋" w:eastAsia="仿宋" w:cs="仿宋"/>
                <w:color w:val="000000"/>
                <w:kern w:val="0"/>
                <w:sz w:val="24"/>
                <w:szCs w:val="24"/>
              </w:rPr>
            </w:pPr>
            <w:r>
              <w:rPr>
                <w:rFonts w:hint="eastAsia" w:ascii="仿宋" w:hAnsi="仿宋" w:eastAsia="仿宋" w:cs="仿宋"/>
                <w:color w:val="000000"/>
                <w:sz w:val="24"/>
                <w:szCs w:val="24"/>
              </w:rPr>
              <w:t>☑</w:t>
            </w:r>
            <w:r>
              <w:rPr>
                <w:rFonts w:hint="eastAsia" w:ascii="仿宋" w:hAnsi="仿宋" w:eastAsia="仿宋" w:cs="仿宋"/>
                <w:color w:val="000000"/>
                <w:kern w:val="0"/>
                <w:sz w:val="24"/>
                <w:szCs w:val="24"/>
              </w:rPr>
              <w:t>本项目中标服务费按差额累进法计算下浮</w:t>
            </w:r>
            <w:r>
              <w:rPr>
                <w:rFonts w:hint="eastAsia" w:ascii="仿宋" w:hAnsi="仿宋" w:eastAsia="仿宋" w:cs="仿宋"/>
                <w:color w:val="000000"/>
                <w:kern w:val="0"/>
                <w:sz w:val="24"/>
                <w:szCs w:val="24"/>
                <w:u w:val="single"/>
              </w:rPr>
              <w:t>40</w:t>
            </w:r>
            <w:r>
              <w:rPr>
                <w:rFonts w:hint="eastAsia" w:ascii="仿宋" w:hAnsi="仿宋" w:eastAsia="仿宋" w:cs="仿宋"/>
                <w:color w:val="000000"/>
                <w:kern w:val="0"/>
                <w:sz w:val="24"/>
                <w:szCs w:val="24"/>
              </w:rPr>
              <w:t>%计取。中标服务费</w:t>
            </w:r>
            <w:r>
              <w:rPr>
                <w:rFonts w:hint="eastAsia" w:ascii="仿宋" w:hAnsi="仿宋" w:eastAsia="仿宋" w:cs="仿宋"/>
                <w:color w:val="000000"/>
                <w:sz w:val="24"/>
                <w:szCs w:val="24"/>
              </w:rPr>
              <w:t>由中标人支付。</w:t>
            </w:r>
          </w:p>
          <w:p>
            <w:pPr>
              <w:pStyle w:val="13"/>
              <w:ind w:firstLine="480" w:firstLineChars="200"/>
              <w:rPr>
                <w:rFonts w:hint="eastAsia" w:ascii="仿宋" w:hAnsi="仿宋" w:eastAsia="仿宋" w:cs="仿宋"/>
                <w:sz w:val="24"/>
                <w:szCs w:val="24"/>
              </w:rPr>
            </w:pPr>
            <w:r>
              <w:rPr>
                <w:rFonts w:hint="eastAsia" w:ascii="仿宋" w:hAnsi="仿宋" w:eastAsia="仿宋" w:cs="仿宋"/>
                <w:color w:val="000000"/>
                <w:sz w:val="24"/>
                <w:szCs w:val="24"/>
              </w:rPr>
              <w:t>□中标服务费按中标金额的__%计取，由中标人支付。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383"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3</w:t>
            </w:r>
          </w:p>
        </w:tc>
        <w:tc>
          <w:tcPr>
            <w:tcW w:w="1840" w:type="dxa"/>
            <w:tcBorders>
              <w:right w:val="single" w:color="auto" w:sz="4" w:space="0"/>
            </w:tcBorders>
            <w:vAlign w:val="center"/>
          </w:tcPr>
          <w:p>
            <w:pPr>
              <w:spacing w:line="360" w:lineRule="auto"/>
              <w:jc w:val="center"/>
              <w:rPr>
                <w:rFonts w:hint="eastAsia" w:ascii="仿宋" w:hAnsi="仿宋" w:eastAsia="仿宋" w:cs="仿宋"/>
                <w:b/>
                <w:kern w:val="0"/>
                <w:sz w:val="24"/>
                <w:szCs w:val="24"/>
              </w:rPr>
            </w:pPr>
            <w:r>
              <w:rPr>
                <w:rFonts w:hint="eastAsia" w:ascii="仿宋" w:hAnsi="仿宋" w:eastAsia="仿宋" w:cs="仿宋"/>
                <w:bCs/>
                <w:snapToGrid w:val="0"/>
                <w:kern w:val="0"/>
                <w:sz w:val="24"/>
                <w:szCs w:val="24"/>
              </w:rPr>
              <w:t>履约保证金</w:t>
            </w:r>
          </w:p>
        </w:tc>
        <w:tc>
          <w:tcPr>
            <w:tcW w:w="7559" w:type="dxa"/>
            <w:tcBorders>
              <w:left w:val="single" w:color="auto" w:sz="4" w:space="0"/>
            </w:tcBorders>
            <w:vAlign w:val="center"/>
          </w:tcPr>
          <w:p>
            <w:pPr>
              <w:pStyle w:val="13"/>
              <w:ind w:firstLine="480" w:firstLineChars="200"/>
              <w:rPr>
                <w:rFonts w:hint="eastAsia" w:ascii="仿宋" w:hAnsi="仿宋" w:eastAsia="仿宋" w:cs="仿宋"/>
                <w:sz w:val="24"/>
                <w:szCs w:val="24"/>
              </w:rPr>
            </w:pPr>
            <w:r>
              <w:rPr>
                <w:rFonts w:hint="eastAsia" w:ascii="仿宋" w:hAnsi="仿宋" w:eastAsia="仿宋" w:cs="仿宋"/>
                <w:sz w:val="24"/>
                <w:szCs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4</w:t>
            </w:r>
          </w:p>
        </w:tc>
        <w:tc>
          <w:tcPr>
            <w:tcW w:w="1840" w:type="dxa"/>
            <w:tcBorders>
              <w:right w:val="single" w:color="auto" w:sz="4" w:space="0"/>
            </w:tcBorders>
            <w:vAlign w:val="center"/>
          </w:tcPr>
          <w:p>
            <w:pPr>
              <w:jc w:val="center"/>
              <w:rPr>
                <w:rFonts w:hint="eastAsia" w:ascii="仿宋" w:hAnsi="仿宋" w:eastAsia="仿宋" w:cs="仿宋"/>
                <w:sz w:val="24"/>
                <w:szCs w:val="24"/>
              </w:rPr>
            </w:pPr>
            <w:r>
              <w:rPr>
                <w:rFonts w:hint="eastAsia" w:ascii="仿宋" w:hAnsi="仿宋" w:eastAsia="仿宋" w:cs="仿宋"/>
                <w:sz w:val="24"/>
                <w:szCs w:val="24"/>
              </w:rPr>
              <w:t>是否统一踏勘现场</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本项目不统一踏勘现场，供应商可自行踏勘现场。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napToGrid w:val="0"/>
                <w:kern w:val="0"/>
                <w:sz w:val="24"/>
                <w:szCs w:val="24"/>
              </w:rPr>
              <w:t>2</w:t>
            </w:r>
            <w:r>
              <w:rPr>
                <w:rFonts w:hint="eastAsia" w:ascii="仿宋" w:hAnsi="仿宋" w:eastAsia="仿宋" w:cs="仿宋"/>
                <w:snapToGrid w:val="0"/>
                <w:kern w:val="0"/>
                <w:sz w:val="24"/>
                <w:szCs w:val="24"/>
                <w:lang w:val="en-US" w:eastAsia="zh-CN"/>
              </w:rPr>
              <w:t>5</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snapToGrid w:val="0"/>
                <w:kern w:val="0"/>
                <w:sz w:val="24"/>
                <w:szCs w:val="24"/>
              </w:rPr>
              <w:t>采购标的对应的中小企业划分标准所属行业</w:t>
            </w:r>
          </w:p>
        </w:tc>
        <w:tc>
          <w:tcPr>
            <w:tcW w:w="7559" w:type="dxa"/>
            <w:tcBorders>
              <w:left w:val="single" w:color="auto" w:sz="4" w:space="0"/>
            </w:tcBorders>
            <w:vAlign w:val="center"/>
          </w:tcPr>
          <w:p>
            <w:pPr>
              <w:pStyle w:val="100"/>
              <w:ind w:firstLine="480" w:firstLineChars="200"/>
              <w:rPr>
                <w:rFonts w:hint="eastAsia" w:ascii="仿宋" w:hAnsi="仿宋" w:eastAsia="仿宋" w:cs="仿宋"/>
                <w:sz w:val="24"/>
                <w:szCs w:val="24"/>
              </w:rPr>
            </w:pPr>
            <w:r>
              <w:rPr>
                <w:rFonts w:hint="eastAsia" w:ascii="仿宋" w:hAnsi="仿宋" w:eastAsia="仿宋" w:cs="仿宋"/>
                <w:sz w:val="24"/>
                <w:szCs w:val="24"/>
              </w:rPr>
              <w:t>其他未列明行业。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28" w:type="dxa"/>
            <w:bottom w:w="0" w:type="dxa"/>
            <w:right w:w="28" w:type="dxa"/>
          </w:tblCellMar>
        </w:tblPrEx>
        <w:trPr>
          <w:trHeight w:val="414" w:hRule="atLeast"/>
          <w:jc w:val="center"/>
        </w:trPr>
        <w:tc>
          <w:tcPr>
            <w:tcW w:w="619" w:type="dxa"/>
            <w:tcBorders>
              <w:right w:val="single" w:color="auto" w:sz="4" w:space="0"/>
            </w:tcBorders>
            <w:vAlign w:val="center"/>
          </w:tcPr>
          <w:p>
            <w:pPr>
              <w:spacing w:line="360" w:lineRule="auto"/>
              <w:jc w:val="center"/>
              <w:rPr>
                <w:rFonts w:hint="eastAsia" w:ascii="仿宋" w:hAnsi="仿宋" w:eastAsia="仿宋" w:cs="仿宋"/>
                <w:sz w:val="24"/>
                <w:szCs w:val="24"/>
                <w:lang w:eastAsia="zh-CN"/>
              </w:rPr>
            </w:pPr>
            <w:r>
              <w:rPr>
                <w:rFonts w:hint="eastAsia" w:ascii="仿宋" w:hAnsi="仿宋" w:eastAsia="仿宋" w:cs="仿宋"/>
                <w:sz w:val="24"/>
                <w:szCs w:val="24"/>
              </w:rPr>
              <w:t>2</w:t>
            </w:r>
            <w:r>
              <w:rPr>
                <w:rFonts w:hint="eastAsia" w:ascii="仿宋" w:hAnsi="仿宋" w:eastAsia="仿宋" w:cs="仿宋"/>
                <w:sz w:val="24"/>
                <w:szCs w:val="24"/>
                <w:lang w:val="en-US" w:eastAsia="zh-CN"/>
              </w:rPr>
              <w:t>6</w:t>
            </w:r>
          </w:p>
        </w:tc>
        <w:tc>
          <w:tcPr>
            <w:tcW w:w="1840" w:type="dxa"/>
            <w:tcBorders>
              <w:right w:val="single" w:color="auto" w:sz="4" w:space="0"/>
            </w:tcBorders>
            <w:vAlign w:val="center"/>
          </w:tcPr>
          <w:p>
            <w:pPr>
              <w:spacing w:line="360" w:lineRule="auto"/>
              <w:jc w:val="center"/>
              <w:rPr>
                <w:rFonts w:hint="eastAsia" w:ascii="仿宋" w:hAnsi="仿宋" w:eastAsia="仿宋" w:cs="仿宋"/>
                <w:sz w:val="24"/>
                <w:szCs w:val="24"/>
              </w:rPr>
            </w:pPr>
            <w:r>
              <w:rPr>
                <w:rFonts w:hint="eastAsia" w:ascii="仿宋" w:hAnsi="仿宋" w:eastAsia="仿宋" w:cs="仿宋"/>
                <w:b/>
                <w:bCs/>
                <w:sz w:val="24"/>
                <w:szCs w:val="24"/>
              </w:rPr>
              <w:t>说明</w:t>
            </w:r>
          </w:p>
        </w:tc>
        <w:tc>
          <w:tcPr>
            <w:tcW w:w="7559" w:type="dxa"/>
            <w:tcBorders>
              <w:left w:val="single" w:color="auto" w:sz="4" w:space="0"/>
            </w:tcBorders>
            <w:vAlign w:val="center"/>
          </w:tcPr>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1）招标文件标有★号条款要求的内容是实质性要求，不允许有负偏离，否则，该投标文件有可能因未响应招标文件规定的实质性要求而被否决； </w:t>
            </w:r>
          </w:p>
          <w:p>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2）招标文件各章节中，有加粗的文字，表示是重要的内容，应引起供应商的注意。</w:t>
            </w:r>
          </w:p>
          <w:p>
            <w:pPr>
              <w:spacing w:line="360" w:lineRule="auto"/>
              <w:ind w:firstLine="480" w:firstLineChars="200"/>
              <w:rPr>
                <w:rFonts w:hint="eastAsia" w:ascii="仿宋" w:hAnsi="仿宋" w:eastAsia="仿宋" w:cs="仿宋"/>
                <w:b/>
                <w:sz w:val="24"/>
                <w:szCs w:val="24"/>
              </w:rPr>
            </w:pPr>
            <w:r>
              <w:rPr>
                <w:rFonts w:hint="eastAsia" w:ascii="仿宋" w:hAnsi="仿宋" w:eastAsia="仿宋" w:cs="仿宋"/>
                <w:sz w:val="24"/>
                <w:szCs w:val="24"/>
              </w:rPr>
              <w:t>3）采购人认为具备相关条件的，将在签订合同时对中小企业在资金支付期限、预付款比例等方面提供明确的优惠措施。</w:t>
            </w:r>
          </w:p>
        </w:tc>
      </w:tr>
    </w:tbl>
    <w:p>
      <w:pPr>
        <w:rPr>
          <w:rFonts w:hint="eastAsia" w:ascii="仿宋" w:hAnsi="仿宋" w:eastAsia="仿宋" w:cs="仿宋"/>
          <w:lang w:val="en-US" w:eastAsia="zh-CN"/>
        </w:rPr>
      </w:pPr>
      <w:r>
        <w:rPr>
          <w:rFonts w:hint="eastAsia" w:ascii="仿宋" w:hAnsi="仿宋" w:eastAsia="仿宋" w:cs="仿宋"/>
          <w:lang w:val="en-US" w:eastAsia="zh-CN"/>
        </w:rPr>
        <w:br w:type="page"/>
      </w:r>
    </w:p>
    <w:p>
      <w:pPr>
        <w:ind w:firstLine="560" w:firstLineChars="200"/>
        <w:jc w:val="center"/>
        <w:rPr>
          <w:rFonts w:hint="eastAsia" w:ascii="仿宋" w:hAnsi="仿宋" w:eastAsia="仿宋" w:cs="仿宋"/>
        </w:rPr>
      </w:pPr>
      <w:r>
        <w:rPr>
          <w:rFonts w:hint="eastAsia" w:ascii="仿宋" w:hAnsi="仿宋" w:eastAsia="仿宋" w:cs="仿宋"/>
          <w:lang w:val="en-US" w:eastAsia="zh-CN"/>
        </w:rPr>
        <w:t>供应商须知正文</w:t>
      </w:r>
    </w:p>
    <w:p>
      <w:pPr>
        <w:rPr>
          <w:rFonts w:hint="eastAsia" w:ascii="仿宋" w:hAnsi="仿宋" w:eastAsia="仿宋" w:cs="仿宋"/>
        </w:rPr>
      </w:pP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86" w:name="_Toc356491307"/>
      <w:bookmarkStart w:id="87" w:name="_Toc356490368"/>
      <w:bookmarkStart w:id="88" w:name="_Toc5358"/>
      <w:bookmarkStart w:id="89" w:name="_Toc24644"/>
      <w:bookmarkStart w:id="90" w:name="_Toc26394"/>
      <w:bookmarkStart w:id="91" w:name="_Toc325620703"/>
      <w:bookmarkStart w:id="92" w:name="_Toc407632769"/>
      <w:r>
        <w:rPr>
          <w:rFonts w:hint="eastAsia" w:ascii="仿宋" w:hAnsi="仿宋" w:eastAsia="仿宋" w:cs="仿宋"/>
          <w:sz w:val="28"/>
          <w:szCs w:val="28"/>
          <w:highlight w:val="none"/>
        </w:rPr>
        <w:t>一、适用范围</w:t>
      </w:r>
      <w:bookmarkEnd w:id="86"/>
      <w:bookmarkEnd w:id="87"/>
      <w:bookmarkEnd w:id="88"/>
      <w:bookmarkEnd w:id="89"/>
      <w:bookmarkEnd w:id="90"/>
      <w:bookmarkEnd w:id="91"/>
      <w:bookmarkEnd w:id="92"/>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本招标文件仅适用于本次招标公告中所叙述的项目。</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93" w:name="_Toc356491308"/>
      <w:bookmarkStart w:id="94" w:name="_Toc356490369"/>
      <w:bookmarkStart w:id="95" w:name="_Toc1696"/>
      <w:bookmarkStart w:id="96" w:name="_Toc407632770"/>
      <w:bookmarkStart w:id="97" w:name="_Toc20395"/>
      <w:bookmarkStart w:id="98" w:name="_Toc25048"/>
      <w:bookmarkStart w:id="99" w:name="_Toc325620704"/>
      <w:r>
        <w:rPr>
          <w:rFonts w:hint="eastAsia" w:ascii="仿宋" w:hAnsi="仿宋" w:eastAsia="仿宋" w:cs="仿宋"/>
          <w:sz w:val="28"/>
          <w:szCs w:val="28"/>
          <w:highlight w:val="none"/>
        </w:rPr>
        <w:t>二、定义</w:t>
      </w:r>
      <w:bookmarkEnd w:id="93"/>
      <w:bookmarkEnd w:id="94"/>
      <w:bookmarkEnd w:id="95"/>
      <w:bookmarkEnd w:id="96"/>
      <w:bookmarkEnd w:id="97"/>
      <w:bookmarkEnd w:id="98"/>
      <w:bookmarkEnd w:id="99"/>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bookmarkStart w:id="100" w:name="_Toc325620705"/>
      <w:r>
        <w:rPr>
          <w:rFonts w:hint="eastAsia" w:ascii="仿宋" w:hAnsi="仿宋" w:eastAsia="仿宋" w:cs="仿宋"/>
          <w:b w:val="0"/>
          <w:color w:val="auto"/>
          <w:sz w:val="28"/>
          <w:szCs w:val="28"/>
          <w:highlight w:val="none"/>
        </w:rPr>
        <w:t>1．</w:t>
      </w:r>
      <w:r>
        <w:rPr>
          <w:rFonts w:hint="eastAsia" w:ascii="仿宋" w:hAnsi="仿宋" w:eastAsia="仿宋" w:cs="仿宋"/>
          <w:b w:val="0"/>
          <w:color w:val="auto"/>
          <w:sz w:val="28"/>
          <w:szCs w:val="28"/>
          <w:highlight w:val="none"/>
          <w:lang w:eastAsia="zh-CN"/>
        </w:rPr>
        <w:t>采购人</w:t>
      </w:r>
    </w:p>
    <w:p>
      <w:pPr>
        <w:pStyle w:val="70"/>
        <w:pageBreakBefore w:val="0"/>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3"/>
        </w:numPr>
        <w:kinsoku/>
        <w:overflowPunct/>
        <w:topLinePunct w:val="0"/>
        <w:bidi w:val="0"/>
        <w:snapToGrid/>
        <w:spacing w:line="360" w:lineRule="auto"/>
        <w:ind w:firstLine="48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采购代理机构</w:t>
      </w:r>
    </w:p>
    <w:p>
      <w:pPr>
        <w:pStyle w:val="70"/>
        <w:pageBreakBefore w:val="0"/>
        <w:numPr>
          <w:ilvl w:val="0"/>
          <w:numId w:val="0"/>
        </w:numPr>
        <w:kinsoku/>
        <w:overflowPunct/>
        <w:topLinePunct w:val="0"/>
        <w:bidi w:val="0"/>
        <w:snapToGrid/>
        <w:spacing w:line="360" w:lineRule="auto"/>
        <w:ind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70"/>
        <w:pageBreakBefore w:val="0"/>
        <w:numPr>
          <w:ilvl w:val="0"/>
          <w:numId w:val="3"/>
        </w:numPr>
        <w:kinsoku/>
        <w:overflowPunct/>
        <w:topLinePunct w:val="0"/>
        <w:bidi w:val="0"/>
        <w:snapToGrid/>
        <w:spacing w:line="360" w:lineRule="auto"/>
        <w:ind w:left="0" w:leftChars="0" w:firstLine="560" w:firstLine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lang w:val="en-US" w:eastAsia="zh-CN"/>
        </w:rPr>
        <w:t>合格</w:t>
      </w:r>
      <w:r>
        <w:rPr>
          <w:rFonts w:hint="eastAsia" w:ascii="仿宋" w:hAnsi="仿宋" w:eastAsia="仿宋" w:cs="仿宋"/>
          <w:b w:val="0"/>
          <w:color w:val="auto"/>
          <w:sz w:val="28"/>
          <w:szCs w:val="28"/>
          <w:highlight w:val="none"/>
          <w:lang w:eastAsia="zh-CN"/>
        </w:rPr>
        <w:t>供应商</w:t>
      </w:r>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01" w:name="_Toc356490370"/>
      <w:bookmarkStart w:id="102" w:name="_Toc356491309"/>
      <w:bookmarkStart w:id="103" w:name="_Toc28042"/>
      <w:bookmarkStart w:id="104" w:name="_Toc407632771"/>
      <w:bookmarkStart w:id="105" w:name="_Toc478"/>
      <w:bookmarkStart w:id="106" w:name="_Toc13233"/>
      <w:r>
        <w:rPr>
          <w:rFonts w:hint="eastAsia" w:ascii="仿宋" w:hAnsi="仿宋" w:eastAsia="仿宋" w:cs="仿宋"/>
          <w:sz w:val="28"/>
          <w:szCs w:val="28"/>
          <w:highlight w:val="none"/>
        </w:rPr>
        <w:t>三、投标人具备的条件</w:t>
      </w:r>
      <w:bookmarkEnd w:id="100"/>
      <w:bookmarkEnd w:id="101"/>
      <w:bookmarkEnd w:id="102"/>
      <w:bookmarkEnd w:id="103"/>
      <w:bookmarkEnd w:id="104"/>
      <w:bookmarkEnd w:id="105"/>
      <w:bookmarkEnd w:id="106"/>
    </w:p>
    <w:p>
      <w:pPr>
        <w:pStyle w:val="70"/>
        <w:pageBreakBefore w:val="0"/>
        <w:numPr>
          <w:ilvl w:val="0"/>
          <w:numId w:val="0"/>
        </w:numPr>
        <w:kinsoku/>
        <w:overflowPunct/>
        <w:topLinePunct w:val="0"/>
        <w:bidi w:val="0"/>
        <w:snapToGrid/>
        <w:spacing w:line="360" w:lineRule="auto"/>
        <w:ind w:leftChars="200"/>
        <w:rPr>
          <w:rFonts w:hint="eastAsia" w:ascii="仿宋" w:hAnsi="仿宋" w:eastAsia="仿宋" w:cs="仿宋"/>
          <w:b w:val="0"/>
          <w:color w:val="auto"/>
          <w:sz w:val="28"/>
          <w:szCs w:val="28"/>
          <w:highlight w:val="none"/>
        </w:rPr>
      </w:pPr>
      <w:bookmarkStart w:id="107" w:name="_Toc407632772"/>
      <w:bookmarkStart w:id="108" w:name="_Toc325620706"/>
      <w:bookmarkStart w:id="109" w:name="_Toc356490371"/>
      <w:bookmarkStart w:id="110" w:name="_Toc356491310"/>
      <w:bookmarkStart w:id="111" w:name="_Toc18137"/>
      <w:r>
        <w:rPr>
          <w:rFonts w:hint="eastAsia" w:ascii="仿宋" w:hAnsi="仿宋" w:eastAsia="仿宋" w:cs="仿宋"/>
          <w:b w:val="0"/>
          <w:color w:val="auto"/>
          <w:sz w:val="28"/>
          <w:szCs w:val="28"/>
          <w:highlight w:val="none"/>
        </w:rPr>
        <w:t>详见供应商须知前附表。</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12" w:name="_Toc17808"/>
      <w:bookmarkStart w:id="113" w:name="_Toc17118"/>
      <w:r>
        <w:rPr>
          <w:rFonts w:hint="eastAsia" w:ascii="仿宋" w:hAnsi="仿宋" w:eastAsia="仿宋" w:cs="仿宋"/>
          <w:sz w:val="28"/>
          <w:szCs w:val="28"/>
          <w:highlight w:val="none"/>
        </w:rPr>
        <w:t>四、招标文件的澄清或修改</w:t>
      </w:r>
      <w:bookmarkEnd w:id="107"/>
      <w:bookmarkEnd w:id="108"/>
      <w:bookmarkEnd w:id="109"/>
      <w:bookmarkEnd w:id="110"/>
      <w:bookmarkEnd w:id="111"/>
      <w:bookmarkEnd w:id="112"/>
      <w:bookmarkEnd w:id="113"/>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若本次项目有澄清（或答疑等）的内容，澄清（或答疑等）作为招标文件的一部分；招标文件的内容与澄清（或答疑等）的内容不一致，以澄清（或答疑等）的内容为准；多次澄清（或答疑等）的内容不一致，以最后一次澄清（或答疑等）的内容为准。采购代理机构对招标文件必要的澄清或修改的内容须在提交投标文件的截止时间前，采购代理机构将视情况确定将不标明问题来源的书面答复发给所有购买招标文件的投标人。供应商须在收到代理机构的澄清、修改或变更后24小时内书面签章回复。</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14" w:name="_Toc5341"/>
      <w:bookmarkStart w:id="115" w:name="_Toc356491311"/>
      <w:bookmarkStart w:id="116" w:name="_Toc325620707"/>
      <w:bookmarkStart w:id="117" w:name="_Toc407632773"/>
      <w:bookmarkStart w:id="118" w:name="_Toc26403"/>
      <w:bookmarkStart w:id="119" w:name="_Toc356490372"/>
      <w:bookmarkStart w:id="120" w:name="_Toc3557"/>
      <w:r>
        <w:rPr>
          <w:rFonts w:hint="eastAsia" w:ascii="仿宋" w:hAnsi="仿宋" w:eastAsia="仿宋" w:cs="仿宋"/>
          <w:sz w:val="28"/>
          <w:szCs w:val="28"/>
          <w:highlight w:val="none"/>
        </w:rPr>
        <w:t>五、投标文件的编写</w:t>
      </w:r>
      <w:bookmarkEnd w:id="114"/>
      <w:bookmarkEnd w:id="115"/>
      <w:bookmarkEnd w:id="116"/>
      <w:bookmarkEnd w:id="117"/>
      <w:bookmarkEnd w:id="118"/>
      <w:bookmarkEnd w:id="119"/>
      <w:bookmarkEnd w:id="12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投标人应按招标文件的要求准备投标文件，并保证所提供的全部资料的真实性、准确性及完整性，以使其报价对招标文件做出实质性呼应，否则参与投标的资格有可能被评审委员会否决。</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1.投标文件的语言及计量单位</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投标人和采购代理机构就本项目交换的文件和来往信函使用中文。除招标文件的技术规格中另有规定外，投标文件中所使用的计量单位应使用中华人民共和国法定计量单位。</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2.投标文件的编写及装订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2.1按包分别编制投标文件，每包</w:t>
      </w:r>
      <w:r>
        <w:rPr>
          <w:rFonts w:hint="eastAsia" w:ascii="仿宋" w:hAnsi="仿宋" w:eastAsia="仿宋" w:cs="仿宋"/>
          <w:bCs w:val="0"/>
          <w:kern w:val="0"/>
          <w:sz w:val="28"/>
          <w:szCs w:val="28"/>
          <w:highlight w:val="none"/>
        </w:rPr>
        <w:t>一份正本</w:t>
      </w:r>
      <w:r>
        <w:rPr>
          <w:rFonts w:hint="eastAsia" w:ascii="仿宋" w:hAnsi="仿宋" w:eastAsia="仿宋" w:cs="仿宋"/>
          <w:bCs w:val="0"/>
          <w:kern w:val="0"/>
          <w:sz w:val="28"/>
          <w:szCs w:val="28"/>
          <w:highlight w:val="none"/>
          <w:lang w:val="en-US" w:eastAsia="zh-CN"/>
        </w:rPr>
        <w:t>四</w:t>
      </w:r>
      <w:r>
        <w:rPr>
          <w:rFonts w:hint="eastAsia" w:ascii="仿宋" w:hAnsi="仿宋" w:eastAsia="仿宋" w:cs="仿宋"/>
          <w:bCs w:val="0"/>
          <w:kern w:val="0"/>
          <w:sz w:val="28"/>
          <w:szCs w:val="28"/>
          <w:highlight w:val="none"/>
        </w:rPr>
        <w:t>份副本；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2.2投标文件正本和副本用A4幅面的纸张打印；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2.3“报价一览表”用A4幅面的纸张打印，四号字体，要求按格式统一填写，不得自行增减内容；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2.4投标文件以及相关书面文件中的单位盖章（包括印章、公章等）均指与投标人名称全称相一致的标准公章，不得使用其他形式（如带有“专用章”、“合同章”、“财务章”、“业务章”等）的印章；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2.5</w:t>
      </w:r>
      <w:r>
        <w:rPr>
          <w:rFonts w:hint="eastAsia" w:ascii="仿宋" w:hAnsi="仿宋" w:eastAsia="仿宋" w:cs="仿宋"/>
          <w:sz w:val="28"/>
          <w:szCs w:val="28"/>
          <w:highlight w:val="none"/>
          <w:lang w:val="en-GB"/>
        </w:rPr>
        <w:t>投标文件不应有涂改、增删之处，如必须修改时，修改处必须有投标人的签章和被授权代表的签字</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2.6投标文件的装订必须为胶装。</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3.投标文件的组成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3.1投标文件封面；</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3.2投标文件目录；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3.3法定代表人或授权代理人签署的</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3.4资格、资质证明文件；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3.4.1具有独立承担民事责任能力的企业或组织合法经营权的凭证（如营业执照、登记证书、执业许可证等）</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3.4.2法定代表人参加的，提供法定代表人相关证明材料；法定代表人不能参加的，提供法定代表人授权委托书（附件</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 xml:space="preserve">）、被授权代表人的身份证；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3.4.3投标人依法缴纳税收的相关证明材料（提供开标</w:t>
      </w:r>
      <w:r>
        <w:rPr>
          <w:rFonts w:hint="eastAsia" w:ascii="仿宋" w:hAnsi="仿宋" w:eastAsia="仿宋" w:cs="仿宋"/>
          <w:sz w:val="28"/>
          <w:szCs w:val="28"/>
          <w:highlight w:val="none"/>
          <w:lang w:eastAsia="zh-CN"/>
        </w:rPr>
        <w:t>前六个月</w:t>
      </w:r>
      <w:r>
        <w:rPr>
          <w:rFonts w:hint="eastAsia" w:ascii="仿宋" w:hAnsi="仿宋" w:eastAsia="仿宋" w:cs="仿宋"/>
          <w:sz w:val="28"/>
          <w:szCs w:val="28"/>
          <w:highlight w:val="none"/>
        </w:rPr>
        <w:t>内任意一个月的缴税证明）；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3.4.4投标人依法缴纳社会保障资金的相关证明材料（提供开标</w:t>
      </w:r>
      <w:r>
        <w:rPr>
          <w:rFonts w:hint="eastAsia" w:ascii="仿宋" w:hAnsi="仿宋" w:eastAsia="仿宋" w:cs="仿宋"/>
          <w:sz w:val="28"/>
          <w:szCs w:val="28"/>
          <w:highlight w:val="none"/>
          <w:lang w:eastAsia="zh-CN"/>
        </w:rPr>
        <w:t>前六个月</w:t>
      </w:r>
      <w:r>
        <w:rPr>
          <w:rFonts w:hint="eastAsia" w:ascii="仿宋" w:hAnsi="仿宋" w:eastAsia="仿宋" w:cs="仿宋"/>
          <w:sz w:val="28"/>
          <w:szCs w:val="28"/>
          <w:highlight w:val="none"/>
        </w:rPr>
        <w:t>内任意一个月</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社保缴费证明）；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3.4.5具有履行合同所必需的设备和专业技术能力；</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3.4.6近3年内在经营活动中没有重大违法记录的声明（附件</w:t>
      </w:r>
      <w:r>
        <w:rPr>
          <w:rFonts w:hint="eastAsia" w:ascii="仿宋" w:hAnsi="仿宋" w:eastAsia="仿宋" w:cs="仿宋"/>
          <w:sz w:val="28"/>
          <w:szCs w:val="28"/>
          <w:highlight w:val="none"/>
          <w:lang w:val="en-US" w:eastAsia="zh-CN"/>
        </w:rPr>
        <w:t>三</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3.4.7提供2020年度</w:t>
      </w:r>
      <w:r>
        <w:rPr>
          <w:rFonts w:hint="eastAsia" w:ascii="仿宋" w:hAnsi="仿宋" w:eastAsia="仿宋" w:cs="仿宋"/>
          <w:sz w:val="28"/>
          <w:szCs w:val="28"/>
          <w:highlight w:val="none"/>
          <w:lang w:val="en-US" w:eastAsia="zh-CN"/>
        </w:rPr>
        <w:t>或2021年度</w:t>
      </w:r>
      <w:r>
        <w:rPr>
          <w:rFonts w:hint="eastAsia" w:ascii="仿宋" w:hAnsi="仿宋" w:eastAsia="仿宋" w:cs="仿宋"/>
          <w:sz w:val="28"/>
          <w:szCs w:val="28"/>
          <w:highlight w:val="none"/>
        </w:rPr>
        <w:t>审计报告或银行出具的有效期内的资信证明</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val="en-US" w:eastAsia="zh-CN"/>
        </w:rPr>
        <w:t>3.4.8</w:t>
      </w:r>
      <w:r>
        <w:rPr>
          <w:rFonts w:hint="eastAsia" w:ascii="仿宋" w:hAnsi="仿宋" w:eastAsia="仿宋" w:cs="仿宋"/>
          <w:sz w:val="28"/>
          <w:szCs w:val="28"/>
          <w:highlight w:val="none"/>
        </w:rPr>
        <w:t>通过“信用中国”网站（www.creditchina.gov.cn）、“中国政府采购网”网站（www.ccgp.gov.cn）查询，未被列入失信被执行人、重大税收违法案件当事人、政府采购严重违法失信行为记录名单</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3.4.9招标公告</w:t>
      </w:r>
      <w:r>
        <w:rPr>
          <w:rFonts w:hint="eastAsia" w:ascii="仿宋" w:hAnsi="仿宋" w:eastAsia="仿宋" w:cs="仿宋"/>
          <w:sz w:val="28"/>
          <w:szCs w:val="28"/>
          <w:highlight w:val="none"/>
        </w:rPr>
        <w:t>中规定的投标人应该满足的资格要求的相关证明材料。</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sz w:val="28"/>
          <w:szCs w:val="28"/>
          <w:highlight w:val="none"/>
        </w:rPr>
        <w:t>备注：以上资格、资质证明文件复印件</w:t>
      </w:r>
      <w:r>
        <w:rPr>
          <w:rFonts w:hint="eastAsia" w:ascii="仿宋" w:hAnsi="仿宋" w:eastAsia="仿宋" w:cs="仿宋"/>
          <w:b/>
          <w:sz w:val="28"/>
          <w:szCs w:val="28"/>
          <w:highlight w:val="none"/>
          <w:lang w:val="en-US" w:eastAsia="zh-CN"/>
        </w:rPr>
        <w:t>需</w:t>
      </w:r>
      <w:r>
        <w:rPr>
          <w:rFonts w:hint="eastAsia" w:ascii="仿宋" w:hAnsi="仿宋" w:eastAsia="仿宋" w:cs="仿宋"/>
          <w:b/>
          <w:sz w:val="28"/>
          <w:szCs w:val="28"/>
          <w:highlight w:val="none"/>
        </w:rPr>
        <w:t>胶装在投标文件中。</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3.5</w:t>
      </w:r>
      <w:r>
        <w:rPr>
          <w:rFonts w:hint="eastAsia" w:ascii="仿宋" w:hAnsi="仿宋" w:eastAsia="仿宋" w:cs="仿宋"/>
          <w:b/>
          <w:sz w:val="28"/>
          <w:szCs w:val="28"/>
          <w:highlight w:val="none"/>
          <w:lang w:val="en-US" w:eastAsia="zh-CN"/>
        </w:rPr>
        <w:t>报价</w:t>
      </w:r>
      <w:r>
        <w:rPr>
          <w:rFonts w:hint="eastAsia" w:ascii="仿宋" w:hAnsi="仿宋" w:eastAsia="仿宋" w:cs="仿宋"/>
          <w:b/>
          <w:sz w:val="28"/>
          <w:szCs w:val="28"/>
          <w:highlight w:val="none"/>
        </w:rPr>
        <w:t>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3.5.1报价一览表（附件）；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3.5.2报价明细表（附件）；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3.5.3投标人认为需要说明的其他内容（格式自拟）。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3.6技术文件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.1服务</w:t>
      </w:r>
      <w:r>
        <w:rPr>
          <w:rFonts w:hint="eastAsia" w:ascii="仿宋" w:hAnsi="仿宋" w:eastAsia="仿宋" w:cs="仿宋"/>
          <w:sz w:val="28"/>
          <w:szCs w:val="28"/>
          <w:highlight w:val="none"/>
          <w:lang w:val="en-US" w:eastAsia="zh-CN"/>
        </w:rPr>
        <w:t>方案</w:t>
      </w:r>
      <w:r>
        <w:rPr>
          <w:rFonts w:hint="eastAsia" w:ascii="仿宋" w:hAnsi="仿宋" w:eastAsia="仿宋" w:cs="仿宋"/>
          <w:sz w:val="28"/>
          <w:szCs w:val="28"/>
          <w:highlight w:val="none"/>
          <w:lang w:val="en-GB"/>
        </w:rPr>
        <w:t>偏离表(附件)</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.2针对本项目的管理成本构成、费用测算情况</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.3</w:t>
      </w:r>
      <w:r>
        <w:rPr>
          <w:rFonts w:hint="eastAsia" w:ascii="仿宋" w:hAnsi="仿宋" w:eastAsia="仿宋" w:cs="仿宋"/>
          <w:sz w:val="28"/>
          <w:szCs w:val="28"/>
          <w:highlight w:val="none"/>
          <w:lang w:val="en-US" w:eastAsia="zh-CN"/>
        </w:rPr>
        <w:t>公司内部</w:t>
      </w:r>
      <w:r>
        <w:rPr>
          <w:rFonts w:hint="eastAsia" w:ascii="仿宋" w:hAnsi="仿宋" w:eastAsia="仿宋" w:cs="仿宋"/>
          <w:sz w:val="28"/>
          <w:szCs w:val="28"/>
          <w:highlight w:val="none"/>
          <w:lang w:val="en-GB"/>
        </w:rPr>
        <w:t>管理制度</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val="en-US" w:eastAsia="zh-CN"/>
        </w:rPr>
        <w:t>3.6.4</w:t>
      </w:r>
      <w:r>
        <w:rPr>
          <w:rFonts w:hint="eastAsia" w:ascii="仿宋" w:hAnsi="仿宋" w:eastAsia="仿宋" w:cs="仿宋"/>
          <w:sz w:val="28"/>
          <w:szCs w:val="28"/>
          <w:highlight w:val="none"/>
          <w:lang w:val="en-GB"/>
        </w:rPr>
        <w:t>针对本项目的</w:t>
      </w:r>
      <w:r>
        <w:rPr>
          <w:rFonts w:hint="eastAsia" w:ascii="仿宋" w:hAnsi="仿宋" w:eastAsia="仿宋" w:cs="仿宋"/>
          <w:sz w:val="28"/>
          <w:szCs w:val="28"/>
          <w:highlight w:val="none"/>
          <w:lang w:val="en-US" w:eastAsia="zh-CN"/>
        </w:rPr>
        <w:t>工作实施方案、工作计划、工作流程、服务标准</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val="en-GB"/>
        </w:rPr>
        <w:t>对本项目的突发事件处置预案</w:t>
      </w:r>
      <w:r>
        <w:rPr>
          <w:rFonts w:hint="eastAsia" w:ascii="仿宋" w:hAnsi="仿宋" w:eastAsia="仿宋" w:cs="仿宋"/>
          <w:sz w:val="28"/>
          <w:szCs w:val="28"/>
          <w:highlight w:val="none"/>
          <w:lang w:val="en-US" w:eastAsia="zh-CN"/>
        </w:rPr>
        <w:t>及疫情防控措施</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3.6</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lang w:val="en-US" w:eastAsia="zh-CN"/>
        </w:rPr>
        <w:t>7提供详细的公司内部考核及质量管理方案</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3.6.8投标人驾驶员储备情况；</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GB" w:eastAsia="zh-CN"/>
        </w:rPr>
      </w:pPr>
      <w:r>
        <w:rPr>
          <w:rFonts w:hint="eastAsia" w:ascii="仿宋" w:hAnsi="仿宋" w:eastAsia="仿宋" w:cs="仿宋"/>
          <w:sz w:val="28"/>
          <w:szCs w:val="28"/>
          <w:highlight w:val="none"/>
          <w:lang w:val="en-US" w:eastAsia="zh-CN"/>
        </w:rPr>
        <w:t>3.6.9</w:t>
      </w:r>
      <w:r>
        <w:rPr>
          <w:rFonts w:hint="eastAsia" w:ascii="仿宋" w:hAnsi="仿宋" w:eastAsia="仿宋" w:cs="仿宋"/>
          <w:sz w:val="28"/>
          <w:szCs w:val="28"/>
          <w:highlight w:val="none"/>
          <w:lang w:val="en-GB"/>
        </w:rPr>
        <w:t>评分细则、技术要求及说明中投标人认为其它应介绍或提交的资料和文件</w:t>
      </w:r>
      <w:r>
        <w:rPr>
          <w:rFonts w:hint="eastAsia" w:ascii="仿宋" w:hAnsi="仿宋" w:eastAsia="仿宋" w:cs="仿宋"/>
          <w:sz w:val="28"/>
          <w:szCs w:val="28"/>
          <w:highlight w:val="none"/>
          <w:lang w:val="en-GB" w:eastAsia="zh-CN"/>
        </w:rPr>
        <w:t>。</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3.7商务文件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3.7.1 201</w:t>
      </w:r>
      <w:r>
        <w:rPr>
          <w:rFonts w:hint="eastAsia" w:ascii="仿宋" w:hAnsi="仿宋" w:eastAsia="仿宋" w:cs="仿宋"/>
          <w:sz w:val="28"/>
          <w:szCs w:val="28"/>
          <w:highlight w:val="none"/>
          <w:lang w:val="en-US" w:eastAsia="zh-CN"/>
        </w:rPr>
        <w:t>9</w:t>
      </w:r>
      <w:r>
        <w:rPr>
          <w:rFonts w:hint="eastAsia" w:ascii="仿宋" w:hAnsi="仿宋" w:eastAsia="仿宋" w:cs="仿宋"/>
          <w:sz w:val="28"/>
          <w:szCs w:val="28"/>
          <w:highlight w:val="none"/>
        </w:rPr>
        <w:t>年</w:t>
      </w:r>
      <w:r>
        <w:rPr>
          <w:rFonts w:hint="eastAsia" w:ascii="仿宋" w:hAnsi="仿宋" w:eastAsia="仿宋" w:cs="仿宋"/>
          <w:sz w:val="28"/>
          <w:szCs w:val="28"/>
          <w:highlight w:val="none"/>
          <w:lang w:val="en-US" w:eastAsia="zh-CN"/>
        </w:rPr>
        <w:t>6</w:t>
      </w:r>
      <w:r>
        <w:rPr>
          <w:rFonts w:hint="eastAsia" w:ascii="仿宋" w:hAnsi="仿宋" w:eastAsia="仿宋" w:cs="仿宋"/>
          <w:sz w:val="28"/>
          <w:szCs w:val="28"/>
          <w:highlight w:val="none"/>
        </w:rPr>
        <w:t>月</w:t>
      </w:r>
      <w:r>
        <w:rPr>
          <w:rFonts w:hint="eastAsia" w:ascii="仿宋" w:hAnsi="仿宋" w:eastAsia="仿宋" w:cs="仿宋"/>
          <w:sz w:val="28"/>
          <w:szCs w:val="28"/>
          <w:highlight w:val="none"/>
          <w:lang w:val="en-US" w:eastAsia="zh-CN"/>
        </w:rPr>
        <w:t>7</w:t>
      </w:r>
      <w:r>
        <w:rPr>
          <w:rFonts w:hint="eastAsia" w:ascii="仿宋" w:hAnsi="仿宋" w:eastAsia="仿宋" w:cs="仿宋"/>
          <w:sz w:val="28"/>
          <w:szCs w:val="28"/>
          <w:highlight w:val="none"/>
        </w:rPr>
        <w:t>日至今以来签订的同类业绩一览表（格式自拟）</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售后服务</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rPr>
        <w:t>3.7.3</w:t>
      </w:r>
      <w:r>
        <w:rPr>
          <w:rFonts w:hint="eastAsia" w:ascii="仿宋" w:hAnsi="仿宋" w:eastAsia="仿宋" w:cs="仿宋"/>
          <w:sz w:val="28"/>
          <w:szCs w:val="28"/>
          <w:highlight w:val="none"/>
          <w:lang w:val="en-US" w:eastAsia="zh-CN"/>
        </w:rPr>
        <w:t xml:space="preserve"> 优惠条款、增值服务及对本项目的理解；</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3.7.</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投标人认为需说明的其他内容（格式自拟）。</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3.8报价要求</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3.8.1</w:t>
      </w:r>
      <w:r>
        <w:rPr>
          <w:rFonts w:hint="eastAsia" w:ascii="仿宋" w:hAnsi="仿宋" w:eastAsia="仿宋" w:cs="仿宋"/>
          <w:b/>
          <w:sz w:val="28"/>
          <w:szCs w:val="28"/>
          <w:highlight w:val="none"/>
        </w:rPr>
        <w:t>本次投标报价为一次性报价</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3.8.2</w:t>
      </w:r>
      <w:r>
        <w:rPr>
          <w:rFonts w:hint="eastAsia" w:ascii="仿宋" w:hAnsi="仿宋" w:eastAsia="仿宋" w:cs="仿宋"/>
          <w:sz w:val="28"/>
          <w:szCs w:val="28"/>
          <w:highlight w:val="none"/>
          <w:lang w:val="en-GB"/>
        </w:rPr>
        <w:t>报价</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lang w:val="en-GB"/>
        </w:rPr>
        <w:t>：</w:t>
      </w:r>
      <w:r>
        <w:rPr>
          <w:rFonts w:hint="eastAsia" w:ascii="仿宋" w:hAnsi="仿宋" w:eastAsia="仿宋" w:cs="仿宋"/>
          <w:sz w:val="28"/>
          <w:szCs w:val="28"/>
          <w:highlight w:val="none"/>
        </w:rPr>
        <w:t>投标人须提供</w:t>
      </w:r>
      <w:r>
        <w:rPr>
          <w:rFonts w:hint="eastAsia" w:ascii="仿宋" w:hAnsi="仿宋" w:eastAsia="仿宋" w:cs="仿宋"/>
          <w:bCs/>
          <w:sz w:val="28"/>
          <w:szCs w:val="28"/>
          <w:highlight w:val="none"/>
        </w:rPr>
        <w:t>人工单价</w:t>
      </w:r>
      <w:r>
        <w:rPr>
          <w:rFonts w:hint="eastAsia" w:ascii="仿宋" w:hAnsi="仿宋" w:eastAsia="仿宋" w:cs="仿宋"/>
          <w:sz w:val="28"/>
          <w:szCs w:val="28"/>
          <w:highlight w:val="none"/>
        </w:rPr>
        <w:t>分项单价和报价总价，</w:t>
      </w:r>
      <w:r>
        <w:rPr>
          <w:rFonts w:hint="eastAsia" w:ascii="仿宋" w:hAnsi="仿宋" w:eastAsia="仿宋" w:cs="仿宋"/>
          <w:bCs/>
          <w:sz w:val="28"/>
          <w:szCs w:val="28"/>
          <w:highlight w:val="none"/>
        </w:rPr>
        <w:t>报价包含人工费、</w:t>
      </w:r>
      <w:r>
        <w:rPr>
          <w:rFonts w:hint="eastAsia" w:ascii="仿宋" w:hAnsi="仿宋" w:eastAsia="仿宋" w:cs="仿宋"/>
          <w:bCs/>
          <w:sz w:val="28"/>
          <w:szCs w:val="28"/>
          <w:highlight w:val="none"/>
          <w:lang w:val="en-US" w:eastAsia="zh-CN"/>
        </w:rPr>
        <w:t>社保</w:t>
      </w:r>
      <w:r>
        <w:rPr>
          <w:rFonts w:hint="eastAsia" w:ascii="仿宋" w:hAnsi="仿宋" w:eastAsia="仿宋" w:cs="仿宋"/>
          <w:bCs/>
          <w:sz w:val="28"/>
          <w:szCs w:val="28"/>
          <w:highlight w:val="none"/>
        </w:rPr>
        <w:t>、</w:t>
      </w:r>
      <w:r>
        <w:rPr>
          <w:rFonts w:hint="eastAsia" w:ascii="仿宋" w:hAnsi="仿宋" w:eastAsia="仿宋" w:cs="仿宋"/>
          <w:bCs/>
          <w:sz w:val="28"/>
          <w:szCs w:val="28"/>
          <w:highlight w:val="none"/>
          <w:lang w:val="en-US" w:eastAsia="zh-CN"/>
        </w:rPr>
        <w:t>绩效奖金、</w:t>
      </w:r>
      <w:r>
        <w:rPr>
          <w:rFonts w:hint="eastAsia" w:ascii="仿宋" w:hAnsi="仿宋" w:eastAsia="仿宋" w:cs="仿宋"/>
          <w:bCs/>
          <w:sz w:val="28"/>
          <w:szCs w:val="28"/>
          <w:highlight w:val="none"/>
        </w:rPr>
        <w:t>税金等所有费用</w:t>
      </w:r>
      <w:r>
        <w:rPr>
          <w:rFonts w:hint="eastAsia" w:ascii="仿宋" w:hAnsi="仿宋" w:eastAsia="仿宋" w:cs="仿宋"/>
          <w:sz w:val="28"/>
          <w:szCs w:val="28"/>
          <w:highlight w:val="none"/>
          <w:lang w:val="en-GB" w:eastAsia="zh-CN"/>
        </w:rPr>
        <w:t>；★投标人投标报价必须符合甲方当地人社部门规定的最新最低工资标准及社保缴费规定</w:t>
      </w:r>
      <w:r>
        <w:rPr>
          <w:rFonts w:hint="eastAsia" w:ascii="仿宋" w:hAnsi="仿宋" w:eastAsia="仿宋" w:cs="仿宋"/>
          <w:sz w:val="28"/>
          <w:szCs w:val="28"/>
          <w:highlight w:val="none"/>
          <w:lang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3.8.3单独密封的报价一览表与投标文件中的报价一览表有差异，以单独密封的报价一览表为准；投标文件中的报价一览表与报价明细表内容不一致的，以报价一览表为准；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3.8.4如果大写的金额和小写的金额不一致时，以大写的金额为准；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3.8.5投标人须提供</w:t>
      </w:r>
      <w:r>
        <w:rPr>
          <w:rFonts w:hint="eastAsia" w:ascii="仿宋" w:hAnsi="仿宋" w:eastAsia="仿宋" w:cs="仿宋"/>
          <w:bCs/>
          <w:sz w:val="28"/>
          <w:szCs w:val="28"/>
          <w:highlight w:val="none"/>
        </w:rPr>
        <w:t>人工单价</w:t>
      </w:r>
      <w:r>
        <w:rPr>
          <w:rFonts w:hint="eastAsia" w:ascii="仿宋" w:hAnsi="仿宋" w:eastAsia="仿宋" w:cs="仿宋"/>
          <w:sz w:val="28"/>
          <w:szCs w:val="28"/>
          <w:highlight w:val="none"/>
        </w:rPr>
        <w:t>分项单价和报价总价，如果单价</w:t>
      </w:r>
      <w:r>
        <w:rPr>
          <w:rFonts w:hint="eastAsia" w:ascii="仿宋" w:hAnsi="仿宋" w:eastAsia="仿宋" w:cs="仿宋"/>
          <w:sz w:val="28"/>
          <w:szCs w:val="28"/>
          <w:highlight w:val="none"/>
          <w:lang w:eastAsia="zh-CN"/>
        </w:rPr>
        <w:t>汇总</w:t>
      </w:r>
      <w:r>
        <w:rPr>
          <w:rFonts w:hint="eastAsia" w:ascii="仿宋" w:hAnsi="仿宋" w:eastAsia="仿宋" w:cs="仿宋"/>
          <w:sz w:val="28"/>
          <w:szCs w:val="28"/>
          <w:highlight w:val="none"/>
        </w:rPr>
        <w:t>和总价不符，以单价金额计算结果为准，单价金额小数点有明显错位的，应以总价为准，并修改单价；</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rPr>
      </w:pPr>
      <w:r>
        <w:rPr>
          <w:rFonts w:hint="eastAsia" w:ascii="仿宋" w:hAnsi="仿宋" w:eastAsia="仿宋" w:cs="仿宋"/>
          <w:sz w:val="28"/>
          <w:szCs w:val="28"/>
          <w:highlight w:val="none"/>
        </w:rPr>
        <w:t>3.8.6报价币种：人民币。</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 xml:space="preserve">4.投标文件的密封和标记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4.1投标人应准备</w:t>
      </w:r>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份投标文件，每包一份正本和</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份副本。在每一份投标文件上要明确注明 “项目编号”、“项目名称”及“正本”或“副本”字样。一旦正本和副本有差异，以正本为准。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4.2投标人应将投标文件正本、副本分别密封，在封口处加盖单位公章并在封面明显处注明以下内容（密封件格式见附件）。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4.2.1项目编号、项目名称；</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4.2.2正本或副本；</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4.2.3投标人名称（加盖公章）、地址、邮编、电话、传真。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4.3投标人必须另外单独密封一套 “报价一览表”， “报价一览表”要求单独打印一份并盖章（提供原件），密封到信封里，现场与投标文件同时提交。（密封件格式见附件）。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4.4投标人必须另外单独密封一套 “电子版投标文件”，“电子版投标文件”要求每包投标文件电子版单独提供一份并以U盘为载体，WORD电子版及加盖鲜章的PDF电子版两种格式（PDF电子版</w:t>
      </w:r>
      <w:r>
        <w:rPr>
          <w:rFonts w:hint="eastAsia" w:ascii="仿宋" w:hAnsi="仿宋" w:eastAsia="仿宋" w:cs="仿宋"/>
          <w:sz w:val="28"/>
          <w:szCs w:val="28"/>
          <w:highlight w:val="none"/>
          <w:lang w:val="en-US" w:eastAsia="zh-CN"/>
        </w:rPr>
        <w:t>为</w:t>
      </w:r>
      <w:r>
        <w:rPr>
          <w:rFonts w:hint="eastAsia" w:ascii="仿宋" w:hAnsi="仿宋" w:eastAsia="仿宋" w:cs="仿宋"/>
          <w:sz w:val="28"/>
          <w:szCs w:val="28"/>
          <w:highlight w:val="none"/>
        </w:rPr>
        <w:t>纸质投标文件正本</w:t>
      </w:r>
      <w:r>
        <w:rPr>
          <w:rFonts w:hint="eastAsia" w:ascii="仿宋" w:hAnsi="仿宋" w:eastAsia="仿宋" w:cs="仿宋"/>
          <w:sz w:val="28"/>
          <w:szCs w:val="28"/>
          <w:highlight w:val="none"/>
          <w:lang w:val="en-US" w:eastAsia="zh-CN"/>
        </w:rPr>
        <w:t>的扫描件</w:t>
      </w:r>
      <w:r>
        <w:rPr>
          <w:rFonts w:hint="eastAsia" w:ascii="仿宋" w:hAnsi="仿宋" w:eastAsia="仿宋" w:cs="仿宋"/>
          <w:sz w:val="28"/>
          <w:szCs w:val="28"/>
          <w:highlight w:val="none"/>
        </w:rPr>
        <w:t>），现场与投标文件同时提交（密封件格式见附件）。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4.5每一密封件在封口处加盖投标人单位公章并注明“于    年  月  日   时 之前不准启封”字样。</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5.投标文件的递交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5.1投标人法定代表人或授权代表必须在投标截止时间前将投标文件送达指定地点。如因特殊原因需推迟投标截止日期的，则按采购代理机构另行通知规定的时间递交；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5.2在截止时间后递交的投标文件概不接收；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5.3电报、电话、传真、电子邮件等方式的投标文件概不接收；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5.4对投标人的投标文件等材料不予退还。</w:t>
      </w:r>
    </w:p>
    <w:p>
      <w:pPr>
        <w:pStyle w:val="3"/>
        <w:pageBreakBefore w:val="0"/>
        <w:kinsoku/>
        <w:overflowPunct/>
        <w:topLinePunct w:val="0"/>
        <w:bidi w:val="0"/>
        <w:snapToGrid/>
        <w:spacing w:line="360" w:lineRule="auto"/>
        <w:rPr>
          <w:rFonts w:hint="eastAsia" w:ascii="仿宋" w:hAnsi="仿宋" w:eastAsia="仿宋" w:cs="仿宋"/>
          <w:color w:val="000000"/>
          <w:sz w:val="28"/>
          <w:szCs w:val="28"/>
          <w:highlight w:val="none"/>
        </w:rPr>
      </w:pPr>
      <w:bookmarkStart w:id="121" w:name="_Toc15530"/>
      <w:bookmarkStart w:id="122" w:name="_Toc1590"/>
      <w:bookmarkStart w:id="123" w:name="_Toc356490373"/>
      <w:bookmarkStart w:id="124" w:name="_Toc356491312"/>
      <w:bookmarkStart w:id="125" w:name="_Toc1732"/>
      <w:bookmarkStart w:id="126" w:name="_Toc325620708"/>
      <w:r>
        <w:rPr>
          <w:rFonts w:hint="eastAsia" w:ascii="仿宋" w:hAnsi="仿宋" w:eastAsia="仿宋" w:cs="仿宋"/>
          <w:sz w:val="28"/>
          <w:szCs w:val="28"/>
          <w:highlight w:val="none"/>
        </w:rPr>
        <w:t>六、</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w:t>
      </w:r>
      <w:bookmarkEnd w:id="121"/>
      <w:bookmarkEnd w:id="122"/>
      <w:bookmarkEnd w:id="123"/>
      <w:bookmarkEnd w:id="124"/>
      <w:bookmarkEnd w:id="125"/>
      <w:bookmarkEnd w:id="126"/>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从</w:t>
      </w:r>
      <w:r>
        <w:rPr>
          <w:rFonts w:hint="eastAsia" w:ascii="仿宋" w:hAnsi="仿宋" w:eastAsia="仿宋" w:cs="仿宋"/>
          <w:color w:val="000000"/>
          <w:sz w:val="28"/>
          <w:szCs w:val="28"/>
          <w:highlight w:val="none"/>
          <w:lang w:eastAsia="zh-CN"/>
        </w:rPr>
        <w:t>投标截止</w:t>
      </w:r>
      <w:r>
        <w:rPr>
          <w:rFonts w:hint="eastAsia" w:ascii="仿宋" w:hAnsi="仿宋" w:eastAsia="仿宋" w:cs="仿宋"/>
          <w:color w:val="000000"/>
          <w:sz w:val="28"/>
          <w:szCs w:val="28"/>
          <w:highlight w:val="none"/>
        </w:rPr>
        <w:t>之日起，有效期为90日。报价函的有效期比本须知规定的有效期短的，将被称为无效投标，采购代理机构有权拒绝。</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color w:val="000000"/>
          <w:sz w:val="28"/>
          <w:szCs w:val="28"/>
          <w:highlight w:val="none"/>
        </w:rPr>
        <w:t>特殊情况下，在</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有效期满之前，采购代理机构可以以书面形式要求投标人同意延长</w:t>
      </w:r>
      <w:r>
        <w:rPr>
          <w:rFonts w:hint="eastAsia" w:ascii="仿宋" w:hAnsi="仿宋" w:eastAsia="仿宋" w:cs="仿宋"/>
          <w:color w:val="000000"/>
          <w:sz w:val="28"/>
          <w:szCs w:val="28"/>
          <w:highlight w:val="none"/>
          <w:lang w:eastAsia="zh-CN"/>
        </w:rPr>
        <w:t>投标</w:t>
      </w:r>
      <w:r>
        <w:rPr>
          <w:rFonts w:hint="eastAsia" w:ascii="仿宋" w:hAnsi="仿宋" w:eastAsia="仿宋" w:cs="仿宋"/>
          <w:color w:val="000000"/>
          <w:sz w:val="28"/>
          <w:szCs w:val="28"/>
          <w:highlight w:val="none"/>
        </w:rPr>
        <w:t>有效期。投标</w:t>
      </w:r>
      <w:r>
        <w:rPr>
          <w:rFonts w:hint="eastAsia" w:ascii="仿宋" w:hAnsi="仿宋" w:eastAsia="仿宋" w:cs="仿宋"/>
          <w:sz w:val="28"/>
          <w:szCs w:val="28"/>
          <w:highlight w:val="none"/>
        </w:rPr>
        <w:t>人可以书面形式拒绝或接受上述要求。</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27" w:name="_Toc73"/>
      <w:bookmarkStart w:id="128" w:name="_Toc8151"/>
      <w:bookmarkStart w:id="129" w:name="_Toc21586"/>
      <w:bookmarkStart w:id="130" w:name="_Toc325620709"/>
      <w:bookmarkStart w:id="131" w:name="_Toc356491313"/>
      <w:bookmarkStart w:id="132" w:name="_Toc356490374"/>
      <w:r>
        <w:rPr>
          <w:rFonts w:hint="eastAsia" w:ascii="仿宋" w:hAnsi="仿宋" w:eastAsia="仿宋" w:cs="仿宋"/>
          <w:sz w:val="28"/>
          <w:szCs w:val="28"/>
          <w:highlight w:val="none"/>
        </w:rPr>
        <w:t>七、投标费用</w:t>
      </w:r>
      <w:bookmarkEnd w:id="127"/>
      <w:bookmarkEnd w:id="128"/>
      <w:bookmarkEnd w:id="129"/>
      <w:bookmarkEnd w:id="130"/>
      <w:bookmarkEnd w:id="131"/>
      <w:bookmarkEnd w:id="132"/>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bookmarkStart w:id="133" w:name="_Toc325620710"/>
      <w:bookmarkStart w:id="134" w:name="_Toc445997425"/>
      <w:bookmarkStart w:id="135" w:name="_Toc529777140"/>
      <w:bookmarkStart w:id="136" w:name="_Toc356491315"/>
      <w:bookmarkStart w:id="137" w:name="_Toc325620711"/>
      <w:bookmarkStart w:id="138" w:name="_Toc356490376"/>
      <w:r>
        <w:rPr>
          <w:rFonts w:hint="eastAsia" w:ascii="仿宋" w:hAnsi="仿宋" w:eastAsia="仿宋" w:cs="仿宋"/>
          <w:sz w:val="28"/>
          <w:szCs w:val="28"/>
          <w:highlight w:val="none"/>
        </w:rPr>
        <w:t>1.各</w:t>
      </w:r>
      <w:r>
        <w:rPr>
          <w:rFonts w:hint="eastAsia" w:ascii="仿宋" w:hAnsi="仿宋" w:eastAsia="仿宋" w:cs="仿宋"/>
          <w:color w:val="000000"/>
          <w:sz w:val="28"/>
          <w:szCs w:val="28"/>
          <w:highlight w:val="none"/>
        </w:rPr>
        <w:t>供应商自行承担所有参与本次项目的有关费用；</w:t>
      </w:r>
    </w:p>
    <w:p>
      <w:pPr>
        <w:pageBreakBefore w:val="0"/>
        <w:kinsoku/>
        <w:overflowPunct/>
        <w:topLinePunct w:val="0"/>
        <w:bidi w:val="0"/>
        <w:snapToGrid/>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eastAsia="zh-CN"/>
        </w:rPr>
        <w:t>中标结果</w:t>
      </w:r>
      <w:r>
        <w:rPr>
          <w:rFonts w:hint="eastAsia" w:ascii="仿宋" w:hAnsi="仿宋" w:eastAsia="仿宋" w:cs="仿宋"/>
          <w:color w:val="000000"/>
          <w:sz w:val="28"/>
          <w:szCs w:val="28"/>
          <w:highlight w:val="none"/>
        </w:rPr>
        <w:t>公告发布后5个工作日内，</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供应商</w:t>
      </w:r>
      <w:r>
        <w:rPr>
          <w:rFonts w:hint="eastAsia" w:ascii="仿宋" w:hAnsi="仿宋" w:eastAsia="仿宋" w:cs="仿宋"/>
          <w:color w:val="000000"/>
          <w:sz w:val="28"/>
          <w:szCs w:val="28"/>
          <w:highlight w:val="none"/>
          <w:lang w:val="en-US" w:eastAsia="zh-CN"/>
        </w:rPr>
        <w:t>参照《国家发展改革委办公厅关于采购代理服务收费有关问题的通知》(发改办价格[2003]857号)和国家计委关于《采购代理服务收费管理暂行办法》（计价格[2002]1980号）规定的收费标准下浮40%</w:t>
      </w:r>
      <w:r>
        <w:rPr>
          <w:rFonts w:hint="eastAsia" w:ascii="仿宋" w:hAnsi="仿宋" w:eastAsia="仿宋" w:cs="仿宋"/>
          <w:color w:val="000000"/>
          <w:sz w:val="28"/>
          <w:szCs w:val="28"/>
          <w:highlight w:val="none"/>
        </w:rPr>
        <w:t>向山东盛和招标代理有限公司交纳</w:t>
      </w:r>
      <w:r>
        <w:rPr>
          <w:rFonts w:hint="eastAsia" w:ascii="仿宋" w:hAnsi="仿宋" w:eastAsia="仿宋" w:cs="仿宋"/>
          <w:color w:val="000000"/>
          <w:sz w:val="28"/>
          <w:szCs w:val="28"/>
          <w:highlight w:val="none"/>
          <w:lang w:eastAsia="zh-CN"/>
        </w:rPr>
        <w:t>中标</w:t>
      </w:r>
      <w:r>
        <w:rPr>
          <w:rFonts w:hint="eastAsia" w:ascii="仿宋" w:hAnsi="仿宋" w:eastAsia="仿宋" w:cs="仿宋"/>
          <w:color w:val="000000"/>
          <w:sz w:val="28"/>
          <w:szCs w:val="28"/>
          <w:highlight w:val="none"/>
        </w:rPr>
        <w:t>服务费。</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开户单位全称：山东盛和招标代理有限公司；</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开户行：兴业银行济南燕山支行；</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账号：376060100100168341。</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39" w:name="_Toc23393"/>
      <w:bookmarkStart w:id="140" w:name="_Toc21092"/>
      <w:bookmarkStart w:id="141" w:name="_Toc7609"/>
      <w:r>
        <w:rPr>
          <w:rFonts w:hint="eastAsia" w:ascii="仿宋" w:hAnsi="仿宋" w:eastAsia="仿宋" w:cs="仿宋"/>
          <w:sz w:val="28"/>
          <w:szCs w:val="28"/>
          <w:highlight w:val="none"/>
        </w:rPr>
        <w:t>八、保证金</w:t>
      </w:r>
      <w:bookmarkEnd w:id="133"/>
      <w:bookmarkEnd w:id="134"/>
      <w:bookmarkEnd w:id="135"/>
      <w:bookmarkEnd w:id="139"/>
      <w:bookmarkEnd w:id="140"/>
      <w:bookmarkEnd w:id="14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w:t>
      </w:r>
      <w:r>
        <w:rPr>
          <w:rFonts w:hint="eastAsia" w:ascii="仿宋" w:hAnsi="仿宋" w:eastAsia="仿宋" w:cs="仿宋"/>
          <w:sz w:val="28"/>
          <w:szCs w:val="28"/>
          <w:highlight w:val="none"/>
          <w:lang w:val="en-US" w:eastAsia="zh-CN"/>
        </w:rPr>
        <w:t>参与本项目供应商应于2022年6月7日上午9:00</w:t>
      </w:r>
      <w:r>
        <w:rPr>
          <w:rFonts w:hint="eastAsia" w:ascii="仿宋" w:hAnsi="仿宋" w:eastAsia="仿宋" w:cs="仿宋"/>
          <w:sz w:val="28"/>
          <w:szCs w:val="28"/>
          <w:highlight w:val="none"/>
        </w:rPr>
        <w:t>前以电汇形式（电汇以到账时间为准）交纳</w:t>
      </w:r>
      <w:r>
        <w:rPr>
          <w:rFonts w:hint="eastAsia" w:ascii="仿宋" w:hAnsi="仿宋" w:eastAsia="仿宋" w:cs="仿宋"/>
          <w:sz w:val="28"/>
          <w:szCs w:val="28"/>
          <w:highlight w:val="none"/>
          <w:lang w:val="en-US" w:eastAsia="zh-CN"/>
        </w:rPr>
        <w:t>50000元</w:t>
      </w:r>
      <w:r>
        <w:rPr>
          <w:rFonts w:hint="eastAsia" w:ascii="仿宋" w:hAnsi="仿宋" w:eastAsia="仿宋" w:cs="仿宋"/>
          <w:sz w:val="28"/>
          <w:szCs w:val="28"/>
          <w:highlight w:val="none"/>
        </w:rPr>
        <w:t>投标保证金</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将汇款凭证发送至</w:t>
      </w:r>
      <w:r>
        <w:rPr>
          <w:rFonts w:hint="eastAsia" w:ascii="仿宋" w:hAnsi="仿宋" w:eastAsia="仿宋" w:cs="仿宋"/>
          <w:sz w:val="28"/>
          <w:szCs w:val="28"/>
          <w:highlight w:val="none"/>
          <w:lang w:eastAsia="zh-CN"/>
        </w:rPr>
        <w:t>cnshzbegs@163.com</w:t>
      </w:r>
      <w:r>
        <w:rPr>
          <w:rFonts w:hint="eastAsia" w:ascii="仿宋" w:hAnsi="仿宋" w:eastAsia="仿宋" w:cs="仿宋"/>
          <w:sz w:val="28"/>
          <w:szCs w:val="28"/>
          <w:highlight w:val="none"/>
        </w:rPr>
        <w:t>，未办理上述手续的造成的后果由投标人自负。</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2.未中标人的投标保证金，自中标通知书发出之日起五个工作日内无息退还。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3.中标人的投标保证金,自采购合同签订之日起五个工作日内无息退还。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4.未按规定交纳投标保证金的，视为无效投标。</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rPr>
        <w:t>.有下列情形之一的，保证金不予退还：</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（一）投标人在提交投标文件截止时间后撤回投标文件的；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（二）投标人在投标文件中提供虚假材料的；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（三）除因不可抗力或招标文件认可的情形以外，中标人不与</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签订合同的；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（四）投标人与招标人、其他投标人或者采购代理机构恶意串通的；</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（五）招标文件规定的其他情形。</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42" w:name="_Toc18543"/>
      <w:bookmarkStart w:id="143" w:name="_Toc16530"/>
      <w:bookmarkStart w:id="144" w:name="_Toc13888"/>
      <w:r>
        <w:rPr>
          <w:rFonts w:hint="eastAsia" w:ascii="仿宋" w:hAnsi="仿宋" w:eastAsia="仿宋" w:cs="仿宋"/>
          <w:sz w:val="28"/>
          <w:szCs w:val="28"/>
          <w:highlight w:val="none"/>
        </w:rPr>
        <w:t>九、无效</w:t>
      </w:r>
      <w:bookmarkEnd w:id="136"/>
      <w:bookmarkEnd w:id="137"/>
      <w:bookmarkEnd w:id="138"/>
      <w:r>
        <w:rPr>
          <w:rFonts w:hint="eastAsia" w:ascii="仿宋" w:hAnsi="仿宋" w:eastAsia="仿宋" w:cs="仿宋"/>
          <w:sz w:val="28"/>
          <w:szCs w:val="28"/>
          <w:highlight w:val="none"/>
        </w:rPr>
        <w:t>投标</w:t>
      </w:r>
      <w:bookmarkEnd w:id="142"/>
      <w:bookmarkEnd w:id="143"/>
      <w:bookmarkEnd w:id="14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45" w:name="_Toc325620712"/>
      <w:bookmarkStart w:id="146" w:name="_Toc356490377"/>
      <w:bookmarkStart w:id="147" w:name="_Toc356491316"/>
      <w:r>
        <w:rPr>
          <w:rFonts w:hint="eastAsia" w:ascii="仿宋" w:hAnsi="仿宋" w:eastAsia="仿宋" w:cs="仿宋"/>
          <w:sz w:val="28"/>
          <w:szCs w:val="28"/>
          <w:highlight w:val="none"/>
        </w:rPr>
        <w:t>投标人有下列情况之一,其报价视为投标无效。山东盛和招标代理有限公司将严格按照《中华人民共和国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》及相关法律、法规及规章制度的规定行使权利。投标人给采购代理机构及招标人造成损失的，采购代理机构及招标人有索赔的权利，投标人应予以赔偿。</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1.报价超招标文件中规定的预算的；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2.不按照招标文件规定报价、没有分项报价、拒绝报价、有多个报价、有选择性报价、附有条件的报价或者拒绝修正报价的；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3.未按规定交纳投标保证金的；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4.投标文件正副本内容严重不一致的；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5.投标有效期不满足招标文件要求的；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6.评审委员会2/3及以上成员认定投标方案技术含量低、不符合招标文件要求的；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7.评审委员会判定投标人涂改证明材料或者提供虚假材料和承诺的；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8.投标文件未按招标文件要求编制、签署、盖章、装订、密封的；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9.投标人必须提交的资格、资信等证明文件未提交、提交不齐全或者复印件未装订于投标文件中的；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10.投标文件含有招标人不能接受的附加条件的；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11.法律、法规和招标文件规定的其他无效投标情形。</w:t>
      </w:r>
    </w:p>
    <w:bookmarkEnd w:id="145"/>
    <w:bookmarkEnd w:id="146"/>
    <w:bookmarkEnd w:id="147"/>
    <w:p>
      <w:pPr>
        <w:pStyle w:val="3"/>
        <w:pageBreakBefore w:val="0"/>
        <w:kinsoku/>
        <w:overflowPunct/>
        <w:topLinePunct w:val="0"/>
        <w:bidi w:val="0"/>
        <w:snapToGrid/>
        <w:spacing w:line="360" w:lineRule="auto"/>
        <w:rPr>
          <w:rFonts w:hint="eastAsia" w:ascii="仿宋" w:hAnsi="仿宋" w:eastAsia="仿宋" w:cs="仿宋"/>
          <w:sz w:val="28"/>
          <w:szCs w:val="28"/>
          <w:highlight w:val="none"/>
          <w:lang w:eastAsia="zh-CN"/>
        </w:rPr>
      </w:pPr>
      <w:bookmarkStart w:id="148" w:name="_Toc7212"/>
      <w:bookmarkStart w:id="149" w:name="_Toc325582067"/>
      <w:bookmarkStart w:id="150" w:name="_Toc325620713"/>
      <w:bookmarkStart w:id="151" w:name="_Toc323129563"/>
      <w:bookmarkStart w:id="152" w:name="_Toc325582572"/>
      <w:r>
        <w:rPr>
          <w:rFonts w:hint="eastAsia" w:ascii="仿宋" w:hAnsi="仿宋" w:eastAsia="仿宋" w:cs="仿宋"/>
          <w:sz w:val="28"/>
          <w:szCs w:val="28"/>
          <w:highlight w:val="none"/>
          <w:lang w:eastAsia="zh-CN"/>
        </w:rPr>
        <w:t>十、质疑的提出与答复</w:t>
      </w:r>
      <w:bookmarkEnd w:id="148"/>
    </w:p>
    <w:p>
      <w:pPr>
        <w:pStyle w:val="13"/>
        <w:spacing w:after="0" w:line="360" w:lineRule="auto"/>
        <w:ind w:firstLine="700" w:firstLineChars="250"/>
        <w:rPr>
          <w:rFonts w:hint="eastAsia" w:ascii="仿宋" w:hAnsi="仿宋" w:eastAsia="仿宋" w:cs="仿宋"/>
          <w:sz w:val="28"/>
          <w:szCs w:val="28"/>
          <w:highlight w:val="none"/>
        </w:rPr>
      </w:pPr>
      <w:r>
        <w:rPr>
          <w:rFonts w:hint="eastAsia" w:ascii="仿宋" w:hAnsi="仿宋" w:eastAsia="仿宋" w:cs="仿宋"/>
          <w:sz w:val="28"/>
          <w:szCs w:val="28"/>
          <w:highlight w:val="none"/>
        </w:rPr>
        <w:t>供应商认为采购文件、采购过程、中标或者成交结果使自己的权益受到损害的，可以在知道或者应知其权益受到损害之日起7个工作日内，以书面形式向采购代理机构提出质疑。投标人须在法定质疑期内一次性提出针对同一采购程序环节的质疑，提交质疑函的形式：纸质，联系部门：济南项目部，联系电话：0531-88260506</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通讯地址：济南市历城区唐冶西路868号东8区企业公馆B1号楼。不符合规定的质疑采购代理机构有权不接收。</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提出质疑的供应商（以下简称质疑供应商）应当是参与所质疑项目采购活动的供应商。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潜在供应商已依法获取其可质疑的采购文件的，可以对该文件提出质疑。对采购文件提出质疑的，应当在获取采购文件或者采购文件公告期限届满之日起7个工作日内提出。</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供应商提出质疑应当提交质疑函和必要的证明材料。质疑函应当包括下列内容：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（1）供应商的姓名或者名称、地址、邮编、联系人及联系电话；</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（2）质疑项目的名称、编号；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（3）具体、明确的质疑事项和与质疑事项相关的请求；</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（4）事实依据；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（5）必要的法律依据；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（6）提出质疑的日期。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供应商为自然人的，应当由本人签字；供应商为法人或者其他组织的，应当由法定代表人、主要负责人，或者其授权代表签字或者盖章，并加盖公章。</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供应商对评审过程、中标结果提出质疑的，采购人、采购代理机构可以组织原评标委员会协助答复质疑。</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质疑答复应当包括下列内容：</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（1）质疑供应商的姓名或者名称；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（2）收到质疑函的日期、质疑项目名称及编号；</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（3）质疑事项、质疑答复的具体内容、事实依据和法律依据；</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（4）告知质疑供应商依法投诉的权利；</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（5）质疑答复人名称；</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（6）答复质疑的日期。</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质疑答复的内容不涉及商业秘密。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采购人、采购代理机构认为供应商质疑不成立，或者成立但未对中标结果构成影响的，继续开展采购活动；认为供应商质疑成立且影响或者可能影响中标结果的，按照下列情况处理：</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（1）对采购文件提出的质疑，依法通过澄清或者修改可以继续开展采购活动的，澄清或者修改采购文件后继续开展采购活动；否则应当修改采购文件后重新开展采购活动。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（2）对采购过程、中标或者成交结果提出的质疑，合格供应商符合法定数量时，可以从合格的中标候选人中另行确定中标人的，应当依法另行确定中标人；否则应当重新开展采购活动。</w:t>
      </w:r>
    </w:p>
    <w:p>
      <w:pPr>
        <w:pStyle w:val="13"/>
        <w:spacing w:after="0" w:line="360" w:lineRule="auto"/>
        <w:ind w:firstLine="700" w:firstLineChars="250"/>
        <w:rPr>
          <w:rFonts w:hint="eastAsia" w:ascii="仿宋" w:hAnsi="仿宋" w:eastAsia="仿宋" w:cs="仿宋"/>
          <w:bCs/>
          <w:kern w:val="2"/>
          <w:sz w:val="28"/>
          <w:szCs w:val="28"/>
          <w:highlight w:val="none"/>
          <w:lang w:val="en-US" w:eastAsia="zh-CN" w:bidi="ar-SA"/>
        </w:rPr>
      </w:pPr>
      <w:r>
        <w:rPr>
          <w:rFonts w:hint="eastAsia" w:ascii="仿宋" w:hAnsi="仿宋" w:eastAsia="仿宋" w:cs="仿宋"/>
          <w:bCs/>
          <w:kern w:val="2"/>
          <w:sz w:val="28"/>
          <w:szCs w:val="28"/>
          <w:highlight w:val="none"/>
          <w:lang w:val="en-US" w:eastAsia="zh-CN" w:bidi="ar-SA"/>
        </w:rPr>
        <w:t>质疑投标人对采购代理机构的答复不满意，或采购代理机构未在规定的时间内作出答复的，可以在答复期满后15个工作日内向财政监督部门投诉。</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53" w:name="_Toc8843"/>
      <w:bookmarkStart w:id="154" w:name="_Toc10465"/>
      <w:bookmarkStart w:id="155" w:name="_Toc30273"/>
      <w:r>
        <w:rPr>
          <w:rFonts w:hint="eastAsia" w:ascii="仿宋" w:hAnsi="仿宋" w:eastAsia="仿宋" w:cs="仿宋"/>
          <w:sz w:val="28"/>
          <w:szCs w:val="28"/>
          <w:highlight w:val="none"/>
        </w:rPr>
        <w:t>十</w:t>
      </w:r>
      <w:bookmarkStart w:id="156" w:name="_Toc259000653"/>
      <w:bookmarkStart w:id="157" w:name="_Toc304901697"/>
      <w:r>
        <w:rPr>
          <w:rFonts w:hint="eastAsia" w:ascii="仿宋" w:hAnsi="仿宋" w:eastAsia="仿宋" w:cs="仿宋"/>
          <w:sz w:val="28"/>
          <w:szCs w:val="28"/>
          <w:highlight w:val="none"/>
          <w:lang w:eastAsia="zh-CN"/>
        </w:rPr>
        <w:t>一</w:t>
      </w:r>
      <w:r>
        <w:rPr>
          <w:rFonts w:hint="eastAsia" w:ascii="仿宋" w:hAnsi="仿宋" w:eastAsia="仿宋" w:cs="仿宋"/>
          <w:sz w:val="28"/>
          <w:szCs w:val="28"/>
          <w:highlight w:val="none"/>
        </w:rPr>
        <w:t>、解释权</w:t>
      </w:r>
      <w:bookmarkEnd w:id="153"/>
      <w:bookmarkEnd w:id="154"/>
      <w:bookmarkEnd w:id="155"/>
      <w:bookmarkEnd w:id="156"/>
      <w:bookmarkEnd w:id="15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购买本招标文件的投标人如果认为招标文件的任何条款存在含糊、遗漏、相互矛盾之处，或是对于采购范围的界定和采购内容的要求不清楚，认为存在歧视、限制的情况，投标人应按相关法律、法规、规定以书面形式向采购代理机构寻求书面澄清，未提出异议或者超过质疑时间的视为完全认同本招标文件。本招标文件的最终解释权归采购代理机构，当对一个问题有多种解释时以采购代理机构的书面解释为准。招标文件未做须知明示，而又有相关法律、法规规定的，采购代理机构对此所做解释以相关的法律、法规规定为依据。</w:t>
      </w:r>
      <w:bookmarkStart w:id="158" w:name="_Toc70060538"/>
      <w:bookmarkStart w:id="159" w:name="_Toc2913"/>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60" w:name="_Toc21272"/>
      <w:r>
        <w:rPr>
          <w:rFonts w:hint="eastAsia" w:ascii="仿宋" w:hAnsi="仿宋" w:eastAsia="仿宋" w:cs="仿宋"/>
          <w:sz w:val="28"/>
          <w:szCs w:val="28"/>
          <w:highlight w:val="none"/>
        </w:rPr>
        <w:t>十</w:t>
      </w:r>
      <w:r>
        <w:rPr>
          <w:rFonts w:hint="eastAsia" w:ascii="仿宋" w:hAnsi="仿宋" w:eastAsia="仿宋" w:cs="仿宋"/>
          <w:sz w:val="28"/>
          <w:szCs w:val="28"/>
          <w:highlight w:val="none"/>
          <w:lang w:val="en-US" w:eastAsia="zh-CN"/>
        </w:rPr>
        <w:t>二</w:t>
      </w:r>
      <w:r>
        <w:rPr>
          <w:rFonts w:hint="eastAsia" w:ascii="仿宋" w:hAnsi="仿宋" w:eastAsia="仿宋" w:cs="仿宋"/>
          <w:sz w:val="28"/>
          <w:szCs w:val="28"/>
          <w:highlight w:val="none"/>
        </w:rPr>
        <w:t>、其他未尽问题参考依据</w:t>
      </w:r>
      <w:bookmarkEnd w:id="158"/>
      <w:bookmarkEnd w:id="159"/>
      <w:bookmarkEnd w:id="160"/>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rPr>
        <w:t>1.《政府采购促进中小企业发展管理办法》（财库〔2020〕46号）；《财政部司法部关于政府采购支持监狱企业发展有关问题的通知》（财库〔2014〕68号）；对小型和微型企业产品的价格给予6%的扣除；</w:t>
      </w:r>
    </w:p>
    <w:p>
      <w:pPr>
        <w:pageBreakBefore w:val="0"/>
        <w:kinsoku/>
        <w:overflowPunct/>
        <w:topLinePunct w:val="0"/>
        <w:bidi w:val="0"/>
        <w:snapToGrid/>
        <w:spacing w:line="360" w:lineRule="auto"/>
        <w:ind w:firstLine="560" w:firstLineChars="200"/>
        <w:rPr>
          <w:rStyle w:val="136"/>
          <w:rFonts w:hint="eastAsia" w:ascii="仿宋" w:hAnsi="仿宋" w:eastAsia="仿宋" w:cs="仿宋"/>
          <w:sz w:val="28"/>
          <w:szCs w:val="28"/>
          <w:highlight w:val="none"/>
        </w:rPr>
      </w:pPr>
      <w:r>
        <w:rPr>
          <w:rStyle w:val="136"/>
          <w:rFonts w:hint="eastAsia" w:ascii="仿宋" w:hAnsi="仿宋" w:eastAsia="仿宋" w:cs="仿宋"/>
          <w:sz w:val="28"/>
          <w:szCs w:val="28"/>
          <w:highlight w:val="none"/>
          <w:lang w:val="en-US" w:eastAsia="zh-CN"/>
        </w:rPr>
        <w:t>2</w:t>
      </w:r>
      <w:r>
        <w:rPr>
          <w:rStyle w:val="136"/>
          <w:rFonts w:hint="eastAsia" w:ascii="仿宋" w:hAnsi="仿宋" w:eastAsia="仿宋" w:cs="仿宋"/>
          <w:sz w:val="28"/>
          <w:szCs w:val="28"/>
          <w:highlight w:val="none"/>
        </w:rPr>
        <w:t>.其他政府采购制度办法。</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2"/>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bookmarkStart w:id="161" w:name="_Toc23845"/>
      <w:bookmarkStart w:id="162" w:name="_Toc14247"/>
      <w:bookmarkStart w:id="163" w:name="_Toc3341"/>
      <w:bookmarkStart w:id="164" w:name="_Toc356491317"/>
      <w:bookmarkStart w:id="165" w:name="_Toc356490378"/>
      <w:r>
        <w:rPr>
          <w:rFonts w:hint="eastAsia" w:ascii="仿宋" w:hAnsi="仿宋" w:eastAsia="仿宋" w:cs="仿宋"/>
          <w:sz w:val="28"/>
          <w:szCs w:val="28"/>
          <w:highlight w:val="none"/>
        </w:rPr>
        <w:t>第三部分 开标、评审、</w:t>
      </w:r>
      <w:bookmarkEnd w:id="149"/>
      <w:bookmarkEnd w:id="150"/>
      <w:bookmarkEnd w:id="151"/>
      <w:bookmarkEnd w:id="152"/>
      <w:r>
        <w:rPr>
          <w:rFonts w:hint="eastAsia" w:ascii="仿宋" w:hAnsi="仿宋" w:eastAsia="仿宋" w:cs="仿宋"/>
          <w:sz w:val="28"/>
          <w:szCs w:val="28"/>
          <w:highlight w:val="none"/>
        </w:rPr>
        <w:t>中标</w:t>
      </w:r>
      <w:bookmarkEnd w:id="161"/>
      <w:bookmarkEnd w:id="162"/>
      <w:bookmarkEnd w:id="163"/>
      <w:bookmarkEnd w:id="164"/>
      <w:bookmarkEnd w:id="165"/>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66" w:name="_Toc325620714"/>
      <w:bookmarkStart w:id="167" w:name="_Toc10319"/>
      <w:bookmarkStart w:id="168" w:name="_Toc332979555"/>
      <w:bookmarkStart w:id="169" w:name="_Toc30679"/>
      <w:bookmarkStart w:id="170" w:name="_Toc1361"/>
      <w:bookmarkStart w:id="171" w:name="_Toc325620717"/>
      <w:bookmarkStart w:id="172" w:name="_Toc356491321"/>
      <w:bookmarkStart w:id="173" w:name="_Toc356490382"/>
      <w:bookmarkStart w:id="174" w:name="_Toc325582573"/>
      <w:bookmarkStart w:id="175" w:name="_Toc323129564"/>
      <w:bookmarkStart w:id="176" w:name="_Toc356491324"/>
      <w:bookmarkStart w:id="177" w:name="_Toc356490385"/>
      <w:bookmarkStart w:id="178" w:name="_Toc325620720"/>
      <w:bookmarkStart w:id="179" w:name="_Toc325582068"/>
      <w:r>
        <w:rPr>
          <w:rFonts w:hint="eastAsia" w:ascii="仿宋" w:hAnsi="仿宋" w:eastAsia="仿宋" w:cs="仿宋"/>
          <w:sz w:val="28"/>
          <w:szCs w:val="28"/>
          <w:highlight w:val="none"/>
        </w:rPr>
        <w:t>一、开标</w:t>
      </w:r>
      <w:bookmarkEnd w:id="166"/>
      <w:bookmarkEnd w:id="167"/>
      <w:bookmarkEnd w:id="168"/>
      <w:bookmarkEnd w:id="169"/>
      <w:bookmarkEnd w:id="170"/>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180" w:name="_Toc332979556"/>
      <w:bookmarkStart w:id="181" w:name="_Toc325620715"/>
      <w:r>
        <w:rPr>
          <w:rFonts w:hint="eastAsia" w:ascii="仿宋" w:hAnsi="仿宋" w:eastAsia="仿宋" w:cs="仿宋"/>
          <w:sz w:val="28"/>
          <w:szCs w:val="28"/>
          <w:highlight w:val="none"/>
        </w:rPr>
        <w:t>1.按照招标文件规定的时间、地点开标。开标由采购代理机构主持，</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和有关方面的代表参加。</w:t>
      </w:r>
      <w:r>
        <w:rPr>
          <w:rFonts w:hint="eastAsia" w:ascii="仿宋" w:hAnsi="仿宋" w:eastAsia="仿宋" w:cs="仿宋"/>
          <w:sz w:val="28"/>
          <w:szCs w:val="28"/>
          <w:highlight w:val="none"/>
          <w:lang w:eastAsia="zh-CN"/>
        </w:rPr>
        <w:t>投标人</w:t>
      </w:r>
      <w:r>
        <w:rPr>
          <w:rFonts w:hint="eastAsia" w:ascii="仿宋" w:hAnsi="仿宋" w:eastAsia="仿宋" w:cs="仿宋"/>
          <w:sz w:val="28"/>
          <w:szCs w:val="28"/>
          <w:highlight w:val="none"/>
        </w:rPr>
        <w:t>法定代表人或其授权代理人应参加并签名报到以证明其出席。</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2.开标时，由投标人或者其推选的代表检查投标文件的密封情况。 </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3.工作人员当众拆封并宣读报价一览表。</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rPr>
        <w:t>记录员将唱价内容记录并由投标人法定代表人或授权代理人签字确认。</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82" w:name="_Toc9360"/>
      <w:bookmarkStart w:id="183" w:name="_Toc6500"/>
      <w:bookmarkStart w:id="184" w:name="_Toc19305"/>
      <w:r>
        <w:rPr>
          <w:rFonts w:hint="eastAsia" w:ascii="仿宋" w:hAnsi="仿宋" w:eastAsia="仿宋" w:cs="仿宋"/>
          <w:sz w:val="28"/>
          <w:szCs w:val="28"/>
          <w:highlight w:val="none"/>
        </w:rPr>
        <w:t>二、评审委员会</w:t>
      </w:r>
      <w:bookmarkEnd w:id="180"/>
      <w:bookmarkEnd w:id="181"/>
      <w:bookmarkEnd w:id="182"/>
      <w:bookmarkEnd w:id="183"/>
      <w:bookmarkEnd w:id="184"/>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评审委员会由</w:t>
      </w:r>
      <w:r>
        <w:rPr>
          <w:rFonts w:hint="eastAsia" w:ascii="仿宋" w:hAnsi="仿宋" w:eastAsia="仿宋" w:cs="仿宋"/>
          <w:sz w:val="28"/>
          <w:szCs w:val="28"/>
          <w:highlight w:val="none"/>
          <w:lang w:eastAsia="zh-CN"/>
        </w:rPr>
        <w:t>采购</w:t>
      </w:r>
      <w:r>
        <w:rPr>
          <w:rFonts w:hint="eastAsia" w:ascii="仿宋" w:hAnsi="仿宋" w:eastAsia="仿宋" w:cs="仿宋"/>
          <w:sz w:val="28"/>
          <w:szCs w:val="28"/>
          <w:highlight w:val="none"/>
        </w:rPr>
        <w:t>人代表和评审专家依法组成。</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85" w:name="_Toc28432"/>
      <w:bookmarkStart w:id="186" w:name="_Toc19266"/>
      <w:bookmarkStart w:id="187" w:name="_Toc325620716"/>
      <w:bookmarkStart w:id="188" w:name="_Toc24299"/>
      <w:bookmarkStart w:id="189" w:name="_Toc332979557"/>
      <w:r>
        <w:rPr>
          <w:rFonts w:hint="eastAsia" w:ascii="仿宋" w:hAnsi="仿宋" w:eastAsia="仿宋" w:cs="仿宋"/>
          <w:sz w:val="28"/>
          <w:szCs w:val="28"/>
          <w:highlight w:val="none"/>
        </w:rPr>
        <w:t>三、评审原则</w:t>
      </w:r>
      <w:bookmarkEnd w:id="185"/>
      <w:bookmarkEnd w:id="186"/>
      <w:bookmarkEnd w:id="187"/>
      <w:bookmarkEnd w:id="188"/>
      <w:bookmarkEnd w:id="189"/>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“公平、公正、择优、效益”为本次采购的基本原则，评审委员会按照这一原则的要求，公正、平等地对待各投标人。同时，在评审过程中恪守以下原则：</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1.客观性原则：评审委员会将严格按照招标文件要求的内容，对投标人的投标文件进行认真评审；评审委员会对投标文件的评审仅依据投标文件本身，而不依靠投标文件以外的任何因素；</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2.统一性原则：评审委员会将按照统一的原则和方法，对各投标人的投标文件进行评审；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3.独立性原则：评审工作在评审委员会内部独立进行，不受外界任何因素的干扰和影响，评审委员会成员对出具的专家意见承担个人责任；</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4.保密性原则：评审委员会成员及有关工作人员将保守投标人的商业秘密；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5.综合性原则：评审委员会将综合分析评审投标人的各项指标，而不以单项指标的优劣评定中标人。 </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90" w:name="_Toc5126"/>
      <w:bookmarkStart w:id="191" w:name="_Toc28621"/>
      <w:bookmarkStart w:id="192" w:name="_Toc23461"/>
      <w:r>
        <w:rPr>
          <w:rFonts w:hint="eastAsia" w:ascii="仿宋" w:hAnsi="仿宋" w:eastAsia="仿宋" w:cs="仿宋"/>
          <w:sz w:val="28"/>
          <w:szCs w:val="28"/>
          <w:highlight w:val="none"/>
        </w:rPr>
        <w:t>四、评审办法</w:t>
      </w:r>
      <w:bookmarkEnd w:id="171"/>
      <w:bookmarkEnd w:id="172"/>
      <w:bookmarkEnd w:id="173"/>
      <w:bookmarkEnd w:id="190"/>
      <w:bookmarkEnd w:id="191"/>
      <w:bookmarkEnd w:id="192"/>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本次采购采用综合评分法，即在最大限度地满足招标文件实质性要求前提下，按照招标文件中规定的各项因素进行综合评审。</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1.初步评审。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投标文件的初审分为资格性检查和符合性检查。</w:t>
      </w:r>
      <w:r>
        <w:rPr>
          <w:rFonts w:hint="eastAsia" w:ascii="仿宋" w:hAnsi="仿宋" w:eastAsia="仿宋" w:cs="仿宋"/>
          <w:sz w:val="28"/>
          <w:szCs w:val="28"/>
          <w:highlight w:val="none"/>
          <w:lang w:val="en-US" w:eastAsia="zh-CN"/>
        </w:rPr>
        <w:t>公开招标采购项目开标结束后，采购代理机构依法对供应商的资格进行审查。</w:t>
      </w:r>
      <w:r>
        <w:rPr>
          <w:rFonts w:hint="eastAsia" w:ascii="仿宋" w:hAnsi="仿宋" w:eastAsia="仿宋" w:cs="仿宋"/>
          <w:sz w:val="28"/>
          <w:szCs w:val="28"/>
          <w:highlight w:val="none"/>
        </w:rPr>
        <w:t>资格性检查指依据法律、法规和招标文件的规定，对投标文件中的资格、资质证明文件等进行审查，以确定投标人是否具备投标资格。符合性检查指依据招标文件的规定，从投标文件的有效性、完整性和对招标文件的响应程度进行审查，以确定是否对招标文件的实质性要求作出响应。</w:t>
      </w:r>
    </w:p>
    <w:p>
      <w:pPr>
        <w:pageBreakBefore w:val="0"/>
        <w:kinsoku/>
        <w:overflowPunct/>
        <w:topLinePunct w:val="0"/>
        <w:bidi w:val="0"/>
        <w:snapToGrid/>
        <w:spacing w:line="360" w:lineRule="auto"/>
        <w:ind w:firstLine="560" w:firstLineChars="200"/>
        <w:rPr>
          <w:rFonts w:hint="eastAsia" w:ascii="仿宋" w:hAnsi="仿宋" w:eastAsia="仿宋" w:cs="仿宋"/>
        </w:rPr>
      </w:pPr>
      <w:r>
        <w:rPr>
          <w:rFonts w:hint="eastAsia" w:ascii="仿宋" w:hAnsi="仿宋" w:eastAsia="仿宋" w:cs="仿宋"/>
          <w:sz w:val="28"/>
          <w:szCs w:val="28"/>
          <w:highlight w:val="none"/>
          <w:lang w:eastAsia="zh-CN"/>
        </w:rPr>
        <w:t>供应商的投标报价明显低于其他通过符合性审查供应商的报价，有可能影响商品质量和不能诚信履约的，评标委员会有权要求其在规定的时间内提供书面文件予以解释说明，并提交相关证明材料；否则，评标委员会可以将其按无效投标处理。</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2. 综合评审。</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评审委员会对经初审合格的投标文件，根据招标文件确定的评审标准和评审办法作进一步的比较和评价。</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评审委员会按照“综合实力最强、能够最大限度满足招标文件中规定的各项综合评价标准”的原则按评分细则对各投标人进行</w:t>
      </w:r>
      <w:r>
        <w:rPr>
          <w:rFonts w:hint="eastAsia" w:ascii="仿宋" w:hAnsi="仿宋" w:eastAsia="仿宋" w:cs="仿宋"/>
          <w:color w:val="auto"/>
          <w:sz w:val="28"/>
          <w:szCs w:val="28"/>
          <w:highlight w:val="none"/>
        </w:rPr>
        <w:t>比较和评价打分，评分过程中采用四舍五入法，并保留小数2位，本项目确定综合得分排名</w:t>
      </w:r>
      <w:r>
        <w:rPr>
          <w:rFonts w:hint="eastAsia" w:ascii="仿宋" w:hAnsi="仿宋" w:eastAsia="仿宋" w:cs="仿宋"/>
          <w:color w:val="auto"/>
          <w:sz w:val="28"/>
          <w:szCs w:val="28"/>
          <w:highlight w:val="none"/>
          <w:lang w:val="en-US" w:eastAsia="zh-CN"/>
        </w:rPr>
        <w:t>第一</w:t>
      </w:r>
      <w:r>
        <w:rPr>
          <w:rFonts w:hint="eastAsia" w:ascii="仿宋" w:hAnsi="仿宋" w:eastAsia="仿宋" w:cs="仿宋"/>
          <w:color w:val="auto"/>
          <w:sz w:val="28"/>
          <w:szCs w:val="28"/>
          <w:highlight w:val="none"/>
        </w:rPr>
        <w:t>名的</w:t>
      </w:r>
      <w:r>
        <w:rPr>
          <w:rFonts w:hint="eastAsia" w:ascii="仿宋" w:hAnsi="仿宋" w:eastAsia="仿宋" w:cs="仿宋"/>
          <w:sz w:val="28"/>
          <w:szCs w:val="28"/>
          <w:highlight w:val="none"/>
        </w:rPr>
        <w:t>为中标人。</w:t>
      </w:r>
    </w:p>
    <w:p>
      <w:pPr>
        <w:pageBreakBefore w:val="0"/>
        <w:kinsoku/>
        <w:overflowPunct/>
        <w:topLinePunct w:val="0"/>
        <w:bidi w:val="0"/>
        <w:snapToGrid/>
        <w:spacing w:line="360" w:lineRule="auto"/>
        <w:ind w:firstLine="562"/>
        <w:outlineLvl w:val="9"/>
        <w:rPr>
          <w:rFonts w:hint="eastAsia" w:ascii="仿宋" w:hAnsi="仿宋" w:eastAsia="仿宋" w:cs="仿宋"/>
        </w:rPr>
      </w:pPr>
      <w:bookmarkStart w:id="193" w:name="_Toc9035"/>
      <w:bookmarkStart w:id="194" w:name="_Toc24623"/>
      <w:bookmarkStart w:id="195" w:name="_Toc23776"/>
      <w:bookmarkStart w:id="196" w:name="_Toc17551"/>
      <w:bookmarkStart w:id="197" w:name="_Toc30373"/>
      <w:r>
        <w:rPr>
          <w:rFonts w:hint="eastAsia" w:ascii="仿宋" w:hAnsi="仿宋" w:eastAsia="仿宋" w:cs="仿宋"/>
          <w:sz w:val="28"/>
          <w:szCs w:val="28"/>
          <w:highlight w:val="none"/>
          <w:lang w:val="en-US" w:eastAsia="zh-CN"/>
        </w:rPr>
        <w:t>2.1</w:t>
      </w:r>
      <w:r>
        <w:rPr>
          <w:rFonts w:hint="eastAsia" w:ascii="仿宋" w:hAnsi="仿宋" w:eastAsia="仿宋" w:cs="仿宋"/>
          <w:sz w:val="28"/>
          <w:szCs w:val="28"/>
          <w:highlight w:val="none"/>
        </w:rPr>
        <w:t>评分细则：</w:t>
      </w:r>
      <w:bookmarkEnd w:id="193"/>
      <w:bookmarkEnd w:id="194"/>
      <w:bookmarkEnd w:id="195"/>
      <w:bookmarkEnd w:id="196"/>
      <w:bookmarkEnd w:id="197"/>
      <w:r>
        <w:rPr>
          <w:rFonts w:hint="eastAsia" w:ascii="仿宋" w:hAnsi="仿宋" w:eastAsia="仿宋" w:cs="仿宋"/>
          <w:sz w:val="28"/>
          <w:szCs w:val="28"/>
          <w:highlight w:val="none"/>
        </w:rPr>
        <w:t xml:space="preserve"> </w:t>
      </w:r>
    </w:p>
    <w:tbl>
      <w:tblPr>
        <w:tblStyle w:val="35"/>
        <w:tblpPr w:vertAnchor="text" w:horzAnchor="page" w:tblpXSpec="center" w:tblpY="442"/>
        <w:tblW w:w="9747" w:type="dxa"/>
        <w:tblInd w:w="0" w:type="dxa"/>
        <w:tblLayout w:type="fixed"/>
        <w:tblCellMar>
          <w:top w:w="0" w:type="dxa"/>
          <w:left w:w="108" w:type="dxa"/>
          <w:bottom w:w="0" w:type="dxa"/>
          <w:right w:w="108" w:type="dxa"/>
        </w:tblCellMar>
      </w:tblPr>
      <w:tblGrid>
        <w:gridCol w:w="1384"/>
        <w:gridCol w:w="7513"/>
        <w:gridCol w:w="850"/>
      </w:tblGrid>
      <w:tr>
        <w:tblPrEx>
          <w:tblCellMar>
            <w:top w:w="0" w:type="dxa"/>
            <w:left w:w="108" w:type="dxa"/>
            <w:bottom w:w="0" w:type="dxa"/>
            <w:right w:w="108" w:type="dxa"/>
          </w:tblCellMar>
        </w:tblPrEx>
        <w:tc>
          <w:tcPr>
            <w:tcW w:w="1384"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评分因素</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评审标准</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分值</w:t>
            </w:r>
          </w:p>
        </w:tc>
      </w:tr>
      <w:tr>
        <w:tblPrEx>
          <w:tblCellMar>
            <w:top w:w="0" w:type="dxa"/>
            <w:left w:w="108" w:type="dxa"/>
            <w:bottom w:w="0" w:type="dxa"/>
            <w:right w:w="108" w:type="dxa"/>
          </w:tblCellMar>
        </w:tblPrEx>
        <w:tc>
          <w:tcPr>
            <w:tcW w:w="1384" w:type="dxa"/>
            <w:tcBorders>
              <w:top w:val="single" w:color="000000" w:sz="4" w:space="0"/>
              <w:left w:val="single" w:color="000000" w:sz="6" w:space="0"/>
              <w:bottom w:val="single" w:color="000000" w:sz="4"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报价部分</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（10分）</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以满足招标文件要求且投标报价最低的投标</w:t>
            </w:r>
            <w:r>
              <w:rPr>
                <w:rFonts w:hint="eastAsia" w:ascii="仿宋" w:hAnsi="仿宋" w:eastAsia="仿宋" w:cs="仿宋"/>
                <w:color w:val="auto"/>
                <w:sz w:val="24"/>
                <w:lang w:val="en-US" w:eastAsia="zh-CN"/>
              </w:rPr>
              <w:t>总</w:t>
            </w:r>
            <w:r>
              <w:rPr>
                <w:rFonts w:hint="eastAsia" w:ascii="仿宋" w:hAnsi="仿宋" w:eastAsia="仿宋" w:cs="仿宋"/>
                <w:color w:val="auto"/>
                <w:sz w:val="24"/>
              </w:rPr>
              <w:t>报价为评标基准价，其价格分为满分10分，其他投标方的价格分别统一按照下列公式计算：投标报价得分＝（评标基准价/投标</w:t>
            </w:r>
            <w:r>
              <w:rPr>
                <w:rFonts w:hint="eastAsia" w:ascii="仿宋" w:hAnsi="仿宋" w:eastAsia="仿宋" w:cs="仿宋"/>
                <w:color w:val="auto"/>
                <w:sz w:val="24"/>
                <w:lang w:val="en-US" w:eastAsia="zh-CN"/>
              </w:rPr>
              <w:t>总</w:t>
            </w:r>
            <w:r>
              <w:rPr>
                <w:rFonts w:hint="eastAsia" w:ascii="仿宋" w:hAnsi="仿宋" w:eastAsia="仿宋" w:cs="仿宋"/>
                <w:color w:val="auto"/>
                <w:sz w:val="24"/>
              </w:rPr>
              <w:t>报价）×10%×100（计算分数时四舍五入取小数点后两位）</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10分</w:t>
            </w:r>
          </w:p>
        </w:tc>
      </w:tr>
      <w:tr>
        <w:tblPrEx>
          <w:tblCellMar>
            <w:top w:w="0" w:type="dxa"/>
            <w:left w:w="108" w:type="dxa"/>
            <w:bottom w:w="0" w:type="dxa"/>
            <w:right w:w="108" w:type="dxa"/>
          </w:tblCellMar>
        </w:tblPrEx>
        <w:tc>
          <w:tcPr>
            <w:tcW w:w="1384" w:type="dxa"/>
            <w:vMerge w:val="restart"/>
            <w:tcBorders>
              <w:top w:val="single" w:color="000000" w:sz="6" w:space="0"/>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技术部分</w:t>
            </w: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r>
              <w:rPr>
                <w:rFonts w:hint="eastAsia" w:ascii="仿宋" w:hAnsi="仿宋" w:eastAsia="仿宋" w:cs="仿宋"/>
                <w:color w:val="auto"/>
                <w:sz w:val="24"/>
                <w:lang w:val="en-US" w:eastAsia="zh-CN"/>
              </w:rPr>
              <w:t>90</w:t>
            </w:r>
            <w:r>
              <w:rPr>
                <w:rFonts w:hint="eastAsia" w:ascii="仿宋" w:hAnsi="仿宋" w:eastAsia="仿宋" w:cs="仿宋"/>
                <w:color w:val="auto"/>
                <w:sz w:val="24"/>
              </w:rPr>
              <w:t>分）</w:t>
            </w: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kern w:val="0"/>
                <w:sz w:val="24"/>
              </w:rPr>
              <w:t>投标人</w:t>
            </w:r>
            <w:r>
              <w:rPr>
                <w:rFonts w:hint="eastAsia" w:ascii="仿宋" w:hAnsi="仿宋" w:eastAsia="仿宋" w:cs="仿宋"/>
                <w:color w:val="auto"/>
                <w:kern w:val="0"/>
                <w:sz w:val="24"/>
                <w:lang w:val="en-US" w:eastAsia="zh-CN"/>
              </w:rPr>
              <w:t>提供的服务</w:t>
            </w:r>
            <w:r>
              <w:rPr>
                <w:rFonts w:hint="eastAsia" w:ascii="仿宋" w:hAnsi="仿宋" w:eastAsia="仿宋" w:cs="仿宋"/>
                <w:color w:val="auto"/>
                <w:sz w:val="24"/>
                <w:lang w:val="en-US" w:eastAsia="zh-CN"/>
              </w:rPr>
              <w:t>内容完全满足招标文件要求的得25分，每有一项负偏离扣1分，扣完为止。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25分</w:t>
            </w:r>
          </w:p>
        </w:tc>
      </w:tr>
      <w:tr>
        <w:tblPrEx>
          <w:tblCellMar>
            <w:top w:w="0" w:type="dxa"/>
            <w:left w:w="108" w:type="dxa"/>
            <w:bottom w:w="0" w:type="dxa"/>
            <w:right w:w="108" w:type="dxa"/>
          </w:tblCellMar>
        </w:tblPrEx>
        <w:trPr>
          <w:trHeight w:val="1570" w:hRule="atLeast"/>
        </w:trPr>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6" w:space="0"/>
              <w:left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kern w:val="0"/>
                <w:sz w:val="24"/>
              </w:rPr>
              <w:t>对投标人针对该项目所提供的</w:t>
            </w:r>
            <w:r>
              <w:rPr>
                <w:rFonts w:hint="eastAsia" w:ascii="仿宋" w:hAnsi="仿宋" w:eastAsia="仿宋" w:cs="仿宋"/>
                <w:color w:val="auto"/>
                <w:kern w:val="0"/>
                <w:sz w:val="24"/>
                <w:lang w:val="en-US" w:eastAsia="zh-CN"/>
              </w:rPr>
              <w:t>工作实施方案、工作计划、工作流程、服务标准</w:t>
            </w:r>
            <w:r>
              <w:rPr>
                <w:rFonts w:hint="eastAsia" w:ascii="仿宋" w:hAnsi="仿宋" w:eastAsia="仿宋" w:cs="仿宋"/>
                <w:color w:val="auto"/>
                <w:kern w:val="0"/>
                <w:sz w:val="24"/>
              </w:rPr>
              <w:t>进行综合评审，</w:t>
            </w:r>
            <w:r>
              <w:rPr>
                <w:rFonts w:hint="eastAsia" w:ascii="仿宋" w:hAnsi="仿宋" w:eastAsia="仿宋" w:cs="仿宋"/>
                <w:color w:val="auto"/>
                <w:sz w:val="24"/>
              </w:rPr>
              <w:t>最高得</w:t>
            </w:r>
            <w:r>
              <w:rPr>
                <w:rFonts w:hint="eastAsia" w:ascii="仿宋" w:hAnsi="仿宋" w:eastAsia="仿宋" w:cs="仿宋"/>
                <w:color w:val="auto"/>
                <w:sz w:val="24"/>
                <w:lang w:val="en-US" w:eastAsia="zh-CN"/>
              </w:rPr>
              <w:t>20</w:t>
            </w:r>
            <w:r>
              <w:rPr>
                <w:rFonts w:hint="eastAsia" w:ascii="仿宋" w:hAnsi="仿宋" w:eastAsia="仿宋" w:cs="仿宋"/>
                <w:color w:val="auto"/>
                <w:sz w:val="24"/>
              </w:rPr>
              <w:t>分，每有一项相对弱势或欠缺扣1分，扣完为止。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20</w:t>
            </w:r>
            <w:r>
              <w:rPr>
                <w:rFonts w:hint="eastAsia" w:ascii="仿宋" w:hAnsi="仿宋" w:eastAsia="仿宋" w:cs="仿宋"/>
                <w:color w:val="auto"/>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rPr>
              <w:t>对投标人突发事件处置预案、疫情防控措施</w:t>
            </w:r>
            <w:r>
              <w:rPr>
                <w:rFonts w:hint="eastAsia" w:ascii="仿宋" w:hAnsi="仿宋" w:eastAsia="仿宋" w:cs="仿宋"/>
                <w:color w:val="auto"/>
                <w:sz w:val="24"/>
                <w:lang w:val="en-US" w:eastAsia="zh-CN"/>
              </w:rPr>
              <w:t>等2项内容</w:t>
            </w:r>
            <w:r>
              <w:rPr>
                <w:rFonts w:hint="eastAsia" w:ascii="仿宋" w:hAnsi="仿宋" w:eastAsia="仿宋" w:cs="仿宋"/>
                <w:color w:val="auto"/>
                <w:sz w:val="24"/>
              </w:rPr>
              <w:t>进行评审，</w:t>
            </w:r>
            <w:r>
              <w:rPr>
                <w:rFonts w:hint="eastAsia" w:ascii="仿宋" w:hAnsi="仿宋" w:eastAsia="仿宋" w:cs="仿宋"/>
                <w:color w:val="auto"/>
                <w:sz w:val="24"/>
                <w:lang w:val="en-US" w:eastAsia="zh-CN"/>
              </w:rPr>
              <w:t>每项满分5分，</w:t>
            </w:r>
            <w:r>
              <w:rPr>
                <w:rFonts w:hint="eastAsia" w:ascii="仿宋" w:hAnsi="仿宋" w:eastAsia="仿宋" w:cs="仿宋"/>
                <w:color w:val="auto"/>
                <w:sz w:val="24"/>
              </w:rPr>
              <w:t>每有一项相对弱势或欠缺扣1分，扣完为止。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c>
      </w:tr>
      <w:tr>
        <w:tblPrEx>
          <w:tblCellMar>
            <w:top w:w="0" w:type="dxa"/>
            <w:left w:w="108" w:type="dxa"/>
            <w:bottom w:w="0" w:type="dxa"/>
            <w:right w:w="108" w:type="dxa"/>
          </w:tblCellMar>
        </w:tblPrEx>
        <w:trPr>
          <w:trHeight w:val="1162" w:hRule="atLeast"/>
        </w:trPr>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6" w:space="0"/>
              <w:left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highlight w:val="none"/>
              </w:rPr>
              <w:t>对投标人提供针对本项目的</w:t>
            </w:r>
            <w:r>
              <w:rPr>
                <w:rFonts w:hint="eastAsia" w:ascii="仿宋" w:hAnsi="仿宋" w:eastAsia="仿宋" w:cs="仿宋"/>
                <w:color w:val="auto"/>
                <w:sz w:val="24"/>
                <w:highlight w:val="none"/>
                <w:lang w:val="en-US" w:eastAsia="zh-CN"/>
              </w:rPr>
              <w:t>内部考核、质量管理方案的</w:t>
            </w:r>
            <w:r>
              <w:rPr>
                <w:rFonts w:hint="eastAsia" w:ascii="仿宋" w:hAnsi="仿宋" w:eastAsia="仿宋" w:cs="仿宋"/>
                <w:color w:val="auto"/>
                <w:sz w:val="24"/>
                <w:highlight w:val="none"/>
              </w:rPr>
              <w:t>合理性及</w:t>
            </w:r>
            <w:r>
              <w:rPr>
                <w:rFonts w:hint="eastAsia" w:ascii="仿宋" w:hAnsi="仿宋" w:eastAsia="仿宋" w:cs="仿宋"/>
                <w:color w:val="auto"/>
                <w:sz w:val="24"/>
                <w:highlight w:val="none"/>
                <w:lang w:val="en-US" w:eastAsia="zh-CN"/>
              </w:rPr>
              <w:t>完整性</w:t>
            </w:r>
            <w:r>
              <w:rPr>
                <w:rFonts w:hint="eastAsia" w:ascii="仿宋" w:hAnsi="仿宋" w:eastAsia="仿宋" w:cs="仿宋"/>
                <w:color w:val="auto"/>
                <w:sz w:val="24"/>
                <w:highlight w:val="none"/>
              </w:rPr>
              <w:t>进行评审，最高得</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分，每有一项</w:t>
            </w:r>
            <w:r>
              <w:rPr>
                <w:rFonts w:hint="eastAsia" w:ascii="仿宋" w:hAnsi="仿宋" w:eastAsia="仿宋" w:cs="仿宋"/>
                <w:color w:val="auto"/>
                <w:sz w:val="24"/>
                <w:highlight w:val="none"/>
                <w:lang w:val="en-US" w:eastAsia="zh-CN"/>
              </w:rPr>
              <w:t>瑕疵</w:t>
            </w:r>
            <w:r>
              <w:rPr>
                <w:rFonts w:hint="eastAsia" w:ascii="仿宋" w:hAnsi="仿宋" w:eastAsia="仿宋" w:cs="仿宋"/>
                <w:color w:val="auto"/>
                <w:sz w:val="24"/>
                <w:highlight w:val="none"/>
              </w:rPr>
              <w:t>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对投标人提供的服务质量管理</w:t>
            </w:r>
            <w:r>
              <w:rPr>
                <w:rFonts w:hint="eastAsia" w:ascii="仿宋" w:hAnsi="仿宋" w:eastAsia="仿宋" w:cs="仿宋"/>
                <w:color w:val="auto"/>
                <w:sz w:val="24"/>
                <w:lang w:val="en-US" w:eastAsia="zh-CN"/>
              </w:rPr>
              <w:t>制度</w:t>
            </w:r>
            <w:r>
              <w:rPr>
                <w:rFonts w:hint="eastAsia" w:ascii="仿宋" w:hAnsi="仿宋" w:eastAsia="仿宋" w:cs="仿宋"/>
                <w:color w:val="auto"/>
                <w:sz w:val="24"/>
              </w:rPr>
              <w:t>、财务管理</w:t>
            </w:r>
            <w:r>
              <w:rPr>
                <w:rFonts w:hint="eastAsia" w:ascii="仿宋" w:hAnsi="仿宋" w:eastAsia="仿宋" w:cs="仿宋"/>
                <w:color w:val="auto"/>
                <w:sz w:val="24"/>
                <w:lang w:val="en-US" w:eastAsia="zh-CN"/>
              </w:rPr>
              <w:t>制度</w:t>
            </w:r>
            <w:r>
              <w:rPr>
                <w:rFonts w:hint="eastAsia" w:ascii="仿宋" w:hAnsi="仿宋" w:eastAsia="仿宋" w:cs="仿宋"/>
                <w:color w:val="auto"/>
                <w:sz w:val="24"/>
              </w:rPr>
              <w:t>、档案管理</w:t>
            </w:r>
            <w:r>
              <w:rPr>
                <w:rFonts w:hint="eastAsia" w:ascii="仿宋" w:hAnsi="仿宋" w:eastAsia="仿宋" w:cs="仿宋"/>
                <w:color w:val="auto"/>
                <w:sz w:val="24"/>
                <w:lang w:val="en-US" w:eastAsia="zh-CN"/>
              </w:rPr>
              <w:t>制度、</w:t>
            </w:r>
            <w:r>
              <w:rPr>
                <w:rFonts w:hint="eastAsia" w:ascii="仿宋" w:hAnsi="仿宋" w:eastAsia="仿宋" w:cs="仿宋"/>
                <w:color w:val="auto"/>
                <w:sz w:val="24"/>
              </w:rPr>
              <w:t>日常管理考核办法</w:t>
            </w:r>
            <w:r>
              <w:rPr>
                <w:rFonts w:hint="eastAsia" w:ascii="仿宋" w:hAnsi="仿宋" w:eastAsia="仿宋" w:cs="仿宋"/>
                <w:color w:val="auto"/>
                <w:sz w:val="24"/>
                <w:lang w:val="en-US" w:eastAsia="zh-CN"/>
              </w:rPr>
              <w:t>制度</w:t>
            </w:r>
            <w:r>
              <w:rPr>
                <w:rFonts w:hint="eastAsia" w:ascii="仿宋" w:hAnsi="仿宋" w:eastAsia="仿宋" w:cs="仿宋"/>
                <w:color w:val="auto"/>
                <w:sz w:val="24"/>
              </w:rPr>
              <w:t>、考核标准</w:t>
            </w:r>
            <w:r>
              <w:rPr>
                <w:rFonts w:hint="eastAsia" w:ascii="仿宋" w:hAnsi="仿宋" w:eastAsia="仿宋" w:cs="仿宋"/>
                <w:color w:val="auto"/>
                <w:sz w:val="24"/>
                <w:lang w:val="en-US" w:eastAsia="zh-CN"/>
              </w:rPr>
              <w:t>制度</w:t>
            </w:r>
            <w:r>
              <w:rPr>
                <w:rFonts w:hint="eastAsia" w:ascii="仿宋" w:hAnsi="仿宋" w:eastAsia="仿宋" w:cs="仿宋"/>
                <w:color w:val="auto"/>
                <w:sz w:val="24"/>
              </w:rPr>
              <w:t>、人员培训方案</w:t>
            </w:r>
            <w:r>
              <w:rPr>
                <w:rFonts w:hint="eastAsia" w:ascii="仿宋" w:hAnsi="仿宋" w:eastAsia="仿宋" w:cs="仿宋"/>
                <w:color w:val="auto"/>
                <w:sz w:val="24"/>
                <w:lang w:val="en-US" w:eastAsia="zh-CN"/>
              </w:rPr>
              <w:t>制度</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安全管理制度</w:t>
            </w:r>
            <w:r>
              <w:rPr>
                <w:rFonts w:hint="eastAsia" w:ascii="仿宋" w:hAnsi="仿宋" w:eastAsia="仿宋" w:cs="仿宋"/>
                <w:color w:val="auto"/>
                <w:sz w:val="24"/>
              </w:rPr>
              <w:t>等进行综合评审，最高得</w:t>
            </w:r>
            <w:r>
              <w:rPr>
                <w:rFonts w:hint="eastAsia" w:ascii="仿宋" w:hAnsi="仿宋" w:eastAsia="仿宋" w:cs="仿宋"/>
                <w:color w:val="auto"/>
                <w:sz w:val="24"/>
                <w:lang w:val="en-US" w:eastAsia="zh-CN"/>
              </w:rPr>
              <w:t>10</w:t>
            </w:r>
            <w:r>
              <w:rPr>
                <w:rFonts w:hint="eastAsia" w:ascii="仿宋" w:hAnsi="仿宋" w:eastAsia="仿宋" w:cs="仿宋"/>
                <w:color w:val="auto"/>
                <w:sz w:val="24"/>
              </w:rPr>
              <w:t>分，每有一项</w:t>
            </w:r>
            <w:r>
              <w:rPr>
                <w:rFonts w:hint="eastAsia" w:ascii="仿宋" w:hAnsi="仿宋" w:eastAsia="仿宋" w:cs="仿宋"/>
                <w:color w:val="auto"/>
                <w:sz w:val="24"/>
                <w:lang w:val="en-US" w:eastAsia="zh-CN"/>
              </w:rPr>
              <w:t>瑕疵</w:t>
            </w:r>
            <w:r>
              <w:rPr>
                <w:rFonts w:hint="eastAsia" w:ascii="仿宋" w:hAnsi="仿宋" w:eastAsia="仿宋" w:cs="仿宋"/>
                <w:color w:val="auto"/>
                <w:sz w:val="24"/>
              </w:rPr>
              <w:t>或欠缺扣1分，扣完为止。</w:t>
            </w:r>
          </w:p>
        </w:tc>
        <w:tc>
          <w:tcPr>
            <w:tcW w:w="850" w:type="dxa"/>
            <w:tcBorders>
              <w:top w:val="single" w:color="000000" w:sz="6" w:space="0"/>
              <w:left w:val="single" w:color="000000" w:sz="6" w:space="0"/>
              <w:bottom w:val="single" w:color="000000" w:sz="6" w:space="0"/>
              <w:right w:val="single" w:color="000000" w:sz="6" w:space="0"/>
            </w:tcBorders>
            <w:noWrap w:val="0"/>
            <w:tcMar>
              <w:top w:w="100" w:type="dxa"/>
              <w:left w:w="108" w:type="dxa"/>
              <w:bottom w:w="0" w:type="dxa"/>
              <w:right w:w="100"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10</w:t>
            </w:r>
            <w:r>
              <w:rPr>
                <w:rFonts w:hint="eastAsia" w:ascii="仿宋" w:hAnsi="仿宋" w:eastAsia="仿宋" w:cs="仿宋"/>
                <w:color w:val="auto"/>
                <w:sz w:val="24"/>
              </w:rPr>
              <w:t>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根据投标人的驾驶员力量储备情况进行打分，包括驾驶员储备数量、年龄、证件是否齐全，满分10分，</w:t>
            </w:r>
            <w:r>
              <w:rPr>
                <w:rFonts w:hint="eastAsia" w:ascii="仿宋" w:hAnsi="仿宋" w:eastAsia="仿宋" w:cs="仿宋"/>
                <w:color w:val="auto"/>
                <w:sz w:val="24"/>
              </w:rPr>
              <w:t>每有一项</w:t>
            </w:r>
            <w:r>
              <w:rPr>
                <w:rFonts w:hint="eastAsia" w:ascii="仿宋" w:hAnsi="仿宋" w:eastAsia="仿宋" w:cs="仿宋"/>
                <w:color w:val="auto"/>
                <w:sz w:val="24"/>
                <w:lang w:val="en-US" w:eastAsia="zh-CN"/>
              </w:rPr>
              <w:t>瑕疵</w:t>
            </w:r>
            <w:r>
              <w:rPr>
                <w:rFonts w:hint="eastAsia" w:ascii="仿宋" w:hAnsi="仿宋" w:eastAsia="仿宋" w:cs="仿宋"/>
                <w:color w:val="auto"/>
                <w:sz w:val="24"/>
              </w:rPr>
              <w:t>或欠缺扣1分，扣完为止。</w:t>
            </w:r>
            <w:r>
              <w:rPr>
                <w:rFonts w:hint="eastAsia" w:ascii="仿宋" w:hAnsi="仿宋" w:eastAsia="仿宋" w:cs="仿宋"/>
                <w:color w:val="auto"/>
                <w:sz w:val="24"/>
                <w:lang w:eastAsia="zh-CN"/>
              </w:rPr>
              <w:t>（</w:t>
            </w:r>
            <w:r>
              <w:rPr>
                <w:rFonts w:hint="eastAsia" w:ascii="仿宋" w:hAnsi="仿宋" w:eastAsia="仿宋" w:cs="仿宋"/>
                <w:color w:val="auto"/>
                <w:sz w:val="24"/>
                <w:lang w:val="en-US" w:eastAsia="zh-CN"/>
              </w:rPr>
              <w:t>须提供驾驶员驾驶证、本公司为其缴纳社保的证明材料，否则不得分。</w:t>
            </w:r>
            <w:r>
              <w:rPr>
                <w:rFonts w:hint="eastAsia" w:ascii="仿宋" w:hAnsi="仿宋" w:eastAsia="仿宋" w:cs="仿宋"/>
                <w:color w:val="auto"/>
                <w:sz w:val="24"/>
                <w:lang w:eastAsia="zh-CN"/>
              </w:rPr>
              <w:t>）</w:t>
            </w:r>
          </w:p>
        </w:tc>
        <w:tc>
          <w:tcPr>
            <w:tcW w:w="850"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10分</w:t>
            </w:r>
          </w:p>
        </w:tc>
      </w:tr>
      <w:tr>
        <w:tblPrEx>
          <w:tblCellMar>
            <w:top w:w="0" w:type="dxa"/>
            <w:left w:w="108" w:type="dxa"/>
            <w:bottom w:w="0" w:type="dxa"/>
            <w:right w:w="108" w:type="dxa"/>
          </w:tblCellMar>
        </w:tblPrEx>
        <w:tc>
          <w:tcPr>
            <w:tcW w:w="1384" w:type="dxa"/>
            <w:vMerge w:val="continue"/>
            <w:tcBorders>
              <w:left w:val="single" w:color="000000" w:sz="6"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针对本项目，对投标人提供的合理化建议进行综合评审，每</w:t>
            </w:r>
            <w:r>
              <w:rPr>
                <w:rFonts w:hint="eastAsia" w:ascii="仿宋" w:hAnsi="仿宋" w:eastAsia="仿宋" w:cs="仿宋"/>
                <w:color w:val="auto"/>
                <w:sz w:val="24"/>
                <w:lang w:val="en-US" w:eastAsia="zh-CN"/>
              </w:rPr>
              <w:t>经评标委员会认定的</w:t>
            </w:r>
            <w:r>
              <w:rPr>
                <w:rFonts w:hint="eastAsia" w:ascii="仿宋" w:hAnsi="仿宋" w:eastAsia="仿宋" w:cs="仿宋"/>
                <w:color w:val="auto"/>
                <w:sz w:val="24"/>
              </w:rPr>
              <w:t>一条得1分，最多得2分，没有不得分。</w:t>
            </w:r>
          </w:p>
        </w:tc>
        <w:tc>
          <w:tcPr>
            <w:tcW w:w="850"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2分</w:t>
            </w:r>
          </w:p>
        </w:tc>
      </w:tr>
      <w:tr>
        <w:tblPrEx>
          <w:tblCellMar>
            <w:top w:w="0" w:type="dxa"/>
            <w:left w:w="108" w:type="dxa"/>
            <w:bottom w:w="0" w:type="dxa"/>
            <w:right w:w="108" w:type="dxa"/>
          </w:tblCellMar>
        </w:tblPrEx>
        <w:tc>
          <w:tcPr>
            <w:tcW w:w="1384" w:type="dxa"/>
            <w:vMerge w:val="continue"/>
            <w:tcBorders>
              <w:left w:val="single" w:color="000000" w:sz="6" w:space="0"/>
              <w:bottom w:val="single" w:color="000000" w:sz="4" w:space="0"/>
              <w:right w:val="single" w:color="000000" w:sz="6" w:space="0"/>
            </w:tcBorders>
            <w:noWrap w:val="0"/>
            <w:tcMar>
              <w:top w:w="100" w:type="dxa"/>
              <w:left w:w="108" w:type="dxa"/>
              <w:bottom w:w="0" w:type="dxa"/>
              <w:right w:w="108" w:type="dxa"/>
            </w:tcMar>
            <w:vAlign w:val="center"/>
          </w:tcPr>
          <w:p>
            <w:pPr>
              <w:spacing w:line="360" w:lineRule="auto"/>
              <w:jc w:val="center"/>
              <w:rPr>
                <w:rFonts w:hint="eastAsia" w:ascii="仿宋" w:hAnsi="仿宋" w:eastAsia="仿宋" w:cs="仿宋"/>
                <w:color w:val="auto"/>
                <w:sz w:val="24"/>
              </w:rPr>
            </w:pPr>
          </w:p>
        </w:tc>
        <w:tc>
          <w:tcPr>
            <w:tcW w:w="7513"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rPr>
                <w:rFonts w:hint="eastAsia" w:ascii="仿宋" w:hAnsi="仿宋" w:eastAsia="仿宋" w:cs="仿宋"/>
                <w:color w:val="auto"/>
                <w:sz w:val="24"/>
              </w:rPr>
            </w:pPr>
            <w:r>
              <w:rPr>
                <w:rFonts w:hint="eastAsia" w:ascii="仿宋" w:hAnsi="仿宋" w:eastAsia="仿宋" w:cs="仿宋"/>
                <w:color w:val="auto"/>
                <w:sz w:val="24"/>
              </w:rPr>
              <w:t>针对本项目，对投标人提供的优惠承诺进行综合评审，每</w:t>
            </w:r>
            <w:r>
              <w:rPr>
                <w:rFonts w:hint="eastAsia" w:ascii="仿宋" w:hAnsi="仿宋" w:eastAsia="仿宋" w:cs="仿宋"/>
                <w:color w:val="auto"/>
                <w:sz w:val="24"/>
                <w:lang w:val="en-US" w:eastAsia="zh-CN"/>
              </w:rPr>
              <w:t>经评标委员会认定的</w:t>
            </w:r>
            <w:r>
              <w:rPr>
                <w:rFonts w:hint="eastAsia" w:ascii="仿宋" w:hAnsi="仿宋" w:eastAsia="仿宋" w:cs="仿宋"/>
                <w:color w:val="auto"/>
                <w:sz w:val="24"/>
              </w:rPr>
              <w:t>一条得1分，最多得3分，没有不得分。</w:t>
            </w:r>
          </w:p>
        </w:tc>
        <w:tc>
          <w:tcPr>
            <w:tcW w:w="850" w:type="dxa"/>
            <w:tcBorders>
              <w:top w:val="single" w:color="000000" w:sz="4" w:space="0"/>
              <w:left w:val="single" w:color="000000" w:sz="6" w:space="0"/>
              <w:bottom w:val="single" w:color="000000" w:sz="4" w:space="0"/>
              <w:right w:val="single" w:color="000000" w:sz="4" w:space="0"/>
            </w:tcBorders>
            <w:noWrap w:val="0"/>
            <w:tcMar>
              <w:top w:w="0" w:type="dxa"/>
              <w:left w:w="108" w:type="dxa"/>
              <w:bottom w:w="0" w:type="dxa"/>
              <w:right w:w="108" w:type="dxa"/>
            </w:tcMar>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3分</w:t>
            </w:r>
          </w:p>
        </w:tc>
      </w:tr>
    </w:tbl>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val="en-US" w:eastAsia="zh-CN"/>
        </w:rPr>
      </w:pPr>
      <w:r>
        <w:rPr>
          <w:rFonts w:hint="eastAsia" w:ascii="仿宋" w:hAnsi="仿宋" w:eastAsia="仿宋" w:cs="仿宋"/>
          <w:color w:val="auto"/>
          <w:sz w:val="28"/>
          <w:szCs w:val="28"/>
          <w:highlight w:val="none"/>
          <w:lang w:val="en-US" w:eastAsia="zh-CN"/>
        </w:rPr>
        <w:t>注：在评审过程中，若评审专家评审的技术参数偏离项与投标供应商投标文件中注明的偏离描述不一致的，评审专家需在供应商对应投标文件正本中予以标注，并说明认定理由</w:t>
      </w:r>
      <w:r>
        <w:rPr>
          <w:rFonts w:hint="eastAsia" w:ascii="仿宋" w:hAnsi="仿宋" w:eastAsia="仿宋" w:cs="仿宋"/>
          <w:sz w:val="28"/>
          <w:szCs w:val="28"/>
          <w:highlight w:val="none"/>
          <w:lang w:val="en-US" w:eastAsia="zh-CN"/>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价格部分由采购代理机构根据招标文件规定的评分细则直接计算各合格投标人的价格得分；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技术部分及服务部分由评审委员会成员各自独立打分，按照招标文件规定的评分细则进行逐项打分，对客观评分项的评分应当一致，对需要借助专业知识评判的主观评分项应当严格按照评分标准公正评分；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商务部分由评审委员会审核投标人提交相应资料认定评分结果；</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评分结束后，技术打分和商务打分资料交采购代理机构汇总、统计，打印出最终结果，由评审委员会应对投标人的报价、商务和技术得分进行最后的复核，并签字确认。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2.2</w:t>
      </w:r>
      <w:r>
        <w:rPr>
          <w:rFonts w:hint="eastAsia" w:ascii="仿宋" w:hAnsi="仿宋" w:eastAsia="仿宋" w:cs="仿宋"/>
          <w:b/>
          <w:bCs w:val="0"/>
          <w:sz w:val="28"/>
          <w:szCs w:val="28"/>
          <w:highlight w:val="none"/>
        </w:rPr>
        <w:t>给予小型和微型企业价格扣除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2.1按照《关于印发《政府采购促进中小企业发展管理办法》的通知》（财库〔2020〕46号）（以下简称“办法”）规定，对于未预留份额专门面向中小企业采购的采购项目，以及预留份额项目中的非预留部分采购包，对符合本办法规定的小型和微型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最终价格＝响应报价×94%，按照最终价格计算其价格分得分。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开标时，供应商须提供《中小企业声明函》原件，并对以上材料的真实性负责，否则不给予价格扣除。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.2.2允许以联合体形式参加的或者合同分包的，联合协议或者分包意向协议中中小企业合同金额应当达到30%的比例，当对联合体或者大中型企业的报价给予2%的扣除。计算方法是：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最终价格＝投标报价×98%，按照最终价格计算其价格分得分。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开标时，投标人须提供《中小企业声明函》原件，并对声明函的真实性负责，否则不给予价格扣除。</w:t>
      </w:r>
    </w:p>
    <w:p>
      <w:pPr>
        <w:pageBreakBefore w:val="0"/>
        <w:kinsoku/>
        <w:overflowPunct/>
        <w:topLinePunct w:val="0"/>
        <w:bidi w:val="0"/>
        <w:snapToGrid/>
        <w:spacing w:line="360" w:lineRule="auto"/>
        <w:ind w:firstLine="562" w:firstLineChars="200"/>
        <w:rPr>
          <w:rFonts w:hint="eastAsia" w:ascii="仿宋" w:hAnsi="仿宋" w:eastAsia="仿宋" w:cs="仿宋"/>
          <w:sz w:val="28"/>
          <w:szCs w:val="28"/>
          <w:highlight w:val="none"/>
        </w:rPr>
      </w:pPr>
      <w:r>
        <w:rPr>
          <w:rFonts w:hint="eastAsia" w:ascii="仿宋" w:hAnsi="仿宋" w:eastAsia="仿宋" w:cs="仿宋"/>
          <w:b/>
          <w:bCs w:val="0"/>
          <w:sz w:val="28"/>
          <w:szCs w:val="28"/>
          <w:highlight w:val="none"/>
          <w:lang w:val="en-US" w:eastAsia="zh-CN"/>
        </w:rPr>
        <w:t>2</w:t>
      </w:r>
      <w:r>
        <w:rPr>
          <w:rFonts w:hint="eastAsia" w:ascii="仿宋" w:hAnsi="仿宋" w:eastAsia="仿宋" w:cs="仿宋"/>
          <w:b/>
          <w:bCs w:val="0"/>
          <w:sz w:val="28"/>
          <w:szCs w:val="28"/>
          <w:highlight w:val="none"/>
        </w:rPr>
        <w:t>.3给予监狱企业和残疾人福利性单位价格扣除</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.3.1根据《财政部司法部关于政府采购支持监狱企业发展有关问题的通知》（财库【2014】68 号）文件规定，在政府采购活动中，监狱企业视同小型、微型企业，享受评标中价格扣除的政府采购政策；如供应商为监狱企业，须提供省级以上监狱管理局、戒毒管理局（含新疆生产建设兵团）出具的属于监狱企业的证明文件，否则评标时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给予监狱企业产品的价格6%的扣除；计算方法是：</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评审价格＝监狱企业产品的报价*（1-6%），按照评审价格计算其价格分得分。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2</w:t>
      </w:r>
      <w:r>
        <w:rPr>
          <w:rFonts w:hint="eastAsia" w:ascii="仿宋" w:hAnsi="仿宋" w:eastAsia="仿宋" w:cs="仿宋"/>
          <w:sz w:val="28"/>
          <w:szCs w:val="28"/>
          <w:highlight w:val="none"/>
        </w:rPr>
        <w:t>.3.2按照《关于促进残疾人就业政府采购政策的通知》财库〔2017〕141号的规定，残疾人福利性单位视同小型、微型企业，享受预留份额、评审中价格扣除等促进中小企业发展的政府采购政策。如供应商符合《关于促进残疾人就业政府采购政策的通知》（财库〔2017〕141号）规定的评审价格扣除情形的，须提供《残疾人福利性单位声明函》，并对声明的真实性负责。《残疾人福利性单位声明函》应附在参与文件中，否则不予认定；</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给予符合规定的残疾人福利性企业产品价格6%的扣除，用扣除后的价格参与评审，即评审价格=残疾人福利性企业产品报价*（1-6%）。</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3.确定中标人</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委员会根据招标文件确定的评审办法，按照评审后综合得分由高到低排序</w:t>
      </w:r>
      <w:r>
        <w:rPr>
          <w:rFonts w:hint="eastAsia" w:ascii="仿宋" w:hAnsi="仿宋" w:eastAsia="仿宋" w:cs="仿宋"/>
          <w:sz w:val="28"/>
          <w:szCs w:val="28"/>
          <w:highlight w:val="none"/>
          <w:lang w:eastAsia="zh-CN"/>
        </w:rPr>
        <w:t>。综合</w:t>
      </w:r>
      <w:r>
        <w:rPr>
          <w:rFonts w:hint="eastAsia" w:ascii="仿宋" w:hAnsi="仿宋" w:eastAsia="仿宋" w:cs="仿宋"/>
          <w:sz w:val="28"/>
          <w:szCs w:val="28"/>
          <w:highlight w:val="none"/>
        </w:rPr>
        <w:t>得分相同的，按投标报价由低到高顺序排列。得分且投标报价相同的，按技术部分得分、服务部分、商务部分得分的先后次序依次进行由高到低的排列，最终确定排名。</w:t>
      </w:r>
      <w:r>
        <w:rPr>
          <w:rFonts w:hint="eastAsia" w:ascii="仿宋" w:hAnsi="仿宋" w:eastAsia="仿宋" w:cs="仿宋"/>
          <w:sz w:val="28"/>
          <w:szCs w:val="28"/>
          <w:highlight w:val="none"/>
          <w:lang w:eastAsia="zh-CN"/>
        </w:rPr>
        <w:t>评标委员会确定本项目排名第一的为中标人。</w:t>
      </w:r>
    </w:p>
    <w:p>
      <w:pPr>
        <w:pageBreakBefore w:val="0"/>
        <w:kinsoku/>
        <w:overflowPunct/>
        <w:topLinePunct w:val="0"/>
        <w:bidi w:val="0"/>
        <w:snapToGrid/>
        <w:spacing w:line="360" w:lineRule="auto"/>
        <w:ind w:firstLine="562" w:firstLineChars="200"/>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4．评审过程保密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评审委员会不得向他人透漏对各投标人投标文件的评审和比较、中标候选投标人的推荐情况以及评审有关的其他情况。</w:t>
      </w:r>
    </w:p>
    <w:p>
      <w:pPr>
        <w:pageBreakBefore w:val="0"/>
        <w:kinsoku/>
        <w:overflowPunct/>
        <w:topLinePunct w:val="0"/>
        <w:bidi w:val="0"/>
        <w:snapToGrid/>
        <w:spacing w:line="360" w:lineRule="auto"/>
        <w:ind w:firstLine="562" w:firstLineChars="200"/>
        <w:rPr>
          <w:rFonts w:hint="eastAsia" w:ascii="仿宋" w:hAnsi="仿宋" w:eastAsia="仿宋" w:cs="仿宋"/>
          <w:b/>
          <w:sz w:val="28"/>
          <w:szCs w:val="28"/>
          <w:highlight w:val="none"/>
        </w:rPr>
      </w:pPr>
      <w:r>
        <w:rPr>
          <w:rFonts w:hint="eastAsia" w:ascii="仿宋" w:hAnsi="仿宋" w:eastAsia="仿宋" w:cs="仿宋"/>
          <w:b/>
          <w:sz w:val="28"/>
          <w:szCs w:val="28"/>
          <w:highlight w:val="none"/>
        </w:rPr>
        <w:t>5.投标人瑕疵滞后的处理</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无论基于何种原因，各项本应作拒绝处理的情形即便未被及时发现而使该投标人进入初审、综合评审或其它后续程序，包括已经签订合同的情形，一旦在任何时间被发现存在上述情形，则采购代理机构均有权随时视情形决定是否取消该投标人的此前评议结果，并有权决定采取相应的补救或纠正措施。若通过补救、纠正措施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要求，评审委员会可以维持既定结果并要求中标人出具补救、纠正措施等承诺，由此产生的一切费用由中标人承担；若通过补救、纠正措施仍不能够满足招标文件或者</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要求，评审委员会应出具取消该投标人的此前评审结果的复审结论，其现有的位置将被其他参加投标的合格的投标人依序替代或者此项目做废标处理，由此产生的一切损失均由中标人承担。</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198" w:name="_Toc12613"/>
      <w:bookmarkStart w:id="199" w:name="_Toc3404"/>
      <w:bookmarkStart w:id="200" w:name="_Toc6828"/>
      <w:bookmarkStart w:id="201" w:name="_Toc332979559"/>
      <w:r>
        <w:rPr>
          <w:rFonts w:hint="eastAsia" w:ascii="仿宋" w:hAnsi="仿宋" w:eastAsia="仿宋" w:cs="仿宋"/>
          <w:sz w:val="28"/>
          <w:szCs w:val="28"/>
          <w:highlight w:val="none"/>
        </w:rPr>
        <w:t>五、废标</w:t>
      </w:r>
      <w:bookmarkEnd w:id="198"/>
      <w:bookmarkEnd w:id="199"/>
      <w:bookmarkEnd w:id="200"/>
      <w:bookmarkEnd w:id="201"/>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出现下列情形之一的，应予废标：</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（一）在投标截止时间后参加投标的</w:t>
      </w:r>
      <w:r>
        <w:rPr>
          <w:rStyle w:val="56"/>
          <w:rFonts w:hint="eastAsia" w:ascii="仿宋" w:hAnsi="仿宋" w:eastAsia="仿宋" w:cs="仿宋"/>
          <w:sz w:val="28"/>
          <w:szCs w:val="28"/>
          <w:highlight w:val="none"/>
          <w:lang w:val="en-US" w:eastAsia="zh-CN"/>
        </w:rPr>
        <w:t>供应商少于3</w:t>
      </w:r>
      <w:r>
        <w:rPr>
          <w:rStyle w:val="56"/>
          <w:rFonts w:hint="eastAsia" w:ascii="仿宋" w:hAnsi="仿宋" w:eastAsia="仿宋" w:cs="仿宋"/>
          <w:sz w:val="28"/>
          <w:szCs w:val="28"/>
          <w:highlight w:val="none"/>
        </w:rPr>
        <w:t>家</w:t>
      </w:r>
      <w:r>
        <w:rPr>
          <w:rStyle w:val="56"/>
          <w:rFonts w:hint="eastAsia" w:ascii="仿宋" w:hAnsi="仿宋" w:eastAsia="仿宋" w:cs="仿宋"/>
          <w:sz w:val="28"/>
          <w:szCs w:val="28"/>
          <w:highlight w:val="none"/>
          <w:lang w:val="en-US" w:eastAsia="zh-CN"/>
        </w:rPr>
        <w:t>的</w:t>
      </w:r>
      <w:r>
        <w:rPr>
          <w:rStyle w:val="56"/>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（二）出现影响采购公正的违法违规行为的；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（三）投标人的报价均超过预算金额或者最高限价的；</w:t>
      </w:r>
    </w:p>
    <w:p>
      <w:pPr>
        <w:pageBreakBefore w:val="0"/>
        <w:kinsoku/>
        <w:overflowPunct/>
        <w:topLinePunct w:val="0"/>
        <w:bidi w:val="0"/>
        <w:snapToGrid/>
        <w:spacing w:line="360" w:lineRule="auto"/>
        <w:ind w:firstLine="560" w:firstLineChars="200"/>
        <w:rPr>
          <w:rStyle w:val="56"/>
          <w:rFonts w:hint="eastAsia" w:ascii="仿宋" w:hAnsi="仿宋" w:eastAsia="仿宋" w:cs="仿宋"/>
          <w:sz w:val="28"/>
          <w:szCs w:val="28"/>
          <w:highlight w:val="none"/>
        </w:rPr>
      </w:pPr>
      <w:r>
        <w:rPr>
          <w:rStyle w:val="56"/>
          <w:rFonts w:hint="eastAsia" w:ascii="仿宋" w:hAnsi="仿宋" w:eastAsia="仿宋" w:cs="仿宋"/>
          <w:sz w:val="28"/>
          <w:szCs w:val="28"/>
          <w:highlight w:val="none"/>
        </w:rPr>
        <w:t>（四）因重大变故，采购任务取消的；</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Style w:val="56"/>
          <w:rFonts w:hint="eastAsia" w:ascii="仿宋" w:hAnsi="仿宋" w:eastAsia="仿宋" w:cs="仿宋"/>
          <w:sz w:val="28"/>
          <w:szCs w:val="28"/>
          <w:highlight w:val="none"/>
        </w:rPr>
        <w:t>（五）法律、法规以及招标文件规定的其他废标情形。</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02" w:name="_Toc325620719"/>
      <w:bookmarkStart w:id="203" w:name="_Toc332979560"/>
      <w:bookmarkStart w:id="204" w:name="_Toc10557"/>
      <w:bookmarkStart w:id="205" w:name="_Toc206"/>
      <w:bookmarkStart w:id="206" w:name="_Toc15291"/>
      <w:r>
        <w:rPr>
          <w:rFonts w:hint="eastAsia" w:ascii="仿宋" w:hAnsi="仿宋" w:eastAsia="仿宋" w:cs="仿宋"/>
          <w:sz w:val="28"/>
          <w:szCs w:val="28"/>
          <w:highlight w:val="none"/>
        </w:rPr>
        <w:t>六、中标通知书</w:t>
      </w:r>
      <w:bookmarkEnd w:id="202"/>
      <w:bookmarkEnd w:id="203"/>
      <w:bookmarkEnd w:id="204"/>
      <w:bookmarkEnd w:id="205"/>
      <w:bookmarkEnd w:id="206"/>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评审结束后，由</w:t>
      </w:r>
      <w:r>
        <w:rPr>
          <w:rFonts w:hint="eastAsia" w:ascii="仿宋" w:hAnsi="仿宋" w:eastAsia="仿宋" w:cs="仿宋"/>
          <w:sz w:val="28"/>
          <w:szCs w:val="28"/>
          <w:highlight w:val="none"/>
          <w:lang w:eastAsia="zh-CN"/>
        </w:rPr>
        <w:t>采购人</w:t>
      </w:r>
      <w:r>
        <w:rPr>
          <w:rFonts w:hint="eastAsia" w:ascii="仿宋" w:hAnsi="仿宋" w:eastAsia="仿宋" w:cs="仿宋"/>
          <w:sz w:val="28"/>
          <w:szCs w:val="28"/>
          <w:highlight w:val="none"/>
        </w:rPr>
        <w:t>委托采购代理机构向中标人签发《中标通知书》。</w:t>
      </w:r>
    </w:p>
    <w:p>
      <w:pPr>
        <w:pStyle w:val="2"/>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07" w:name="_Toc29176"/>
      <w:bookmarkStart w:id="208" w:name="_Toc7131"/>
      <w:bookmarkStart w:id="209" w:name="_Toc29849"/>
      <w:r>
        <w:rPr>
          <w:rFonts w:hint="eastAsia" w:ascii="仿宋" w:hAnsi="仿宋" w:eastAsia="仿宋" w:cs="仿宋"/>
          <w:sz w:val="28"/>
          <w:szCs w:val="28"/>
          <w:highlight w:val="none"/>
        </w:rPr>
        <w:t>第四部分 授予合同</w:t>
      </w:r>
      <w:bookmarkEnd w:id="174"/>
      <w:bookmarkEnd w:id="175"/>
      <w:bookmarkEnd w:id="176"/>
      <w:bookmarkEnd w:id="177"/>
      <w:bookmarkEnd w:id="178"/>
      <w:bookmarkEnd w:id="179"/>
      <w:bookmarkEnd w:id="207"/>
      <w:bookmarkEnd w:id="208"/>
      <w:bookmarkEnd w:id="209"/>
    </w:p>
    <w:p>
      <w:pPr>
        <w:pStyle w:val="3"/>
        <w:pageBreakBefore w:val="0"/>
        <w:kinsoku/>
        <w:overflowPunct/>
        <w:topLinePunct w:val="0"/>
        <w:bidi w:val="0"/>
        <w:snapToGrid/>
        <w:spacing w:line="360" w:lineRule="auto"/>
        <w:rPr>
          <w:rStyle w:val="56"/>
          <w:rFonts w:hint="eastAsia" w:ascii="仿宋" w:hAnsi="仿宋" w:eastAsia="仿宋" w:cs="仿宋"/>
          <w:b/>
          <w:bCs w:val="0"/>
          <w:sz w:val="28"/>
          <w:szCs w:val="28"/>
          <w:highlight w:val="none"/>
          <w:lang w:val="en-US" w:eastAsia="zh-CN" w:bidi="ar-SA"/>
        </w:rPr>
      </w:pPr>
      <w:bookmarkStart w:id="210" w:name="_Toc18355"/>
      <w:bookmarkStart w:id="211" w:name="_Toc8163"/>
      <w:bookmarkStart w:id="212" w:name="_Toc356490386"/>
      <w:bookmarkStart w:id="213" w:name="_Toc325620721"/>
      <w:bookmarkStart w:id="214" w:name="_Toc4152"/>
      <w:bookmarkStart w:id="215" w:name="_Toc356491325"/>
      <w:r>
        <w:rPr>
          <w:rStyle w:val="56"/>
          <w:rFonts w:hint="eastAsia" w:ascii="仿宋" w:hAnsi="仿宋" w:eastAsia="仿宋" w:cs="仿宋"/>
          <w:b/>
          <w:bCs w:val="0"/>
          <w:sz w:val="28"/>
          <w:szCs w:val="28"/>
          <w:highlight w:val="none"/>
          <w:lang w:val="en-US" w:eastAsia="zh-CN" w:bidi="ar-SA"/>
        </w:rPr>
        <w:t>一、签订合同</w:t>
      </w:r>
      <w:bookmarkEnd w:id="210"/>
      <w:bookmarkEnd w:id="211"/>
      <w:bookmarkEnd w:id="212"/>
      <w:bookmarkEnd w:id="213"/>
      <w:bookmarkEnd w:id="214"/>
      <w:bookmarkEnd w:id="215"/>
    </w:p>
    <w:p>
      <w:pPr>
        <w:pageBreakBefore w:val="0"/>
        <w:kinsoku/>
        <w:overflowPunct/>
        <w:topLinePunct w:val="0"/>
        <w:bidi w:val="0"/>
        <w:snapToGrid/>
        <w:spacing w:line="360" w:lineRule="auto"/>
        <w:ind w:firstLine="560" w:firstLineChars="200"/>
        <w:outlineLvl w:val="9"/>
        <w:rPr>
          <w:rStyle w:val="56"/>
          <w:rFonts w:hint="eastAsia" w:ascii="仿宋" w:hAnsi="仿宋" w:eastAsia="仿宋" w:cs="仿宋"/>
          <w:b w:val="0"/>
          <w:bCs/>
          <w:sz w:val="28"/>
          <w:szCs w:val="28"/>
          <w:highlight w:val="none"/>
          <w:lang w:val="en-US" w:eastAsia="zh-CN" w:bidi="ar-SA"/>
        </w:rPr>
      </w:pPr>
      <w:bookmarkStart w:id="216" w:name="_Toc32207"/>
      <w:bookmarkStart w:id="217" w:name="_Toc25947"/>
      <w:bookmarkStart w:id="218" w:name="_Toc19586"/>
      <w:bookmarkStart w:id="219" w:name="_Toc7493"/>
      <w:bookmarkStart w:id="220" w:name="_Toc88"/>
      <w:bookmarkStart w:id="221" w:name="_Toc3313"/>
      <w:r>
        <w:rPr>
          <w:rStyle w:val="56"/>
          <w:rFonts w:hint="eastAsia" w:ascii="仿宋" w:hAnsi="仿宋" w:eastAsia="仿宋" w:cs="仿宋"/>
          <w:b w:val="0"/>
          <w:bCs/>
          <w:sz w:val="28"/>
          <w:szCs w:val="28"/>
          <w:highlight w:val="none"/>
          <w:lang w:val="en-US" w:eastAsia="zh-CN" w:bidi="ar-SA"/>
        </w:rPr>
        <w:t>《中标通知书》发出后30日内，按照招标文件确定的事项签订合同。合同签订的内容不能超出招标文件的实质性内容。</w:t>
      </w:r>
      <w:bookmarkEnd w:id="216"/>
      <w:bookmarkEnd w:id="217"/>
      <w:bookmarkEnd w:id="218"/>
      <w:bookmarkEnd w:id="219"/>
      <w:bookmarkEnd w:id="220"/>
      <w:bookmarkEnd w:id="221"/>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22" w:name="_Toc20248"/>
      <w:bookmarkStart w:id="223" w:name="_Toc356490387"/>
      <w:bookmarkStart w:id="224" w:name="_Toc27885"/>
      <w:bookmarkStart w:id="225" w:name="_Toc325620722"/>
      <w:bookmarkStart w:id="226" w:name="_Toc29321"/>
      <w:bookmarkStart w:id="227" w:name="_Toc356491326"/>
      <w:r>
        <w:rPr>
          <w:rFonts w:hint="eastAsia" w:ascii="仿宋" w:hAnsi="仿宋" w:eastAsia="仿宋" w:cs="仿宋"/>
          <w:sz w:val="28"/>
          <w:szCs w:val="28"/>
          <w:highlight w:val="none"/>
        </w:rPr>
        <w:t>二、合同格式</w:t>
      </w:r>
      <w:bookmarkEnd w:id="222"/>
      <w:bookmarkEnd w:id="223"/>
      <w:bookmarkEnd w:id="224"/>
      <w:bookmarkEnd w:id="225"/>
      <w:bookmarkEnd w:id="226"/>
      <w:bookmarkEnd w:id="22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Cs w:val="0"/>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b/>
          <w:bCs/>
          <w:sz w:val="48"/>
          <w:szCs w:val="48"/>
          <w:highlight w:val="none"/>
        </w:rPr>
      </w:pPr>
      <w:r>
        <w:rPr>
          <w:rFonts w:hint="eastAsia" w:ascii="仿宋" w:hAnsi="仿宋" w:eastAsia="仿宋" w:cs="仿宋"/>
          <w:b/>
          <w:bCs/>
          <w:sz w:val="48"/>
          <w:szCs w:val="48"/>
          <w:highlight w:val="none"/>
        </w:rPr>
        <w:t>采购合同</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 </w:t>
      </w:r>
      <w:r>
        <w:rPr>
          <w:rFonts w:hint="eastAsia" w:ascii="仿宋" w:hAnsi="仿宋" w:eastAsia="仿宋" w:cs="仿宋"/>
          <w:b/>
          <w:bCs w:val="0"/>
          <w:sz w:val="28"/>
          <w:szCs w:val="28"/>
          <w:highlight w:val="none"/>
        </w:rPr>
        <w:t>                                                                                 </w:t>
      </w:r>
    </w:p>
    <w:p>
      <w:pPr>
        <w:pageBreakBefore w:val="0"/>
        <w:kinsoku/>
        <w:overflowPunct/>
        <w:topLinePunct w:val="0"/>
        <w:bidi w:val="0"/>
        <w:snapToGrid/>
        <w:spacing w:line="360" w:lineRule="auto"/>
        <w:ind w:firstLine="1796"/>
        <w:rPr>
          <w:rFonts w:hint="eastAsia" w:ascii="仿宋" w:hAnsi="仿宋" w:eastAsia="仿宋" w:cs="仿宋"/>
          <w:sz w:val="28"/>
          <w:szCs w:val="28"/>
          <w:highlight w:val="none"/>
        </w:rPr>
      </w:pPr>
      <w:r>
        <w:rPr>
          <w:rFonts w:hint="eastAsia" w:ascii="仿宋" w:hAnsi="仿宋" w:eastAsia="仿宋" w:cs="仿宋"/>
          <w:sz w:val="28"/>
          <w:szCs w:val="28"/>
          <w:highlight w:val="none"/>
        </w:rPr>
        <w:t> </w:t>
      </w: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left="160" w:leftChars="57" w:right="368" w:firstLine="141" w:firstLineChars="50"/>
        <w:rPr>
          <w:rStyle w:val="38"/>
          <w:rFonts w:hint="eastAsia" w:ascii="仿宋" w:hAnsi="仿宋" w:eastAsia="仿宋" w:cs="仿宋"/>
          <w:bCs w:val="0"/>
          <w:sz w:val="28"/>
          <w:szCs w:val="28"/>
          <w:highlight w:val="none"/>
        </w:rPr>
      </w:pPr>
    </w:p>
    <w:p>
      <w:pPr>
        <w:pageBreakBefore w:val="0"/>
        <w:tabs>
          <w:tab w:val="left" w:pos="735"/>
        </w:tabs>
        <w:kinsoku/>
        <w:wordWrap w:val="0"/>
        <w:overflowPunct/>
        <w:topLinePunct w:val="0"/>
        <w:bidi w:val="0"/>
        <w:snapToGrid/>
        <w:spacing w:line="360" w:lineRule="auto"/>
        <w:ind w:right="368" w:firstLine="281" w:firstLineChars="1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项目名称:</w:t>
      </w:r>
    </w:p>
    <w:p>
      <w:pPr>
        <w:pageBreakBefore w:val="0"/>
        <w:tabs>
          <w:tab w:val="left" w:pos="735"/>
        </w:tabs>
        <w:kinsoku/>
        <w:wordWrap w:val="0"/>
        <w:overflowPunct/>
        <w:topLinePunct w:val="0"/>
        <w:bidi w:val="0"/>
        <w:snapToGrid/>
        <w:spacing w:line="360" w:lineRule="auto"/>
        <w:ind w:left="-944" w:leftChars="-337" w:right="368" w:firstLine="1124" w:firstLineChars="400"/>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合同编号</w:t>
      </w:r>
      <w:r>
        <w:rPr>
          <w:rFonts w:hint="eastAsia" w:ascii="仿宋" w:hAnsi="仿宋" w:eastAsia="仿宋" w:cs="仿宋"/>
          <w:b/>
          <w:bCs w:val="0"/>
          <w:sz w:val="28"/>
          <w:szCs w:val="28"/>
          <w:highlight w:val="none"/>
        </w:rPr>
        <w:t>:</w:t>
      </w:r>
    </w:p>
    <w:p>
      <w:pPr>
        <w:pageBreakBefore w:val="0"/>
        <w:tabs>
          <w:tab w:val="left" w:pos="735"/>
        </w:tabs>
        <w:kinsoku/>
        <w:wordWrap w:val="0"/>
        <w:overflowPunct/>
        <w:topLinePunct w:val="0"/>
        <w:bidi w:val="0"/>
        <w:snapToGrid/>
        <w:spacing w:line="360" w:lineRule="auto"/>
        <w:ind w:left="-944" w:leftChars="-337" w:right="368"/>
        <w:rPr>
          <w:rFonts w:hint="eastAsia" w:ascii="仿宋" w:hAnsi="仿宋" w:eastAsia="仿宋" w:cs="仿宋"/>
          <w:b/>
          <w:bCs w:val="0"/>
          <w:sz w:val="28"/>
          <w:szCs w:val="28"/>
          <w:highlight w:val="none"/>
          <w:u w:val="single"/>
        </w:rPr>
      </w:pPr>
      <w:r>
        <w:rPr>
          <w:rStyle w:val="38"/>
          <w:rFonts w:hint="eastAsia" w:ascii="仿宋" w:hAnsi="仿宋" w:eastAsia="仿宋" w:cs="仿宋"/>
          <w:bCs w:val="0"/>
          <w:sz w:val="28"/>
          <w:szCs w:val="28"/>
          <w:highlight w:val="none"/>
        </w:rPr>
        <w:t xml:space="preserve">        采购编号</w:t>
      </w:r>
      <w:r>
        <w:rPr>
          <w:rFonts w:hint="eastAsia" w:ascii="仿宋" w:hAnsi="仿宋" w:eastAsia="仿宋" w:cs="仿宋"/>
          <w:b/>
          <w:bCs w:val="0"/>
          <w:sz w:val="28"/>
          <w:szCs w:val="28"/>
          <w:highlight w:val="none"/>
        </w:rPr>
        <w:t>:</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ageBreakBefore w:val="0"/>
        <w:kinsoku/>
        <w:overflowPunct/>
        <w:topLinePunct w:val="0"/>
        <w:bidi w:val="0"/>
        <w:snapToGrid/>
        <w:spacing w:line="360" w:lineRule="auto"/>
        <w:ind w:firstLine="1807"/>
        <w:rPr>
          <w:rFonts w:hint="eastAsia" w:ascii="仿宋" w:hAnsi="仿宋" w:eastAsia="仿宋" w:cs="仿宋"/>
          <w:b/>
          <w:sz w:val="28"/>
          <w:szCs w:val="28"/>
          <w:highlight w:val="none"/>
        </w:rPr>
      </w:pPr>
      <w:r>
        <w:rPr>
          <w:rFonts w:hint="eastAsia" w:ascii="仿宋" w:hAnsi="仿宋" w:eastAsia="仿宋" w:cs="仿宋"/>
          <w:b/>
          <w:sz w:val="28"/>
          <w:szCs w:val="28"/>
          <w:highlight w:val="none"/>
        </w:rPr>
        <w:t> </w:t>
      </w:r>
    </w:p>
    <w:p>
      <w:pPr>
        <w:pageBreakBefore w:val="0"/>
        <w:kinsoku/>
        <w:overflowPunct/>
        <w:topLinePunct w:val="0"/>
        <w:bidi w:val="0"/>
        <w:snapToGrid/>
        <w:spacing w:line="360" w:lineRule="auto"/>
        <w:ind w:firstLine="551" w:firstLineChars="196"/>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甲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bCs w:val="0"/>
          <w:sz w:val="28"/>
          <w:szCs w:val="28"/>
          <w:highlight w:val="none"/>
        </w:rPr>
        <w:t>乙   方:</w:t>
      </w:r>
    </w:p>
    <w:p>
      <w:pPr>
        <w:pageBreakBefore w:val="0"/>
        <w:kinsoku/>
        <w:overflowPunct/>
        <w:topLinePunct w:val="0"/>
        <w:bidi w:val="0"/>
        <w:snapToGrid/>
        <w:spacing w:line="360" w:lineRule="auto"/>
        <w:ind w:firstLine="562" w:firstLineChars="200"/>
        <w:jc w:val="left"/>
        <w:rPr>
          <w:rFonts w:hint="eastAsia" w:ascii="仿宋" w:hAnsi="仿宋" w:eastAsia="仿宋" w:cs="仿宋"/>
          <w:b/>
          <w:bCs w:val="0"/>
          <w:sz w:val="28"/>
          <w:szCs w:val="28"/>
          <w:highlight w:val="none"/>
          <w:u w:val="single"/>
        </w:rPr>
      </w:pPr>
      <w:r>
        <w:rPr>
          <w:rFonts w:hint="eastAsia" w:ascii="仿宋" w:hAnsi="仿宋" w:eastAsia="仿宋" w:cs="仿宋"/>
          <w:b/>
          <w:sz w:val="28"/>
          <w:szCs w:val="28"/>
          <w:highlight w:val="none"/>
        </w:rPr>
        <w:br w:type="page"/>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（甲方）所需</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bCs w:val="0"/>
          <w:sz w:val="28"/>
          <w:szCs w:val="28"/>
          <w:highlight w:val="none"/>
        </w:rPr>
        <w:t>（项目名称）</w:t>
      </w:r>
      <w:r>
        <w:rPr>
          <w:rFonts w:hint="eastAsia" w:ascii="仿宋" w:hAnsi="仿宋" w:eastAsia="仿宋" w:cs="仿宋"/>
          <w:sz w:val="28"/>
          <w:szCs w:val="28"/>
          <w:highlight w:val="none"/>
        </w:rPr>
        <w:t>经山东盛和招标代理有限公司以（项目编号）招标文件在国内以公开招标的方式进行采购。经评审委员会确定</w:t>
      </w:r>
      <w:r>
        <w:rPr>
          <w:rFonts w:hint="eastAsia" w:ascii="仿宋" w:hAnsi="仿宋" w:eastAsia="仿宋" w:cs="仿宋"/>
          <w:b/>
          <w:sz w:val="28"/>
          <w:szCs w:val="28"/>
          <w:highlight w:val="none"/>
          <w:u w:val="single"/>
          <w:lang w:val="en-US" w:eastAsia="zh-CN"/>
        </w:rPr>
        <w:t xml:space="preserve">      </w:t>
      </w:r>
      <w:r>
        <w:rPr>
          <w:rFonts w:hint="eastAsia" w:ascii="仿宋" w:hAnsi="仿宋" w:eastAsia="仿宋" w:cs="仿宋"/>
          <w:sz w:val="28"/>
          <w:szCs w:val="28"/>
          <w:highlight w:val="none"/>
        </w:rPr>
        <w:t>（乙方）为中标人</w:t>
      </w:r>
      <w:r>
        <w:rPr>
          <w:rFonts w:hint="eastAsia" w:ascii="仿宋" w:hAnsi="仿宋" w:eastAsia="仿宋" w:cs="仿宋"/>
          <w:bCs w:val="0"/>
          <w:sz w:val="28"/>
          <w:szCs w:val="28"/>
          <w:highlight w:val="none"/>
        </w:rPr>
        <w:t>。</w:t>
      </w:r>
      <w:r>
        <w:rPr>
          <w:rFonts w:hint="eastAsia" w:ascii="仿宋" w:hAnsi="仿宋" w:eastAsia="仿宋" w:cs="仿宋"/>
          <w:sz w:val="28"/>
          <w:szCs w:val="28"/>
          <w:highlight w:val="none"/>
        </w:rPr>
        <w:t>甲乙两方根据《中华人民共和国</w:t>
      </w:r>
      <w:r>
        <w:rPr>
          <w:rFonts w:hint="eastAsia" w:ascii="仿宋" w:hAnsi="仿宋" w:eastAsia="仿宋" w:cs="仿宋"/>
          <w:sz w:val="28"/>
          <w:szCs w:val="28"/>
          <w:highlight w:val="none"/>
          <w:lang w:eastAsia="zh-CN"/>
        </w:rPr>
        <w:t>政府采购法</w:t>
      </w:r>
      <w:r>
        <w:rPr>
          <w:rFonts w:hint="eastAsia" w:ascii="仿宋" w:hAnsi="仿宋" w:eastAsia="仿宋" w:cs="仿宋"/>
          <w:sz w:val="28"/>
          <w:szCs w:val="28"/>
          <w:highlight w:val="none"/>
        </w:rPr>
        <w:t>》、《中华人民共和国</w:t>
      </w:r>
      <w:r>
        <w:rPr>
          <w:rFonts w:hint="eastAsia" w:ascii="仿宋" w:hAnsi="仿宋" w:eastAsia="仿宋" w:cs="仿宋"/>
          <w:sz w:val="28"/>
          <w:szCs w:val="28"/>
          <w:highlight w:val="none"/>
          <w:lang w:val="en-US" w:eastAsia="zh-CN"/>
        </w:rPr>
        <w:t>民法典</w:t>
      </w:r>
      <w:r>
        <w:rPr>
          <w:rFonts w:hint="eastAsia" w:ascii="仿宋" w:hAnsi="仿宋" w:eastAsia="仿宋" w:cs="仿宋"/>
          <w:sz w:val="28"/>
          <w:szCs w:val="28"/>
          <w:highlight w:val="none"/>
        </w:rPr>
        <w:t>》等相关法律法规以及本项目招标文件的规定，经平等协商达成合同如下：</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一、本合同由合同文本和下列文件组成</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1、招标文件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2、中标人投标文件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3、中标通知书</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4、中标单位在评审过程中做出的有关澄清或说明或者补正文件</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5、本合同附件</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二、</w:t>
      </w:r>
      <w:r>
        <w:rPr>
          <w:rFonts w:hint="eastAsia" w:ascii="仿宋" w:hAnsi="仿宋" w:eastAsia="仿宋" w:cs="仿宋"/>
          <w:b/>
          <w:bCs w:val="0"/>
          <w:kern w:val="0"/>
          <w:sz w:val="28"/>
          <w:szCs w:val="28"/>
          <w:highlight w:val="none"/>
          <w:lang w:val="en-US" w:eastAsia="zh-CN"/>
        </w:rPr>
        <w:t>服务</w:t>
      </w:r>
      <w:r>
        <w:rPr>
          <w:rFonts w:hint="eastAsia" w:ascii="仿宋" w:hAnsi="仿宋" w:eastAsia="仿宋" w:cs="仿宋"/>
          <w:b/>
          <w:bCs w:val="0"/>
          <w:kern w:val="0"/>
          <w:sz w:val="28"/>
          <w:szCs w:val="28"/>
          <w:highlight w:val="none"/>
        </w:rPr>
        <w:t>的名称、数量、规格</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rPr>
        <w:t>见附件 </w:t>
      </w:r>
    </w:p>
    <w:p>
      <w:pPr>
        <w:pageBreakBefore w:val="0"/>
        <w:kinsoku/>
        <w:overflowPunct/>
        <w:topLinePunct w:val="0"/>
        <w:bidi w:val="0"/>
        <w:snapToGrid/>
        <w:spacing w:line="360" w:lineRule="auto"/>
        <w:rPr>
          <w:rFonts w:hint="eastAsia" w:ascii="仿宋" w:hAnsi="仿宋" w:eastAsia="仿宋" w:cs="仿宋"/>
          <w:b/>
          <w:bCs w:val="0"/>
          <w:kern w:val="0"/>
          <w:sz w:val="28"/>
          <w:szCs w:val="28"/>
          <w:highlight w:val="none"/>
        </w:rPr>
      </w:pPr>
      <w:r>
        <w:rPr>
          <w:rFonts w:hint="eastAsia" w:ascii="仿宋" w:hAnsi="仿宋" w:eastAsia="仿宋" w:cs="仿宋"/>
          <w:b/>
          <w:bCs w:val="0"/>
          <w:kern w:val="0"/>
          <w:sz w:val="28"/>
          <w:szCs w:val="28"/>
          <w:highlight w:val="none"/>
        </w:rPr>
        <w:t>三、合同金额</w:t>
      </w:r>
    </w:p>
    <w:p>
      <w:pPr>
        <w:pageBreakBefore w:val="0"/>
        <w:kinsoku/>
        <w:overflowPunct/>
        <w:topLinePunct w:val="0"/>
        <w:bidi w:val="0"/>
        <w:snapToGrid/>
        <w:spacing w:line="360" w:lineRule="auto"/>
        <w:ind w:firstLine="560" w:firstLineChars="200"/>
        <w:rPr>
          <w:rFonts w:hint="eastAsia" w:ascii="仿宋" w:hAnsi="仿宋" w:eastAsia="仿宋" w:cs="仿宋"/>
          <w:kern w:val="0"/>
          <w:sz w:val="28"/>
          <w:szCs w:val="28"/>
          <w:highlight w:val="none"/>
          <w:u w:val="single"/>
        </w:rPr>
      </w:pPr>
      <w:r>
        <w:rPr>
          <w:rFonts w:hint="eastAsia" w:ascii="仿宋" w:hAnsi="仿宋" w:eastAsia="仿宋" w:cs="仿宋"/>
          <w:sz w:val="28"/>
          <w:szCs w:val="28"/>
          <w:highlight w:val="none"/>
        </w:rPr>
        <w:t>合同</w:t>
      </w:r>
      <w:r>
        <w:rPr>
          <w:rFonts w:hint="eastAsia" w:ascii="仿宋" w:hAnsi="仿宋" w:eastAsia="仿宋" w:cs="仿宋"/>
          <w:sz w:val="28"/>
          <w:szCs w:val="28"/>
          <w:highlight w:val="none"/>
          <w:lang w:val="en-US" w:eastAsia="zh-CN"/>
        </w:rPr>
        <w:t>总金额</w:t>
      </w:r>
      <w:r>
        <w:rPr>
          <w:rFonts w:hint="eastAsia" w:ascii="仿宋" w:hAnsi="仿宋" w:eastAsia="仿宋" w:cs="仿宋"/>
          <w:sz w:val="28"/>
          <w:szCs w:val="28"/>
          <w:highlight w:val="none"/>
        </w:rPr>
        <w:t>：</w:t>
      </w:r>
      <w:r>
        <w:rPr>
          <w:rFonts w:hint="eastAsia" w:ascii="仿宋" w:hAnsi="仿宋" w:eastAsia="仿宋" w:cs="仿宋"/>
          <w:kern w:val="0"/>
          <w:sz w:val="28"/>
          <w:szCs w:val="28"/>
          <w:highlight w:val="none"/>
        </w:rPr>
        <w:t>人民币：小写：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
          <w:sz w:val="28"/>
          <w:szCs w:val="28"/>
          <w:highlight w:val="none"/>
          <w:u w:val="single"/>
          <w:lang w:val="en-US" w:eastAsia="zh-CN"/>
        </w:rPr>
      </w:pPr>
      <w:r>
        <w:rPr>
          <w:rFonts w:hint="eastAsia" w:ascii="仿宋" w:hAnsi="仿宋" w:eastAsia="仿宋" w:cs="仿宋"/>
          <w:kern w:val="0"/>
          <w:sz w:val="28"/>
          <w:szCs w:val="28"/>
          <w:highlight w:val="none"/>
        </w:rPr>
        <w:t xml:space="preserve">                  </w:t>
      </w:r>
      <w:r>
        <w:rPr>
          <w:rFonts w:hint="eastAsia" w:ascii="仿宋" w:hAnsi="仿宋" w:eastAsia="仿宋" w:cs="仿宋"/>
          <w:kern w:val="0"/>
          <w:sz w:val="28"/>
          <w:szCs w:val="28"/>
          <w:highlight w:val="none"/>
          <w:lang w:val="en-US" w:eastAsia="zh-CN"/>
        </w:rPr>
        <w:t xml:space="preserve">  </w:t>
      </w:r>
      <w:r>
        <w:rPr>
          <w:rFonts w:hint="eastAsia" w:ascii="仿宋" w:hAnsi="仿宋" w:eastAsia="仿宋" w:cs="仿宋"/>
          <w:kern w:val="0"/>
          <w:sz w:val="28"/>
          <w:szCs w:val="28"/>
          <w:highlight w:val="none"/>
        </w:rPr>
        <w:t>大写：</w:t>
      </w:r>
      <w:r>
        <w:rPr>
          <w:rFonts w:hint="eastAsia" w:ascii="仿宋" w:hAnsi="仿宋" w:eastAsia="仿宋" w:cs="仿宋"/>
          <w:b/>
          <w:sz w:val="28"/>
          <w:szCs w:val="28"/>
          <w:highlight w:val="none"/>
          <w:u w:val="single"/>
          <w:lang w:val="en-US" w:eastAsia="zh-CN"/>
        </w:rPr>
        <w:t xml:space="preserve">      </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服务期内中标价格不作调整，价格浮动风险由中标单位自行承担。</w:t>
      </w:r>
    </w:p>
    <w:p>
      <w:pPr>
        <w:pStyle w:val="13"/>
        <w:pageBreakBefore w:val="0"/>
        <w:numPr>
          <w:ilvl w:val="0"/>
          <w:numId w:val="4"/>
        </w:numPr>
        <w:kinsoku/>
        <w:overflowPunct/>
        <w:topLinePunct w:val="0"/>
        <w:bidi w:val="0"/>
        <w:snapToGrid/>
        <w:spacing w:line="360" w:lineRule="auto"/>
        <w:rPr>
          <w:rFonts w:hint="eastAsia" w:ascii="仿宋" w:hAnsi="仿宋" w:eastAsia="仿宋" w:cs="仿宋"/>
          <w:b/>
          <w:bCs w:val="0"/>
          <w:color w:val="auto"/>
          <w:sz w:val="28"/>
          <w:szCs w:val="28"/>
          <w:highlight w:val="none"/>
        </w:rPr>
      </w:pPr>
      <w:r>
        <w:rPr>
          <w:rFonts w:hint="eastAsia" w:ascii="仿宋" w:hAnsi="仿宋" w:eastAsia="仿宋" w:cs="仿宋"/>
          <w:b/>
          <w:bCs w:val="0"/>
          <w:color w:val="auto"/>
          <w:sz w:val="28"/>
          <w:szCs w:val="28"/>
          <w:highlight w:val="none"/>
        </w:rPr>
        <w:t>付款方式</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每季度付款一次，付款前，甲方对乙方阶段服务情况进行评分，并根据实际评分情况测算出应当支付的服务费数额。双方确认无误后，乙方开具相应金额的服务费增值税普通发票，甲方收到相应票据后在30日内支付上一季度款项。</w:t>
      </w:r>
    </w:p>
    <w:p>
      <w:pPr>
        <w:pStyle w:val="13"/>
        <w:pageBreakBefore w:val="0"/>
        <w:kinsoku/>
        <w:overflowPunct/>
        <w:topLinePunct w:val="0"/>
        <w:bidi w:val="0"/>
        <w:snapToGrid/>
        <w:spacing w:line="360" w:lineRule="auto"/>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rPr>
        <w:t>五、</w:t>
      </w:r>
      <w:r>
        <w:rPr>
          <w:rFonts w:hint="eastAsia" w:ascii="仿宋" w:hAnsi="仿宋" w:eastAsia="仿宋" w:cs="仿宋"/>
          <w:b/>
          <w:bCs w:val="0"/>
          <w:color w:val="auto"/>
          <w:sz w:val="28"/>
          <w:szCs w:val="28"/>
          <w:highlight w:val="none"/>
          <w:lang w:val="en-US" w:eastAsia="zh-CN"/>
        </w:rPr>
        <w:t>服务要求</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1、服务期：</w:t>
      </w:r>
      <w:r>
        <w:rPr>
          <w:rFonts w:hint="eastAsia" w:ascii="仿宋" w:hAnsi="仿宋" w:eastAsia="仿宋" w:cs="仿宋"/>
          <w:color w:val="auto"/>
          <w:sz w:val="28"/>
          <w:szCs w:val="28"/>
          <w:highlight w:val="none"/>
          <w:lang w:val="en-US" w:eastAsia="zh-CN"/>
        </w:rPr>
        <w:t>30个月</w:t>
      </w:r>
      <w:r>
        <w:rPr>
          <w:rFonts w:hint="eastAsia" w:ascii="仿宋" w:hAnsi="仿宋" w:eastAsia="仿宋" w:cs="仿宋"/>
          <w:color w:val="auto"/>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3、接管时间：签订合同后，20天内接管完毕。</w:t>
      </w:r>
    </w:p>
    <w:p>
      <w:pPr>
        <w:pStyle w:val="13"/>
        <w:pageBreakBefore w:val="0"/>
        <w:tabs>
          <w:tab w:val="left" w:pos="7689"/>
        </w:tabs>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color w:val="auto"/>
          <w:sz w:val="28"/>
          <w:szCs w:val="28"/>
          <w:highlight w:val="none"/>
          <w:lang w:val="en-US" w:eastAsia="zh-CN"/>
        </w:rPr>
        <w:t>六</w:t>
      </w:r>
      <w:r>
        <w:rPr>
          <w:rFonts w:hint="eastAsia" w:ascii="仿宋" w:hAnsi="仿宋" w:eastAsia="仿宋" w:cs="仿宋"/>
          <w:b/>
          <w:bCs w:val="0"/>
          <w:color w:val="auto"/>
          <w:sz w:val="28"/>
          <w:szCs w:val="28"/>
          <w:highlight w:val="none"/>
        </w:rPr>
        <w:t>、售后服务</w:t>
      </w:r>
      <w:r>
        <w:rPr>
          <w:rFonts w:hint="eastAsia" w:ascii="仿宋" w:hAnsi="仿宋" w:eastAsia="仿宋" w:cs="仿宋"/>
          <w:b/>
          <w:bCs w:val="0"/>
          <w:sz w:val="28"/>
          <w:szCs w:val="28"/>
          <w:highlight w:val="none"/>
        </w:rPr>
        <w:tab/>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1、乙方应按招标文件、投标文件提供及时、快速、优质的售后服务。</w:t>
      </w:r>
    </w:p>
    <w:p>
      <w:pPr>
        <w:pStyle w:val="13"/>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2、其他售后服务内容。</w:t>
      </w:r>
    </w:p>
    <w:p>
      <w:pPr>
        <w:pageBreakBefore w:val="0"/>
        <w:kinsoku/>
        <w:overflowPunct/>
        <w:topLinePunct w:val="0"/>
        <w:bidi w:val="0"/>
        <w:snapToGrid/>
        <w:spacing w:line="360" w:lineRule="auto"/>
        <w:rPr>
          <w:rFonts w:hint="eastAsia" w:ascii="仿宋" w:hAnsi="仿宋" w:eastAsia="仿宋" w:cs="仿宋"/>
          <w:b/>
          <w:bCs w:val="0"/>
          <w:color w:val="auto"/>
          <w:kern w:val="2"/>
          <w:sz w:val="28"/>
          <w:szCs w:val="28"/>
          <w:highlight w:val="none"/>
          <w:lang w:val="en-US" w:eastAsia="zh-CN" w:bidi="ar-SA"/>
        </w:rPr>
      </w:pPr>
      <w:r>
        <w:rPr>
          <w:rFonts w:hint="eastAsia" w:ascii="仿宋" w:hAnsi="仿宋" w:eastAsia="仿宋" w:cs="仿宋"/>
          <w:b/>
          <w:bCs w:val="0"/>
          <w:color w:val="auto"/>
          <w:kern w:val="2"/>
          <w:sz w:val="28"/>
          <w:szCs w:val="28"/>
          <w:highlight w:val="none"/>
          <w:lang w:val="en-US" w:eastAsia="zh-CN" w:bidi="ar-SA"/>
        </w:rPr>
        <w:t> 七、合同生效</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本合同为附条件生效合同，除甲乙两方签章，还应满足以下条件时合同生效：</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八</w:t>
      </w:r>
      <w:r>
        <w:rPr>
          <w:rFonts w:hint="eastAsia" w:ascii="仿宋" w:hAnsi="仿宋" w:eastAsia="仿宋" w:cs="仿宋"/>
          <w:b/>
          <w:bCs w:val="0"/>
          <w:sz w:val="28"/>
          <w:szCs w:val="28"/>
          <w:highlight w:val="none"/>
        </w:rPr>
        <w:t>、违约条款(详细内容以招标文件要求签定合同要求为准）</w:t>
      </w:r>
    </w:p>
    <w:p>
      <w:pPr>
        <w:widowControl/>
        <w:spacing w:line="360" w:lineRule="auto"/>
        <w:ind w:firstLine="480"/>
        <w:rPr>
          <w:rFonts w:hint="eastAsia" w:ascii="仿宋" w:hAnsi="仿宋" w:eastAsia="仿宋" w:cs="仿宋"/>
          <w:bCs/>
          <w:kern w:val="0"/>
          <w:szCs w:val="21"/>
        </w:rPr>
      </w:pPr>
      <w:r>
        <w:rPr>
          <w:rFonts w:hint="eastAsia" w:ascii="仿宋" w:hAnsi="仿宋" w:eastAsia="仿宋" w:cs="仿宋"/>
          <w:bCs/>
          <w:kern w:val="0"/>
          <w:szCs w:val="21"/>
        </w:rPr>
        <w:t>1、甲方未按时向乙方结算支付相关费用，乙方有权停止服务。如乙方没有按照合同约定的内容进行本项目的工作，或者服务质量没有达到甲方要求，甲方有权终止合同，并停止本结算期间内对乙方的付款。由此给甲方造成的全部损失由乙方承担责任并进行赔偿。</w:t>
      </w:r>
    </w:p>
    <w:p>
      <w:pPr>
        <w:widowControl/>
        <w:spacing w:line="360" w:lineRule="auto"/>
        <w:ind w:firstLine="480"/>
        <w:rPr>
          <w:rFonts w:hint="eastAsia" w:ascii="仿宋" w:hAnsi="仿宋" w:eastAsia="仿宋" w:cs="仿宋"/>
          <w:kern w:val="0"/>
          <w:szCs w:val="21"/>
        </w:rPr>
      </w:pPr>
      <w:r>
        <w:rPr>
          <w:rFonts w:hint="eastAsia" w:ascii="仿宋" w:hAnsi="仿宋" w:eastAsia="仿宋" w:cs="仿宋"/>
          <w:bCs/>
          <w:kern w:val="0"/>
          <w:szCs w:val="21"/>
        </w:rPr>
        <w:t>2、乙方向甲方开具的发票必须是合法票据，否则，一切经济和法律责任由乙方承</w:t>
      </w:r>
      <w:r>
        <w:rPr>
          <w:rFonts w:hint="eastAsia" w:ascii="仿宋" w:hAnsi="仿宋" w:eastAsia="仿宋" w:cs="仿宋"/>
          <w:kern w:val="0"/>
          <w:szCs w:val="21"/>
        </w:rPr>
        <w:t>担。</w:t>
      </w:r>
    </w:p>
    <w:p>
      <w:pPr>
        <w:adjustRightInd w:val="0"/>
        <w:snapToGrid w:val="0"/>
        <w:spacing w:line="360" w:lineRule="auto"/>
        <w:ind w:right="3" w:rightChars="1" w:firstLine="480"/>
        <w:rPr>
          <w:rFonts w:hint="eastAsia" w:ascii="仿宋" w:hAnsi="仿宋" w:eastAsia="仿宋" w:cs="仿宋"/>
          <w:kern w:val="0"/>
          <w:szCs w:val="21"/>
        </w:rPr>
      </w:pPr>
      <w:r>
        <w:rPr>
          <w:rFonts w:hint="eastAsia" w:ascii="仿宋" w:hAnsi="仿宋" w:eastAsia="仿宋" w:cs="仿宋"/>
          <w:kern w:val="0"/>
          <w:szCs w:val="21"/>
        </w:rPr>
        <w:t>3、如因一方违约，双方未能就赔偿损失达成协议，引起诉讼或仲裁时，违约方除应赔偿对方经济损失外，还应承担对方因诉讼或仲裁所支付的律师代理费等相关费用。</w:t>
      </w:r>
    </w:p>
    <w:p>
      <w:pPr>
        <w:adjustRightInd w:val="0"/>
        <w:snapToGrid w:val="0"/>
        <w:spacing w:line="360" w:lineRule="auto"/>
        <w:ind w:right="3" w:rightChars="1" w:firstLine="480"/>
        <w:rPr>
          <w:rFonts w:hint="eastAsia" w:ascii="仿宋" w:hAnsi="仿宋" w:eastAsia="仿宋" w:cs="仿宋"/>
          <w:kern w:val="0"/>
          <w:szCs w:val="21"/>
        </w:rPr>
      </w:pPr>
      <w:r>
        <w:rPr>
          <w:rFonts w:hint="eastAsia" w:ascii="仿宋" w:hAnsi="仿宋" w:eastAsia="仿宋" w:cs="仿宋"/>
          <w:kern w:val="0"/>
          <w:szCs w:val="21"/>
        </w:rPr>
        <w:t>4、其它应承担的违约责任，以《中华人民共和国民法典》和其它有关法律、法规规定为准，无相关规定的，双方协商解决。</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lang w:val="en-US" w:eastAsia="zh-CN"/>
        </w:rPr>
        <w:t>九</w:t>
      </w:r>
      <w:r>
        <w:rPr>
          <w:rFonts w:hint="eastAsia" w:ascii="仿宋" w:hAnsi="仿宋" w:eastAsia="仿宋" w:cs="仿宋"/>
          <w:b/>
          <w:bCs w:val="0"/>
          <w:sz w:val="28"/>
          <w:szCs w:val="28"/>
          <w:highlight w:val="none"/>
        </w:rPr>
        <w:t>、不可抗力条款</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因不可抗力致使一方不能及时或完全履行合同的，应及时通知另一方，双方互不承担责任，并在15天内提供有关不可抗力的相应证明。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合同未履行部分是否继续履行、如何履行等问题，可由双方协商解决。</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十、争议的解决方式</w:t>
      </w:r>
    </w:p>
    <w:p>
      <w:pPr>
        <w:pStyle w:val="13"/>
        <w:pageBreakBefore w:val="0"/>
        <w:kinsoku/>
        <w:overflowPunct/>
        <w:topLinePunct w:val="0"/>
        <w:bidi w:val="0"/>
        <w:snapToGrid/>
        <w:spacing w:line="360" w:lineRule="auto"/>
        <w:ind w:firstLine="560" w:firstLineChars="200"/>
        <w:rPr>
          <w:rFonts w:hint="eastAsia" w:ascii="仿宋" w:hAnsi="仿宋" w:eastAsia="仿宋" w:cs="仿宋"/>
          <w:b/>
          <w:bCs w:val="0"/>
          <w:sz w:val="28"/>
          <w:szCs w:val="28"/>
          <w:highlight w:val="none"/>
        </w:rPr>
      </w:pPr>
      <w:r>
        <w:rPr>
          <w:rFonts w:hint="eastAsia" w:ascii="仿宋" w:hAnsi="仿宋" w:eastAsia="仿宋" w:cs="仿宋"/>
          <w:bCs w:val="0"/>
          <w:sz w:val="28"/>
          <w:szCs w:val="28"/>
          <w:highlight w:val="none"/>
        </w:rPr>
        <w:t>合同发生纠纷时，双方应协商解决，协商不成可以采用下列方式解决：（1）提交仲裁委员会仲裁；（2）向人民法院起诉。</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一</w:t>
      </w:r>
      <w:r>
        <w:rPr>
          <w:rFonts w:hint="eastAsia" w:ascii="仿宋" w:hAnsi="仿宋" w:eastAsia="仿宋" w:cs="仿宋"/>
          <w:b/>
          <w:bCs w:val="0"/>
          <w:sz w:val="28"/>
          <w:szCs w:val="28"/>
          <w:highlight w:val="none"/>
        </w:rPr>
        <w:t>、补充协议</w:t>
      </w:r>
    </w:p>
    <w:p>
      <w:pPr>
        <w:pStyle w:val="14"/>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合同未尽事宜，经双方协商可签订补充协议，所签订的补充协议与本合同具有同等的法律效力，补充协议的生效应符合本合同第八条的规定。</w:t>
      </w:r>
    </w:p>
    <w:p>
      <w:pPr>
        <w:pStyle w:val="13"/>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十</w:t>
      </w:r>
      <w:r>
        <w:rPr>
          <w:rFonts w:hint="eastAsia" w:ascii="仿宋" w:hAnsi="仿宋" w:eastAsia="仿宋" w:cs="仿宋"/>
          <w:b/>
          <w:bCs w:val="0"/>
          <w:sz w:val="28"/>
          <w:szCs w:val="28"/>
          <w:highlight w:val="none"/>
          <w:lang w:val="en-US" w:eastAsia="zh-CN"/>
        </w:rPr>
        <w:t>二</w:t>
      </w:r>
      <w:r>
        <w:rPr>
          <w:rFonts w:hint="eastAsia" w:ascii="仿宋" w:hAnsi="仿宋" w:eastAsia="仿宋" w:cs="仿宋"/>
          <w:b/>
          <w:bCs w:val="0"/>
          <w:sz w:val="28"/>
          <w:szCs w:val="28"/>
          <w:highlight w:val="none"/>
        </w:rPr>
        <w:t>、合同保存</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本合同一式</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份，甲方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份，乙方</w:t>
      </w: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rPr>
        <w:t>份。</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sz w:val="28"/>
          <w:szCs w:val="28"/>
          <w:highlight w:val="none"/>
        </w:rPr>
        <w:t>甲方(公章)：                        乙方(公章)：</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法定代表人或授权代理人：（签字）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法定代表人或授权代理人：（签字）</w:t>
      </w:r>
    </w:p>
    <w:p>
      <w:pPr>
        <w:pageBreakBefore w:val="0"/>
        <w:kinsoku/>
        <w:overflowPunct/>
        <w:topLinePunct w:val="0"/>
        <w:bidi w:val="0"/>
        <w:snapToGrid/>
        <w:spacing w:line="360" w:lineRule="auto"/>
        <w:ind w:left="5400" w:right="-644" w:rightChars="-230" w:hanging="6300" w:hangingChars="225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开户单位：             </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rPr>
        <w:t xml:space="preserve"> 开户单位：</w:t>
      </w:r>
    </w:p>
    <w:p>
      <w:pPr>
        <w:pageBreakBefore w:val="0"/>
        <w:kinsoku/>
        <w:overflowPunct/>
        <w:topLinePunct w:val="0"/>
        <w:bidi w:val="0"/>
        <w:snapToGrid/>
        <w:spacing w:line="360" w:lineRule="auto"/>
        <w:ind w:left="5520" w:hanging="6440" w:hangingChars="230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开户银行：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开户银行：</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 xml:space="preserve">账   </w:t>
      </w:r>
      <w:r>
        <w:rPr>
          <w:rFonts w:hint="eastAsia" w:ascii="仿宋" w:hAnsi="仿宋" w:eastAsia="仿宋" w:cs="仿宋"/>
          <w:bCs w:val="0"/>
          <w:sz w:val="28"/>
          <w:szCs w:val="28"/>
          <w:highlight w:val="none"/>
        </w:rPr>
        <w:t xml:space="preserve">  号：                    </w:t>
      </w:r>
      <w:r>
        <w:rPr>
          <w:rFonts w:hint="eastAsia" w:ascii="仿宋" w:hAnsi="仿宋" w:eastAsia="仿宋" w:cs="仿宋"/>
          <w:bCs w:val="0"/>
          <w:sz w:val="28"/>
          <w:szCs w:val="28"/>
          <w:highlight w:val="none"/>
          <w:lang w:val="en-US" w:eastAsia="zh-CN"/>
        </w:rPr>
        <w:t xml:space="preserve">        账</w:t>
      </w:r>
      <w:r>
        <w:rPr>
          <w:rFonts w:hint="eastAsia" w:ascii="仿宋" w:hAnsi="仿宋" w:eastAsia="仿宋" w:cs="仿宋"/>
          <w:bCs w:val="0"/>
          <w:sz w:val="28"/>
          <w:szCs w:val="28"/>
          <w:highlight w:val="none"/>
        </w:rPr>
        <w:t>   号：</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地   址：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地  址： </w:t>
      </w:r>
    </w:p>
    <w:p>
      <w:pPr>
        <w:pageBreakBefore w:val="0"/>
        <w:kinsoku/>
        <w:overflowPunct/>
        <w:topLinePunct w:val="0"/>
        <w:bidi w:val="0"/>
        <w:snapToGrid/>
        <w:spacing w:before="156"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 xml:space="preserve">年  月  日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签订时间：202</w:t>
      </w: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年  月  日</w:t>
      </w:r>
    </w:p>
    <w:p>
      <w:pPr>
        <w:pageBreakBefore w:val="0"/>
        <w:widowControl/>
        <w:kinsoku/>
        <w:overflowPunct/>
        <w:topLinePunct w:val="0"/>
        <w:bidi w:val="0"/>
        <w:snapToGrid/>
        <w:spacing w:line="360" w:lineRule="auto"/>
        <w:jc w:val="left"/>
        <w:rPr>
          <w:rFonts w:hint="eastAsia" w:ascii="仿宋" w:hAnsi="仿宋" w:eastAsia="仿宋" w:cs="仿宋"/>
          <w:sz w:val="28"/>
          <w:szCs w:val="28"/>
          <w:highlight w:val="none"/>
        </w:rPr>
      </w:pPr>
      <w:r>
        <w:rPr>
          <w:rFonts w:hint="eastAsia" w:ascii="仿宋" w:hAnsi="仿宋" w:eastAsia="仿宋" w:cs="仿宋"/>
          <w:bCs w:val="0"/>
          <w:sz w:val="28"/>
          <w:szCs w:val="28"/>
          <w:highlight w:val="none"/>
        </w:rPr>
        <w:t xml:space="preserve">电  话：                       </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 xml:space="preserve">  电  话：</w:t>
      </w:r>
    </w:p>
    <w:p>
      <w:pPr>
        <w:pageBreakBefore w:val="0"/>
        <w:kinsoku/>
        <w:overflowPunct/>
        <w:topLinePunct w:val="0"/>
        <w:bidi w:val="0"/>
        <w:snapToGrid/>
        <w:spacing w:line="360" w:lineRule="auto"/>
        <w:outlineLvl w:val="9"/>
        <w:rPr>
          <w:rFonts w:hint="eastAsia" w:ascii="仿宋" w:hAnsi="仿宋" w:eastAsia="仿宋" w:cs="仿宋"/>
          <w:b/>
          <w:bCs/>
          <w:kern w:val="2"/>
          <w:sz w:val="28"/>
          <w:szCs w:val="28"/>
          <w:highlight w:val="none"/>
          <w:lang w:val="en-US" w:eastAsia="zh-CN" w:bidi="ar-SA"/>
        </w:rPr>
      </w:pPr>
      <w:bookmarkStart w:id="228" w:name="_Toc21610"/>
      <w:r>
        <w:rPr>
          <w:rFonts w:hint="eastAsia" w:ascii="仿宋" w:hAnsi="仿宋" w:eastAsia="仿宋" w:cs="仿宋"/>
          <w:b/>
          <w:bCs/>
          <w:kern w:val="2"/>
          <w:sz w:val="28"/>
          <w:szCs w:val="28"/>
          <w:highlight w:val="none"/>
          <w:lang w:val="en-US" w:eastAsia="zh-CN" w:bidi="ar-SA"/>
        </w:rPr>
        <w:t>注：最终合同内容以采购人签署的合同为准。</w:t>
      </w:r>
    </w:p>
    <w:p>
      <w:pPr>
        <w:pStyle w:val="2"/>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29" w:name="_Toc2395"/>
      <w:bookmarkStart w:id="230" w:name="_Toc7549"/>
      <w:bookmarkStart w:id="231" w:name="_Toc28705"/>
      <w:r>
        <w:rPr>
          <w:rFonts w:hint="eastAsia" w:ascii="仿宋" w:hAnsi="仿宋" w:eastAsia="仿宋" w:cs="仿宋"/>
          <w:sz w:val="28"/>
          <w:szCs w:val="28"/>
          <w:highlight w:val="none"/>
        </w:rPr>
        <w:t>第五部分 项目说明及要求</w:t>
      </w:r>
      <w:bookmarkEnd w:id="228"/>
      <w:bookmarkEnd w:id="229"/>
      <w:bookmarkEnd w:id="230"/>
      <w:bookmarkEnd w:id="231"/>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32" w:name="_Toc356490389"/>
      <w:bookmarkStart w:id="233" w:name="_Toc356491328"/>
      <w:bookmarkStart w:id="234" w:name="_Toc407632791"/>
      <w:bookmarkStart w:id="235" w:name="_Toc27309"/>
      <w:bookmarkStart w:id="236" w:name="_Toc29518"/>
      <w:bookmarkStart w:id="237" w:name="_Toc42877310"/>
      <w:bookmarkStart w:id="238" w:name="_Toc325620724"/>
      <w:bookmarkStart w:id="239" w:name="_Toc4764"/>
      <w:r>
        <w:rPr>
          <w:rFonts w:hint="eastAsia" w:ascii="仿宋" w:hAnsi="仿宋" w:eastAsia="仿宋" w:cs="仿宋"/>
          <w:sz w:val="28"/>
          <w:szCs w:val="28"/>
          <w:highlight w:val="none"/>
        </w:rPr>
        <w:t>一、项目名称</w:t>
      </w:r>
      <w:bookmarkEnd w:id="232"/>
      <w:bookmarkEnd w:id="233"/>
      <w:bookmarkEnd w:id="234"/>
      <w:bookmarkEnd w:id="235"/>
      <w:bookmarkEnd w:id="236"/>
      <w:bookmarkEnd w:id="237"/>
      <w:bookmarkEnd w:id="238"/>
      <w:bookmarkEnd w:id="239"/>
      <w:bookmarkStart w:id="240" w:name="_Toc325620725"/>
    </w:p>
    <w:bookmarkEnd w:id="240"/>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lang w:eastAsia="zh-CN"/>
        </w:rPr>
      </w:pPr>
      <w:bookmarkStart w:id="241" w:name="_Toc407632792"/>
      <w:bookmarkStart w:id="242" w:name="_Toc356491329"/>
      <w:bookmarkStart w:id="243" w:name="_Toc356490390"/>
      <w:r>
        <w:rPr>
          <w:rFonts w:hint="eastAsia" w:ascii="仿宋" w:hAnsi="仿宋" w:eastAsia="仿宋" w:cs="仿宋"/>
          <w:sz w:val="28"/>
          <w:szCs w:val="28"/>
          <w:highlight w:val="none"/>
          <w:lang w:val="en-US" w:eastAsia="zh-CN"/>
        </w:rPr>
        <w:t>山东大学第二医院院前急救科驾驶员外包服务项目</w:t>
      </w:r>
    </w:p>
    <w:p>
      <w:pPr>
        <w:pStyle w:val="3"/>
        <w:pageBreakBefore w:val="0"/>
        <w:kinsoku/>
        <w:overflowPunct/>
        <w:topLinePunct w:val="0"/>
        <w:bidi w:val="0"/>
        <w:snapToGrid/>
        <w:spacing w:line="360" w:lineRule="auto"/>
        <w:rPr>
          <w:rFonts w:hint="eastAsia" w:ascii="仿宋" w:hAnsi="仿宋" w:eastAsia="仿宋" w:cs="仿宋"/>
          <w:b w:val="0"/>
          <w:kern w:val="2"/>
          <w:sz w:val="28"/>
          <w:szCs w:val="28"/>
          <w:highlight w:val="none"/>
        </w:rPr>
      </w:pPr>
      <w:bookmarkStart w:id="244" w:name="_Toc21014"/>
      <w:bookmarkStart w:id="245" w:name="_Toc2073"/>
      <w:bookmarkStart w:id="246" w:name="_Toc42877311"/>
      <w:bookmarkStart w:id="247" w:name="_Toc20032"/>
      <w:r>
        <w:rPr>
          <w:rFonts w:hint="eastAsia" w:ascii="仿宋" w:hAnsi="仿宋" w:eastAsia="仿宋" w:cs="仿宋"/>
          <w:sz w:val="28"/>
          <w:szCs w:val="28"/>
          <w:highlight w:val="none"/>
        </w:rPr>
        <w:t>二、项目说明</w:t>
      </w:r>
      <w:bookmarkEnd w:id="241"/>
      <w:bookmarkEnd w:id="242"/>
      <w:bookmarkEnd w:id="243"/>
      <w:bookmarkEnd w:id="244"/>
      <w:bookmarkEnd w:id="245"/>
      <w:bookmarkEnd w:id="246"/>
      <w:bookmarkEnd w:id="247"/>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bookmarkStart w:id="248" w:name="_Toc356490391"/>
      <w:bookmarkStart w:id="249" w:name="_Toc325620726"/>
      <w:bookmarkStart w:id="250" w:name="_Toc356491330"/>
      <w:r>
        <w:rPr>
          <w:rFonts w:hint="eastAsia" w:ascii="仿宋" w:hAnsi="仿宋" w:eastAsia="仿宋" w:cs="仿宋"/>
          <w:sz w:val="28"/>
          <w:szCs w:val="28"/>
          <w:highlight w:val="none"/>
        </w:rPr>
        <w:t>1.本项目共一个包，中标人不得对所投包内容分解后进行响应。</w:t>
      </w:r>
    </w:p>
    <w:p>
      <w:pPr>
        <w:pStyle w:val="3"/>
        <w:pageBreakBefore w:val="0"/>
        <w:kinsoku/>
        <w:overflowPunct/>
        <w:topLinePunct w:val="0"/>
        <w:bidi w:val="0"/>
        <w:snapToGrid/>
        <w:spacing w:line="360" w:lineRule="auto"/>
        <w:rPr>
          <w:rFonts w:hint="eastAsia" w:ascii="仿宋" w:hAnsi="仿宋" w:eastAsia="仿宋" w:cs="仿宋"/>
          <w:color w:val="auto"/>
          <w:sz w:val="28"/>
          <w:szCs w:val="28"/>
          <w:highlight w:val="none"/>
        </w:rPr>
      </w:pPr>
      <w:bookmarkStart w:id="251" w:name="_Toc407632793"/>
      <w:bookmarkStart w:id="252" w:name="_Toc4994"/>
      <w:bookmarkStart w:id="253" w:name="_Toc42877312"/>
      <w:bookmarkStart w:id="254" w:name="_Toc24750"/>
      <w:bookmarkStart w:id="255" w:name="_Toc1712"/>
      <w:r>
        <w:rPr>
          <w:rFonts w:hint="eastAsia" w:ascii="仿宋" w:hAnsi="仿宋" w:eastAsia="仿宋" w:cs="仿宋"/>
          <w:color w:val="auto"/>
          <w:sz w:val="28"/>
          <w:szCs w:val="28"/>
          <w:highlight w:val="none"/>
        </w:rPr>
        <w:t>三、商务条件</w:t>
      </w:r>
      <w:bookmarkEnd w:id="248"/>
      <w:bookmarkEnd w:id="249"/>
      <w:bookmarkEnd w:id="250"/>
      <w:bookmarkEnd w:id="251"/>
      <w:bookmarkEnd w:id="252"/>
      <w:bookmarkEnd w:id="253"/>
      <w:bookmarkEnd w:id="254"/>
      <w:bookmarkEnd w:id="255"/>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1、服务期：30个月。</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2、服务地点：山东大学第二医院指定地点。</w:t>
      </w:r>
    </w:p>
    <w:p>
      <w:pPr>
        <w:pageBreakBefore w:val="0"/>
        <w:kinsoku/>
        <w:overflowPunct/>
        <w:topLinePunct w:val="0"/>
        <w:bidi w:val="0"/>
        <w:snapToGrid/>
        <w:spacing w:line="360" w:lineRule="auto"/>
        <w:ind w:firstLine="560" w:firstLineChars="200"/>
        <w:rPr>
          <w:rFonts w:hint="eastAsia"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3、</w:t>
      </w:r>
      <w:r>
        <w:rPr>
          <w:rFonts w:hint="eastAsia" w:ascii="仿宋" w:hAnsi="仿宋" w:eastAsia="仿宋" w:cs="仿宋"/>
          <w:color w:val="auto"/>
          <w:sz w:val="28"/>
          <w:szCs w:val="28"/>
          <w:highlight w:val="none"/>
          <w:lang w:val="en-US" w:eastAsia="zh-CN"/>
        </w:rPr>
        <w:t>接管时间：签订合同后，20天内接管完毕。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4、付款方式：</w:t>
      </w:r>
      <w:r>
        <w:rPr>
          <w:rFonts w:hint="eastAsia" w:ascii="仿宋" w:hAnsi="仿宋" w:eastAsia="仿宋" w:cs="仿宋"/>
          <w:kern w:val="0"/>
          <w:sz w:val="28"/>
          <w:szCs w:val="28"/>
          <w:highlight w:val="none"/>
          <w:shd w:val="clear" w:color="auto" w:fill="FFFFFF"/>
          <w:lang w:val="en-US" w:eastAsia="zh-CN"/>
        </w:rPr>
        <w:t>每季度付款一次，付款前，甲方对乙方阶段服务情况进行评分，并根据实际评分情况测算出应当支付的服务费数额。双方确认无误后，乙方开具相应金额的服务费增值税普通发票，甲方收到相应票据后在30日内支付上一季度款项。</w:t>
      </w:r>
    </w:p>
    <w:p>
      <w:pPr>
        <w:pageBreakBefore w:val="0"/>
        <w:kinsoku/>
        <w:overflowPunct/>
        <w:topLinePunct w:val="0"/>
        <w:bidi w:val="0"/>
        <w:snapToGrid/>
        <w:spacing w:line="360" w:lineRule="auto"/>
        <w:ind w:firstLine="560" w:firstLineChars="200"/>
        <w:rPr>
          <w:rFonts w:hint="default" w:ascii="仿宋" w:hAnsi="仿宋" w:eastAsia="仿宋" w:cs="仿宋"/>
          <w:bCs w:val="0"/>
          <w:color w:val="auto"/>
          <w:sz w:val="28"/>
          <w:szCs w:val="28"/>
          <w:highlight w:val="none"/>
          <w:lang w:val="en-US" w:eastAsia="zh-CN"/>
        </w:rPr>
      </w:pPr>
      <w:r>
        <w:rPr>
          <w:rFonts w:hint="eastAsia" w:ascii="仿宋" w:hAnsi="仿宋" w:eastAsia="仿宋" w:cs="仿宋"/>
          <w:bCs w:val="0"/>
          <w:color w:val="auto"/>
          <w:sz w:val="28"/>
          <w:szCs w:val="28"/>
          <w:highlight w:val="none"/>
          <w:lang w:val="en-US" w:eastAsia="zh-CN"/>
        </w:rPr>
        <w:t>5、本项目预算：285万元/30个月</w:t>
      </w:r>
      <w:r>
        <w:rPr>
          <w:rFonts w:hint="eastAsia" w:ascii="仿宋" w:hAnsi="仿宋" w:eastAsia="仿宋" w:cs="仿宋"/>
          <w:kern w:val="0"/>
          <w:sz w:val="28"/>
          <w:szCs w:val="28"/>
          <w:shd w:val="clear" w:color="auto" w:fill="FFFFFF"/>
          <w:lang w:val="en-US" w:eastAsia="zh-CN"/>
        </w:rPr>
        <w:t>。</w:t>
      </w:r>
    </w:p>
    <w:p>
      <w:pPr>
        <w:pageBreakBefore w:val="0"/>
        <w:kinsoku/>
        <w:overflowPunct/>
        <w:topLinePunct w:val="0"/>
        <w:bidi w:val="0"/>
        <w:snapToGrid/>
        <w:spacing w:line="360" w:lineRule="auto"/>
        <w:rPr>
          <w:rFonts w:hint="eastAsia" w:ascii="仿宋" w:hAnsi="仿宋" w:eastAsia="仿宋" w:cs="仿宋"/>
          <w:color w:val="auto"/>
          <w:sz w:val="28"/>
          <w:szCs w:val="28"/>
          <w:highlight w:val="none"/>
          <w:lang w:val="en-US" w:eastAsia="zh-CN"/>
        </w:rPr>
      </w:pPr>
      <w:bookmarkStart w:id="256" w:name="_Toc356490393"/>
      <w:bookmarkStart w:id="257" w:name="_Toc356491341"/>
      <w:r>
        <w:rPr>
          <w:rFonts w:hint="eastAsia" w:ascii="仿宋" w:hAnsi="仿宋" w:eastAsia="仿宋" w:cs="仿宋"/>
          <w:color w:val="auto"/>
          <w:sz w:val="28"/>
          <w:szCs w:val="28"/>
          <w:highlight w:val="none"/>
          <w:lang w:val="en-US" w:eastAsia="zh-CN"/>
        </w:rPr>
        <w:br w:type="page"/>
      </w:r>
    </w:p>
    <w:p>
      <w:pPr>
        <w:pStyle w:val="3"/>
        <w:pageBreakBefore w:val="0"/>
        <w:numPr>
          <w:ilvl w:val="0"/>
          <w:numId w:val="0"/>
        </w:numPr>
        <w:kinsoku/>
        <w:overflowPunct/>
        <w:topLinePunct w:val="0"/>
        <w:bidi w:val="0"/>
        <w:snapToGrid/>
        <w:spacing w:line="360" w:lineRule="auto"/>
        <w:ind w:leftChars="0"/>
        <w:rPr>
          <w:rFonts w:hint="eastAsia" w:ascii="仿宋" w:hAnsi="仿宋" w:eastAsia="仿宋" w:cs="仿宋"/>
          <w:color w:val="auto"/>
          <w:sz w:val="28"/>
          <w:szCs w:val="28"/>
          <w:highlight w:val="none"/>
          <w:lang w:val="en-US" w:eastAsia="zh-CN"/>
        </w:rPr>
      </w:pPr>
      <w:bookmarkStart w:id="258" w:name="_Toc16289"/>
      <w:bookmarkStart w:id="259" w:name="_Toc31810"/>
      <w:bookmarkStart w:id="260" w:name="_Toc16787"/>
      <w:r>
        <w:rPr>
          <w:rFonts w:hint="eastAsia" w:ascii="仿宋" w:hAnsi="仿宋" w:eastAsia="仿宋" w:cs="仿宋"/>
          <w:color w:val="auto"/>
          <w:sz w:val="28"/>
          <w:szCs w:val="28"/>
          <w:highlight w:val="none"/>
          <w:lang w:val="en-US" w:eastAsia="zh-CN"/>
        </w:rPr>
        <w:t>四、服务要求</w:t>
      </w:r>
      <w:bookmarkEnd w:id="258"/>
      <w:bookmarkEnd w:id="259"/>
      <w:bookmarkEnd w:id="260"/>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560" w:leftChars="0"/>
        <w:jc w:val="left"/>
        <w:textAlignment w:val="auto"/>
        <w:rPr>
          <w:rFonts w:hint="eastAsia" w:ascii="仿宋" w:hAnsi="仿宋" w:eastAsia="仿宋" w:cs="仿宋"/>
          <w:kern w:val="0"/>
          <w:sz w:val="28"/>
          <w:szCs w:val="28"/>
          <w:shd w:val="clear" w:color="auto" w:fill="FFFFFF"/>
        </w:rPr>
      </w:pPr>
      <w:r>
        <w:rPr>
          <w:rFonts w:hint="eastAsia" w:ascii="仿宋" w:hAnsi="仿宋" w:eastAsia="仿宋" w:cs="仿宋"/>
          <w:kern w:val="0"/>
          <w:sz w:val="28"/>
          <w:szCs w:val="28"/>
          <w:shd w:val="clear" w:color="auto" w:fill="FFFFFF"/>
          <w:lang w:eastAsia="zh-CN"/>
        </w:rPr>
        <w:t>（</w:t>
      </w:r>
      <w:r>
        <w:rPr>
          <w:rFonts w:hint="eastAsia" w:ascii="仿宋" w:hAnsi="仿宋" w:eastAsia="仿宋" w:cs="仿宋"/>
          <w:kern w:val="0"/>
          <w:sz w:val="28"/>
          <w:szCs w:val="28"/>
          <w:shd w:val="clear" w:color="auto" w:fill="FFFFFF"/>
          <w:lang w:val="en-US" w:eastAsia="zh-CN"/>
        </w:rPr>
        <w:t>一</w:t>
      </w:r>
      <w:r>
        <w:rPr>
          <w:rFonts w:hint="eastAsia" w:ascii="仿宋" w:hAnsi="仿宋" w:eastAsia="仿宋" w:cs="仿宋"/>
          <w:kern w:val="0"/>
          <w:sz w:val="28"/>
          <w:szCs w:val="28"/>
          <w:shd w:val="clear" w:color="auto" w:fill="FFFFFF"/>
          <w:lang w:eastAsia="zh-CN"/>
        </w:rPr>
        <w:t>）救护车驾驶员服务要求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200"/>
        <w:jc w:val="left"/>
        <w:textAlignment w:val="auto"/>
        <w:rPr>
          <w:rFonts w:hint="eastAsia" w:ascii="仿宋" w:hAnsi="仿宋" w:eastAsia="仿宋" w:cs="仿宋"/>
          <w:kern w:val="0"/>
          <w:sz w:val="28"/>
          <w:szCs w:val="28"/>
          <w:shd w:val="clear" w:color="auto" w:fill="FFFFFF"/>
          <w:lang w:eastAsia="zh-CN"/>
        </w:rPr>
      </w:pPr>
      <w:r>
        <w:rPr>
          <w:rFonts w:hint="eastAsia" w:ascii="仿宋" w:hAnsi="仿宋" w:eastAsia="仿宋" w:cs="仿宋"/>
          <w:kern w:val="0"/>
          <w:sz w:val="28"/>
          <w:szCs w:val="28"/>
          <w:shd w:val="clear" w:color="auto" w:fill="FFFFFF"/>
          <w:lang w:val="en-US" w:eastAsia="zh-CN"/>
        </w:rPr>
        <w:t>一）总体</w:t>
      </w:r>
      <w:r>
        <w:rPr>
          <w:rFonts w:hint="eastAsia" w:ascii="仿宋" w:hAnsi="仿宋" w:eastAsia="仿宋" w:cs="仿宋"/>
          <w:kern w:val="0"/>
          <w:sz w:val="28"/>
          <w:szCs w:val="28"/>
          <w:shd w:val="clear" w:color="auto" w:fill="FFFFFF"/>
          <w:lang w:eastAsia="zh-CN"/>
        </w:rPr>
        <w:t>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 xml:space="preserve"> 投标单位根据山大二院院前急救科工作性质特点，提供符合要求的救护车驾驶员服务。</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二）救护车驾驶员主要工作职责</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1.热爱本职工作，熟悉急救运行流程；</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2.热情周到，配合医护人员做好院前救护工作；</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3.严守交通法规，听从急救医师指挥，将患者快速、平稳送达目的地；</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4.不以岗谋私，严谨向患者或者家属索要财物；</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5.每次完成出车任务后及时加足油、水，检查车辆，排除故障，为下一次急救做好充足准备，出现故障及时报告队长；</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6.急救车辆停放在院内指定位置，值班人员坚守岗位，保证24小时随叫随到，及时出诊；</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7.出诊按要求做好记录，并如实填写里程和加油记录；</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8.交接班时交接好车辆、除急救设备和药品外的随车物品和通讯工具并填好交接记录本；</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9.保证通讯畅通，非值班人员接到临时任务及时到达；</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10.爱护车辆，做到勤检查，保证车况性能良好；</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11.遵守物价部门规定，及时、合理收费；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12.科室安排的其他事项。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200" w:firstLine="280" w:firstLineChars="1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三）委托管理事项</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val="0"/>
        <w:spacing w:line="360" w:lineRule="auto"/>
        <w:ind w:leftChars="100"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 xml:space="preserve"> 中标单位作为提供院前急救科救护车驾驶员服务的定点单位，负责救护车驾驶员所有事项的管理委托工作。中标单位必须严格按照山大二院院前急救科需求，结合院前急救科驾驶员主要工作职责，制定切实可行的</w:t>
      </w:r>
      <w:r>
        <w:rPr>
          <w:rFonts w:hint="eastAsia" w:ascii="仿宋" w:hAnsi="仿宋" w:eastAsia="仿宋" w:cs="仿宋"/>
          <w:bCs/>
          <w:sz w:val="28"/>
          <w:szCs w:val="28"/>
          <w:lang w:val="en-US" w:eastAsia="zh-CN"/>
        </w:rPr>
        <w:t>整体服务方案</w:t>
      </w:r>
      <w:r>
        <w:rPr>
          <w:rFonts w:hint="eastAsia" w:ascii="仿宋" w:hAnsi="仿宋" w:eastAsia="仿宋" w:cs="仿宋"/>
          <w:kern w:val="0"/>
          <w:sz w:val="28"/>
          <w:szCs w:val="28"/>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四）项目管理要求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1.质量目标要求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全年无重大责任事故发生，对救护车驾驶员服务满意率在90%以上。</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2.服务要求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（1）树立“服务第一、患者至上”的思想。</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（2）以人为本、主动热情；处理问题高度警惕、有礼有节。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（3）上岗人员仪表整洁，业务操作规范，礼貌待人，保持岗位卫生整洁。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（4）杜绝救护车驾驶员与院前急救科工作人员及服务对象发生冲突。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3.队伍建设与管理要求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（1）从院前急救科急救工作的实际出发，每季开展一次在岗人员业务培训和每半年开展一次应急预案演练。</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（2）投标单位应与拟派院前急救科的救护车驾驶员签订劳动合同并缴纳社会保险。</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（3）投标单位必须信守承包承诺，认真落实各项救护车驾驶员服务工作。</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（4）中标单位必须对员工发生的事故以及员工计生、身份、健康等承担责任；同时对员工在工作中做出的不良行为给山大二院造成影响承担责任。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4.首次招标驾驶员要求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shd w:val="clear" w:color="auto" w:fill="FFFFFF"/>
          <w:lang w:val="en-US" w:eastAsia="zh-CN"/>
        </w:rPr>
        <w:t>首批派遣</w:t>
      </w:r>
      <w:r>
        <w:rPr>
          <w:rFonts w:hint="eastAsia" w:ascii="仿宋" w:hAnsi="仿宋" w:eastAsia="仿宋" w:cs="仿宋"/>
          <w:kern w:val="0"/>
          <w:sz w:val="28"/>
          <w:szCs w:val="28"/>
          <w:highlight w:val="none"/>
          <w:shd w:val="clear" w:color="auto" w:fill="FFFFFF"/>
          <w:lang w:val="en-US" w:eastAsia="zh-CN"/>
        </w:rPr>
        <w:t>的驾驶员10人，由采购人推荐，中标服务商按规定与其签订劳动合同并纳入派遣管理。所有人员必须能够胜任上述救护车驾驶员主要工作职责。</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5.后续新增驾驶员要求</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（1）救护车驾驶员应知法，懂法，守法，依法办事，必须严格遵守救护车驾驶员从业规范，遵守山大二院及院前急救科相关质量、安全等管理制度规定。</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shd w:val="clear" w:color="auto" w:fill="FFFFFF"/>
          <w:lang w:val="en-US" w:eastAsia="zh-CN"/>
        </w:rPr>
        <w:t>（2）驾驶员个人素质条件：服从科室安排，有良好的身体素质，能够胜任担架员工作。无传染病及精神病等不能控制自己行为能力的疾病病史，无酗酒等不良嗜好。能吃苦耐劳，驾驶技术好，无重大交通事故。无任何违法犯罪记录。了解</w:t>
      </w:r>
      <w:r>
        <w:rPr>
          <w:rFonts w:hint="eastAsia" w:ascii="仿宋" w:hAnsi="仿宋" w:eastAsia="仿宋" w:cs="仿宋"/>
          <w:kern w:val="0"/>
          <w:sz w:val="28"/>
          <w:szCs w:val="28"/>
          <w:highlight w:val="none"/>
          <w:shd w:val="clear" w:color="auto" w:fill="FFFFFF"/>
          <w:lang w:val="en-US" w:eastAsia="zh-CN"/>
        </w:rPr>
        <w:t>车辆性能，熟悉医院周边道路情况，持有济南市急救中心颁发的《院前急救资格证书》、有救护车驾驶经历者优先考虑。</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（3）中专及以上学历，持有效C本及以上驾驶证和从业资格证，A本司机优先考虑，3年及以上驾驶经验，2年内无重大以上交通责任事故记录，无任何违法犯罪记录</w:t>
      </w:r>
      <w:r>
        <w:rPr>
          <w:rFonts w:hint="default" w:ascii="仿宋" w:hAnsi="仿宋" w:eastAsia="仿宋" w:cs="仿宋"/>
          <w:kern w:val="0"/>
          <w:sz w:val="28"/>
          <w:szCs w:val="28"/>
          <w:highlight w:val="none"/>
          <w:shd w:val="clear" w:color="auto" w:fill="FFFFFF"/>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（4）身体健康，原则上年龄不超过45周岁。</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（5）后期根据科室发展需要，新增用人需求时会提前30日向中标单位提出用人申请。新增待遇参考参照当年在岗司机平均</w:t>
      </w:r>
      <w:r>
        <w:rPr>
          <w:rFonts w:hint="eastAsia" w:ascii="仿宋" w:hAnsi="仿宋" w:eastAsia="仿宋" w:cs="仿宋"/>
          <w:kern w:val="0"/>
          <w:sz w:val="28"/>
          <w:szCs w:val="28"/>
          <w:shd w:val="clear" w:color="auto" w:fill="FFFFFF"/>
          <w:lang w:val="en-US" w:eastAsia="zh-CN"/>
        </w:rPr>
        <w:t>水平。</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（6）新增人员须认同我方提供的目前正在执行的绩效分配方案和奖惩办法。</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（二）合同期限及金额</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color w:val="auto"/>
          <w:kern w:val="0"/>
          <w:sz w:val="28"/>
          <w:szCs w:val="28"/>
          <w:highlight w:val="none"/>
          <w:shd w:val="clear" w:color="auto" w:fill="FFFFFF"/>
          <w:lang w:val="en-US" w:eastAsia="zh-CN"/>
        </w:rPr>
      </w:pPr>
      <w:r>
        <w:rPr>
          <w:rFonts w:hint="eastAsia" w:ascii="仿宋" w:hAnsi="仿宋" w:eastAsia="仿宋" w:cs="仿宋"/>
          <w:color w:val="auto"/>
          <w:kern w:val="0"/>
          <w:sz w:val="28"/>
          <w:szCs w:val="28"/>
          <w:highlight w:val="none"/>
          <w:shd w:val="clear" w:color="auto" w:fill="FFFFFF"/>
          <w:lang w:val="en-US" w:eastAsia="zh-CN"/>
        </w:rPr>
        <w:t>合同期限共30个月，总预算为285万元（贰佰捌拾伍万元整）。</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（三）安全管理</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1.救护车驾驶员在岗履行工作职责期间，发生自身的人身伤害、伤亡，均由中标单位负责处理并承担经济和道义上的责任，采购单位不承担任何责任。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2.中标单位违反国家相关法规，与聘用人员发生纠纷，均由中标单位负责调解与处理，采购单位不承担责任。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shd w:val="clear" w:color="auto" w:fill="FFFFFF"/>
          <w:lang w:val="en-US" w:eastAsia="zh-CN"/>
        </w:rPr>
        <w:t>3.中标单位在救护车驾驶员服务中违反国家相关法规或者行业规范，因过造成他人人身</w:t>
      </w:r>
      <w:r>
        <w:rPr>
          <w:rFonts w:hint="eastAsia" w:ascii="仿宋" w:hAnsi="仿宋" w:eastAsia="仿宋" w:cs="仿宋"/>
          <w:kern w:val="0"/>
          <w:sz w:val="28"/>
          <w:szCs w:val="28"/>
          <w:highlight w:val="none"/>
          <w:shd w:val="clear" w:color="auto" w:fill="FFFFFF"/>
          <w:lang w:val="en-US" w:eastAsia="zh-CN"/>
        </w:rPr>
        <w:t>伤亡的，均由中标单位负责处理并承担经济和道义上的责任，采购单位不承担任何责任。</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default"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4.鉴于救护车驾驶员同医护人员一起共同担负着救死扶伤的重要使命，责任重大。对各种原因不能够胜任救护车驾驶员主要工作职责的人员，使用方有权及时向中标方提出更换人员申请，中标方应当在收到书面申请之日起15个工作日内提供合格人员到岗。</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shd w:val="clear" w:color="auto" w:fill="FFFFFF"/>
          <w:lang w:val="en-US" w:eastAsia="zh-CN"/>
        </w:rPr>
      </w:pPr>
      <w:r>
        <w:rPr>
          <w:rFonts w:hint="eastAsia" w:ascii="仿宋" w:hAnsi="仿宋" w:eastAsia="仿宋" w:cs="仿宋"/>
          <w:kern w:val="0"/>
          <w:sz w:val="28"/>
          <w:szCs w:val="28"/>
          <w:shd w:val="clear" w:color="auto" w:fill="FFFFFF"/>
          <w:lang w:val="en-US" w:eastAsia="zh-CN"/>
        </w:rPr>
        <w:t>（四）款项支付</w:t>
      </w:r>
    </w:p>
    <w:p>
      <w:pPr>
        <w:keepNext w:val="0"/>
        <w:keepLines w:val="0"/>
        <w:pageBreakBefore w:val="0"/>
        <w:widowControl/>
        <w:shd w:val="clear" w:color="auto" w:fill="FFFFFF"/>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kern w:val="0"/>
          <w:sz w:val="28"/>
          <w:szCs w:val="28"/>
          <w:highlight w:val="none"/>
          <w:shd w:val="clear" w:color="auto" w:fill="FFFFFF"/>
          <w:lang w:val="en-US" w:eastAsia="zh-CN"/>
        </w:rPr>
      </w:pPr>
      <w:r>
        <w:rPr>
          <w:rFonts w:hint="eastAsia" w:ascii="仿宋" w:hAnsi="仿宋" w:eastAsia="仿宋" w:cs="仿宋"/>
          <w:kern w:val="0"/>
          <w:sz w:val="28"/>
          <w:szCs w:val="28"/>
          <w:highlight w:val="none"/>
          <w:shd w:val="clear" w:color="auto" w:fill="FFFFFF"/>
          <w:lang w:val="en-US" w:eastAsia="zh-CN"/>
        </w:rPr>
        <w:t>每季度付款一次，付款前，甲方对乙方阶段服务情况进行评分，并根据实际评分情况测算出应当支付的服务费数额。双方确认无误后，乙方开具相应金额的服务费增值税普通发票，甲方收到相应票据后在30日内支付上一季度款项。</w:t>
      </w:r>
    </w:p>
    <w:p>
      <w:pPr>
        <w:rPr>
          <w:rFonts w:hint="eastAsia" w:ascii="仿宋" w:hAnsi="仿宋" w:eastAsia="仿宋" w:cs="仿宋"/>
          <w:b/>
          <w:bCs w:val="0"/>
          <w:sz w:val="28"/>
          <w:szCs w:val="28"/>
          <w:highlight w:val="none"/>
        </w:rPr>
      </w:pPr>
      <w:bookmarkStart w:id="261" w:name="_Toc23109"/>
      <w:bookmarkStart w:id="262" w:name="_Toc15105"/>
      <w:r>
        <w:rPr>
          <w:rFonts w:hint="eastAsia" w:ascii="仿宋" w:hAnsi="仿宋" w:eastAsia="仿宋" w:cs="仿宋"/>
          <w:b/>
          <w:bCs w:val="0"/>
          <w:sz w:val="28"/>
          <w:szCs w:val="28"/>
          <w:highlight w:val="none"/>
        </w:rPr>
        <w:br w:type="page"/>
      </w:r>
    </w:p>
    <w:p>
      <w:pPr>
        <w:rPr>
          <w:rFonts w:hint="eastAsia" w:ascii="仿宋" w:hAnsi="仿宋" w:eastAsia="仿宋" w:cs="仿宋"/>
          <w:b/>
          <w:bCs w:val="0"/>
          <w:sz w:val="28"/>
          <w:szCs w:val="28"/>
          <w:highlight w:val="none"/>
        </w:rPr>
      </w:pPr>
    </w:p>
    <w:p>
      <w:pPr>
        <w:pageBreakBefore w:val="0"/>
        <w:kinsoku/>
        <w:overflowPunct/>
        <w:topLinePunct w:val="0"/>
        <w:bidi w:val="0"/>
        <w:snapToGrid/>
        <w:spacing w:line="360" w:lineRule="auto"/>
        <w:jc w:val="center"/>
        <w:outlineLvl w:val="0"/>
        <w:rPr>
          <w:rFonts w:hint="eastAsia" w:ascii="仿宋" w:hAnsi="仿宋" w:eastAsia="仿宋" w:cs="仿宋"/>
          <w:b/>
          <w:bCs w:val="0"/>
          <w:sz w:val="28"/>
          <w:szCs w:val="28"/>
          <w:highlight w:val="none"/>
        </w:rPr>
      </w:pPr>
      <w:bookmarkStart w:id="263" w:name="_Toc31555"/>
      <w:r>
        <w:rPr>
          <w:rFonts w:hint="eastAsia" w:ascii="仿宋" w:hAnsi="仿宋" w:eastAsia="仿宋" w:cs="仿宋"/>
          <w:b/>
          <w:bCs w:val="0"/>
          <w:sz w:val="28"/>
          <w:szCs w:val="28"/>
          <w:highlight w:val="none"/>
        </w:rPr>
        <w:t>第六部分  附件</w:t>
      </w:r>
      <w:bookmarkEnd w:id="256"/>
      <w:bookmarkEnd w:id="257"/>
      <w:bookmarkEnd w:id="261"/>
      <w:bookmarkEnd w:id="262"/>
      <w:bookmarkEnd w:id="263"/>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264" w:name="_Toc356490394"/>
      <w:bookmarkStart w:id="265" w:name="_Toc1537"/>
      <w:bookmarkStart w:id="266" w:name="_Toc29145"/>
      <w:bookmarkStart w:id="267" w:name="_Toc356491342"/>
      <w:bookmarkStart w:id="268" w:name="_Toc13636"/>
      <w:r>
        <w:rPr>
          <w:rFonts w:hint="eastAsia" w:ascii="仿宋" w:hAnsi="仿宋" w:eastAsia="仿宋" w:cs="仿宋"/>
          <w:sz w:val="28"/>
          <w:szCs w:val="28"/>
          <w:highlight w:val="none"/>
        </w:rPr>
        <w:t>附件一：</w:t>
      </w:r>
      <w:r>
        <w:rPr>
          <w:rFonts w:hint="eastAsia" w:ascii="仿宋" w:hAnsi="仿宋" w:eastAsia="仿宋" w:cs="仿宋"/>
          <w:sz w:val="28"/>
          <w:szCs w:val="28"/>
          <w:highlight w:val="none"/>
          <w:lang w:eastAsia="zh-CN"/>
        </w:rPr>
        <w:t>投标</w:t>
      </w:r>
      <w:r>
        <w:rPr>
          <w:rFonts w:hint="eastAsia" w:ascii="仿宋" w:hAnsi="仿宋" w:eastAsia="仿宋" w:cs="仿宋"/>
          <w:sz w:val="28"/>
          <w:szCs w:val="28"/>
          <w:highlight w:val="none"/>
        </w:rPr>
        <w:t>函</w:t>
      </w:r>
      <w:bookmarkEnd w:id="264"/>
      <w:bookmarkEnd w:id="265"/>
      <w:bookmarkEnd w:id="266"/>
      <w:bookmarkEnd w:id="267"/>
      <w:bookmarkEnd w:id="268"/>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投</w:t>
      </w:r>
      <w:r>
        <w:rPr>
          <w:rFonts w:hint="eastAsia" w:ascii="仿宋" w:hAnsi="仿宋" w:eastAsia="仿宋" w:cs="仿宋"/>
          <w:sz w:val="28"/>
          <w:szCs w:val="28"/>
          <w:highlight w:val="none"/>
          <w:lang w:val="en-US" w:eastAsia="zh-CN"/>
        </w:rPr>
        <w:t xml:space="preserve"> </w:t>
      </w:r>
      <w:r>
        <w:rPr>
          <w:rFonts w:hint="eastAsia" w:ascii="仿宋" w:hAnsi="仿宋" w:eastAsia="仿宋" w:cs="仿宋"/>
          <w:sz w:val="28"/>
          <w:szCs w:val="28"/>
          <w:highlight w:val="none"/>
          <w:lang w:eastAsia="zh-CN"/>
        </w:rPr>
        <w:t>标</w:t>
      </w:r>
      <w:r>
        <w:rPr>
          <w:rFonts w:hint="eastAsia" w:ascii="仿宋" w:hAnsi="仿宋" w:eastAsia="仿宋" w:cs="仿宋"/>
          <w:sz w:val="28"/>
          <w:szCs w:val="28"/>
          <w:highlight w:val="none"/>
        </w:rPr>
        <w:t xml:space="preserve"> 函</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rPr>
          <w:rFonts w:hint="eastAsia" w:ascii="仿宋" w:hAnsi="仿宋" w:eastAsia="仿宋" w:cs="仿宋"/>
          <w:sz w:val="28"/>
          <w:szCs w:val="28"/>
          <w:highlight w:val="none"/>
        </w:rPr>
      </w:pPr>
      <w:r>
        <w:rPr>
          <w:rFonts w:hint="eastAsia" w:ascii="仿宋" w:hAnsi="仿宋" w:eastAsia="仿宋" w:cs="仿宋"/>
          <w:sz w:val="28"/>
          <w:szCs w:val="28"/>
          <w:highlight w:val="none"/>
        </w:rPr>
        <w:t>山东盛和招标代理有限公司：</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经研究，我们决定参加编号为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的采购项目并报价。为此，我方郑重声明以下诸点，并负法律责任。</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1、我方提交的投标文件，正本一份，副本</w:t>
      </w:r>
      <w:r>
        <w:rPr>
          <w:rFonts w:hint="eastAsia" w:ascii="仿宋" w:hAnsi="仿宋" w:eastAsia="仿宋" w:cs="仿宋"/>
          <w:sz w:val="28"/>
          <w:szCs w:val="28"/>
          <w:highlight w:val="none"/>
          <w:lang w:val="en-US" w:eastAsia="zh-CN"/>
        </w:rPr>
        <w:t>四</w:t>
      </w:r>
      <w:r>
        <w:rPr>
          <w:rFonts w:hint="eastAsia" w:ascii="仿宋" w:hAnsi="仿宋" w:eastAsia="仿宋" w:cs="仿宋"/>
          <w:sz w:val="28"/>
          <w:szCs w:val="28"/>
          <w:highlight w:val="none"/>
        </w:rPr>
        <w:t>份。</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2、如果我方的投标文件被接受，我们将履行招标文件中规定的每一项要求，并按我方投标文件中的承诺按期、保质、保量完成项目的实施。</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3、我们认可本次招标文件中评审委员会选择入围投标人及中标人的方式和权利。</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4、我们承诺，投标文件不存在复制、粘贴招标文件主要规格技术参数的情况。</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5、我方已详细检查所有投标文件、附件以及所提供的参考文件，有模糊和误解产生的一切后果，由我方自负。</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6、投标文件在公开报价后</w:t>
      </w:r>
      <w:r>
        <w:rPr>
          <w:rFonts w:hint="eastAsia" w:ascii="仿宋" w:hAnsi="仿宋" w:eastAsia="仿宋" w:cs="仿宋"/>
          <w:sz w:val="28"/>
          <w:szCs w:val="28"/>
          <w:highlight w:val="none"/>
          <w:lang w:val="en-US" w:eastAsia="zh-CN"/>
        </w:rPr>
        <w:t>90</w:t>
      </w:r>
      <w:r>
        <w:rPr>
          <w:rFonts w:hint="eastAsia" w:ascii="仿宋" w:hAnsi="仿宋" w:eastAsia="仿宋" w:cs="仿宋"/>
          <w:sz w:val="28"/>
          <w:szCs w:val="28"/>
          <w:highlight w:val="none"/>
        </w:rPr>
        <w:t>日内有效。</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7、我们同意按照招标文件的要求，提供与递交投标文件有关的数据和资料。</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8、我方愿按《中华人民共和国</w:t>
      </w:r>
      <w:r>
        <w:rPr>
          <w:rFonts w:hint="eastAsia" w:ascii="仿宋" w:hAnsi="仿宋" w:eastAsia="仿宋" w:cs="仿宋"/>
          <w:sz w:val="28"/>
          <w:szCs w:val="28"/>
          <w:highlight w:val="none"/>
          <w:lang w:eastAsia="zh-CN"/>
        </w:rPr>
        <w:t>民法典</w:t>
      </w:r>
      <w:r>
        <w:rPr>
          <w:rFonts w:hint="eastAsia" w:ascii="仿宋" w:hAnsi="仿宋" w:eastAsia="仿宋" w:cs="仿宋"/>
          <w:sz w:val="28"/>
          <w:szCs w:val="28"/>
          <w:highlight w:val="none"/>
        </w:rPr>
        <w:t>》履行自己的全部责任。</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邮政编码：</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投标人全称（公章）：</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left="561" w:firstLine="560" w:firstLineChars="20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法定代表人（签字）：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560"/>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69" w:name="_Toc323129568"/>
      <w:bookmarkStart w:id="270" w:name="_Toc323130135"/>
      <w:bookmarkStart w:id="271" w:name="_Toc325620729"/>
      <w:bookmarkStart w:id="272" w:name="_Toc356491343"/>
      <w:bookmarkStart w:id="273" w:name="_Toc19377"/>
      <w:bookmarkStart w:id="274" w:name="_Toc7221"/>
      <w:bookmarkStart w:id="275" w:name="_Toc15128"/>
      <w:r>
        <w:rPr>
          <w:rFonts w:hint="eastAsia" w:ascii="仿宋" w:hAnsi="仿宋" w:eastAsia="仿宋" w:cs="仿宋"/>
          <w:sz w:val="28"/>
          <w:szCs w:val="28"/>
          <w:highlight w:val="none"/>
        </w:rPr>
        <w:t>附件二</w:t>
      </w:r>
      <w:bookmarkEnd w:id="269"/>
      <w:bookmarkEnd w:id="270"/>
      <w:r>
        <w:rPr>
          <w:rFonts w:hint="eastAsia" w:ascii="仿宋" w:hAnsi="仿宋" w:eastAsia="仿宋" w:cs="仿宋"/>
          <w:sz w:val="28"/>
          <w:szCs w:val="28"/>
          <w:highlight w:val="none"/>
        </w:rPr>
        <w:t>：法定代表人授权委托书</w:t>
      </w:r>
      <w:bookmarkEnd w:id="271"/>
      <w:bookmarkEnd w:id="272"/>
      <w:bookmarkEnd w:id="273"/>
      <w:bookmarkEnd w:id="274"/>
      <w:bookmarkEnd w:id="27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法定代表人授权委托书</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p>
    <w:p>
      <w:pPr>
        <w:pStyle w:val="13"/>
        <w:pageBreakBefore w:val="0"/>
        <w:tabs>
          <w:tab w:val="left" w:pos="382"/>
        </w:tabs>
        <w:kinsoku/>
        <w:overflowPunct/>
        <w:topLinePunct w:val="0"/>
        <w:bidi w:val="0"/>
        <w:snapToGrid/>
        <w:spacing w:line="360" w:lineRule="auto"/>
        <w:ind w:left="252" w:leftChars="90" w:right="284"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（投标人名称）法定代表人</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 xml:space="preserve">，现授权委托 </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（单位名称）的</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姓名、职务）为我公司全权代理人，以本公司的名义参加山东盛和招标代理有限公司组织的本次招标项目，全权处理招标过程有关的一切事务。授权代理人在本项目执行过程中所签署的一切文件，我均予以承认。</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280" w:firstLineChars="1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sz w:val="28"/>
          <w:szCs w:val="28"/>
          <w:highlight w:val="none"/>
        </w:rPr>
      </w:pPr>
      <w:r>
        <w:rPr>
          <w:rFonts w:hint="eastAsia" w:ascii="仿宋" w:hAnsi="仿宋" w:eastAsia="仿宋" w:cs="仿宋"/>
          <w:sz w:val="28"/>
          <w:szCs w:val="28"/>
          <w:highlight w:val="none"/>
        </w:rPr>
        <w:t>特此委托。</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left"/>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695"/>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（附授权代理人身份证明复印件）</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全权代表姓名：     性别：     年龄： </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570"/>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单位：             部门：     职务</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法定代表人（签字</w:t>
      </w:r>
      <w:r>
        <w:rPr>
          <w:rFonts w:hint="eastAsia" w:ascii="仿宋" w:hAnsi="仿宋" w:eastAsia="仿宋" w:cs="仿宋"/>
          <w:bCs w:val="0"/>
          <w:sz w:val="28"/>
          <w:szCs w:val="28"/>
          <w:highlight w:val="none"/>
          <w:lang w:val="en-US" w:eastAsia="zh-CN"/>
        </w:rPr>
        <w:t>或盖章</w:t>
      </w:r>
      <w:r>
        <w:rPr>
          <w:rFonts w:hint="eastAsia" w:ascii="仿宋" w:hAnsi="仿宋" w:eastAsia="仿宋" w:cs="仿宋"/>
          <w:bCs w:val="0"/>
          <w:sz w:val="28"/>
          <w:szCs w:val="28"/>
          <w:highlight w:val="none"/>
        </w:rPr>
        <w:t>）：</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9"/>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日期：   年   月  日</w:t>
      </w:r>
      <w:bookmarkStart w:id="276" w:name="_Toc11320305"/>
      <w:bookmarkStart w:id="277" w:name="_Toc323130136"/>
      <w:bookmarkStart w:id="278" w:name="_Toc323129569"/>
      <w:bookmarkStart w:id="279" w:name="_Toc356491344"/>
      <w:bookmarkStart w:id="280" w:name="_Toc325620730"/>
      <w:bookmarkStart w:id="281" w:name="_Toc35649039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outlineLvl w:val="1"/>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282" w:name="_Toc22936"/>
      <w:bookmarkStart w:id="283" w:name="_Toc20618"/>
      <w:r>
        <w:rPr>
          <w:rFonts w:hint="eastAsia" w:ascii="仿宋" w:hAnsi="仿宋" w:eastAsia="仿宋" w:cs="仿宋"/>
          <w:b/>
          <w:bCs/>
          <w:kern w:val="0"/>
          <w:sz w:val="28"/>
          <w:szCs w:val="28"/>
          <w:highlight w:val="none"/>
          <w:lang w:val="en-US" w:eastAsia="zh-CN" w:bidi="ar-SA"/>
        </w:rPr>
        <w:t>附件三：在经营活动中没有重大违法记录的书面声明</w:t>
      </w:r>
      <w:bookmarkEnd w:id="276"/>
      <w:bookmarkEnd w:id="282"/>
      <w:bookmarkEnd w:id="283"/>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p>
    <w:p>
      <w:pPr>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在经营活动中没有重大违法记录的书面声明</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我方在参加</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（项目名称）采购活动前3年内，我方被公开披露或查处的违法违规行为有：</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，但在经营活动中没有重大违法记录（重大违法记录指</w:t>
      </w:r>
      <w:r>
        <w:rPr>
          <w:rFonts w:hint="eastAsia" w:ascii="仿宋" w:hAnsi="仿宋" w:eastAsia="仿宋" w:cs="仿宋"/>
          <w:kern w:val="0"/>
          <w:sz w:val="28"/>
          <w:szCs w:val="28"/>
          <w:highlight w:val="none"/>
        </w:rPr>
        <w:t>投标人因违法经营受到刑事处罚或者责令停产停业、吊销许可证或者执照、较大数额罚款等行政处罚）</w:t>
      </w:r>
      <w:r>
        <w:rPr>
          <w:rFonts w:hint="eastAsia" w:ascii="仿宋" w:hAnsi="仿宋" w:eastAsia="仿宋" w:cs="仿宋"/>
          <w:sz w:val="28"/>
          <w:szCs w:val="28"/>
          <w:highlight w:val="none"/>
        </w:rPr>
        <w:t>。</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投标人（盖章）：</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法定代表人或授权代理人（签字）：</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Cs w:val="0"/>
          <w:sz w:val="28"/>
          <w:szCs w:val="28"/>
          <w:highlight w:val="none"/>
        </w:rPr>
        <w:t>日期：   年   月  日</w:t>
      </w: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ind w:firstLine="560" w:firstLineChars="200"/>
        <w:rPr>
          <w:rFonts w:hint="eastAsia" w:ascii="仿宋" w:hAnsi="仿宋" w:eastAsia="仿宋" w:cs="仿宋"/>
          <w:sz w:val="28"/>
          <w:szCs w:val="28"/>
          <w:highlight w:val="none"/>
        </w:rPr>
      </w:pPr>
    </w:p>
    <w:p>
      <w:pPr>
        <w:pageBreakBefore w:val="0"/>
        <w:kinsoku/>
        <w:overflowPunct/>
        <w:topLinePunct w:val="0"/>
        <w:bidi w:val="0"/>
        <w:snapToGrid/>
        <w:spacing w:line="360" w:lineRule="auto"/>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备注：投标人没有被公开披露或查处违法违规行为的，注明“无”即可。</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b w:val="0"/>
          <w:bCs w:val="0"/>
          <w:kern w:val="2"/>
          <w:sz w:val="28"/>
          <w:szCs w:val="28"/>
          <w:highlight w:val="none"/>
        </w:rPr>
        <w:br w:type="page"/>
      </w:r>
      <w:bookmarkStart w:id="284" w:name="_Toc3372"/>
      <w:bookmarkStart w:id="285" w:name="_Toc5142"/>
      <w:bookmarkStart w:id="286" w:name="_Toc9736"/>
      <w:r>
        <w:rPr>
          <w:rFonts w:hint="eastAsia" w:ascii="仿宋" w:hAnsi="仿宋" w:eastAsia="仿宋" w:cs="仿宋"/>
          <w:sz w:val="28"/>
          <w:szCs w:val="28"/>
          <w:highlight w:val="none"/>
        </w:rPr>
        <w:t>附件</w:t>
      </w:r>
      <w:bookmarkEnd w:id="277"/>
      <w:bookmarkEnd w:id="278"/>
      <w:r>
        <w:rPr>
          <w:rFonts w:hint="eastAsia" w:ascii="仿宋" w:hAnsi="仿宋" w:eastAsia="仿宋" w:cs="仿宋"/>
          <w:sz w:val="28"/>
          <w:szCs w:val="28"/>
          <w:highlight w:val="none"/>
        </w:rPr>
        <w:t>四：报  价 一 览 表</w:t>
      </w:r>
      <w:bookmarkEnd w:id="279"/>
      <w:bookmarkEnd w:id="280"/>
      <w:bookmarkEnd w:id="281"/>
      <w:bookmarkEnd w:id="284"/>
      <w:bookmarkEnd w:id="285"/>
      <w:bookmarkEnd w:id="286"/>
    </w:p>
    <w:p>
      <w:pPr>
        <w:pStyle w:val="13"/>
        <w:pageBreakBefore w:val="0"/>
        <w:kinsoku/>
        <w:overflowPunct/>
        <w:topLinePunct w:val="0"/>
        <w:bidi w:val="0"/>
        <w:snapToGrid/>
        <w:spacing w:line="360" w:lineRule="auto"/>
        <w:jc w:val="center"/>
        <w:rPr>
          <w:rFonts w:hint="eastAsia" w:ascii="仿宋" w:hAnsi="仿宋" w:eastAsia="仿宋" w:cs="仿宋"/>
          <w:b/>
          <w:sz w:val="28"/>
          <w:szCs w:val="28"/>
          <w:highlight w:val="none"/>
        </w:rPr>
      </w:pPr>
    </w:p>
    <w:p>
      <w:pPr>
        <w:pStyle w:val="13"/>
        <w:pageBreakBefore w:val="0"/>
        <w:kinsoku/>
        <w:overflowPunct/>
        <w:topLinePunct w:val="0"/>
        <w:bidi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报  价 一 览 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   法定代表人或授权代理人签字：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w:t>
      </w:r>
    </w:p>
    <w:tbl>
      <w:tblPr>
        <w:tblStyle w:val="35"/>
        <w:tblW w:w="8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0"/>
        <w:gridCol w:w="1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7" w:hRule="atLeast"/>
          <w:jc w:val="center"/>
        </w:trPr>
        <w:tc>
          <w:tcPr>
            <w:tcW w:w="6880"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left="420"/>
              <w:jc w:val="center"/>
              <w:rPr>
                <w:rFonts w:hint="eastAsia" w:ascii="仿宋" w:hAnsi="仿宋" w:eastAsia="仿宋" w:cs="仿宋"/>
                <w:bCs w:val="0"/>
                <w:sz w:val="28"/>
                <w:szCs w:val="28"/>
                <w:highlight w:val="none"/>
                <w:lang w:eastAsia="zh-CN"/>
              </w:rPr>
            </w:pPr>
            <w:r>
              <w:rPr>
                <w:rFonts w:hint="eastAsia" w:ascii="仿宋" w:hAnsi="仿宋" w:eastAsia="仿宋" w:cs="仿宋"/>
                <w:bCs w:val="0"/>
                <w:sz w:val="28"/>
                <w:szCs w:val="28"/>
                <w:highlight w:val="none"/>
                <w:lang w:val="en-US" w:eastAsia="zh-CN"/>
              </w:rPr>
              <w:t>投标报价</w:t>
            </w:r>
            <w:r>
              <w:rPr>
                <w:rFonts w:hint="eastAsia" w:ascii="仿宋" w:hAnsi="仿宋" w:eastAsia="仿宋" w:cs="仿宋"/>
                <w:bCs w:val="0"/>
                <w:sz w:val="28"/>
                <w:szCs w:val="28"/>
                <w:highlight w:val="none"/>
                <w:lang w:eastAsia="zh-CN"/>
              </w:rPr>
              <w:t>（</w:t>
            </w:r>
            <w:r>
              <w:rPr>
                <w:rFonts w:hint="eastAsia" w:ascii="仿宋" w:hAnsi="仿宋" w:eastAsia="仿宋" w:cs="仿宋"/>
                <w:bCs w:val="0"/>
                <w:sz w:val="28"/>
                <w:szCs w:val="28"/>
                <w:highlight w:val="none"/>
                <w:lang w:val="en-US" w:eastAsia="zh-CN"/>
              </w:rPr>
              <w:t>元/30个月</w:t>
            </w:r>
            <w:r>
              <w:rPr>
                <w:rFonts w:hint="eastAsia" w:ascii="仿宋" w:hAnsi="仿宋" w:eastAsia="仿宋" w:cs="仿宋"/>
                <w:bCs w:val="0"/>
                <w:sz w:val="28"/>
                <w:szCs w:val="28"/>
                <w:highlight w:val="none"/>
                <w:lang w:eastAsia="zh-CN"/>
              </w:rPr>
              <w:t>）</w:t>
            </w:r>
          </w:p>
        </w:tc>
        <w:tc>
          <w:tcPr>
            <w:tcW w:w="1859" w:type="dxa"/>
            <w:tcBorders>
              <w:bottom w:val="single" w:color="auto" w:sz="4" w:space="0"/>
            </w:tcBorders>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140" w:firstLineChars="50"/>
              <w:jc w:val="center"/>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3" w:hRule="exact"/>
          <w:jc w:val="center"/>
        </w:trPr>
        <w:tc>
          <w:tcPr>
            <w:tcW w:w="6880"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小写：</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大写：</w:t>
            </w:r>
          </w:p>
        </w:tc>
        <w:tc>
          <w:tcPr>
            <w:tcW w:w="1859" w:type="dxa"/>
            <w:vAlign w:val="center"/>
          </w:tcPr>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840" w:firstLineChars="300"/>
              <w:rPr>
                <w:rFonts w:hint="eastAsia" w:ascii="仿宋" w:hAnsi="仿宋" w:eastAsia="仿宋" w:cs="仿宋"/>
                <w:bCs w:val="0"/>
                <w:sz w:val="28"/>
                <w:szCs w:val="28"/>
                <w:highlight w:val="none"/>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rPr>
          <w:rFonts w:hint="eastAsia" w:ascii="仿宋" w:hAnsi="仿宋" w:eastAsia="仿宋" w:cs="仿宋"/>
          <w:b/>
          <w:bCs w:val="0"/>
          <w:sz w:val="28"/>
          <w:szCs w:val="28"/>
          <w:highlight w:val="none"/>
        </w:rPr>
      </w:pPr>
      <w:r>
        <w:rPr>
          <w:rFonts w:hint="eastAsia" w:ascii="仿宋" w:hAnsi="仿宋" w:eastAsia="仿宋" w:cs="仿宋"/>
          <w:b/>
          <w:bCs w:val="0"/>
          <w:sz w:val="28"/>
          <w:szCs w:val="28"/>
          <w:highlight w:val="none"/>
        </w:rPr>
        <w:t>注：</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1.投标人必须另外单独密封一套 “报价一览表”，“报价一览表”要求每包报价单独打印一份本表并盖章（提供原件），密封到信封里，现场与投标文件同时提交。在封面加盖单位公章并注明报价一览表、项目名称、所报、投标人名称。</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lang w:val="en-US" w:eastAsia="zh-CN"/>
        </w:rPr>
        <w:t>2</w:t>
      </w:r>
      <w:r>
        <w:rPr>
          <w:rFonts w:hint="eastAsia" w:ascii="仿宋" w:hAnsi="仿宋" w:eastAsia="仿宋" w:cs="仿宋"/>
          <w:bCs w:val="0"/>
          <w:sz w:val="28"/>
          <w:szCs w:val="28"/>
          <w:highlight w:val="none"/>
        </w:rPr>
        <w:t>.投标人须按以上格式填写，不得删除或增加内容，否则评审委员会有权视为无效报价。</w:t>
      </w:r>
    </w:p>
    <w:p>
      <w:pPr>
        <w:keepNext w:val="0"/>
        <w:keepLines w:val="0"/>
        <w:pageBreakBefore w:val="0"/>
        <w:widowControl w:val="0"/>
        <w:tabs>
          <w:tab w:val="left" w:pos="0"/>
          <w:tab w:val="left" w:pos="720"/>
          <w:tab w:val="left" w:pos="1440"/>
          <w:tab w:val="left" w:pos="2160"/>
          <w:tab w:val="left" w:pos="2880"/>
          <w:tab w:val="left" w:pos="3600"/>
          <w:tab w:val="left" w:pos="4320"/>
        </w:tabs>
        <w:kinsoku/>
        <w:wordWrap/>
        <w:overflowPunct/>
        <w:topLinePunct w:val="0"/>
        <w:autoSpaceDE w:val="0"/>
        <w:autoSpaceDN w:val="0"/>
        <w:bidi w:val="0"/>
        <w:adjustRightInd w:val="0"/>
        <w:snapToGrid/>
        <w:spacing w:line="360" w:lineRule="auto"/>
        <w:ind w:firstLine="560" w:firstLineChars="200"/>
        <w:jc w:val="left"/>
        <w:textAlignment w:val="auto"/>
        <w:rPr>
          <w:rFonts w:hint="default" w:ascii="仿宋" w:hAnsi="仿宋" w:eastAsia="仿宋" w:cs="仿宋"/>
          <w:bCs w:val="0"/>
          <w:sz w:val="28"/>
          <w:szCs w:val="28"/>
          <w:highlight w:val="none"/>
          <w:lang w:val="en-US" w:eastAsia="zh-CN"/>
        </w:rPr>
      </w:pPr>
      <w:r>
        <w:rPr>
          <w:rFonts w:hint="eastAsia" w:ascii="仿宋" w:hAnsi="仿宋" w:eastAsia="仿宋" w:cs="仿宋"/>
          <w:bCs w:val="0"/>
          <w:sz w:val="28"/>
          <w:szCs w:val="28"/>
          <w:highlight w:val="none"/>
          <w:lang w:val="en-US" w:eastAsia="zh-CN"/>
        </w:rPr>
        <w:t>3.根据现有要求人员报投标总价，实际总金额根据实际人员数量进行据实结算。</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ind w:firstLine="645"/>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pStyle w:val="3"/>
        <w:pageBreakBefore w:val="0"/>
        <w:kinsoku/>
        <w:overflowPunct/>
        <w:topLinePunct w:val="0"/>
        <w:bidi w:val="0"/>
        <w:snapToGrid/>
        <w:spacing w:line="360" w:lineRule="auto"/>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br w:type="page"/>
      </w:r>
      <w:bookmarkStart w:id="287" w:name="_Toc323130137"/>
      <w:bookmarkStart w:id="288" w:name="_Toc323129570"/>
      <w:bookmarkStart w:id="289" w:name="_Toc356490396"/>
      <w:bookmarkStart w:id="290" w:name="_Toc5119"/>
      <w:bookmarkStart w:id="291" w:name="_Toc325620731"/>
      <w:bookmarkStart w:id="292" w:name="_Toc356491345"/>
      <w:bookmarkStart w:id="293" w:name="_Toc24894"/>
      <w:bookmarkStart w:id="294" w:name="_Toc30587"/>
      <w:r>
        <w:rPr>
          <w:rFonts w:hint="eastAsia" w:ascii="仿宋" w:hAnsi="仿宋" w:eastAsia="仿宋" w:cs="仿宋"/>
          <w:sz w:val="28"/>
          <w:szCs w:val="28"/>
          <w:highlight w:val="none"/>
        </w:rPr>
        <w:t>附件</w:t>
      </w:r>
      <w:bookmarkEnd w:id="287"/>
      <w:bookmarkEnd w:id="288"/>
      <w:r>
        <w:rPr>
          <w:rFonts w:hint="eastAsia" w:ascii="仿宋" w:hAnsi="仿宋" w:eastAsia="仿宋" w:cs="仿宋"/>
          <w:sz w:val="28"/>
          <w:szCs w:val="28"/>
          <w:highlight w:val="none"/>
          <w:lang w:val="en-US" w:eastAsia="zh-CN"/>
        </w:rPr>
        <w:t>五</w:t>
      </w:r>
      <w:r>
        <w:rPr>
          <w:rFonts w:hint="eastAsia" w:ascii="仿宋" w:hAnsi="仿宋" w:eastAsia="仿宋" w:cs="仿宋"/>
          <w:sz w:val="28"/>
          <w:szCs w:val="28"/>
          <w:highlight w:val="none"/>
        </w:rPr>
        <w:t>：</w:t>
      </w:r>
      <w:bookmarkEnd w:id="289"/>
      <w:bookmarkEnd w:id="290"/>
      <w:bookmarkEnd w:id="291"/>
      <w:bookmarkEnd w:id="292"/>
      <w:bookmarkEnd w:id="293"/>
      <w:r>
        <w:rPr>
          <w:rFonts w:hint="eastAsia" w:ascii="仿宋" w:hAnsi="仿宋" w:eastAsia="仿宋" w:cs="仿宋"/>
          <w:sz w:val="28"/>
          <w:szCs w:val="28"/>
          <w:highlight w:val="none"/>
          <w:lang w:val="en-US" w:eastAsia="zh-CN"/>
        </w:rPr>
        <w:t>报价明细表</w:t>
      </w:r>
      <w:bookmarkEnd w:id="294"/>
    </w:p>
    <w:p>
      <w:pPr>
        <w:pStyle w:val="9"/>
        <w:snapToGrid w:val="0"/>
        <w:spacing w:before="0" w:after="0" w:line="420" w:lineRule="exact"/>
        <w:ind w:firstLine="480"/>
        <w:rPr>
          <w:rFonts w:hint="eastAsia" w:ascii="仿宋" w:hAnsi="仿宋" w:eastAsia="仿宋" w:cs="仿宋"/>
          <w:sz w:val="24"/>
          <w:szCs w:val="24"/>
        </w:rPr>
      </w:pPr>
      <w:r>
        <w:rPr>
          <w:rFonts w:hint="eastAsia" w:ascii="仿宋" w:hAnsi="仿宋" w:eastAsia="仿宋" w:cs="仿宋"/>
          <w:sz w:val="24"/>
          <w:szCs w:val="24"/>
        </w:rPr>
        <w:t>投标人名称（公章）：</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pStyle w:val="9"/>
        <w:snapToGrid w:val="0"/>
        <w:spacing w:before="0" w:after="0" w:line="420" w:lineRule="exact"/>
        <w:ind w:firstLine="480"/>
        <w:rPr>
          <w:rFonts w:hint="eastAsia" w:ascii="仿宋" w:hAnsi="仿宋" w:eastAsia="仿宋" w:cs="仿宋"/>
          <w:bCs/>
          <w:sz w:val="24"/>
          <w:szCs w:val="24"/>
        </w:rPr>
      </w:pPr>
      <w:r>
        <w:rPr>
          <w:rFonts w:hint="eastAsia" w:ascii="仿宋" w:hAnsi="仿宋" w:eastAsia="仿宋" w:cs="仿宋"/>
          <w:bCs/>
          <w:sz w:val="24"/>
          <w:szCs w:val="24"/>
        </w:rPr>
        <w:t>项目名称：</w:t>
      </w:r>
      <w:r>
        <w:rPr>
          <w:rFonts w:hint="eastAsia" w:ascii="仿宋" w:hAnsi="仿宋" w:eastAsia="仿宋" w:cs="仿宋"/>
          <w:bCs/>
          <w:sz w:val="24"/>
          <w:szCs w:val="24"/>
          <w:u w:val="single"/>
        </w:rPr>
        <w:t xml:space="preserve">                         </w:t>
      </w:r>
      <w:r>
        <w:rPr>
          <w:rFonts w:hint="eastAsia" w:ascii="仿宋" w:hAnsi="仿宋" w:eastAsia="仿宋" w:cs="仿宋"/>
          <w:bCs/>
          <w:sz w:val="24"/>
          <w:szCs w:val="24"/>
        </w:rPr>
        <w:t xml:space="preserve">  </w:t>
      </w:r>
    </w:p>
    <w:p>
      <w:pPr>
        <w:pStyle w:val="9"/>
        <w:snapToGrid w:val="0"/>
        <w:spacing w:before="0" w:after="0" w:line="420" w:lineRule="exact"/>
        <w:ind w:firstLine="480"/>
        <w:rPr>
          <w:rFonts w:hint="eastAsia" w:ascii="仿宋" w:hAnsi="仿宋" w:eastAsia="仿宋" w:cs="仿宋"/>
          <w:sz w:val="24"/>
          <w:szCs w:val="24"/>
        </w:rPr>
      </w:pPr>
      <w:r>
        <w:rPr>
          <w:rFonts w:hint="eastAsia" w:ascii="仿宋" w:hAnsi="仿宋" w:eastAsia="仿宋" w:cs="仿宋"/>
          <w:sz w:val="24"/>
          <w:szCs w:val="24"/>
        </w:rPr>
        <w:t>项目编号：</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pPr>
        <w:rPr>
          <w:rFonts w:hint="eastAsia"/>
        </w:rPr>
      </w:pPr>
    </w:p>
    <w:tbl>
      <w:tblPr>
        <w:tblStyle w:val="35"/>
        <w:tblW w:w="9892" w:type="dxa"/>
        <w:jc w:val="center"/>
        <w:tblLayout w:type="fixed"/>
        <w:tblCellMar>
          <w:top w:w="0" w:type="dxa"/>
          <w:left w:w="0" w:type="dxa"/>
          <w:bottom w:w="0" w:type="dxa"/>
          <w:right w:w="0" w:type="dxa"/>
        </w:tblCellMar>
      </w:tblPr>
      <w:tblGrid>
        <w:gridCol w:w="474"/>
        <w:gridCol w:w="593"/>
        <w:gridCol w:w="667"/>
        <w:gridCol w:w="1001"/>
        <w:gridCol w:w="1247"/>
        <w:gridCol w:w="1102"/>
        <w:gridCol w:w="874"/>
        <w:gridCol w:w="907"/>
        <w:gridCol w:w="512"/>
        <w:gridCol w:w="906"/>
        <w:gridCol w:w="956"/>
        <w:gridCol w:w="653"/>
      </w:tblGrid>
      <w:tr>
        <w:tblPrEx>
          <w:tblCellMar>
            <w:top w:w="0" w:type="dxa"/>
            <w:left w:w="0" w:type="dxa"/>
            <w:bottom w:w="0" w:type="dxa"/>
            <w:right w:w="0" w:type="dxa"/>
          </w:tblCellMar>
        </w:tblPrEx>
        <w:trPr>
          <w:trHeight w:val="1019" w:hRule="exac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84"/>
              <w:rPr>
                <w:rFonts w:hint="eastAsia" w:ascii="仿宋" w:hAnsi="仿宋" w:eastAsia="仿宋" w:cs="仿宋"/>
                <w:bCs/>
                <w:kern w:val="0"/>
                <w:position w:val="-2"/>
                <w:sz w:val="22"/>
                <w:szCs w:val="22"/>
                <w:highlight w:val="none"/>
              </w:rPr>
            </w:pPr>
            <w:r>
              <w:rPr>
                <w:rFonts w:hint="eastAsia" w:ascii="仿宋" w:hAnsi="仿宋" w:eastAsia="仿宋" w:cs="仿宋"/>
                <w:bCs/>
                <w:kern w:val="0"/>
                <w:position w:val="-2"/>
                <w:sz w:val="22"/>
                <w:szCs w:val="22"/>
                <w:highlight w:val="none"/>
              </w:rPr>
              <w:t>序号</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84"/>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岗位</w:t>
            </w: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人数</w:t>
            </w: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48"/>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工资标准</w:t>
            </w:r>
          </w:p>
          <w:p>
            <w:pPr>
              <w:autoSpaceDE w:val="0"/>
              <w:autoSpaceDN w:val="0"/>
              <w:adjustRightInd w:val="0"/>
              <w:spacing w:line="420" w:lineRule="exact"/>
              <w:ind w:right="-48"/>
              <w:rPr>
                <w:rFonts w:hint="eastAsia" w:ascii="仿宋" w:hAnsi="仿宋" w:eastAsia="仿宋" w:cs="仿宋"/>
                <w:bCs/>
                <w:kern w:val="0"/>
                <w:sz w:val="18"/>
                <w:szCs w:val="18"/>
                <w:highlight w:val="none"/>
              </w:rPr>
            </w:pPr>
            <w:r>
              <w:rPr>
                <w:rFonts w:hint="eastAsia" w:ascii="仿宋" w:hAnsi="仿宋" w:eastAsia="仿宋" w:cs="仿宋"/>
                <w:bCs/>
                <w:kern w:val="0"/>
                <w:position w:val="-2"/>
                <w:sz w:val="18"/>
                <w:szCs w:val="18"/>
                <w:highlight w:val="none"/>
              </w:rPr>
              <w:t>（元/人/月）</w:t>
            </w: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社会保险</w:t>
            </w:r>
          </w:p>
          <w:p>
            <w:pPr>
              <w:autoSpaceDE w:val="0"/>
              <w:autoSpaceDN w:val="0"/>
              <w:adjustRightInd w:val="0"/>
              <w:spacing w:line="420" w:lineRule="exact"/>
              <w:ind w:right="-20" w:firstLine="149" w:firstLineChars="83"/>
              <w:rPr>
                <w:rFonts w:hint="eastAsia" w:ascii="仿宋" w:hAnsi="仿宋" w:eastAsia="仿宋" w:cs="仿宋"/>
                <w:bCs/>
                <w:kern w:val="0"/>
                <w:sz w:val="18"/>
                <w:szCs w:val="18"/>
                <w:highlight w:val="none"/>
              </w:rPr>
            </w:pPr>
            <w:r>
              <w:rPr>
                <w:rFonts w:hint="eastAsia" w:ascii="仿宋" w:hAnsi="仿宋" w:eastAsia="仿宋" w:cs="仿宋"/>
                <w:bCs/>
                <w:kern w:val="0"/>
                <w:position w:val="-2"/>
                <w:sz w:val="18"/>
                <w:szCs w:val="18"/>
                <w:highlight w:val="none"/>
              </w:rPr>
              <w:t>（元/人/月）</w:t>
            </w:r>
          </w:p>
        </w:tc>
        <w:tc>
          <w:tcPr>
            <w:tcW w:w="1102"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1"/>
                <w:szCs w:val="21"/>
                <w:highlight w:val="none"/>
              </w:rPr>
            </w:pPr>
            <w:r>
              <w:rPr>
                <w:rFonts w:hint="eastAsia" w:ascii="仿宋" w:hAnsi="仿宋" w:eastAsia="仿宋" w:cs="仿宋"/>
                <w:bCs/>
                <w:kern w:val="0"/>
                <w:position w:val="-2"/>
                <w:sz w:val="21"/>
                <w:szCs w:val="21"/>
                <w:highlight w:val="none"/>
              </w:rPr>
              <w:t>福利费</w:t>
            </w:r>
          </w:p>
          <w:p>
            <w:pPr>
              <w:autoSpaceDE w:val="0"/>
              <w:autoSpaceDN w:val="0"/>
              <w:adjustRightInd w:val="0"/>
              <w:spacing w:line="420" w:lineRule="exact"/>
              <w:ind w:right="-20"/>
              <w:rPr>
                <w:rFonts w:hint="eastAsia" w:ascii="仿宋" w:hAnsi="仿宋" w:eastAsia="仿宋" w:cs="仿宋"/>
                <w:bCs/>
                <w:kern w:val="0"/>
                <w:sz w:val="18"/>
                <w:szCs w:val="18"/>
                <w:highlight w:val="none"/>
              </w:rPr>
            </w:pPr>
            <w:r>
              <w:rPr>
                <w:rFonts w:hint="eastAsia" w:ascii="仿宋" w:hAnsi="仿宋" w:eastAsia="仿宋" w:cs="仿宋"/>
                <w:bCs/>
                <w:kern w:val="0"/>
                <w:sz w:val="18"/>
                <w:szCs w:val="18"/>
                <w:highlight w:val="none"/>
              </w:rPr>
              <w:t>（元/人/月）</w:t>
            </w:r>
          </w:p>
        </w:tc>
        <w:tc>
          <w:tcPr>
            <w:tcW w:w="874"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18"/>
                <w:szCs w:val="18"/>
                <w:highlight w:val="none"/>
                <w:lang w:val="en-US" w:eastAsia="zh-CN"/>
              </w:rPr>
            </w:pPr>
            <w:r>
              <w:rPr>
                <w:rFonts w:hint="eastAsia" w:ascii="仿宋" w:hAnsi="仿宋" w:eastAsia="仿宋" w:cs="仿宋"/>
                <w:bCs/>
                <w:kern w:val="0"/>
                <w:sz w:val="21"/>
                <w:szCs w:val="21"/>
                <w:highlight w:val="none"/>
                <w:lang w:val="en-US" w:eastAsia="zh-CN"/>
              </w:rPr>
              <w:t>税金</w:t>
            </w:r>
            <w:r>
              <w:rPr>
                <w:rFonts w:hint="eastAsia" w:ascii="仿宋" w:hAnsi="仿宋" w:eastAsia="仿宋" w:cs="仿宋"/>
                <w:bCs/>
                <w:kern w:val="0"/>
                <w:sz w:val="18"/>
                <w:szCs w:val="18"/>
                <w:highlight w:val="none"/>
                <w:lang w:val="en-US" w:eastAsia="zh-CN"/>
              </w:rPr>
              <w:t>（元/人/月）</w:t>
            </w:r>
          </w:p>
        </w:tc>
        <w:tc>
          <w:tcPr>
            <w:tcW w:w="907"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18"/>
                <w:szCs w:val="18"/>
                <w:highlight w:val="none"/>
                <w:lang w:val="en-US" w:eastAsia="zh-CN"/>
              </w:rPr>
            </w:pPr>
            <w:r>
              <w:rPr>
                <w:rFonts w:hint="eastAsia" w:ascii="仿宋" w:hAnsi="仿宋" w:eastAsia="仿宋" w:cs="仿宋"/>
                <w:bCs/>
                <w:kern w:val="0"/>
                <w:sz w:val="21"/>
                <w:szCs w:val="21"/>
                <w:highlight w:val="none"/>
                <w:lang w:val="en-US" w:eastAsia="zh-CN"/>
              </w:rPr>
              <w:t>物料费</w:t>
            </w:r>
            <w:r>
              <w:rPr>
                <w:rFonts w:hint="eastAsia" w:ascii="仿宋" w:hAnsi="仿宋" w:eastAsia="仿宋" w:cs="仿宋"/>
                <w:bCs/>
                <w:kern w:val="0"/>
                <w:sz w:val="18"/>
                <w:szCs w:val="18"/>
                <w:highlight w:val="none"/>
                <w:lang w:val="en-US" w:eastAsia="zh-CN"/>
              </w:rPr>
              <w:t>（元/人/月）</w:t>
            </w:r>
          </w:p>
        </w:tc>
        <w:tc>
          <w:tcPr>
            <w:tcW w:w="51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jc w:val="center"/>
              <w:rPr>
                <w:rFonts w:hint="default" w:ascii="仿宋" w:hAnsi="仿宋" w:eastAsia="仿宋" w:cs="仿宋"/>
                <w:bCs/>
                <w:kern w:val="0"/>
                <w:position w:val="-2"/>
                <w:sz w:val="22"/>
                <w:szCs w:val="22"/>
                <w:highlight w:val="none"/>
                <w:lang w:val="en-US" w:eastAsia="zh-CN"/>
              </w:rPr>
            </w:pPr>
            <w:r>
              <w:rPr>
                <w:rFonts w:hint="eastAsia" w:ascii="仿宋" w:hAnsi="仿宋" w:eastAsia="仿宋" w:cs="仿宋"/>
                <w:bCs/>
                <w:kern w:val="0"/>
                <w:position w:val="-2"/>
                <w:sz w:val="22"/>
                <w:szCs w:val="22"/>
                <w:highlight w:val="none"/>
                <w:lang w:val="en-US" w:eastAsia="zh-CN"/>
              </w:rPr>
              <w:t>...</w:t>
            </w:r>
          </w:p>
        </w:tc>
        <w:tc>
          <w:tcPr>
            <w:tcW w:w="906"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right="-20"/>
              <w:jc w:val="center"/>
              <w:rPr>
                <w:rFonts w:hint="default" w:ascii="仿宋" w:hAnsi="仿宋" w:eastAsia="仿宋" w:cs="仿宋"/>
                <w:bCs/>
                <w:kern w:val="0"/>
                <w:position w:val="-2"/>
                <w:sz w:val="22"/>
                <w:szCs w:val="22"/>
                <w:highlight w:val="none"/>
                <w:lang w:val="en-US" w:eastAsia="zh-CN"/>
              </w:rPr>
            </w:pPr>
            <w:r>
              <w:rPr>
                <w:rFonts w:hint="eastAsia" w:ascii="仿宋" w:hAnsi="仿宋" w:eastAsia="仿宋" w:cs="仿宋"/>
                <w:bCs/>
                <w:kern w:val="0"/>
                <w:position w:val="-2"/>
                <w:sz w:val="22"/>
                <w:szCs w:val="22"/>
                <w:highlight w:val="none"/>
                <w:lang w:val="en-US" w:eastAsia="zh-CN"/>
              </w:rPr>
              <w:t>月数</w:t>
            </w:r>
          </w:p>
        </w:tc>
        <w:tc>
          <w:tcPr>
            <w:tcW w:w="956"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2"/>
                <w:szCs w:val="22"/>
                <w:highlight w:val="none"/>
              </w:rPr>
            </w:pPr>
            <w:r>
              <w:rPr>
                <w:rFonts w:hint="eastAsia" w:ascii="仿宋" w:hAnsi="仿宋" w:eastAsia="仿宋" w:cs="仿宋"/>
                <w:bCs/>
                <w:kern w:val="0"/>
                <w:position w:val="-2"/>
                <w:sz w:val="22"/>
                <w:szCs w:val="22"/>
                <w:highlight w:val="none"/>
              </w:rPr>
              <w:t>费用</w:t>
            </w:r>
            <w:r>
              <w:rPr>
                <w:rFonts w:hint="eastAsia" w:ascii="仿宋" w:hAnsi="仿宋" w:eastAsia="仿宋" w:cs="仿宋"/>
                <w:bCs/>
                <w:kern w:val="0"/>
                <w:position w:val="-2"/>
                <w:sz w:val="22"/>
                <w:szCs w:val="22"/>
                <w:highlight w:val="none"/>
                <w:lang w:val="en-US" w:eastAsia="zh-CN"/>
              </w:rPr>
              <w:t>合</w:t>
            </w:r>
            <w:r>
              <w:rPr>
                <w:rFonts w:hint="eastAsia" w:ascii="仿宋" w:hAnsi="仿宋" w:eastAsia="仿宋" w:cs="仿宋"/>
                <w:bCs/>
                <w:kern w:val="0"/>
                <w:position w:val="-2"/>
                <w:sz w:val="22"/>
                <w:szCs w:val="22"/>
                <w:highlight w:val="none"/>
              </w:rPr>
              <w:t>计（元）</w:t>
            </w: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2"/>
                <w:szCs w:val="22"/>
                <w:highlight w:val="none"/>
              </w:rPr>
            </w:pPr>
            <w:r>
              <w:rPr>
                <w:rFonts w:hint="eastAsia" w:ascii="仿宋" w:hAnsi="仿宋" w:eastAsia="仿宋" w:cs="仿宋"/>
                <w:bCs/>
                <w:kern w:val="0"/>
                <w:position w:val="-2"/>
                <w:sz w:val="22"/>
                <w:szCs w:val="22"/>
                <w:highlight w:val="none"/>
              </w:rPr>
              <w:t>备注</w:t>
            </w:r>
          </w:p>
        </w:tc>
      </w:tr>
      <w:tr>
        <w:tblPrEx>
          <w:tblCellMar>
            <w:top w:w="0" w:type="dxa"/>
            <w:left w:w="0" w:type="dxa"/>
            <w:bottom w:w="0" w:type="dxa"/>
            <w:right w:w="0" w:type="dxa"/>
          </w:tblCellMar>
        </w:tblPrEx>
        <w:trPr>
          <w:trHeight w:val="531" w:hRule="exac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9" w:right="-20" w:firstLine="480"/>
              <w:rPr>
                <w:rFonts w:hint="eastAsia" w:ascii="仿宋" w:hAnsi="仿宋" w:eastAsia="仿宋" w:cs="仿宋"/>
                <w:bCs/>
                <w:kern w:val="0"/>
                <w:sz w:val="24"/>
                <w:szCs w:val="24"/>
                <w:highlight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9" w:right="-20" w:firstLine="480"/>
              <w:rPr>
                <w:rFonts w:hint="eastAsia" w:ascii="仿宋" w:hAnsi="仿宋" w:eastAsia="仿宋" w:cs="仿宋"/>
                <w:bCs/>
                <w:kern w:val="0"/>
                <w:sz w:val="24"/>
                <w:szCs w:val="24"/>
                <w:highlight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left="-126" w:right="-20" w:firstLine="480"/>
              <w:rPr>
                <w:rFonts w:hint="default" w:ascii="仿宋" w:hAnsi="仿宋" w:eastAsia="仿宋" w:cs="仿宋"/>
                <w:bCs/>
                <w:kern w:val="0"/>
                <w:sz w:val="24"/>
                <w:szCs w:val="24"/>
                <w:highlight w:val="none"/>
                <w:lang w:val="en-US" w:eastAsia="zh-CN"/>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02"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874"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7"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1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6"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30</w:t>
            </w:r>
          </w:p>
        </w:tc>
        <w:tc>
          <w:tcPr>
            <w:tcW w:w="956"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531" w:hRule="exac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14" w:line="420" w:lineRule="exact"/>
              <w:ind w:left="548" w:right="530" w:firstLine="480"/>
              <w:rPr>
                <w:rFonts w:hint="eastAsia" w:ascii="仿宋" w:hAnsi="仿宋" w:eastAsia="仿宋" w:cs="仿宋"/>
                <w:bCs/>
                <w:kern w:val="0"/>
                <w:sz w:val="24"/>
                <w:szCs w:val="24"/>
                <w:highlight w:val="none"/>
              </w:rPr>
            </w:pP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before="14" w:line="420" w:lineRule="exact"/>
              <w:ind w:left="548" w:right="530" w:firstLine="480"/>
              <w:rPr>
                <w:rFonts w:hint="eastAsia" w:ascii="仿宋" w:hAnsi="仿宋" w:eastAsia="仿宋" w:cs="仿宋"/>
                <w:bCs/>
                <w:kern w:val="0"/>
                <w:sz w:val="24"/>
                <w:szCs w:val="24"/>
                <w:highlight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default" w:ascii="仿宋" w:hAnsi="仿宋" w:eastAsia="仿宋" w:cs="仿宋"/>
                <w:bCs/>
                <w:kern w:val="0"/>
                <w:sz w:val="24"/>
                <w:szCs w:val="24"/>
                <w:highlight w:val="none"/>
                <w:lang w:val="en-US" w:eastAsia="zh-CN"/>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02"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874"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7"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1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6"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30</w:t>
            </w:r>
          </w:p>
        </w:tc>
        <w:tc>
          <w:tcPr>
            <w:tcW w:w="956"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531" w:hRule="exact"/>
          <w:jc w:val="center"/>
        </w:trPr>
        <w:tc>
          <w:tcPr>
            <w:tcW w:w="474"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position w:val="-2"/>
                <w:sz w:val="24"/>
                <w:szCs w:val="24"/>
                <w:highlight w:val="none"/>
              </w:rPr>
            </w:pPr>
            <w:r>
              <w:rPr>
                <w:rFonts w:hint="eastAsia" w:ascii="仿宋" w:hAnsi="仿宋" w:eastAsia="仿宋" w:cs="仿宋"/>
                <w:bCs/>
                <w:kern w:val="0"/>
                <w:position w:val="-2"/>
                <w:sz w:val="24"/>
                <w:szCs w:val="24"/>
                <w:highlight w:val="none"/>
              </w:rPr>
              <w:t>………</w:t>
            </w:r>
          </w:p>
        </w:tc>
        <w:tc>
          <w:tcPr>
            <w:tcW w:w="59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4"/>
                <w:szCs w:val="24"/>
                <w:highlight w:val="none"/>
              </w:rPr>
            </w:pPr>
          </w:p>
        </w:tc>
        <w:tc>
          <w:tcPr>
            <w:tcW w:w="66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001"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247"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1102" w:type="dxa"/>
            <w:tcBorders>
              <w:top w:val="single" w:color="000000" w:sz="4" w:space="0"/>
              <w:left w:val="single" w:color="000000"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874"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7"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512"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906" w:type="dxa"/>
            <w:tcBorders>
              <w:top w:val="single" w:color="000000" w:sz="4" w:space="0"/>
              <w:left w:val="single" w:color="auto" w:sz="4" w:space="0"/>
              <w:bottom w:val="single" w:color="000000" w:sz="4" w:space="0"/>
              <w:right w:val="single" w:color="auto" w:sz="4" w:space="0"/>
            </w:tcBorders>
            <w:noWrap w:val="0"/>
            <w:vAlign w:val="center"/>
          </w:tcPr>
          <w:p>
            <w:pPr>
              <w:autoSpaceDE w:val="0"/>
              <w:autoSpaceDN w:val="0"/>
              <w:adjustRightInd w:val="0"/>
              <w:spacing w:line="420" w:lineRule="exact"/>
              <w:ind w:firstLine="240" w:firstLineChars="100"/>
              <w:jc w:val="both"/>
              <w:rPr>
                <w:rFonts w:hint="default" w:ascii="仿宋" w:hAnsi="仿宋" w:eastAsia="仿宋" w:cs="仿宋"/>
                <w:bCs/>
                <w:kern w:val="0"/>
                <w:sz w:val="24"/>
                <w:szCs w:val="24"/>
                <w:highlight w:val="none"/>
                <w:lang w:val="en-US" w:eastAsia="zh-CN"/>
              </w:rPr>
            </w:pPr>
            <w:r>
              <w:rPr>
                <w:rFonts w:hint="eastAsia" w:ascii="仿宋" w:hAnsi="仿宋" w:eastAsia="仿宋" w:cs="仿宋"/>
                <w:bCs/>
                <w:kern w:val="0"/>
                <w:sz w:val="24"/>
                <w:szCs w:val="24"/>
                <w:highlight w:val="none"/>
                <w:lang w:val="en-US" w:eastAsia="zh-CN"/>
              </w:rPr>
              <w:t>30</w:t>
            </w:r>
          </w:p>
        </w:tc>
        <w:tc>
          <w:tcPr>
            <w:tcW w:w="956" w:type="dxa"/>
            <w:tcBorders>
              <w:top w:val="single" w:color="000000" w:sz="4" w:space="0"/>
              <w:left w:val="single" w:color="auto"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c>
          <w:tcPr>
            <w:tcW w:w="653" w:type="dxa"/>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p>
        </w:tc>
      </w:tr>
      <w:tr>
        <w:tblPrEx>
          <w:tblCellMar>
            <w:top w:w="0" w:type="dxa"/>
            <w:left w:w="0" w:type="dxa"/>
            <w:bottom w:w="0" w:type="dxa"/>
            <w:right w:w="0" w:type="dxa"/>
          </w:tblCellMar>
        </w:tblPrEx>
        <w:trPr>
          <w:trHeight w:val="1178" w:hRule="exact"/>
          <w:jc w:val="center"/>
        </w:trPr>
        <w:tc>
          <w:tcPr>
            <w:tcW w:w="1734" w:type="dxa"/>
            <w:gridSpan w:val="3"/>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right="-20"/>
              <w:rPr>
                <w:rFonts w:hint="eastAsia" w:ascii="仿宋" w:hAnsi="仿宋" w:eastAsia="仿宋" w:cs="仿宋"/>
                <w:bCs/>
                <w:kern w:val="0"/>
                <w:sz w:val="24"/>
                <w:szCs w:val="24"/>
                <w:highlight w:val="none"/>
              </w:rPr>
            </w:pPr>
            <w:r>
              <w:rPr>
                <w:rFonts w:hint="eastAsia" w:ascii="仿宋" w:hAnsi="仿宋" w:eastAsia="仿宋" w:cs="仿宋"/>
                <w:bCs/>
                <w:kern w:val="0"/>
                <w:position w:val="-2"/>
                <w:sz w:val="24"/>
                <w:szCs w:val="24"/>
                <w:highlight w:val="none"/>
              </w:rPr>
              <w:t>合计（元）</w:t>
            </w:r>
          </w:p>
        </w:tc>
        <w:tc>
          <w:tcPr>
            <w:tcW w:w="8158" w:type="dxa"/>
            <w:gridSpan w:val="9"/>
            <w:tcBorders>
              <w:top w:val="single" w:color="000000" w:sz="4" w:space="0"/>
              <w:left w:val="single" w:color="000000" w:sz="4" w:space="0"/>
              <w:bottom w:val="single" w:color="000000" w:sz="4" w:space="0"/>
              <w:right w:val="single" w:color="000000" w:sz="4" w:space="0"/>
            </w:tcBorders>
            <w:noWrap w:val="0"/>
            <w:vAlign w:val="center"/>
          </w:tcPr>
          <w:p>
            <w:pPr>
              <w:autoSpaceDE w:val="0"/>
              <w:autoSpaceDN w:val="0"/>
              <w:adjustRightInd w:val="0"/>
              <w:spacing w:line="420" w:lineRule="exact"/>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大写：</w:t>
            </w:r>
          </w:p>
          <w:p>
            <w:pPr>
              <w:autoSpaceDE w:val="0"/>
              <w:autoSpaceDN w:val="0"/>
              <w:adjustRightInd w:val="0"/>
              <w:spacing w:line="420" w:lineRule="exact"/>
              <w:ind w:firstLine="480"/>
              <w:rPr>
                <w:rFonts w:hint="eastAsia" w:ascii="仿宋" w:hAnsi="仿宋" w:eastAsia="仿宋" w:cs="仿宋"/>
                <w:bCs/>
                <w:kern w:val="0"/>
                <w:sz w:val="24"/>
                <w:szCs w:val="24"/>
                <w:highlight w:val="none"/>
              </w:rPr>
            </w:pPr>
            <w:r>
              <w:rPr>
                <w:rFonts w:hint="eastAsia" w:ascii="仿宋" w:hAnsi="仿宋" w:eastAsia="仿宋" w:cs="仿宋"/>
                <w:bCs/>
                <w:kern w:val="0"/>
                <w:sz w:val="24"/>
                <w:szCs w:val="24"/>
                <w:highlight w:val="none"/>
              </w:rPr>
              <w:t>小写：</w:t>
            </w:r>
          </w:p>
        </w:tc>
      </w:tr>
    </w:tbl>
    <w:p>
      <w:pPr>
        <w:autoSpaceDE w:val="0"/>
        <w:autoSpaceDN w:val="0"/>
        <w:adjustRightInd w:val="0"/>
        <w:spacing w:line="420" w:lineRule="exact"/>
        <w:rPr>
          <w:rFonts w:hint="default" w:ascii="仿宋" w:hAnsi="仿宋" w:eastAsia="仿宋" w:cs="仿宋"/>
          <w:b w:val="0"/>
          <w:bCs/>
          <w:kern w:val="0"/>
          <w:position w:val="-2"/>
          <w:sz w:val="24"/>
          <w:szCs w:val="24"/>
          <w:lang w:val="en-US" w:eastAsia="zh-CN"/>
        </w:rPr>
      </w:pPr>
      <w:r>
        <w:rPr>
          <w:rFonts w:hint="eastAsia" w:ascii="仿宋" w:hAnsi="仿宋" w:eastAsia="仿宋" w:cs="仿宋"/>
          <w:bCs/>
          <w:kern w:val="0"/>
          <w:position w:val="-2"/>
          <w:sz w:val="24"/>
          <w:szCs w:val="24"/>
        </w:rPr>
        <w:t>备注：1、报价明</w:t>
      </w:r>
      <w:r>
        <w:rPr>
          <w:rFonts w:hint="eastAsia" w:ascii="仿宋" w:hAnsi="仿宋" w:eastAsia="仿宋" w:cs="仿宋"/>
          <w:bCs/>
          <w:spacing w:val="-1"/>
          <w:kern w:val="0"/>
          <w:position w:val="-2"/>
          <w:sz w:val="24"/>
          <w:szCs w:val="24"/>
        </w:rPr>
        <w:t>细</w:t>
      </w:r>
      <w:r>
        <w:rPr>
          <w:rFonts w:hint="eastAsia" w:ascii="仿宋" w:hAnsi="仿宋" w:eastAsia="仿宋" w:cs="仿宋"/>
          <w:bCs/>
          <w:kern w:val="0"/>
          <w:position w:val="-2"/>
          <w:sz w:val="24"/>
          <w:szCs w:val="24"/>
        </w:rPr>
        <w:t>汇总表中总费用必须与开标一览表中投标总价一致</w:t>
      </w:r>
      <w:r>
        <w:rPr>
          <w:rFonts w:hint="eastAsia" w:ascii="仿宋" w:hAnsi="仿宋" w:eastAsia="仿宋" w:cs="仿宋"/>
          <w:bCs/>
          <w:kern w:val="0"/>
          <w:position w:val="-2"/>
          <w:sz w:val="24"/>
          <w:szCs w:val="24"/>
          <w:lang w:eastAsia="zh-CN"/>
        </w:rPr>
        <w:t>，</w:t>
      </w:r>
      <w:r>
        <w:rPr>
          <w:rFonts w:hint="eastAsia" w:ascii="仿宋" w:hAnsi="仿宋" w:eastAsia="仿宋" w:cs="仿宋"/>
          <w:bCs/>
          <w:kern w:val="0"/>
          <w:position w:val="-2"/>
          <w:sz w:val="24"/>
          <w:szCs w:val="24"/>
          <w:lang w:val="en-US" w:eastAsia="zh-CN"/>
        </w:rPr>
        <w:t>驾驶员数量按10人汇总。</w:t>
      </w:r>
    </w:p>
    <w:p>
      <w:pPr>
        <w:autoSpaceDE w:val="0"/>
        <w:autoSpaceDN w:val="0"/>
        <w:adjustRightInd w:val="0"/>
        <w:spacing w:line="420" w:lineRule="exact"/>
        <w:ind w:left="218" w:right="-20" w:firstLine="484"/>
        <w:rPr>
          <w:rFonts w:hint="eastAsia" w:ascii="仿宋" w:hAnsi="仿宋" w:eastAsia="仿宋" w:cs="仿宋"/>
          <w:bCs/>
          <w:kern w:val="0"/>
          <w:sz w:val="24"/>
          <w:szCs w:val="24"/>
        </w:rPr>
      </w:pPr>
      <w:r>
        <w:rPr>
          <w:rFonts w:hint="eastAsia" w:ascii="仿宋" w:hAnsi="仿宋" w:eastAsia="仿宋" w:cs="仿宋"/>
          <w:bCs/>
          <w:spacing w:val="1"/>
          <w:kern w:val="0"/>
          <w:position w:val="-2"/>
          <w:sz w:val="24"/>
          <w:szCs w:val="24"/>
          <w:lang w:val="en-US" w:eastAsia="zh-CN"/>
        </w:rPr>
        <w:t>2</w:t>
      </w:r>
      <w:r>
        <w:rPr>
          <w:rFonts w:hint="eastAsia" w:ascii="仿宋" w:hAnsi="仿宋" w:eastAsia="仿宋" w:cs="仿宋"/>
          <w:bCs/>
          <w:kern w:val="0"/>
          <w:position w:val="-2"/>
          <w:sz w:val="24"/>
          <w:szCs w:val="24"/>
        </w:rPr>
        <w:t>、</w:t>
      </w:r>
      <w:r>
        <w:rPr>
          <w:rFonts w:hint="eastAsia" w:ascii="仿宋" w:hAnsi="仿宋" w:eastAsia="仿宋" w:cs="仿宋"/>
          <w:bCs/>
          <w:spacing w:val="-61"/>
          <w:kern w:val="0"/>
          <w:position w:val="-2"/>
          <w:sz w:val="24"/>
          <w:szCs w:val="24"/>
        </w:rPr>
        <w:t xml:space="preserve"> </w:t>
      </w:r>
      <w:r>
        <w:rPr>
          <w:rFonts w:hint="eastAsia" w:ascii="仿宋" w:hAnsi="仿宋" w:eastAsia="仿宋" w:cs="仿宋"/>
          <w:bCs/>
          <w:kern w:val="0"/>
          <w:position w:val="-2"/>
          <w:sz w:val="24"/>
          <w:szCs w:val="24"/>
        </w:rPr>
        <w:t>本表“工资标准”不得低于甲方驻地当地最新最低工资标准，否则将视为无效投标。</w:t>
      </w:r>
    </w:p>
    <w:p>
      <w:pPr>
        <w:autoSpaceDE w:val="0"/>
        <w:autoSpaceDN w:val="0"/>
        <w:adjustRightInd w:val="0"/>
        <w:spacing w:line="420" w:lineRule="exact"/>
        <w:ind w:left="218" w:right="-20" w:firstLine="484"/>
        <w:rPr>
          <w:rFonts w:hint="eastAsia" w:ascii="仿宋" w:hAnsi="仿宋" w:eastAsia="仿宋" w:cs="仿宋"/>
          <w:bCs/>
          <w:kern w:val="0"/>
          <w:position w:val="-1"/>
          <w:sz w:val="24"/>
          <w:szCs w:val="24"/>
        </w:rPr>
      </w:pPr>
      <w:r>
        <w:rPr>
          <w:rFonts w:hint="eastAsia" w:ascii="仿宋" w:hAnsi="仿宋" w:eastAsia="仿宋" w:cs="仿宋"/>
          <w:bCs/>
          <w:spacing w:val="1"/>
          <w:kern w:val="0"/>
          <w:position w:val="-1"/>
          <w:sz w:val="24"/>
          <w:szCs w:val="24"/>
          <w:lang w:val="en-US" w:eastAsia="zh-CN"/>
        </w:rPr>
        <w:t>3</w:t>
      </w:r>
      <w:r>
        <w:rPr>
          <w:rFonts w:hint="eastAsia" w:ascii="仿宋" w:hAnsi="仿宋" w:eastAsia="仿宋" w:cs="仿宋"/>
          <w:bCs/>
          <w:kern w:val="0"/>
          <w:position w:val="-1"/>
          <w:sz w:val="24"/>
          <w:szCs w:val="24"/>
        </w:rPr>
        <w:t>、</w:t>
      </w:r>
      <w:r>
        <w:rPr>
          <w:rFonts w:hint="eastAsia" w:ascii="仿宋" w:hAnsi="仿宋" w:eastAsia="仿宋" w:cs="仿宋"/>
          <w:bCs/>
          <w:spacing w:val="-61"/>
          <w:kern w:val="0"/>
          <w:position w:val="-1"/>
          <w:sz w:val="24"/>
          <w:szCs w:val="24"/>
        </w:rPr>
        <w:t xml:space="preserve"> </w:t>
      </w:r>
      <w:r>
        <w:rPr>
          <w:rFonts w:hint="eastAsia" w:ascii="仿宋" w:hAnsi="仿宋" w:eastAsia="仿宋" w:cs="仿宋"/>
          <w:bCs/>
          <w:kern w:val="0"/>
          <w:position w:val="-1"/>
          <w:sz w:val="24"/>
          <w:szCs w:val="24"/>
        </w:rPr>
        <w:t>本表“社会保险”须符合国家和山东省社会保险缴纳相关规定，否则将视为无效投标。</w:t>
      </w:r>
    </w:p>
    <w:p>
      <w:pPr>
        <w:autoSpaceDE w:val="0"/>
        <w:autoSpaceDN w:val="0"/>
        <w:adjustRightInd w:val="0"/>
        <w:spacing w:line="420" w:lineRule="exact"/>
        <w:ind w:left="218" w:right="-20" w:firstLine="480"/>
        <w:rPr>
          <w:rFonts w:hint="eastAsia" w:ascii="仿宋" w:hAnsi="仿宋" w:eastAsia="仿宋" w:cs="仿宋"/>
          <w:bCs/>
          <w:kern w:val="0"/>
          <w:position w:val="-1"/>
          <w:sz w:val="24"/>
          <w:szCs w:val="24"/>
        </w:rPr>
      </w:pPr>
      <w:r>
        <w:rPr>
          <w:rFonts w:hint="eastAsia" w:ascii="仿宋" w:hAnsi="仿宋" w:eastAsia="仿宋" w:cs="仿宋"/>
          <w:bCs/>
          <w:kern w:val="0"/>
          <w:position w:val="-1"/>
          <w:sz w:val="24"/>
          <w:szCs w:val="24"/>
          <w:lang w:val="en-US" w:eastAsia="zh-CN"/>
        </w:rPr>
        <w:t>4</w:t>
      </w:r>
      <w:r>
        <w:rPr>
          <w:rFonts w:hint="eastAsia" w:ascii="仿宋" w:hAnsi="仿宋" w:eastAsia="仿宋" w:cs="仿宋"/>
          <w:bCs/>
          <w:kern w:val="0"/>
          <w:position w:val="-1"/>
          <w:sz w:val="24"/>
          <w:szCs w:val="24"/>
        </w:rPr>
        <w:t>、本表“福利费”包括服装费、节假日加班费、招聘费、假日福利等费用。</w:t>
      </w:r>
    </w:p>
    <w:p>
      <w:pPr>
        <w:autoSpaceDE w:val="0"/>
        <w:autoSpaceDN w:val="0"/>
        <w:adjustRightInd w:val="0"/>
        <w:spacing w:line="420" w:lineRule="exact"/>
        <w:ind w:left="218" w:right="-20" w:firstLine="480"/>
        <w:rPr>
          <w:rFonts w:hint="eastAsia" w:ascii="仿宋" w:hAnsi="仿宋" w:eastAsia="仿宋" w:cs="仿宋"/>
          <w:bCs/>
          <w:kern w:val="0"/>
          <w:position w:val="-1"/>
          <w:sz w:val="24"/>
          <w:szCs w:val="24"/>
        </w:rPr>
      </w:pPr>
      <w:r>
        <w:rPr>
          <w:rFonts w:hint="eastAsia" w:ascii="仿宋" w:hAnsi="仿宋" w:eastAsia="仿宋" w:cs="仿宋"/>
          <w:bCs/>
          <w:kern w:val="0"/>
          <w:position w:val="-1"/>
          <w:sz w:val="24"/>
          <w:szCs w:val="24"/>
          <w:lang w:val="en-US" w:eastAsia="zh-CN"/>
        </w:rPr>
        <w:t>5</w:t>
      </w:r>
      <w:r>
        <w:rPr>
          <w:rFonts w:hint="eastAsia" w:ascii="仿宋" w:hAnsi="仿宋" w:eastAsia="仿宋" w:cs="仿宋"/>
          <w:bCs/>
          <w:kern w:val="0"/>
          <w:position w:val="-1"/>
          <w:sz w:val="24"/>
          <w:szCs w:val="24"/>
        </w:rPr>
        <w:t>、如有特殊情况，须在本表“备注”栏注明。</w:t>
      </w:r>
    </w:p>
    <w:p>
      <w:pPr>
        <w:numPr>
          <w:ilvl w:val="0"/>
          <w:numId w:val="0"/>
        </w:numPr>
        <w:ind w:firstLine="720" w:firstLineChars="300"/>
        <w:rPr>
          <w:rFonts w:hint="eastAsia" w:ascii="仿宋" w:hAnsi="仿宋" w:eastAsia="仿宋" w:cs="仿宋"/>
          <w:bCs/>
          <w:sz w:val="24"/>
          <w:szCs w:val="24"/>
        </w:rPr>
      </w:pPr>
      <w:r>
        <w:rPr>
          <w:rFonts w:hint="eastAsia" w:ascii="仿宋" w:hAnsi="仿宋" w:eastAsia="仿宋" w:cs="仿宋"/>
          <w:bCs/>
          <w:kern w:val="0"/>
          <w:position w:val="-1"/>
          <w:sz w:val="24"/>
          <w:szCs w:val="24"/>
          <w:lang w:val="en-US" w:eastAsia="zh-CN"/>
        </w:rPr>
        <w:t>6</w:t>
      </w:r>
      <w:r>
        <w:rPr>
          <w:rFonts w:hint="eastAsia" w:ascii="仿宋" w:hAnsi="仿宋" w:eastAsia="仿宋" w:cs="仿宋"/>
          <w:bCs/>
          <w:kern w:val="0"/>
          <w:position w:val="-1"/>
          <w:sz w:val="24"/>
          <w:szCs w:val="24"/>
        </w:rPr>
        <w:t>、</w:t>
      </w:r>
      <w:r>
        <w:rPr>
          <w:rFonts w:hint="eastAsia" w:ascii="仿宋" w:hAnsi="仿宋" w:eastAsia="仿宋" w:cs="仿宋"/>
          <w:b w:val="0"/>
          <w:bCs/>
          <w:kern w:val="0"/>
          <w:position w:val="-2"/>
          <w:sz w:val="24"/>
          <w:szCs w:val="24"/>
        </w:rPr>
        <w:t>此表分类项目名称须根据实际情况自行填写内容</w:t>
      </w:r>
      <w:r>
        <w:rPr>
          <w:rFonts w:hint="eastAsia" w:ascii="仿宋" w:hAnsi="仿宋" w:eastAsia="仿宋" w:cs="仿宋"/>
          <w:b w:val="0"/>
          <w:bCs/>
          <w:kern w:val="0"/>
          <w:position w:val="-2"/>
          <w:sz w:val="24"/>
          <w:szCs w:val="24"/>
          <w:lang w:eastAsia="zh-CN"/>
        </w:rPr>
        <w:t>。</w:t>
      </w:r>
    </w:p>
    <w:p>
      <w:pPr>
        <w:snapToGrid w:val="0"/>
        <w:spacing w:line="420" w:lineRule="exact"/>
        <w:ind w:firstLine="480"/>
        <w:rPr>
          <w:rFonts w:hint="eastAsia" w:ascii="仿宋" w:hAnsi="仿宋" w:eastAsia="仿宋" w:cs="仿宋"/>
          <w:bCs/>
          <w:sz w:val="24"/>
          <w:szCs w:val="24"/>
        </w:rPr>
      </w:pPr>
      <w:r>
        <w:rPr>
          <w:rFonts w:hint="eastAsia" w:ascii="仿宋" w:hAnsi="仿宋" w:eastAsia="仿宋" w:cs="仿宋"/>
          <w:bCs/>
          <w:sz w:val="24"/>
          <w:szCs w:val="24"/>
        </w:rPr>
        <w:t>授权代表</w:t>
      </w:r>
      <w:r>
        <w:rPr>
          <w:rFonts w:hint="eastAsia" w:ascii="仿宋" w:hAnsi="仿宋" w:eastAsia="仿宋" w:cs="仿宋"/>
          <w:bCs/>
          <w:spacing w:val="20"/>
          <w:sz w:val="24"/>
          <w:szCs w:val="24"/>
        </w:rPr>
        <w:t>签名：</w:t>
      </w:r>
      <w:r>
        <w:rPr>
          <w:rFonts w:hint="eastAsia" w:ascii="仿宋" w:hAnsi="仿宋" w:eastAsia="仿宋" w:cs="仿宋"/>
          <w:bCs/>
          <w:spacing w:val="20"/>
          <w:sz w:val="24"/>
          <w:szCs w:val="24"/>
          <w:u w:val="single"/>
        </w:rPr>
        <w:t xml:space="preserve">        </w:t>
      </w:r>
      <w:r>
        <w:rPr>
          <w:rFonts w:hint="eastAsia" w:ascii="仿宋" w:hAnsi="仿宋" w:eastAsia="仿宋" w:cs="仿宋"/>
          <w:bCs/>
          <w:spacing w:val="20"/>
          <w:sz w:val="24"/>
          <w:szCs w:val="24"/>
        </w:rPr>
        <w:t xml:space="preserve">          日 期：</w:t>
      </w:r>
      <w:r>
        <w:rPr>
          <w:rFonts w:hint="eastAsia" w:ascii="仿宋" w:hAnsi="仿宋" w:eastAsia="仿宋" w:cs="仿宋"/>
          <w:bCs/>
          <w:spacing w:val="20"/>
          <w:sz w:val="24"/>
          <w:szCs w:val="24"/>
          <w:u w:val="single"/>
        </w:rPr>
        <w:t xml:space="preserve">       </w:t>
      </w:r>
    </w:p>
    <w:p>
      <w:pPr>
        <w:spacing w:line="420" w:lineRule="exact"/>
        <w:jc w:val="left"/>
        <w:rPr>
          <w:rFonts w:hint="eastAsia" w:ascii="仿宋" w:hAnsi="仿宋" w:eastAsia="仿宋" w:cs="仿宋"/>
          <w:sz w:val="24"/>
          <w:szCs w:val="24"/>
        </w:rPr>
      </w:pPr>
    </w:p>
    <w:p>
      <w:pPr>
        <w:pageBreakBefore w:val="0"/>
        <w:kinsoku/>
        <w:overflowPunct/>
        <w:topLinePunct w:val="0"/>
        <w:bidi w:val="0"/>
        <w:snapToGrid/>
        <w:spacing w:line="360" w:lineRule="auto"/>
        <w:jc w:val="both"/>
        <w:rPr>
          <w:rFonts w:hint="eastAsia" w:ascii="仿宋" w:hAnsi="仿宋" w:eastAsia="仿宋" w:cs="仿宋"/>
          <w:bCs w:val="0"/>
          <w:sz w:val="28"/>
          <w:szCs w:val="28"/>
          <w:highlight w:val="none"/>
          <w:u w:val="single"/>
        </w:rPr>
      </w:pPr>
    </w:p>
    <w:p>
      <w:pPr>
        <w:rPr>
          <w:rFonts w:hint="eastAsia" w:ascii="仿宋" w:hAnsi="仿宋" w:eastAsia="仿宋" w:cs="仿宋"/>
          <w:sz w:val="28"/>
          <w:szCs w:val="28"/>
          <w:highlight w:val="none"/>
        </w:rPr>
      </w:pPr>
      <w:bookmarkStart w:id="295" w:name="_Toc323130139"/>
      <w:bookmarkStart w:id="296" w:name="_Toc323129572"/>
      <w:bookmarkStart w:id="297" w:name="_Toc21772"/>
      <w:bookmarkStart w:id="298" w:name="_Toc325620733"/>
      <w:bookmarkStart w:id="299" w:name="_Toc356491346"/>
      <w:bookmarkStart w:id="300" w:name="_Toc1344"/>
      <w:bookmarkStart w:id="301" w:name="_Toc356490397"/>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bookmarkStart w:id="302" w:name="_Toc22051"/>
      <w:r>
        <w:rPr>
          <w:rFonts w:hint="eastAsia" w:ascii="仿宋" w:hAnsi="仿宋" w:eastAsia="仿宋" w:cs="仿宋"/>
          <w:sz w:val="28"/>
          <w:szCs w:val="28"/>
          <w:highlight w:val="none"/>
        </w:rPr>
        <w:t>附件</w:t>
      </w:r>
      <w:bookmarkEnd w:id="295"/>
      <w:bookmarkEnd w:id="296"/>
      <w:r>
        <w:rPr>
          <w:rFonts w:hint="eastAsia" w:ascii="仿宋" w:hAnsi="仿宋" w:eastAsia="仿宋" w:cs="仿宋"/>
          <w:sz w:val="28"/>
          <w:szCs w:val="28"/>
          <w:highlight w:val="none"/>
          <w:lang w:val="en-US" w:eastAsia="zh-CN"/>
        </w:rPr>
        <w:t>六</w:t>
      </w:r>
      <w:r>
        <w:rPr>
          <w:rFonts w:hint="eastAsia" w:ascii="仿宋" w:hAnsi="仿宋" w:eastAsia="仿宋" w:cs="仿宋"/>
          <w:sz w:val="28"/>
          <w:szCs w:val="28"/>
          <w:highlight w:val="none"/>
        </w:rPr>
        <w:t>：</w:t>
      </w:r>
      <w:bookmarkEnd w:id="297"/>
      <w:bookmarkEnd w:id="298"/>
      <w:bookmarkEnd w:id="299"/>
      <w:bookmarkEnd w:id="300"/>
      <w:bookmarkEnd w:id="301"/>
      <w:r>
        <w:rPr>
          <w:rFonts w:hint="eastAsia" w:ascii="仿宋" w:hAnsi="仿宋" w:eastAsia="仿宋" w:cs="仿宋"/>
          <w:sz w:val="28"/>
          <w:szCs w:val="28"/>
          <w:highlight w:val="none"/>
        </w:rPr>
        <w:t>服务</w:t>
      </w:r>
      <w:r>
        <w:rPr>
          <w:rFonts w:hint="eastAsia" w:ascii="仿宋" w:hAnsi="仿宋" w:eastAsia="仿宋" w:cs="仿宋"/>
          <w:sz w:val="28"/>
          <w:szCs w:val="28"/>
          <w:highlight w:val="none"/>
          <w:lang w:val="en-US" w:eastAsia="zh-CN"/>
        </w:rPr>
        <w:t>方案</w:t>
      </w:r>
      <w:r>
        <w:rPr>
          <w:rFonts w:hint="eastAsia" w:ascii="仿宋" w:hAnsi="仿宋" w:eastAsia="仿宋" w:cs="仿宋"/>
          <w:sz w:val="28"/>
          <w:szCs w:val="28"/>
          <w:highlight w:val="none"/>
        </w:rPr>
        <w:t>偏离表</w:t>
      </w:r>
      <w:bookmarkEnd w:id="302"/>
    </w:p>
    <w:p>
      <w:pPr>
        <w:spacing w:line="420" w:lineRule="exact"/>
        <w:jc w:val="center"/>
        <w:rPr>
          <w:rFonts w:hint="eastAsia" w:ascii="仿宋" w:hAnsi="仿宋" w:eastAsia="仿宋" w:cs="仿宋"/>
          <w:b/>
          <w:bCs/>
          <w:szCs w:val="21"/>
        </w:rPr>
      </w:pPr>
      <w:r>
        <w:rPr>
          <w:rFonts w:hint="eastAsia" w:ascii="仿宋" w:hAnsi="仿宋" w:eastAsia="仿宋" w:cs="仿宋"/>
          <w:bCs/>
          <w:szCs w:val="21"/>
        </w:rPr>
        <w:t>服务</w:t>
      </w:r>
      <w:r>
        <w:rPr>
          <w:rFonts w:hint="eastAsia" w:ascii="仿宋" w:hAnsi="仿宋" w:eastAsia="仿宋" w:cs="仿宋"/>
          <w:bCs/>
          <w:szCs w:val="21"/>
          <w:lang w:val="en-US" w:eastAsia="zh-CN"/>
        </w:rPr>
        <w:t>方案</w:t>
      </w:r>
      <w:r>
        <w:rPr>
          <w:rFonts w:hint="eastAsia" w:ascii="仿宋" w:hAnsi="仿宋" w:eastAsia="仿宋" w:cs="仿宋"/>
          <w:bCs/>
          <w:szCs w:val="21"/>
        </w:rPr>
        <w:t>偏离表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投标人名称：（公章）</w:t>
      </w:r>
      <w:r>
        <w:rPr>
          <w:rFonts w:hint="eastAsia" w:ascii="仿宋" w:hAnsi="仿宋" w:eastAsia="仿宋" w:cs="仿宋"/>
          <w:bCs w:val="0"/>
          <w:sz w:val="28"/>
          <w:szCs w:val="28"/>
          <w:highlight w:val="none"/>
          <w:lang w:val="en-US" w:eastAsia="zh-CN"/>
        </w:rPr>
        <w:t xml:space="preserve">            </w:t>
      </w:r>
      <w:r>
        <w:rPr>
          <w:rFonts w:hint="eastAsia" w:ascii="仿宋" w:hAnsi="仿宋" w:eastAsia="仿宋" w:cs="仿宋"/>
          <w:bCs w:val="0"/>
          <w:sz w:val="28"/>
          <w:szCs w:val="28"/>
          <w:highlight w:val="none"/>
        </w:rPr>
        <w:t>法定代表人或授权代理人签字：</w:t>
      </w:r>
    </w:p>
    <w:tbl>
      <w:tblPr>
        <w:tblStyle w:val="35"/>
        <w:tblW w:w="86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9"/>
        <w:gridCol w:w="1457"/>
        <w:gridCol w:w="1853"/>
        <w:gridCol w:w="1782"/>
        <w:gridCol w:w="1462"/>
        <w:gridCol w:w="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序号</w:t>
            </w: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条目号</w:t>
            </w: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招标文件要求</w:t>
            </w: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投标文件</w:t>
            </w:r>
          </w:p>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实际情况</w:t>
            </w: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偏差内容</w:t>
            </w: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9" w:type="dxa"/>
            <w:noWrap w:val="0"/>
            <w:vAlign w:val="center"/>
          </w:tcPr>
          <w:p>
            <w:pPr>
              <w:tabs>
                <w:tab w:val="left" w:pos="1337"/>
              </w:tabs>
              <w:spacing w:line="420" w:lineRule="exact"/>
              <w:jc w:val="center"/>
              <w:rPr>
                <w:rFonts w:hint="eastAsia" w:ascii="仿宋" w:hAnsi="仿宋" w:eastAsia="仿宋" w:cs="仿宋"/>
                <w:sz w:val="24"/>
                <w:szCs w:val="24"/>
              </w:rPr>
            </w:pPr>
            <w:r>
              <w:rPr>
                <w:rFonts w:hint="eastAsia" w:ascii="仿宋" w:hAnsi="仿宋" w:eastAsia="仿宋" w:cs="仿宋"/>
                <w:sz w:val="24"/>
                <w:szCs w:val="24"/>
              </w:rPr>
              <w:t>...</w:t>
            </w:r>
          </w:p>
        </w:tc>
        <w:tc>
          <w:tcPr>
            <w:tcW w:w="1457" w:type="dxa"/>
            <w:noWrap w:val="0"/>
            <w:vAlign w:val="center"/>
          </w:tcPr>
          <w:p>
            <w:pPr>
              <w:tabs>
                <w:tab w:val="left" w:pos="1337"/>
              </w:tabs>
              <w:spacing w:line="420" w:lineRule="exact"/>
              <w:jc w:val="center"/>
              <w:rPr>
                <w:rFonts w:hint="eastAsia" w:ascii="仿宋" w:hAnsi="仿宋" w:eastAsia="仿宋" w:cs="仿宋"/>
                <w:sz w:val="24"/>
                <w:szCs w:val="24"/>
              </w:rPr>
            </w:pPr>
          </w:p>
        </w:tc>
        <w:tc>
          <w:tcPr>
            <w:tcW w:w="1853" w:type="dxa"/>
            <w:noWrap w:val="0"/>
            <w:vAlign w:val="center"/>
          </w:tcPr>
          <w:p>
            <w:pPr>
              <w:tabs>
                <w:tab w:val="left" w:pos="1337"/>
              </w:tabs>
              <w:spacing w:line="420" w:lineRule="exact"/>
              <w:jc w:val="center"/>
              <w:rPr>
                <w:rFonts w:hint="eastAsia" w:ascii="仿宋" w:hAnsi="仿宋" w:eastAsia="仿宋" w:cs="仿宋"/>
                <w:sz w:val="24"/>
                <w:szCs w:val="24"/>
              </w:rPr>
            </w:pPr>
          </w:p>
        </w:tc>
        <w:tc>
          <w:tcPr>
            <w:tcW w:w="1782" w:type="dxa"/>
            <w:noWrap w:val="0"/>
            <w:vAlign w:val="center"/>
          </w:tcPr>
          <w:p>
            <w:pPr>
              <w:tabs>
                <w:tab w:val="left" w:pos="1337"/>
              </w:tabs>
              <w:spacing w:line="420" w:lineRule="exact"/>
              <w:jc w:val="center"/>
              <w:rPr>
                <w:rFonts w:hint="eastAsia" w:ascii="仿宋" w:hAnsi="仿宋" w:eastAsia="仿宋" w:cs="仿宋"/>
                <w:sz w:val="24"/>
                <w:szCs w:val="24"/>
              </w:rPr>
            </w:pPr>
          </w:p>
        </w:tc>
        <w:tc>
          <w:tcPr>
            <w:tcW w:w="1462" w:type="dxa"/>
            <w:noWrap w:val="0"/>
            <w:vAlign w:val="center"/>
          </w:tcPr>
          <w:p>
            <w:pPr>
              <w:tabs>
                <w:tab w:val="left" w:pos="1337"/>
              </w:tabs>
              <w:spacing w:line="420" w:lineRule="exact"/>
              <w:jc w:val="center"/>
              <w:rPr>
                <w:rFonts w:hint="eastAsia" w:ascii="仿宋" w:hAnsi="仿宋" w:eastAsia="仿宋" w:cs="仿宋"/>
                <w:sz w:val="24"/>
                <w:szCs w:val="24"/>
              </w:rPr>
            </w:pPr>
          </w:p>
        </w:tc>
        <w:tc>
          <w:tcPr>
            <w:tcW w:w="990" w:type="dxa"/>
            <w:noWrap w:val="0"/>
            <w:vAlign w:val="center"/>
          </w:tcPr>
          <w:p>
            <w:pPr>
              <w:tabs>
                <w:tab w:val="left" w:pos="1337"/>
              </w:tabs>
              <w:spacing w:line="420" w:lineRule="exact"/>
              <w:jc w:val="center"/>
              <w:rPr>
                <w:rFonts w:hint="eastAsia" w:ascii="仿宋" w:hAnsi="仿宋" w:eastAsia="仿宋" w:cs="仿宋"/>
                <w:sz w:val="24"/>
                <w:szCs w:val="24"/>
              </w:rPr>
            </w:pPr>
          </w:p>
        </w:tc>
      </w:tr>
    </w:tbl>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righ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年  月  日</w:t>
      </w:r>
    </w:p>
    <w:p>
      <w:pPr>
        <w:spacing w:line="420" w:lineRule="exact"/>
        <w:ind w:firstLine="480"/>
        <w:rPr>
          <w:rFonts w:hint="eastAsia" w:ascii="仿宋" w:hAnsi="仿宋" w:eastAsia="仿宋" w:cs="仿宋"/>
          <w:sz w:val="24"/>
          <w:szCs w:val="20"/>
        </w:rPr>
      </w:pPr>
      <w:r>
        <w:rPr>
          <w:rFonts w:hint="eastAsia" w:ascii="仿宋" w:hAnsi="仿宋" w:eastAsia="仿宋" w:cs="仿宋"/>
          <w:sz w:val="24"/>
          <w:szCs w:val="20"/>
        </w:rPr>
        <w:t>说明：投标人对照第</w:t>
      </w:r>
      <w:r>
        <w:rPr>
          <w:rFonts w:hint="eastAsia" w:ascii="仿宋" w:hAnsi="仿宋" w:eastAsia="仿宋" w:cs="仿宋"/>
          <w:sz w:val="24"/>
          <w:szCs w:val="20"/>
          <w:lang w:val="en-US" w:eastAsia="zh-CN"/>
        </w:rPr>
        <w:t>五</w:t>
      </w:r>
      <w:r>
        <w:rPr>
          <w:rFonts w:hint="eastAsia" w:ascii="仿宋" w:hAnsi="仿宋" w:eastAsia="仿宋" w:cs="仿宋"/>
          <w:sz w:val="24"/>
          <w:szCs w:val="20"/>
        </w:rPr>
        <w:t>部分技术要求逐项如实填写，投标文件的内容如与招标文件的要求有偏差，请在该表中用具体的文字和数字注明，无偏离的写明“无”</w:t>
      </w:r>
    </w:p>
    <w:p>
      <w:pPr>
        <w:spacing w:line="420" w:lineRule="exact"/>
        <w:ind w:firstLine="480"/>
        <w:rPr>
          <w:rFonts w:hint="eastAsia" w:ascii="仿宋" w:hAnsi="仿宋" w:eastAsia="仿宋" w:cs="仿宋"/>
          <w:szCs w:val="21"/>
        </w:rPr>
      </w:pPr>
    </w:p>
    <w:p>
      <w:pPr>
        <w:spacing w:line="420" w:lineRule="exact"/>
        <w:ind w:firstLine="480"/>
        <w:jc w:val="right"/>
        <w:rPr>
          <w:rFonts w:hint="eastAsia" w:ascii="仿宋" w:hAnsi="仿宋" w:eastAsia="仿宋" w:cs="仿宋"/>
          <w:szCs w:val="21"/>
        </w:rPr>
      </w:pPr>
      <w:r>
        <w:rPr>
          <w:rFonts w:hint="eastAsia" w:ascii="仿宋" w:hAnsi="仿宋" w:eastAsia="仿宋" w:cs="仿宋"/>
          <w:szCs w:val="21"/>
        </w:rPr>
        <w:t>日 期：      年   月   日</w:t>
      </w:r>
    </w:p>
    <w:p>
      <w:pPr>
        <w:pStyle w:val="3"/>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bookmarkStart w:id="303" w:name="_Toc10566"/>
      <w:bookmarkStart w:id="304" w:name="_Toc12990"/>
      <w:bookmarkStart w:id="305" w:name="_Toc9939"/>
      <w:bookmarkStart w:id="306" w:name="_Toc323130140"/>
      <w:bookmarkStart w:id="307" w:name="_Toc525996982"/>
      <w:bookmarkStart w:id="308" w:name="_Toc325620734"/>
      <w:bookmarkStart w:id="309" w:name="_Toc356490398"/>
      <w:bookmarkStart w:id="310" w:name="_Toc323129573"/>
      <w:bookmarkStart w:id="311" w:name="_Toc356491348"/>
      <w:bookmarkStart w:id="312" w:name="_Toc7098148"/>
      <w:bookmarkStart w:id="313" w:name="_Toc6566"/>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七</w:t>
      </w:r>
      <w:r>
        <w:rPr>
          <w:rFonts w:hint="eastAsia" w:ascii="仿宋" w:hAnsi="仿宋" w:eastAsia="仿宋" w:cs="仿宋"/>
          <w:sz w:val="28"/>
          <w:szCs w:val="28"/>
          <w:highlight w:val="none"/>
        </w:rPr>
        <w:t>：</w:t>
      </w:r>
      <w:bookmarkEnd w:id="303"/>
      <w:bookmarkEnd w:id="304"/>
      <w:r>
        <w:rPr>
          <w:rFonts w:hint="eastAsia" w:ascii="仿宋" w:hAnsi="仿宋" w:eastAsia="仿宋" w:cs="仿宋"/>
          <w:sz w:val="28"/>
          <w:szCs w:val="28"/>
          <w:highlight w:val="none"/>
          <w:lang w:val="en-GB"/>
        </w:rPr>
        <w:t>商务响应表</w:t>
      </w:r>
      <w:bookmarkEnd w:id="305"/>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bCs w:val="0"/>
          <w:sz w:val="28"/>
          <w:szCs w:val="28"/>
          <w:highlight w:val="none"/>
          <w:lang w:val="en-GB"/>
        </w:rPr>
      </w:pPr>
      <w:r>
        <w:rPr>
          <w:rFonts w:hint="eastAsia" w:ascii="仿宋" w:hAnsi="仿宋" w:eastAsia="仿宋" w:cs="仿宋"/>
          <w:bCs w:val="0"/>
          <w:sz w:val="28"/>
          <w:szCs w:val="28"/>
          <w:highlight w:val="none"/>
          <w:lang w:val="en-GB"/>
        </w:rPr>
        <w:t>商务响应表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ageBreakBefore w:val="0"/>
        <w:kinsoku/>
        <w:overflowPunct/>
        <w:topLinePunct w:val="0"/>
        <w:bidi w:val="0"/>
        <w:snapToGrid/>
        <w:spacing w:line="360" w:lineRule="auto"/>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投标人名称：（公章）  法定代表人或授权代理人签字： </w:t>
      </w:r>
    </w:p>
    <w:p>
      <w:pPr>
        <w:pStyle w:val="2"/>
        <w:rPr>
          <w:rFonts w:hint="eastAsia"/>
        </w:rPr>
      </w:pPr>
    </w:p>
    <w:tbl>
      <w:tblPr>
        <w:tblStyle w:val="35"/>
        <w:tblW w:w="985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5"/>
        <w:gridCol w:w="2835"/>
        <w:gridCol w:w="1424"/>
        <w:gridCol w:w="336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项目</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招标文件要求</w:t>
            </w: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是否响应</w:t>
            </w: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服务期限及地点</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jc w:val="center"/>
              <w:rPr>
                <w:rFonts w:hint="eastAsia" w:ascii="仿宋" w:hAnsi="仿宋" w:eastAsia="仿宋" w:cs="仿宋"/>
                <w:szCs w:val="21"/>
              </w:rPr>
            </w:pPr>
            <w:r>
              <w:rPr>
                <w:rFonts w:hint="eastAsia" w:ascii="仿宋" w:hAnsi="仿宋" w:eastAsia="仿宋" w:cs="仿宋"/>
                <w:szCs w:val="21"/>
              </w:rPr>
              <w:t>付款条件</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2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r>
              <w:rPr>
                <w:rFonts w:hint="eastAsia" w:ascii="仿宋" w:hAnsi="仿宋" w:eastAsia="仿宋" w:cs="仿宋"/>
                <w:szCs w:val="21"/>
              </w:rPr>
              <w:t>……</w:t>
            </w:r>
          </w:p>
        </w:tc>
        <w:tc>
          <w:tcPr>
            <w:tcW w:w="2835"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c>
          <w:tcPr>
            <w:tcW w:w="3360" w:type="dxa"/>
            <w:tcBorders>
              <w:top w:val="single" w:color="auto" w:sz="4" w:space="0"/>
              <w:left w:val="single" w:color="auto" w:sz="4" w:space="0"/>
              <w:bottom w:val="single" w:color="auto" w:sz="4" w:space="0"/>
              <w:right w:val="single" w:color="auto" w:sz="4" w:space="0"/>
            </w:tcBorders>
            <w:noWrap w:val="0"/>
            <w:vAlign w:val="center"/>
          </w:tcPr>
          <w:p>
            <w:pPr>
              <w:snapToGrid w:val="0"/>
              <w:spacing w:line="420" w:lineRule="exact"/>
              <w:ind w:firstLine="480"/>
              <w:jc w:val="center"/>
              <w:rPr>
                <w:rFonts w:hint="eastAsia" w:ascii="仿宋" w:hAnsi="仿宋" w:eastAsia="仿宋" w:cs="仿宋"/>
                <w:szCs w:val="21"/>
              </w:rPr>
            </w:pPr>
          </w:p>
        </w:tc>
      </w:tr>
    </w:tbl>
    <w:p>
      <w:pPr>
        <w:pageBreakBefore w:val="0"/>
        <w:tabs>
          <w:tab w:val="left" w:pos="760"/>
          <w:tab w:val="right" w:pos="8747"/>
        </w:tabs>
        <w:kinsoku/>
        <w:overflowPunct/>
        <w:topLinePunct w:val="0"/>
        <w:bidi w:val="0"/>
        <w:snapToGrid/>
        <w:spacing w:line="360" w:lineRule="auto"/>
        <w:ind w:right="120"/>
        <w:jc w:val="left"/>
        <w:rPr>
          <w:rFonts w:hint="eastAsia" w:ascii="仿宋" w:hAnsi="仿宋" w:eastAsia="仿宋" w:cs="仿宋"/>
          <w:bCs w:val="0"/>
          <w:sz w:val="28"/>
          <w:szCs w:val="28"/>
          <w:highlight w:val="none"/>
        </w:rPr>
      </w:pPr>
      <w:r>
        <w:rPr>
          <w:rFonts w:hint="eastAsia" w:ascii="仿宋" w:hAnsi="仿宋" w:eastAsia="仿宋" w:cs="仿宋"/>
          <w:bCs w:val="0"/>
          <w:sz w:val="28"/>
          <w:szCs w:val="28"/>
          <w:highlight w:val="none"/>
        </w:rPr>
        <w:t xml:space="preserve"> </w:t>
      </w: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rPr>
      </w:pPr>
    </w:p>
    <w:p>
      <w:pPr>
        <w:pageBreakBefore w:val="0"/>
        <w:tabs>
          <w:tab w:val="left" w:pos="760"/>
          <w:tab w:val="right" w:pos="8747"/>
        </w:tabs>
        <w:kinsoku/>
        <w:overflowPunct/>
        <w:topLinePunct w:val="0"/>
        <w:bidi w:val="0"/>
        <w:snapToGrid/>
        <w:spacing w:line="360" w:lineRule="auto"/>
        <w:ind w:right="120"/>
        <w:jc w:val="right"/>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年  月  日</w:t>
      </w:r>
    </w:p>
    <w:p>
      <w:pPr>
        <w:pageBreakBefore w:val="0"/>
        <w:kinsoku/>
        <w:overflowPunct/>
        <w:topLinePunct w:val="0"/>
        <w:bidi w:val="0"/>
        <w:snapToGrid/>
        <w:spacing w:line="360" w:lineRule="auto"/>
        <w:rPr>
          <w:rFonts w:hint="eastAsia" w:ascii="仿宋" w:hAnsi="仿宋" w:eastAsia="仿宋" w:cs="仿宋"/>
          <w:sz w:val="28"/>
          <w:szCs w:val="28"/>
          <w:highlight w:val="none"/>
        </w:rPr>
      </w:pPr>
    </w:p>
    <w:p>
      <w:pPr>
        <w:rPr>
          <w:rFonts w:hint="eastAsia" w:ascii="仿宋" w:hAnsi="仿宋" w:eastAsia="仿宋" w:cs="仿宋"/>
          <w:sz w:val="28"/>
          <w:szCs w:val="28"/>
          <w:highlight w:val="none"/>
        </w:rPr>
      </w:pPr>
      <w:bookmarkStart w:id="314" w:name="_Toc3028"/>
      <w:bookmarkStart w:id="315" w:name="_Toc14828"/>
      <w:r>
        <w:rPr>
          <w:rFonts w:hint="eastAsia" w:ascii="仿宋" w:hAnsi="仿宋" w:eastAsia="仿宋" w:cs="仿宋"/>
          <w:sz w:val="28"/>
          <w:szCs w:val="28"/>
          <w:highlight w:val="none"/>
        </w:rPr>
        <w:br w:type="page"/>
      </w:r>
      <w:bookmarkEnd w:id="314"/>
      <w:bookmarkEnd w:id="315"/>
    </w:p>
    <w:bookmarkEnd w:id="306"/>
    <w:bookmarkEnd w:id="307"/>
    <w:bookmarkEnd w:id="308"/>
    <w:bookmarkEnd w:id="309"/>
    <w:bookmarkEnd w:id="310"/>
    <w:bookmarkEnd w:id="311"/>
    <w:bookmarkEnd w:id="312"/>
    <w:bookmarkEnd w:id="313"/>
    <w:p>
      <w:pPr>
        <w:pStyle w:val="3"/>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16" w:name="_Toc6459"/>
      <w:bookmarkStart w:id="317" w:name="_Toc16991"/>
      <w:bookmarkStart w:id="318" w:name="_Toc4839"/>
      <w:bookmarkStart w:id="319" w:name="_Toc501386372"/>
      <w:bookmarkStart w:id="320" w:name="_Toc481499180"/>
      <w:bookmarkStart w:id="321" w:name="_Toc323129574"/>
      <w:bookmarkStart w:id="322" w:name="_Toc323130141"/>
      <w:bookmarkStart w:id="323" w:name="_Toc325620735"/>
      <w:bookmarkStart w:id="324" w:name="_Toc356491349"/>
      <w:bookmarkStart w:id="325" w:name="_Toc356490399"/>
      <w:r>
        <w:rPr>
          <w:rFonts w:hint="eastAsia" w:ascii="仿宋" w:hAnsi="仿宋" w:eastAsia="仿宋" w:cs="仿宋"/>
          <w:sz w:val="28"/>
          <w:szCs w:val="28"/>
          <w:highlight w:val="none"/>
        </w:rPr>
        <w:t>附件</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驾驶员情况</w:t>
      </w:r>
      <w:r>
        <w:rPr>
          <w:rFonts w:hint="eastAsia" w:ascii="仿宋" w:hAnsi="仿宋" w:eastAsia="仿宋" w:cs="仿宋"/>
          <w:sz w:val="28"/>
          <w:szCs w:val="28"/>
          <w:highlight w:val="none"/>
        </w:rPr>
        <w:t>一览表</w:t>
      </w:r>
      <w:bookmarkEnd w:id="316"/>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lang w:val="en-US" w:eastAsia="zh-CN"/>
        </w:rPr>
        <w:t>驾驶员情况</w:t>
      </w:r>
      <w:r>
        <w:rPr>
          <w:rFonts w:hint="eastAsia" w:ascii="仿宋" w:hAnsi="仿宋" w:eastAsia="仿宋" w:cs="仿宋"/>
          <w:sz w:val="28"/>
          <w:szCs w:val="28"/>
          <w:highlight w:val="none"/>
        </w:rPr>
        <w:t>一览表</w:t>
      </w:r>
    </w:p>
    <w:p>
      <w:pPr>
        <w:pageBreakBefore w:val="0"/>
        <w:tabs>
          <w:tab w:val="left" w:pos="0"/>
          <w:tab w:val="left" w:pos="720"/>
          <w:tab w:val="left" w:pos="1440"/>
          <w:tab w:val="left" w:pos="2160"/>
          <w:tab w:val="left" w:pos="2880"/>
          <w:tab w:val="left" w:pos="3600"/>
          <w:tab w:val="left" w:pos="4320"/>
        </w:tabs>
        <w:kinsoku/>
        <w:overflowPunct/>
        <w:topLinePunct w:val="0"/>
        <w:autoSpaceDE w:val="0"/>
        <w:autoSpaceDN w:val="0"/>
        <w:bidi w:val="0"/>
        <w:adjustRightInd w:val="0"/>
        <w:snapToGrid/>
        <w:spacing w:line="360" w:lineRule="auto"/>
        <w:rPr>
          <w:rFonts w:hint="eastAsia" w:ascii="仿宋" w:hAnsi="仿宋" w:eastAsia="仿宋" w:cs="仿宋"/>
          <w:bCs w:val="0"/>
          <w:sz w:val="28"/>
          <w:szCs w:val="28"/>
          <w:highlight w:val="none"/>
          <w:u w:val="single"/>
        </w:rPr>
      </w:pPr>
      <w:r>
        <w:rPr>
          <w:rFonts w:hint="eastAsia" w:ascii="仿宋" w:hAnsi="仿宋" w:eastAsia="仿宋" w:cs="仿宋"/>
          <w:bCs w:val="0"/>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rPr>
      </w:pPr>
      <w:r>
        <w:rPr>
          <w:rFonts w:hint="eastAsia" w:ascii="仿宋" w:hAnsi="仿宋" w:eastAsia="仿宋" w:cs="仿宋"/>
          <w:bCs/>
          <w:sz w:val="28"/>
          <w:szCs w:val="28"/>
          <w:highlight w:val="none"/>
        </w:rPr>
        <w:t xml:space="preserve">投标人名称：（公章）  法定代表人或授权代理人签字： </w:t>
      </w:r>
    </w:p>
    <w:p>
      <w:pPr>
        <w:pStyle w:val="14"/>
        <w:pageBreakBefore w:val="0"/>
        <w:kinsoku/>
        <w:overflowPunct/>
        <w:topLinePunct w:val="0"/>
        <w:bidi w:val="0"/>
        <w:snapToGrid/>
        <w:spacing w:line="360" w:lineRule="auto"/>
        <w:ind w:firstLine="0" w:firstLineChars="0"/>
        <w:rPr>
          <w:rFonts w:hint="eastAsia" w:ascii="仿宋" w:hAnsi="仿宋" w:eastAsia="仿宋" w:cs="仿宋"/>
          <w:bCs/>
          <w:sz w:val="28"/>
          <w:szCs w:val="28"/>
          <w:highlight w:val="none"/>
          <w:u w:val="single"/>
        </w:rPr>
      </w:pPr>
    </w:p>
    <w:tbl>
      <w:tblPr>
        <w:tblStyle w:val="35"/>
        <w:tblW w:w="99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3"/>
        <w:gridCol w:w="1100"/>
        <w:gridCol w:w="1118"/>
        <w:gridCol w:w="1179"/>
        <w:gridCol w:w="1722"/>
        <w:gridCol w:w="1079"/>
        <w:gridCol w:w="1639"/>
        <w:gridCol w:w="1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1073"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序号</w:t>
            </w:r>
          </w:p>
        </w:tc>
        <w:tc>
          <w:tcPr>
            <w:tcW w:w="1100"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姓名</w:t>
            </w:r>
          </w:p>
        </w:tc>
        <w:tc>
          <w:tcPr>
            <w:tcW w:w="1118"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性别</w:t>
            </w:r>
          </w:p>
        </w:tc>
        <w:tc>
          <w:tcPr>
            <w:tcW w:w="11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年龄</w:t>
            </w:r>
          </w:p>
        </w:tc>
        <w:tc>
          <w:tcPr>
            <w:tcW w:w="1722"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驾驶年限</w:t>
            </w:r>
          </w:p>
        </w:tc>
        <w:tc>
          <w:tcPr>
            <w:tcW w:w="107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职业证书</w:t>
            </w:r>
          </w:p>
        </w:tc>
        <w:tc>
          <w:tcPr>
            <w:tcW w:w="1639"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在本公司工作年限</w:t>
            </w:r>
          </w:p>
        </w:tc>
        <w:tc>
          <w:tcPr>
            <w:tcW w:w="1055" w:type="dxa"/>
            <w:vAlign w:val="center"/>
          </w:tcPr>
          <w:p>
            <w:pPr>
              <w:pageBreakBefore w:val="0"/>
              <w:tabs>
                <w:tab w:val="left" w:pos="720"/>
                <w:tab w:val="left" w:pos="1440"/>
                <w:tab w:val="left" w:pos="1620"/>
              </w:tabs>
              <w:kinsoku/>
              <w:overflowPunct/>
              <w:topLinePunct w:val="0"/>
              <w:bidi w:val="0"/>
              <w:snapToGrid/>
              <w:spacing w:line="360" w:lineRule="auto"/>
              <w:ind w:right="187"/>
              <w:jc w:val="center"/>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73"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00"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18"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1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722"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7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639"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c>
          <w:tcPr>
            <w:tcW w:w="1055" w:type="dxa"/>
          </w:tcPr>
          <w:p>
            <w:pPr>
              <w:pageBreakBefore w:val="0"/>
              <w:tabs>
                <w:tab w:val="left" w:pos="720"/>
                <w:tab w:val="left" w:pos="1440"/>
                <w:tab w:val="left" w:pos="1620"/>
              </w:tabs>
              <w:kinsoku/>
              <w:overflowPunct/>
              <w:topLinePunct w:val="0"/>
              <w:bidi w:val="0"/>
              <w:snapToGrid/>
              <w:spacing w:line="360" w:lineRule="auto"/>
              <w:ind w:right="187"/>
              <w:rPr>
                <w:rFonts w:hint="eastAsia" w:ascii="仿宋" w:hAnsi="仿宋" w:eastAsia="仿宋" w:cs="仿宋"/>
                <w:sz w:val="28"/>
                <w:szCs w:val="28"/>
                <w:highlight w:val="none"/>
              </w:rPr>
            </w:pPr>
          </w:p>
        </w:tc>
      </w:tr>
    </w:tbl>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说明：以上</w:t>
      </w:r>
      <w:r>
        <w:rPr>
          <w:rFonts w:hint="eastAsia" w:ascii="仿宋" w:hAnsi="仿宋" w:eastAsia="仿宋" w:cs="仿宋"/>
          <w:sz w:val="28"/>
          <w:szCs w:val="28"/>
          <w:highlight w:val="none"/>
          <w:lang w:val="en-US" w:eastAsia="zh-CN"/>
        </w:rPr>
        <w:t>人员资料</w:t>
      </w:r>
      <w:r>
        <w:rPr>
          <w:rFonts w:hint="eastAsia" w:ascii="仿宋" w:hAnsi="仿宋" w:eastAsia="仿宋" w:cs="仿宋"/>
          <w:sz w:val="28"/>
          <w:szCs w:val="28"/>
          <w:highlight w:val="none"/>
        </w:rPr>
        <w:t>须真实有效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后附驾驶证、社保缴纳证明材料</w:t>
      </w:r>
      <w:r>
        <w:rPr>
          <w:rFonts w:hint="eastAsia" w:ascii="仿宋" w:hAnsi="仿宋" w:eastAsia="仿宋" w:cs="仿宋"/>
          <w:sz w:val="28"/>
          <w:szCs w:val="28"/>
          <w:highlight w:val="none"/>
        </w:rPr>
        <w:t>。</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p>
    <w:p>
      <w:pPr>
        <w:pageBreakBefore w:val="0"/>
        <w:kinsoku/>
        <w:overflowPunct/>
        <w:topLinePunct w:val="0"/>
        <w:bidi w:val="0"/>
        <w:snapToGrid/>
        <w:spacing w:line="360" w:lineRule="auto"/>
        <w:jc w:val="right"/>
        <w:rPr>
          <w:rFonts w:hint="eastAsia" w:ascii="仿宋" w:hAnsi="仿宋" w:eastAsia="仿宋" w:cs="仿宋"/>
          <w:sz w:val="28"/>
          <w:szCs w:val="28"/>
          <w:highlight w:val="none"/>
        </w:rPr>
      </w:pPr>
      <w:r>
        <w:rPr>
          <w:rFonts w:hint="eastAsia" w:ascii="仿宋" w:hAnsi="仿宋" w:eastAsia="仿宋" w:cs="仿宋"/>
          <w:sz w:val="28"/>
          <w:szCs w:val="28"/>
          <w:highlight w:val="none"/>
        </w:rPr>
        <w:t>年    月    日</w:t>
      </w:r>
    </w:p>
    <w:p>
      <w:pPr>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p>
      <w:pPr>
        <w:pStyle w:val="3"/>
        <w:pageBreakBefore w:val="0"/>
        <w:kinsoku/>
        <w:overflowPunct/>
        <w:topLinePunct w:val="0"/>
        <w:bidi w:val="0"/>
        <w:snapToGrid/>
        <w:spacing w:line="360" w:lineRule="auto"/>
        <w:rPr>
          <w:rFonts w:hint="eastAsia" w:ascii="仿宋" w:hAnsi="仿宋" w:eastAsia="仿宋" w:cs="仿宋"/>
          <w:sz w:val="28"/>
          <w:szCs w:val="28"/>
          <w:highlight w:val="none"/>
          <w:lang w:val="en-US" w:eastAsia="zh-CN"/>
        </w:rPr>
      </w:pPr>
      <w:bookmarkStart w:id="326" w:name="_Toc21833"/>
      <w:r>
        <w:rPr>
          <w:rFonts w:hint="eastAsia" w:ascii="仿宋" w:hAnsi="仿宋" w:eastAsia="仿宋" w:cs="仿宋"/>
          <w:sz w:val="28"/>
          <w:szCs w:val="28"/>
          <w:highlight w:val="none"/>
        </w:rPr>
        <w:t>附件</w:t>
      </w:r>
      <w:r>
        <w:rPr>
          <w:rFonts w:hint="eastAsia" w:ascii="仿宋" w:hAnsi="仿宋" w:eastAsia="仿宋" w:cs="仿宋"/>
          <w:sz w:val="28"/>
          <w:szCs w:val="28"/>
          <w:highlight w:val="none"/>
          <w:lang w:eastAsia="zh-CN"/>
        </w:rPr>
        <w:t>九</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政策功能体现</w:t>
      </w:r>
      <w:bookmarkEnd w:id="317"/>
      <w:bookmarkEnd w:id="318"/>
      <w:bookmarkEnd w:id="326"/>
    </w:p>
    <w:p>
      <w:pPr>
        <w:pageBreakBefore w:val="0"/>
        <w:kinsoku/>
        <w:overflowPunct/>
        <w:topLinePunct w:val="0"/>
        <w:bidi w:val="0"/>
        <w:snapToGrid/>
        <w:spacing w:line="360" w:lineRule="auto"/>
        <w:jc w:val="center"/>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（一）中小企业声明函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本公司（联合体）郑重声明，根据《政府采购促进中小企业发展管理办法》（财库﹝2020﹞46号）的规定，本公司（联合体）参加</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（单位名称）的</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（项目名称）采购活动，提供的货物全部由符合政策要求的中小企业制造。相关企业（含联合体中的中小企业、签订分包意向协议的中小企业）的具体情况如下：</w:t>
      </w:r>
    </w:p>
    <w:p>
      <w:pPr>
        <w:pStyle w:val="134"/>
        <w:pageBreakBefore w:val="0"/>
        <w:numPr>
          <w:ilvl w:val="0"/>
          <w:numId w:val="5"/>
        </w:numPr>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（标的名称），属于</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（采购文件中明确的所属行业）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 xml:space="preserve">万元，资产总额为 </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万元1，属于（中型企业、小型企业、微型企业）；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2.（标的名称），属于（采购文件中明确的所属行业）行业；制造商为（企业名称），从业人员</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人，营业收入为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万元，资产总额为</w:t>
      </w:r>
      <w:r>
        <w:rPr>
          <w:rFonts w:hint="eastAsia" w:ascii="仿宋" w:hAnsi="仿宋" w:eastAsia="仿宋" w:cs="仿宋"/>
          <w:kern w:val="0"/>
          <w:sz w:val="28"/>
          <w:szCs w:val="28"/>
          <w:highlight w:val="none"/>
          <w:u w:val="single"/>
        </w:rPr>
        <w:t xml:space="preserve">  </w:t>
      </w:r>
      <w:r>
        <w:rPr>
          <w:rFonts w:hint="eastAsia" w:ascii="仿宋" w:hAnsi="仿宋" w:eastAsia="仿宋" w:cs="仿宋"/>
          <w:kern w:val="0"/>
          <w:sz w:val="28"/>
          <w:szCs w:val="28"/>
          <w:highlight w:val="none"/>
        </w:rPr>
        <w:t>万元，属于（中型企业、小型企业、微型企业）；</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以上企业，不属于大企业的分支机构，不存在控股股东为大企业的情形，也不存在与大企业的负责人为同一人的情形。</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本企业对上述声明内容的真实性负责。如有虚假，将依法承担相应责任。</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企业名称： </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xml:space="preserve">日 期：   </w:t>
      </w:r>
    </w:p>
    <w:p>
      <w:pPr>
        <w:pStyle w:val="134"/>
        <w:pageBreakBefore w:val="0"/>
        <w:kinsoku/>
        <w:overflowPunct/>
        <w:topLinePunct w:val="0"/>
        <w:bidi w:val="0"/>
        <w:snapToGrid/>
        <w:spacing w:after="200" w:line="360" w:lineRule="auto"/>
        <w:jc w:val="left"/>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　　1从业人员、营业收入、资产总额填报上一年度数据，无上一年度数据的新成立企业可不填报。</w:t>
      </w:r>
    </w:p>
    <w:p>
      <w:pPr>
        <w:pStyle w:val="134"/>
        <w:pageBreakBefore w:val="0"/>
        <w:kinsoku/>
        <w:overflowPunct/>
        <w:topLinePunct w:val="0"/>
        <w:bidi w:val="0"/>
        <w:snapToGrid/>
        <w:spacing w:after="200" w:line="360" w:lineRule="auto"/>
        <w:jc w:val="center"/>
        <w:rPr>
          <w:rFonts w:hint="eastAsia" w:ascii="仿宋" w:hAnsi="仿宋" w:eastAsia="仿宋" w:cs="仿宋"/>
          <w:b/>
          <w:kern w:val="0"/>
          <w:sz w:val="28"/>
          <w:szCs w:val="28"/>
          <w:highlight w:val="none"/>
        </w:rPr>
      </w:pPr>
      <w:r>
        <w:rPr>
          <w:rFonts w:hint="eastAsia" w:ascii="仿宋" w:hAnsi="仿宋" w:eastAsia="仿宋" w:cs="仿宋"/>
          <w:sz w:val="28"/>
          <w:szCs w:val="28"/>
          <w:highlight w:val="none"/>
        </w:rPr>
        <w:br w:type="page"/>
      </w:r>
      <w:r>
        <w:rPr>
          <w:rFonts w:hint="eastAsia" w:ascii="仿宋" w:hAnsi="仿宋" w:eastAsia="仿宋" w:cs="仿宋"/>
          <w:b/>
          <w:kern w:val="0"/>
          <w:sz w:val="28"/>
          <w:szCs w:val="28"/>
          <w:highlight w:val="none"/>
        </w:rPr>
        <w:t>（二）  残疾人福利性单位声明函</w:t>
      </w:r>
    </w:p>
    <w:p>
      <w:pPr>
        <w:pStyle w:val="134"/>
        <w:pageBreakBefore w:val="0"/>
        <w:kinsoku/>
        <w:overflowPunct/>
        <w:topLinePunct w:val="0"/>
        <w:bidi w:val="0"/>
        <w:snapToGrid/>
        <w:spacing w:after="200" w:line="360" w:lineRule="auto"/>
        <w:ind w:firstLine="567"/>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r>
        <w:rPr>
          <w:rFonts w:hint="eastAsia" w:ascii="仿宋" w:hAnsi="仿宋" w:eastAsia="仿宋" w:cs="仿宋"/>
          <w:kern w:val="0"/>
          <w:sz w:val="28"/>
          <w:szCs w:val="28"/>
          <w:highlight w:val="none"/>
        </w:rPr>
        <w:t>本单位对上述声明的真实性负责。如有虚假，将依法承担相应责任。</w:t>
      </w:r>
    </w:p>
    <w:p>
      <w:pPr>
        <w:pStyle w:val="134"/>
        <w:pageBreakBefore w:val="0"/>
        <w:kinsoku/>
        <w:overflowPunct/>
        <w:topLinePunct w:val="0"/>
        <w:bidi w:val="0"/>
        <w:snapToGrid/>
        <w:spacing w:after="200" w:line="360" w:lineRule="auto"/>
        <w:ind w:left="1260" w:leftChars="257" w:hanging="540"/>
        <w:rPr>
          <w:rFonts w:hint="eastAsia" w:ascii="仿宋" w:hAnsi="仿宋" w:eastAsia="仿宋" w:cs="仿宋"/>
          <w:kern w:val="0"/>
          <w:sz w:val="28"/>
          <w:szCs w:val="28"/>
          <w:highlight w:val="none"/>
        </w:rPr>
      </w:pPr>
    </w:p>
    <w:p>
      <w:pPr>
        <w:pageBreakBefore w:val="0"/>
        <w:kinsoku/>
        <w:overflowPunct/>
        <w:topLinePunct w:val="0"/>
        <w:bidi w:val="0"/>
        <w:snapToGrid/>
        <w:spacing w:line="360" w:lineRule="auto"/>
        <w:ind w:right="720"/>
        <w:jc w:val="center"/>
        <w:rPr>
          <w:rFonts w:hint="eastAsia" w:ascii="仿宋" w:hAnsi="仿宋" w:eastAsia="仿宋" w:cs="仿宋"/>
          <w:b/>
          <w:sz w:val="28"/>
          <w:szCs w:val="28"/>
          <w:highlight w:val="none"/>
        </w:rPr>
      </w:pPr>
      <w:r>
        <w:rPr>
          <w:rFonts w:hint="eastAsia" w:ascii="仿宋" w:hAnsi="仿宋" w:eastAsia="仿宋" w:cs="仿宋"/>
          <w:b/>
          <w:sz w:val="28"/>
          <w:szCs w:val="28"/>
          <w:highlight w:val="none"/>
        </w:rPr>
        <w:t>（三）省级以上监狱管理局、戒毒管理局（含新疆生产建设兵团） 出具的属于监狱企业的证明文件复印件</w:t>
      </w:r>
    </w:p>
    <w:p>
      <w:pPr>
        <w:pageBreakBefore w:val="0"/>
        <w:kinsoku/>
        <w:overflowPunct/>
        <w:topLinePunct w:val="0"/>
        <w:bidi w:val="0"/>
        <w:snapToGrid/>
        <w:spacing w:line="36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br w:type="page"/>
      </w:r>
    </w:p>
    <w:bookmarkEnd w:id="319"/>
    <w:bookmarkEnd w:id="320"/>
    <w:p>
      <w:pPr>
        <w:pStyle w:val="3"/>
        <w:pageBreakBefore w:val="0"/>
        <w:kinsoku/>
        <w:overflowPunct/>
        <w:topLinePunct w:val="0"/>
        <w:bidi w:val="0"/>
        <w:snapToGrid/>
        <w:spacing w:line="360" w:lineRule="auto"/>
        <w:ind w:right="480"/>
        <w:rPr>
          <w:rFonts w:hint="eastAsia" w:ascii="仿宋" w:hAnsi="仿宋" w:eastAsia="仿宋" w:cs="仿宋"/>
          <w:sz w:val="28"/>
          <w:szCs w:val="28"/>
          <w:highlight w:val="none"/>
        </w:rPr>
      </w:pPr>
      <w:bookmarkStart w:id="327" w:name="_Toc28370"/>
      <w:bookmarkStart w:id="328" w:name="_Toc25915"/>
      <w:bookmarkStart w:id="329" w:name="_Toc15273"/>
      <w:r>
        <w:rPr>
          <w:rFonts w:hint="eastAsia" w:ascii="仿宋" w:hAnsi="仿宋" w:eastAsia="仿宋" w:cs="仿宋"/>
          <w:sz w:val="28"/>
          <w:szCs w:val="28"/>
          <w:highlight w:val="none"/>
        </w:rPr>
        <w:t>附件</w:t>
      </w:r>
      <w:bookmarkEnd w:id="321"/>
      <w:bookmarkEnd w:id="322"/>
      <w:r>
        <w:rPr>
          <w:rFonts w:hint="eastAsia" w:ascii="仿宋" w:hAnsi="仿宋" w:eastAsia="仿宋" w:cs="仿宋"/>
          <w:sz w:val="28"/>
          <w:szCs w:val="28"/>
          <w:highlight w:val="none"/>
        </w:rPr>
        <w:t>十：封面格</w:t>
      </w:r>
      <w:bookmarkEnd w:id="323"/>
      <w:r>
        <w:rPr>
          <w:rFonts w:hint="eastAsia" w:ascii="仿宋" w:hAnsi="仿宋" w:eastAsia="仿宋" w:cs="仿宋"/>
          <w:sz w:val="28"/>
          <w:szCs w:val="28"/>
          <w:highlight w:val="none"/>
        </w:rPr>
        <w:t>式</w:t>
      </w:r>
      <w:bookmarkEnd w:id="324"/>
      <w:bookmarkEnd w:id="325"/>
      <w:bookmarkEnd w:id="327"/>
      <w:bookmarkEnd w:id="328"/>
      <w:bookmarkEnd w:id="329"/>
    </w:p>
    <w:tbl>
      <w:tblPr>
        <w:tblStyle w:val="35"/>
        <w:tblpPr w:leftFromText="180" w:rightFromText="180" w:vertAnchor="text" w:horzAnchor="margin" w:tblpXSpec="center" w:tblpY="704"/>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1"/>
        <w:gridCol w:w="4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3" w:hRule="atLeast"/>
          <w:jc w:val="center"/>
        </w:trPr>
        <w:tc>
          <w:tcPr>
            <w:tcW w:w="4151"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（正本）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项目编号：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626" w:type="dxa"/>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投标文件</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（副本）</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1433" w:tblpY="5423"/>
        <w:tblW w:w="8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3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1" w:hRule="atLeast"/>
          <w:jc w:val="center"/>
        </w:trPr>
        <w:tc>
          <w:tcPr>
            <w:tcW w:w="4237"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报价一览表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c>
          <w:tcPr>
            <w:tcW w:w="4721" w:type="dxa"/>
            <w:tcBorders>
              <w:bottom w:val="single" w:color="auto" w:sz="4" w:space="0"/>
            </w:tcBorders>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电子版投标文件（Word及PDF两种格式）              </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项目编号：</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项目名称：</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投标人名称（公章）：</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地址：</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电话：</w:t>
            </w:r>
          </w:p>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传真：</w:t>
            </w:r>
          </w:p>
        </w:tc>
      </w:tr>
    </w:tbl>
    <w:p>
      <w:pPr>
        <w:pageBreakBefore w:val="0"/>
        <w:kinsoku/>
        <w:overflowPunct/>
        <w:topLinePunct w:val="0"/>
        <w:bidi w:val="0"/>
        <w:snapToGrid/>
        <w:spacing w:line="360" w:lineRule="auto"/>
        <w:rPr>
          <w:rFonts w:hint="eastAsia" w:ascii="仿宋" w:hAnsi="仿宋" w:eastAsia="仿宋" w:cs="仿宋"/>
          <w:vanish/>
          <w:sz w:val="28"/>
          <w:szCs w:val="28"/>
          <w:highlight w:val="none"/>
        </w:rPr>
      </w:pPr>
    </w:p>
    <w:tbl>
      <w:tblPr>
        <w:tblStyle w:val="35"/>
        <w:tblpPr w:leftFromText="180" w:rightFromText="180" w:vertAnchor="text" w:horzAnchor="page" w:tblpX="818" w:tblpY="10253"/>
        <w:tblW w:w="10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0188" w:type="dxa"/>
            <w:tcBorders>
              <w:bottom w:val="single" w:color="auto" w:sz="4" w:space="0"/>
            </w:tcBorders>
            <w:vAlign w:val="center"/>
          </w:tcPr>
          <w:p>
            <w:pPr>
              <w:pStyle w:val="14"/>
              <w:pageBreakBefore w:val="0"/>
              <w:kinsoku/>
              <w:overflowPunct/>
              <w:topLinePunct w:val="0"/>
              <w:bidi w:val="0"/>
              <w:snapToGrid/>
              <w:spacing w:line="360" w:lineRule="auto"/>
              <w:ind w:firstLine="0" w:firstLineChars="0"/>
              <w:rPr>
                <w:rFonts w:hint="eastAsia" w:ascii="仿宋" w:hAnsi="仿宋" w:eastAsia="仿宋" w:cs="仿宋"/>
                <w:sz w:val="28"/>
                <w:szCs w:val="28"/>
                <w:highlight w:val="none"/>
              </w:rPr>
            </w:pPr>
            <w:r>
              <w:rPr>
                <w:rFonts w:hint="eastAsia" w:ascii="仿宋" w:hAnsi="仿宋" w:eastAsia="仿宋" w:cs="仿宋"/>
                <w:sz w:val="28"/>
                <w:szCs w:val="28"/>
                <w:highlight w:val="none"/>
              </w:rPr>
              <w:t>……………………于   年  月  日   时之前不准启封（公章）…………………</w:t>
            </w:r>
          </w:p>
        </w:tc>
      </w:tr>
    </w:tbl>
    <w:p>
      <w:pPr>
        <w:pStyle w:val="14"/>
        <w:pageBreakBefore w:val="0"/>
        <w:kinsoku/>
        <w:overflowPunct/>
        <w:topLinePunct w:val="0"/>
        <w:bidi w:val="0"/>
        <w:snapToGrid/>
        <w:spacing w:line="360" w:lineRule="auto"/>
        <w:ind w:firstLine="0" w:firstLineChars="0"/>
        <w:jc w:val="center"/>
        <w:rPr>
          <w:rFonts w:hint="eastAsia" w:ascii="仿宋" w:hAnsi="仿宋" w:eastAsia="仿宋" w:cs="仿宋"/>
          <w:sz w:val="28"/>
          <w:szCs w:val="28"/>
          <w:highlight w:val="none"/>
        </w:rPr>
      </w:pPr>
      <w:r>
        <w:rPr>
          <w:rFonts w:hint="eastAsia" w:ascii="仿宋" w:hAnsi="仿宋" w:eastAsia="仿宋" w:cs="仿宋"/>
          <w:bCs/>
          <w:sz w:val="28"/>
          <w:szCs w:val="28"/>
          <w:highlight w:val="none"/>
        </w:rPr>
        <w:t>投标文件封面格式</w:t>
      </w:r>
    </w:p>
    <w:sectPr>
      <w:headerReference r:id="rId4" w:type="first"/>
      <w:headerReference r:id="rId3" w:type="default"/>
      <w:footerReference r:id="rId5" w:type="default"/>
      <w:footerReference r:id="rId6" w:type="even"/>
      <w:type w:val="nextColumn"/>
      <w:pgSz w:w="11907" w:h="16840"/>
      <w:pgMar w:top="1247" w:right="1622" w:bottom="1418" w:left="1418" w:header="851" w:footer="992"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仿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603F01FF" w:csb1="FFFF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right="360" w:firstLine="4860" w:firstLineChars="270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63245" cy="139700"/>
              <wp:effectExtent l="0" t="0" r="0" b="0"/>
              <wp:wrapNone/>
              <wp:docPr id="2" name="4098"/>
              <wp:cNvGraphicFramePr/>
              <a:graphic xmlns:a="http://schemas.openxmlformats.org/drawingml/2006/main">
                <a:graphicData uri="http://schemas.microsoft.com/office/word/2010/wordprocessingShape">
                  <wps:wsp>
                    <wps:cNvSpPr txBox="1"/>
                    <wps:spPr>
                      <a:xfrm>
                        <a:off x="0" y="0"/>
                        <a:ext cx="563245" cy="139700"/>
                      </a:xfrm>
                      <a:prstGeom prst="rect">
                        <a:avLst/>
                      </a:prstGeom>
                      <a:noFill/>
                      <a:ln>
                        <a:noFill/>
                      </a:ln>
                    </wps:spPr>
                    <wps:txbx>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wps:txbx>
                    <wps:bodyPr lIns="0" tIns="0" rIns="0" bIns="0" upright="1">
                      <a:spAutoFit/>
                    </wps:bodyPr>
                  </wps:wsp>
                </a:graphicData>
              </a:graphic>
            </wp:anchor>
          </w:drawing>
        </mc:Choice>
        <mc:Fallback>
          <w:pict>
            <v:shape id="4098" o:spid="_x0000_s1026" o:spt="202" type="#_x0000_t202" style="position:absolute;left:0pt;margin-top:0pt;height:11pt;width:44.35pt;mso-position-horizontal:center;mso-position-horizontal-relative:margin;z-index:251659264;mso-width-relative:page;mso-height-relative:page;" filled="f" stroked="f" coordsize="21600,21600" o:gfxdata="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eevTR&#10;AAAAAwEAAA8AAAAAAAAAAQAgAAAAIgAAAGRycy9kb3ducmV2LnhtbFBLAQIUABQAAAAIAIdO4kAN&#10;OzhetQEAAIQDAAAOAAAAAAAAAAEAIAAAACABAABkcnMvZTJvRG9jLnhtbFBLBQYAAAAABgAGAFkB&#10;AABHBQAAAAA=&#10;">
              <v:fill on="f" focussize="0,0"/>
              <v:stroke on="f"/>
              <v:imagedata o:title=""/>
              <o:lock v:ext="edit" aspectratio="f"/>
              <v:textbox inset="0mm,0mm,0mm,0mm" style="mso-fit-shape-to-text:t;">
                <w:txbxContent>
                  <w:p>
                    <w:pPr>
                      <w:pStyle w:val="22"/>
                      <w:ind w:right="360"/>
                      <w:jc w:val="both"/>
                    </w:pPr>
                    <w:r>
                      <w:fldChar w:fldCharType="begin"/>
                    </w:r>
                    <w:r>
                      <w:rPr>
                        <w:rStyle w:val="39"/>
                      </w:rPr>
                      <w:instrText xml:space="preserve"> PAGE </w:instrText>
                    </w:r>
                    <w:r>
                      <w:fldChar w:fldCharType="separate"/>
                    </w:r>
                    <w:r>
                      <w:rPr>
                        <w:rStyle w:val="39"/>
                      </w:rPr>
                      <w:t>53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framePr w:wrap="around" w:vAnchor="text" w:hAnchor="margin" w:xAlign="center" w:y="1"/>
      <w:rPr>
        <w:rStyle w:val="39"/>
      </w:rPr>
    </w:pPr>
    <w:r>
      <w:fldChar w:fldCharType="begin"/>
    </w:r>
    <w:r>
      <w:rPr>
        <w:rStyle w:val="39"/>
      </w:rPr>
      <w:instrText xml:space="preserve">PAGE  </w:instrText>
    </w:r>
    <w:r>
      <w:fldChar w:fldCharType="separate"/>
    </w:r>
    <w:r>
      <w:rPr>
        <w:rStyle w:val="39"/>
      </w:rPr>
      <w:t>32</w:t>
    </w:r>
    <w:r>
      <w:fldChar w:fldCharType="end"/>
    </w:r>
  </w:p>
  <w:p>
    <w:pPr>
      <w:pStyle w:val="2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rFonts w:hint="eastAsia"/>
        <w:kern w:val="0"/>
        <w:szCs w:val="21"/>
      </w:rPr>
      <w:t>山东鲁育招标有限公司                                                                   SDJZ2006-11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
      <w:suff w:val="space"/>
      <w:lvlText w:val="%1."/>
      <w:lvlJc w:val="left"/>
    </w:lvl>
  </w:abstractNum>
  <w:abstractNum w:abstractNumId="1">
    <w:nsid w:val="00000002"/>
    <w:multiLevelType w:val="multilevel"/>
    <w:tmpl w:val="00000002"/>
    <w:lvl w:ilvl="0" w:tentative="0">
      <w:start w:val="1"/>
      <w:numFmt w:val="upperLetter"/>
      <w:lvlText w:val="%1．"/>
      <w:lvlJc w:val="left"/>
      <w:pPr>
        <w:tabs>
          <w:tab w:val="left" w:pos="360"/>
        </w:tabs>
        <w:ind w:left="360" w:hanging="360"/>
      </w:pPr>
    </w:lvl>
    <w:lvl w:ilvl="1" w:tentative="0">
      <w:start w:val="1"/>
      <w:numFmt w:val="decimal"/>
      <w:pStyle w:val="138"/>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00000003"/>
    <w:multiLevelType w:val="singleLevel"/>
    <w:tmpl w:val="00000003"/>
    <w:lvl w:ilvl="0" w:tentative="0">
      <w:start w:val="2"/>
      <w:numFmt w:val="decimal"/>
      <w:suff w:val="nothing"/>
      <w:lvlText w:val="%1．"/>
      <w:lvlJc w:val="left"/>
    </w:lvl>
  </w:abstractNum>
  <w:abstractNum w:abstractNumId="3">
    <w:nsid w:val="104DA8C3"/>
    <w:multiLevelType w:val="singleLevel"/>
    <w:tmpl w:val="104DA8C3"/>
    <w:lvl w:ilvl="0" w:tentative="0">
      <w:start w:val="7"/>
      <w:numFmt w:val="decimal"/>
      <w:lvlText w:val="（%1）"/>
      <w:lvlJc w:val="left"/>
    </w:lvl>
  </w:abstractNum>
  <w:abstractNum w:abstractNumId="4">
    <w:nsid w:val="4141A360"/>
    <w:multiLevelType w:val="singleLevel"/>
    <w:tmpl w:val="4141A360"/>
    <w:lvl w:ilvl="0" w:tentative="0">
      <w:start w:val="4"/>
      <w:numFmt w:val="chineseCounting"/>
      <w:suff w:val="nothing"/>
      <w:lvlText w:val="%1、"/>
      <w:lvlJc w:val="left"/>
      <w:rPr>
        <w:rFonts w:hint="eastAsi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61"/>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3ZTE1NzFkOGE0OTI3NmM1YzYyYTMwOWExMzE1YzAifQ=="/>
  </w:docVars>
  <w:rsids>
    <w:rsidRoot w:val="00000000"/>
    <w:rsid w:val="019D6E99"/>
    <w:rsid w:val="02087C93"/>
    <w:rsid w:val="03C230FA"/>
    <w:rsid w:val="03CF75C5"/>
    <w:rsid w:val="06C300CF"/>
    <w:rsid w:val="06C46946"/>
    <w:rsid w:val="07117EF5"/>
    <w:rsid w:val="07245E7A"/>
    <w:rsid w:val="074D53D1"/>
    <w:rsid w:val="07BB058C"/>
    <w:rsid w:val="103A226A"/>
    <w:rsid w:val="104135F9"/>
    <w:rsid w:val="10A03E45"/>
    <w:rsid w:val="10A06571"/>
    <w:rsid w:val="10F845FF"/>
    <w:rsid w:val="11A201F3"/>
    <w:rsid w:val="11A47C97"/>
    <w:rsid w:val="11A76D89"/>
    <w:rsid w:val="12D944CF"/>
    <w:rsid w:val="132C05F4"/>
    <w:rsid w:val="13B379B4"/>
    <w:rsid w:val="14380601"/>
    <w:rsid w:val="14821A8F"/>
    <w:rsid w:val="14D304E4"/>
    <w:rsid w:val="15F64E85"/>
    <w:rsid w:val="1698613C"/>
    <w:rsid w:val="18055854"/>
    <w:rsid w:val="1844012A"/>
    <w:rsid w:val="18B221DE"/>
    <w:rsid w:val="18C82B09"/>
    <w:rsid w:val="18D34C06"/>
    <w:rsid w:val="196000D6"/>
    <w:rsid w:val="198F6D1B"/>
    <w:rsid w:val="1A534654"/>
    <w:rsid w:val="1B171C0D"/>
    <w:rsid w:val="1CCC4B92"/>
    <w:rsid w:val="1D7F510F"/>
    <w:rsid w:val="1D93255E"/>
    <w:rsid w:val="1E3E561C"/>
    <w:rsid w:val="1ECB4803"/>
    <w:rsid w:val="1F813C57"/>
    <w:rsid w:val="205F6C2C"/>
    <w:rsid w:val="21561C90"/>
    <w:rsid w:val="218C01C9"/>
    <w:rsid w:val="21B505B9"/>
    <w:rsid w:val="222B126F"/>
    <w:rsid w:val="245C7A0E"/>
    <w:rsid w:val="24B65F0C"/>
    <w:rsid w:val="253908EB"/>
    <w:rsid w:val="261E020C"/>
    <w:rsid w:val="271E5FEA"/>
    <w:rsid w:val="275F28DE"/>
    <w:rsid w:val="276E0D20"/>
    <w:rsid w:val="28FD1C67"/>
    <w:rsid w:val="29802E47"/>
    <w:rsid w:val="2AD54A8F"/>
    <w:rsid w:val="2D5F3DB9"/>
    <w:rsid w:val="2E2959A0"/>
    <w:rsid w:val="2FFD76AF"/>
    <w:rsid w:val="30401BC6"/>
    <w:rsid w:val="31895EB4"/>
    <w:rsid w:val="34FA1E45"/>
    <w:rsid w:val="35CE6568"/>
    <w:rsid w:val="37A662B4"/>
    <w:rsid w:val="38EC7CF6"/>
    <w:rsid w:val="3B765F9D"/>
    <w:rsid w:val="3C8B3A61"/>
    <w:rsid w:val="3DB073E4"/>
    <w:rsid w:val="3DF8230B"/>
    <w:rsid w:val="402F33DB"/>
    <w:rsid w:val="4130318A"/>
    <w:rsid w:val="41661694"/>
    <w:rsid w:val="41934623"/>
    <w:rsid w:val="41A4178F"/>
    <w:rsid w:val="43633BE8"/>
    <w:rsid w:val="45DB35CC"/>
    <w:rsid w:val="46207231"/>
    <w:rsid w:val="4678706D"/>
    <w:rsid w:val="4685665D"/>
    <w:rsid w:val="480230FF"/>
    <w:rsid w:val="483D65D3"/>
    <w:rsid w:val="489932CB"/>
    <w:rsid w:val="48D4574A"/>
    <w:rsid w:val="490270C2"/>
    <w:rsid w:val="49A10689"/>
    <w:rsid w:val="4D4024B4"/>
    <w:rsid w:val="4D537EEC"/>
    <w:rsid w:val="4DF72F6D"/>
    <w:rsid w:val="4E3B5550"/>
    <w:rsid w:val="4E7410C1"/>
    <w:rsid w:val="4EC0626E"/>
    <w:rsid w:val="520B2118"/>
    <w:rsid w:val="528C45CC"/>
    <w:rsid w:val="52E542AE"/>
    <w:rsid w:val="534D3630"/>
    <w:rsid w:val="5402346B"/>
    <w:rsid w:val="55173EF5"/>
    <w:rsid w:val="55370A68"/>
    <w:rsid w:val="55A21A11"/>
    <w:rsid w:val="561E2732"/>
    <w:rsid w:val="56A252C4"/>
    <w:rsid w:val="589B3A74"/>
    <w:rsid w:val="598D29D8"/>
    <w:rsid w:val="5C4D5397"/>
    <w:rsid w:val="5D3A2E77"/>
    <w:rsid w:val="5D473D9D"/>
    <w:rsid w:val="5DC32E6C"/>
    <w:rsid w:val="5DCD5A99"/>
    <w:rsid w:val="5E897C12"/>
    <w:rsid w:val="5EA2474E"/>
    <w:rsid w:val="61730705"/>
    <w:rsid w:val="61C827FF"/>
    <w:rsid w:val="625F5C90"/>
    <w:rsid w:val="64DF4A2F"/>
    <w:rsid w:val="654C1557"/>
    <w:rsid w:val="65DF668D"/>
    <w:rsid w:val="66074A48"/>
    <w:rsid w:val="669453A6"/>
    <w:rsid w:val="67E265E5"/>
    <w:rsid w:val="68A8549B"/>
    <w:rsid w:val="69726E45"/>
    <w:rsid w:val="69A63E65"/>
    <w:rsid w:val="6B2A0087"/>
    <w:rsid w:val="6B6724DB"/>
    <w:rsid w:val="6BF479FF"/>
    <w:rsid w:val="6DC03BEE"/>
    <w:rsid w:val="6E191173"/>
    <w:rsid w:val="6E443B66"/>
    <w:rsid w:val="716E408B"/>
    <w:rsid w:val="72562B96"/>
    <w:rsid w:val="73853781"/>
    <w:rsid w:val="742D6E39"/>
    <w:rsid w:val="75A94A0E"/>
    <w:rsid w:val="76794690"/>
    <w:rsid w:val="770228EB"/>
    <w:rsid w:val="7AEB4B06"/>
    <w:rsid w:val="7BB8348D"/>
    <w:rsid w:val="7C326CDE"/>
    <w:rsid w:val="7D951B20"/>
    <w:rsid w:val="7F2672B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bCs/>
      <w:kern w:val="2"/>
      <w:sz w:val="28"/>
      <w:szCs w:val="24"/>
      <w:lang w:val="en-US" w:eastAsia="zh-CN" w:bidi="ar-SA"/>
    </w:rPr>
  </w:style>
  <w:style w:type="paragraph" w:styleId="2">
    <w:name w:val="heading 1"/>
    <w:basedOn w:val="1"/>
    <w:next w:val="1"/>
    <w:link w:val="64"/>
    <w:qFormat/>
    <w:uiPriority w:val="0"/>
    <w:pPr>
      <w:keepNext/>
      <w:keepLines/>
      <w:spacing w:line="360" w:lineRule="auto"/>
      <w:jc w:val="center"/>
      <w:outlineLvl w:val="0"/>
    </w:pPr>
    <w:rPr>
      <w:b/>
      <w:kern w:val="44"/>
      <w:sz w:val="36"/>
      <w:szCs w:val="44"/>
    </w:rPr>
  </w:style>
  <w:style w:type="paragraph" w:styleId="3">
    <w:name w:val="heading 2"/>
    <w:basedOn w:val="1"/>
    <w:next w:val="1"/>
    <w:link w:val="67"/>
    <w:qFormat/>
    <w:uiPriority w:val="0"/>
    <w:pPr>
      <w:widowControl/>
      <w:spacing w:beforeAutospacing="1" w:afterAutospacing="1"/>
      <w:jc w:val="left"/>
      <w:outlineLvl w:val="1"/>
    </w:pPr>
    <w:rPr>
      <w:rFonts w:hAnsi="宋体"/>
      <w:b/>
      <w:kern w:val="0"/>
      <w:szCs w:val="36"/>
    </w:rPr>
  </w:style>
  <w:style w:type="paragraph" w:styleId="4">
    <w:name w:val="heading 3"/>
    <w:basedOn w:val="1"/>
    <w:next w:val="1"/>
    <w:link w:val="73"/>
    <w:qFormat/>
    <w:uiPriority w:val="0"/>
    <w:pPr>
      <w:keepNext/>
      <w:keepLines/>
      <w:spacing w:line="416" w:lineRule="auto"/>
      <w:jc w:val="left"/>
      <w:outlineLvl w:val="2"/>
    </w:pPr>
    <w:rPr>
      <w:rFonts w:ascii="Times New Roman" w:eastAsia="黑体"/>
      <w:sz w:val="24"/>
      <w:szCs w:val="32"/>
    </w:rPr>
  </w:style>
  <w:style w:type="paragraph" w:styleId="5">
    <w:name w:val="heading 4"/>
    <w:basedOn w:val="1"/>
    <w:next w:val="1"/>
    <w:link w:val="55"/>
    <w:qFormat/>
    <w:uiPriority w:val="0"/>
    <w:pPr>
      <w:keepNext/>
      <w:keepLines/>
      <w:spacing w:before="280" w:after="290" w:line="376" w:lineRule="auto"/>
      <w:outlineLvl w:val="3"/>
    </w:pPr>
    <w:rPr>
      <w:rFonts w:ascii="Cambria" w:hAnsi="Cambria"/>
      <w:b/>
      <w:szCs w:val="28"/>
    </w:rPr>
  </w:style>
  <w:style w:type="character" w:default="1" w:styleId="37">
    <w:name w:val="Default Paragraph Font"/>
    <w:qFormat/>
    <w:uiPriority w:val="1"/>
  </w:style>
  <w:style w:type="table" w:default="1" w:styleId="35">
    <w:name w:val="Normal Table"/>
    <w:qFormat/>
    <w:uiPriority w:val="99"/>
    <w:tblPr>
      <w:tblCellMar>
        <w:top w:w="0" w:type="dxa"/>
        <w:left w:w="108" w:type="dxa"/>
        <w:bottom w:w="0" w:type="dxa"/>
        <w:right w:w="108" w:type="dxa"/>
      </w:tblCellMar>
    </w:tblPr>
  </w:style>
  <w:style w:type="paragraph" w:styleId="6">
    <w:name w:val="List 3"/>
    <w:basedOn w:val="1"/>
    <w:qFormat/>
    <w:uiPriority w:val="0"/>
    <w:pPr>
      <w:ind w:left="100" w:leftChars="400" w:hanging="200" w:hangingChars="200"/>
    </w:pPr>
    <w:rPr>
      <w:rFonts w:ascii="Times New Roman"/>
      <w:bCs w:val="0"/>
      <w:sz w:val="21"/>
    </w:rPr>
  </w:style>
  <w:style w:type="paragraph" w:styleId="7">
    <w:name w:val="table of authorities"/>
    <w:basedOn w:val="1"/>
    <w:next w:val="1"/>
    <w:qFormat/>
    <w:uiPriority w:val="0"/>
    <w:pPr>
      <w:spacing w:before="156" w:beforeLines="50" w:after="156" w:afterLines="50" w:line="360" w:lineRule="auto"/>
      <w:ind w:left="420" w:leftChars="200" w:firstLine="480" w:firstLineChars="200"/>
    </w:pPr>
    <w:rPr>
      <w:rFonts w:ascii="Times New Roman" w:hAnsi="Times New Roman"/>
      <w:sz w:val="24"/>
      <w:szCs w:val="20"/>
    </w:rPr>
  </w:style>
  <w:style w:type="paragraph" w:styleId="8">
    <w:name w:val="Normal Indent"/>
    <w:basedOn w:val="1"/>
    <w:qFormat/>
    <w:uiPriority w:val="0"/>
    <w:pPr>
      <w:ind w:firstLine="420"/>
    </w:pPr>
    <w:rPr>
      <w:rFonts w:ascii="Times New Roman"/>
      <w:bCs w:val="0"/>
      <w:sz w:val="21"/>
      <w:szCs w:val="20"/>
    </w:rPr>
  </w:style>
  <w:style w:type="paragraph" w:styleId="9">
    <w:name w:val="caption"/>
    <w:basedOn w:val="1"/>
    <w:next w:val="1"/>
    <w:qFormat/>
    <w:uiPriority w:val="99"/>
    <w:pPr>
      <w:spacing w:before="152" w:after="160"/>
    </w:pPr>
    <w:rPr>
      <w:rFonts w:ascii="Arial" w:hAnsi="Arial" w:eastAsia="黑体" w:cs="Arial"/>
      <w:bCs w:val="0"/>
      <w:sz w:val="20"/>
      <w:szCs w:val="20"/>
    </w:rPr>
  </w:style>
  <w:style w:type="paragraph" w:styleId="10">
    <w:name w:val="Document Map"/>
    <w:basedOn w:val="1"/>
    <w:link w:val="60"/>
    <w:qFormat/>
    <w:uiPriority w:val="99"/>
    <w:rPr>
      <w:sz w:val="18"/>
      <w:szCs w:val="18"/>
    </w:rPr>
  </w:style>
  <w:style w:type="paragraph" w:styleId="11">
    <w:name w:val="toa heading"/>
    <w:basedOn w:val="1"/>
    <w:next w:val="1"/>
    <w:qFormat/>
    <w:uiPriority w:val="0"/>
    <w:pPr>
      <w:spacing w:before="120"/>
    </w:pPr>
    <w:rPr>
      <w:rFonts w:ascii="Arial" w:hAnsi="Arial" w:cs="Arial"/>
      <w:bCs w:val="0"/>
      <w:sz w:val="24"/>
    </w:rPr>
  </w:style>
  <w:style w:type="paragraph" w:styleId="12">
    <w:name w:val="annotation text"/>
    <w:basedOn w:val="1"/>
    <w:link w:val="132"/>
    <w:qFormat/>
    <w:uiPriority w:val="0"/>
    <w:pPr>
      <w:jc w:val="left"/>
    </w:pPr>
  </w:style>
  <w:style w:type="paragraph" w:styleId="13">
    <w:name w:val="Body Text"/>
    <w:basedOn w:val="1"/>
    <w:next w:val="1"/>
    <w:link w:val="47"/>
    <w:qFormat/>
    <w:uiPriority w:val="0"/>
    <w:rPr>
      <w:rFonts w:hAnsi="宋体"/>
      <w:sz w:val="32"/>
      <w:szCs w:val="20"/>
    </w:rPr>
  </w:style>
  <w:style w:type="paragraph" w:styleId="14">
    <w:name w:val="Body Text Indent"/>
    <w:basedOn w:val="1"/>
    <w:link w:val="48"/>
    <w:qFormat/>
    <w:uiPriority w:val="0"/>
    <w:pPr>
      <w:spacing w:line="480" w:lineRule="exact"/>
      <w:ind w:firstLine="538" w:firstLineChars="192"/>
      <w:jc w:val="left"/>
    </w:pPr>
    <w:rPr>
      <w:bCs w:val="0"/>
    </w:rPr>
  </w:style>
  <w:style w:type="paragraph" w:styleId="15">
    <w:name w:val="List 2"/>
    <w:basedOn w:val="1"/>
    <w:qFormat/>
    <w:uiPriority w:val="0"/>
    <w:pPr>
      <w:ind w:left="100" w:leftChars="200" w:hanging="200" w:hangingChars="200"/>
    </w:pPr>
    <w:rPr>
      <w:rFonts w:ascii="Times New Roman"/>
      <w:bCs w:val="0"/>
      <w:sz w:val="21"/>
    </w:rPr>
  </w:style>
  <w:style w:type="paragraph" w:styleId="16">
    <w:name w:val="index 4"/>
    <w:basedOn w:val="1"/>
    <w:next w:val="1"/>
    <w:qFormat/>
    <w:uiPriority w:val="0"/>
    <w:pPr>
      <w:ind w:left="428" w:firstLine="140"/>
    </w:pPr>
    <w:rPr>
      <w:rFonts w:eastAsia="华文仿宋"/>
      <w:sz w:val="28"/>
    </w:rPr>
  </w:style>
  <w:style w:type="paragraph" w:styleId="17">
    <w:name w:val="toc 3"/>
    <w:basedOn w:val="1"/>
    <w:next w:val="1"/>
    <w:qFormat/>
    <w:uiPriority w:val="39"/>
    <w:pPr>
      <w:ind w:left="840" w:leftChars="400"/>
    </w:pPr>
  </w:style>
  <w:style w:type="paragraph" w:styleId="18">
    <w:name w:val="Plain Text"/>
    <w:basedOn w:val="1"/>
    <w:link w:val="68"/>
    <w:qFormat/>
    <w:uiPriority w:val="0"/>
    <w:rPr>
      <w:rFonts w:hAnsi="Courier New"/>
      <w:bCs w:val="0"/>
      <w:sz w:val="21"/>
      <w:szCs w:val="20"/>
    </w:rPr>
  </w:style>
  <w:style w:type="paragraph" w:styleId="19">
    <w:name w:val="Date"/>
    <w:basedOn w:val="1"/>
    <w:next w:val="1"/>
    <w:link w:val="63"/>
    <w:qFormat/>
    <w:uiPriority w:val="99"/>
    <w:pPr>
      <w:ind w:left="100" w:leftChars="2500"/>
    </w:pPr>
  </w:style>
  <w:style w:type="paragraph" w:styleId="20">
    <w:name w:val="Body Text Indent 2"/>
    <w:basedOn w:val="1"/>
    <w:link w:val="50"/>
    <w:qFormat/>
    <w:uiPriority w:val="0"/>
    <w:pPr>
      <w:spacing w:line="480" w:lineRule="exact"/>
      <w:ind w:firstLine="241" w:firstLineChars="100"/>
      <w:jc w:val="left"/>
    </w:pPr>
    <w:rPr>
      <w:rFonts w:ascii="黑体" w:hAnsi="宋体" w:eastAsia="黑体"/>
      <w:b/>
      <w:sz w:val="24"/>
    </w:rPr>
  </w:style>
  <w:style w:type="paragraph" w:styleId="21">
    <w:name w:val="Balloon Text"/>
    <w:basedOn w:val="1"/>
    <w:link w:val="74"/>
    <w:qFormat/>
    <w:uiPriority w:val="0"/>
    <w:rPr>
      <w:rFonts w:ascii="Times New Roman"/>
      <w:bCs w:val="0"/>
      <w:sz w:val="18"/>
      <w:szCs w:val="18"/>
    </w:rPr>
  </w:style>
  <w:style w:type="paragraph" w:styleId="22">
    <w:name w:val="footer"/>
    <w:basedOn w:val="1"/>
    <w:link w:val="61"/>
    <w:qFormat/>
    <w:uiPriority w:val="99"/>
    <w:pPr>
      <w:tabs>
        <w:tab w:val="center" w:pos="4153"/>
        <w:tab w:val="right" w:pos="8306"/>
      </w:tabs>
      <w:snapToGrid w:val="0"/>
      <w:jc w:val="left"/>
    </w:pPr>
    <w:rPr>
      <w:rFonts w:ascii="Times New Roman"/>
      <w:bCs w:val="0"/>
      <w:sz w:val="18"/>
      <w:szCs w:val="18"/>
    </w:rPr>
  </w:style>
  <w:style w:type="paragraph" w:styleId="23">
    <w:name w:val="header"/>
    <w:basedOn w:val="1"/>
    <w:link w:val="62"/>
    <w:qFormat/>
    <w:uiPriority w:val="99"/>
    <w:pPr>
      <w:pBdr>
        <w:bottom w:val="single" w:color="auto" w:sz="6" w:space="1"/>
      </w:pBdr>
      <w:tabs>
        <w:tab w:val="center" w:pos="4153"/>
        <w:tab w:val="right" w:pos="8306"/>
      </w:tabs>
      <w:snapToGrid w:val="0"/>
      <w:jc w:val="center"/>
    </w:pPr>
    <w:rPr>
      <w:rFonts w:ascii="Times New Roman"/>
      <w:bCs w:val="0"/>
      <w:sz w:val="18"/>
      <w:szCs w:val="18"/>
    </w:rPr>
  </w:style>
  <w:style w:type="paragraph" w:styleId="24">
    <w:name w:val="toc 1"/>
    <w:basedOn w:val="1"/>
    <w:next w:val="1"/>
    <w:qFormat/>
    <w:uiPriority w:val="39"/>
  </w:style>
  <w:style w:type="paragraph" w:styleId="25">
    <w:name w:val="Subtitle"/>
    <w:basedOn w:val="1"/>
    <w:next w:val="1"/>
    <w:link w:val="75"/>
    <w:qFormat/>
    <w:uiPriority w:val="0"/>
    <w:pPr>
      <w:spacing w:before="240" w:after="60" w:line="312" w:lineRule="auto"/>
      <w:jc w:val="center"/>
      <w:outlineLvl w:val="1"/>
    </w:pPr>
    <w:rPr>
      <w:rFonts w:ascii="Cambria" w:hAnsi="Cambria"/>
      <w:b/>
      <w:kern w:val="28"/>
      <w:sz w:val="32"/>
      <w:szCs w:val="32"/>
    </w:rPr>
  </w:style>
  <w:style w:type="paragraph" w:styleId="26">
    <w:name w:val="List"/>
    <w:basedOn w:val="1"/>
    <w:qFormat/>
    <w:uiPriority w:val="0"/>
    <w:pPr>
      <w:ind w:left="200" w:hanging="200" w:hangingChars="200"/>
    </w:pPr>
    <w:rPr>
      <w:rFonts w:ascii="Times New Roman"/>
      <w:bCs w:val="0"/>
      <w:sz w:val="21"/>
    </w:rPr>
  </w:style>
  <w:style w:type="paragraph" w:styleId="27">
    <w:name w:val="Body Text Indent 3"/>
    <w:basedOn w:val="1"/>
    <w:link w:val="71"/>
    <w:qFormat/>
    <w:uiPriority w:val="0"/>
    <w:pPr>
      <w:spacing w:line="360" w:lineRule="auto"/>
      <w:ind w:firstLine="480" w:firstLineChars="200"/>
    </w:pPr>
    <w:rPr>
      <w:rFonts w:hAnsi="宋体"/>
      <w:bCs w:val="0"/>
      <w:sz w:val="24"/>
      <w:szCs w:val="20"/>
    </w:rPr>
  </w:style>
  <w:style w:type="paragraph" w:styleId="28">
    <w:name w:val="toc 2"/>
    <w:basedOn w:val="1"/>
    <w:next w:val="1"/>
    <w:qFormat/>
    <w:uiPriority w:val="39"/>
    <w:pPr>
      <w:tabs>
        <w:tab w:val="right" w:leader="dot" w:pos="8857"/>
      </w:tabs>
      <w:spacing w:line="360" w:lineRule="auto"/>
      <w:ind w:left="560" w:leftChars="200"/>
    </w:pPr>
  </w:style>
  <w:style w:type="paragraph" w:styleId="29">
    <w:name w:val="Body Text 2"/>
    <w:basedOn w:val="1"/>
    <w:link w:val="58"/>
    <w:qFormat/>
    <w:uiPriority w:val="0"/>
    <w:pPr>
      <w:spacing w:after="120" w:line="480" w:lineRule="auto"/>
    </w:pPr>
  </w:style>
  <w:style w:type="paragraph" w:styleId="30">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宋体"/>
      <w:bCs w:val="0"/>
      <w:kern w:val="0"/>
      <w:sz w:val="24"/>
    </w:rPr>
  </w:style>
  <w:style w:type="paragraph" w:styleId="31">
    <w:name w:val="Normal (Web)"/>
    <w:basedOn w:val="1"/>
    <w:qFormat/>
    <w:uiPriority w:val="99"/>
    <w:pPr>
      <w:widowControl/>
      <w:spacing w:before="100" w:beforeAutospacing="1" w:after="100" w:afterAutospacing="1"/>
      <w:jc w:val="left"/>
    </w:pPr>
    <w:rPr>
      <w:rFonts w:ascii="Arial Unicode MS" w:hAnsi="Arial Unicode MS" w:eastAsia="Arial Unicode MS" w:cs="Arial Unicode MS"/>
      <w:bCs w:val="0"/>
      <w:kern w:val="0"/>
      <w:sz w:val="24"/>
    </w:rPr>
  </w:style>
  <w:style w:type="paragraph" w:styleId="32">
    <w:name w:val="Title"/>
    <w:basedOn w:val="1"/>
    <w:next w:val="1"/>
    <w:link w:val="72"/>
    <w:qFormat/>
    <w:uiPriority w:val="0"/>
    <w:pPr>
      <w:spacing w:before="240" w:after="60"/>
      <w:jc w:val="left"/>
      <w:outlineLvl w:val="0"/>
    </w:pPr>
    <w:rPr>
      <w:rFonts w:ascii="Cambria" w:hAnsi="Cambria"/>
      <w:b/>
      <w:szCs w:val="32"/>
    </w:rPr>
  </w:style>
  <w:style w:type="paragraph" w:styleId="33">
    <w:name w:val="annotation subject"/>
    <w:basedOn w:val="12"/>
    <w:next w:val="12"/>
    <w:qFormat/>
    <w:uiPriority w:val="0"/>
    <w:rPr>
      <w:b/>
    </w:rPr>
  </w:style>
  <w:style w:type="paragraph" w:styleId="34">
    <w:name w:val="Body Text First Indent 2"/>
    <w:basedOn w:val="14"/>
    <w:qFormat/>
    <w:uiPriority w:val="99"/>
    <w:pPr>
      <w:ind w:firstLine="420"/>
    </w:pPr>
  </w:style>
  <w:style w:type="table" w:styleId="36">
    <w:name w:val="Table Grid"/>
    <w:basedOn w:val="3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8">
    <w:name w:val="Strong"/>
    <w:qFormat/>
    <w:uiPriority w:val="0"/>
    <w:rPr>
      <w:b/>
      <w:bCs/>
    </w:rPr>
  </w:style>
  <w:style w:type="character" w:styleId="39">
    <w:name w:val="page number"/>
    <w:basedOn w:val="37"/>
    <w:qFormat/>
    <w:uiPriority w:val="0"/>
  </w:style>
  <w:style w:type="character" w:styleId="40">
    <w:name w:val="FollowedHyperlink"/>
    <w:qFormat/>
    <w:uiPriority w:val="0"/>
    <w:rPr>
      <w:color w:val="800080"/>
      <w:u w:val="single"/>
    </w:rPr>
  </w:style>
  <w:style w:type="character" w:styleId="41">
    <w:name w:val="Emphasis"/>
    <w:qFormat/>
    <w:uiPriority w:val="0"/>
  </w:style>
  <w:style w:type="character" w:styleId="42">
    <w:name w:val="line number"/>
    <w:basedOn w:val="37"/>
    <w:qFormat/>
    <w:uiPriority w:val="0"/>
  </w:style>
  <w:style w:type="character" w:styleId="43">
    <w:name w:val="Hyperlink"/>
    <w:qFormat/>
    <w:uiPriority w:val="99"/>
    <w:rPr>
      <w:color w:val="0000FF"/>
      <w:u w:val="single"/>
    </w:rPr>
  </w:style>
  <w:style w:type="character" w:styleId="44">
    <w:name w:val="annotation reference"/>
    <w:qFormat/>
    <w:uiPriority w:val="99"/>
    <w:rPr>
      <w:sz w:val="21"/>
      <w:szCs w:val="21"/>
    </w:rPr>
  </w:style>
  <w:style w:type="paragraph" w:customStyle="1" w:styleId="45">
    <w:name w:val="列出段落1"/>
    <w:basedOn w:val="1"/>
    <w:qFormat/>
    <w:uiPriority w:val="0"/>
    <w:pPr>
      <w:widowControl/>
      <w:spacing w:after="200" w:line="276" w:lineRule="auto"/>
      <w:ind w:left="720"/>
      <w:contextualSpacing/>
      <w:jc w:val="left"/>
    </w:pPr>
    <w:rPr>
      <w:rFonts w:ascii="Arial" w:hAnsi="Arial"/>
      <w:bCs w:val="0"/>
      <w:kern w:val="0"/>
      <w:sz w:val="20"/>
      <w:szCs w:val="22"/>
      <w:lang w:eastAsia="de-CH"/>
    </w:rPr>
  </w:style>
  <w:style w:type="character" w:customStyle="1" w:styleId="46">
    <w:name w:val="unnamed11"/>
    <w:qFormat/>
    <w:uiPriority w:val="0"/>
    <w:rPr>
      <w:spacing w:val="340"/>
      <w:sz w:val="18"/>
      <w:szCs w:val="18"/>
    </w:rPr>
  </w:style>
  <w:style w:type="character" w:customStyle="1" w:styleId="47">
    <w:name w:val="正文文本 Char"/>
    <w:link w:val="13"/>
    <w:qFormat/>
    <w:uiPriority w:val="0"/>
    <w:rPr>
      <w:rFonts w:ascii="宋体" w:hAnsi="宋体"/>
      <w:bCs/>
      <w:kern w:val="2"/>
      <w:sz w:val="32"/>
    </w:rPr>
  </w:style>
  <w:style w:type="character" w:customStyle="1" w:styleId="48">
    <w:name w:val="正文文本缩进 Char"/>
    <w:link w:val="14"/>
    <w:qFormat/>
    <w:uiPriority w:val="0"/>
    <w:rPr>
      <w:rFonts w:ascii="宋体"/>
      <w:kern w:val="2"/>
      <w:sz w:val="28"/>
      <w:szCs w:val="24"/>
    </w:rPr>
  </w:style>
  <w:style w:type="character" w:customStyle="1" w:styleId="49">
    <w:name w:val="14"/>
    <w:basedOn w:val="37"/>
    <w:qFormat/>
    <w:uiPriority w:val="0"/>
  </w:style>
  <w:style w:type="character" w:customStyle="1" w:styleId="50">
    <w:name w:val="正文文本缩进 2 Char"/>
    <w:link w:val="20"/>
    <w:qFormat/>
    <w:uiPriority w:val="0"/>
    <w:rPr>
      <w:rFonts w:ascii="黑体" w:hAnsi="宋体" w:eastAsia="黑体"/>
      <w:b/>
      <w:bCs/>
      <w:kern w:val="2"/>
      <w:sz w:val="24"/>
      <w:szCs w:val="24"/>
      <w:lang w:val="en-US" w:eastAsia="zh-CN"/>
    </w:rPr>
  </w:style>
  <w:style w:type="character" w:customStyle="1" w:styleId="51">
    <w:name w:val="列出段落 Char"/>
    <w:link w:val="52"/>
    <w:qFormat/>
    <w:uiPriority w:val="34"/>
    <w:rPr>
      <w:kern w:val="2"/>
      <w:sz w:val="21"/>
    </w:rPr>
  </w:style>
  <w:style w:type="paragraph" w:styleId="52">
    <w:name w:val="List Paragraph"/>
    <w:basedOn w:val="1"/>
    <w:link w:val="51"/>
    <w:qFormat/>
    <w:uiPriority w:val="34"/>
    <w:pPr>
      <w:ind w:firstLine="420" w:firstLineChars="200"/>
    </w:pPr>
    <w:rPr>
      <w:rFonts w:ascii="Times New Roman"/>
      <w:bCs w:val="0"/>
      <w:sz w:val="21"/>
      <w:szCs w:val="20"/>
    </w:rPr>
  </w:style>
  <w:style w:type="character" w:customStyle="1" w:styleId="53">
    <w:name w:val="Char Char6"/>
    <w:qFormat/>
    <w:uiPriority w:val="0"/>
    <w:rPr>
      <w:rFonts w:ascii="宋体" w:hAnsi="宋体" w:eastAsia="宋体"/>
      <w:kern w:val="2"/>
      <w:sz w:val="24"/>
      <w:lang w:val="en-US" w:eastAsia="zh-CN" w:bidi="ar-SA"/>
    </w:rPr>
  </w:style>
  <w:style w:type="character" w:customStyle="1" w:styleId="54">
    <w:name w:val="Char Char"/>
    <w:qFormat/>
    <w:uiPriority w:val="0"/>
    <w:rPr>
      <w:rFonts w:ascii="宋体" w:hAnsi="宋体" w:eastAsia="宋体" w:cs="宋体"/>
      <w:sz w:val="24"/>
      <w:szCs w:val="24"/>
      <w:lang w:val="en-US" w:eastAsia="zh-CN" w:bidi="ar-SA"/>
    </w:rPr>
  </w:style>
  <w:style w:type="character" w:customStyle="1" w:styleId="55">
    <w:name w:val="标题 4 Char"/>
    <w:link w:val="5"/>
    <w:qFormat/>
    <w:uiPriority w:val="0"/>
    <w:rPr>
      <w:rFonts w:ascii="Cambria" w:hAnsi="Cambria" w:eastAsia="宋体" w:cs="Times New Roman"/>
      <w:b/>
      <w:bCs/>
      <w:kern w:val="2"/>
      <w:sz w:val="28"/>
      <w:szCs w:val="28"/>
    </w:rPr>
  </w:style>
  <w:style w:type="character" w:customStyle="1" w:styleId="56">
    <w:name w:val="样式 仿宋"/>
    <w:qFormat/>
    <w:uiPriority w:val="0"/>
    <w:rPr>
      <w:rFonts w:ascii="仿宋" w:hAnsi="仿宋" w:eastAsia="仿宋"/>
      <w:kern w:val="1"/>
    </w:rPr>
  </w:style>
  <w:style w:type="character" w:customStyle="1" w:styleId="57">
    <w:name w:val="ziti1"/>
    <w:basedOn w:val="37"/>
    <w:qFormat/>
    <w:uiPriority w:val="0"/>
  </w:style>
  <w:style w:type="character" w:customStyle="1" w:styleId="58">
    <w:name w:val="正文文本 2 Char"/>
    <w:link w:val="29"/>
    <w:qFormat/>
    <w:uiPriority w:val="0"/>
    <w:rPr>
      <w:rFonts w:ascii="宋体"/>
      <w:bCs/>
      <w:kern w:val="2"/>
      <w:sz w:val="28"/>
      <w:szCs w:val="24"/>
    </w:rPr>
  </w:style>
  <w:style w:type="character" w:customStyle="1" w:styleId="59">
    <w:name w:val="HTML 预设格式 Char"/>
    <w:link w:val="30"/>
    <w:qFormat/>
    <w:uiPriority w:val="0"/>
    <w:rPr>
      <w:rFonts w:ascii="宋体" w:hAnsi="宋体" w:cs="宋体"/>
      <w:sz w:val="24"/>
      <w:szCs w:val="24"/>
    </w:rPr>
  </w:style>
  <w:style w:type="character" w:customStyle="1" w:styleId="60">
    <w:name w:val="文档结构图 Char"/>
    <w:link w:val="10"/>
    <w:qFormat/>
    <w:uiPriority w:val="99"/>
    <w:rPr>
      <w:rFonts w:ascii="宋体"/>
      <w:bCs/>
      <w:kern w:val="2"/>
      <w:sz w:val="18"/>
      <w:szCs w:val="18"/>
    </w:rPr>
  </w:style>
  <w:style w:type="character" w:customStyle="1" w:styleId="61">
    <w:name w:val="页脚 Char"/>
    <w:link w:val="22"/>
    <w:qFormat/>
    <w:uiPriority w:val="99"/>
    <w:rPr>
      <w:kern w:val="2"/>
      <w:sz w:val="18"/>
      <w:szCs w:val="18"/>
    </w:rPr>
  </w:style>
  <w:style w:type="character" w:customStyle="1" w:styleId="62">
    <w:name w:val="页眉 Char"/>
    <w:link w:val="23"/>
    <w:qFormat/>
    <w:uiPriority w:val="99"/>
    <w:rPr>
      <w:kern w:val="2"/>
      <w:sz w:val="18"/>
      <w:szCs w:val="18"/>
    </w:rPr>
  </w:style>
  <w:style w:type="character" w:customStyle="1" w:styleId="63">
    <w:name w:val="日期 Char"/>
    <w:link w:val="19"/>
    <w:qFormat/>
    <w:uiPriority w:val="99"/>
    <w:rPr>
      <w:rFonts w:ascii="宋体"/>
      <w:bCs/>
      <w:kern w:val="2"/>
      <w:sz w:val="28"/>
      <w:szCs w:val="24"/>
    </w:rPr>
  </w:style>
  <w:style w:type="character" w:customStyle="1" w:styleId="64">
    <w:name w:val="标题 1 Char"/>
    <w:link w:val="2"/>
    <w:qFormat/>
    <w:uiPriority w:val="0"/>
    <w:rPr>
      <w:rFonts w:ascii="宋体"/>
      <w:b/>
      <w:bCs/>
      <w:kern w:val="44"/>
      <w:sz w:val="36"/>
      <w:szCs w:val="44"/>
    </w:rPr>
  </w:style>
  <w:style w:type="character" w:customStyle="1" w:styleId="65">
    <w:name w:val="样式3 Char"/>
    <w:link w:val="66"/>
    <w:qFormat/>
    <w:uiPriority w:val="0"/>
    <w:rPr>
      <w:rFonts w:ascii="宋体" w:hAnsi="宋体"/>
      <w:kern w:val="2"/>
      <w:sz w:val="21"/>
      <w:szCs w:val="24"/>
    </w:rPr>
  </w:style>
  <w:style w:type="paragraph" w:customStyle="1" w:styleId="66">
    <w:name w:val="样式3"/>
    <w:basedOn w:val="1"/>
    <w:link w:val="65"/>
    <w:qFormat/>
    <w:uiPriority w:val="0"/>
    <w:rPr>
      <w:rFonts w:hAnsi="宋体"/>
      <w:bCs w:val="0"/>
      <w:sz w:val="21"/>
    </w:rPr>
  </w:style>
  <w:style w:type="character" w:customStyle="1" w:styleId="67">
    <w:name w:val="标题 2 Char"/>
    <w:link w:val="3"/>
    <w:qFormat/>
    <w:uiPriority w:val="0"/>
    <w:rPr>
      <w:rFonts w:ascii="宋体" w:hAnsi="宋体" w:cs="宋体"/>
      <w:b/>
      <w:bCs/>
      <w:sz w:val="28"/>
      <w:szCs w:val="36"/>
    </w:rPr>
  </w:style>
  <w:style w:type="character" w:customStyle="1" w:styleId="68">
    <w:name w:val="纯文本 Char"/>
    <w:link w:val="18"/>
    <w:qFormat/>
    <w:uiPriority w:val="0"/>
    <w:rPr>
      <w:rFonts w:ascii="宋体" w:hAnsi="Courier New"/>
      <w:kern w:val="2"/>
      <w:sz w:val="21"/>
    </w:rPr>
  </w:style>
  <w:style w:type="character" w:customStyle="1" w:styleId="69">
    <w:name w:val="2级标题 Char"/>
    <w:link w:val="70"/>
    <w:qFormat/>
    <w:uiPriority w:val="0"/>
    <w:rPr>
      <w:rFonts w:ascii="宋体" w:hAnsi="宋体"/>
      <w:b/>
      <w:bCs/>
      <w:color w:val="000000"/>
      <w:kern w:val="2"/>
      <w:sz w:val="24"/>
      <w:szCs w:val="24"/>
    </w:rPr>
  </w:style>
  <w:style w:type="paragraph" w:customStyle="1" w:styleId="70">
    <w:name w:val="2级标题"/>
    <w:basedOn w:val="1"/>
    <w:link w:val="69"/>
    <w:qFormat/>
    <w:uiPriority w:val="0"/>
    <w:pPr>
      <w:spacing w:line="480" w:lineRule="exact"/>
      <w:ind w:firstLine="482" w:firstLineChars="200"/>
    </w:pPr>
    <w:rPr>
      <w:rFonts w:hAnsi="宋体"/>
      <w:b/>
      <w:color w:val="000000"/>
      <w:sz w:val="24"/>
    </w:rPr>
  </w:style>
  <w:style w:type="character" w:customStyle="1" w:styleId="71">
    <w:name w:val="正文文本缩进 3 Char"/>
    <w:link w:val="27"/>
    <w:qFormat/>
    <w:uiPriority w:val="0"/>
    <w:rPr>
      <w:rFonts w:ascii="宋体" w:hAnsi="宋体"/>
      <w:kern w:val="2"/>
      <w:sz w:val="24"/>
    </w:rPr>
  </w:style>
  <w:style w:type="character" w:customStyle="1" w:styleId="72">
    <w:name w:val="标题 Char"/>
    <w:link w:val="32"/>
    <w:qFormat/>
    <w:uiPriority w:val="0"/>
    <w:rPr>
      <w:rFonts w:ascii="Cambria" w:hAnsi="Cambria"/>
      <w:b/>
      <w:bCs/>
      <w:kern w:val="2"/>
      <w:sz w:val="28"/>
      <w:szCs w:val="32"/>
    </w:rPr>
  </w:style>
  <w:style w:type="character" w:customStyle="1" w:styleId="73">
    <w:name w:val="标题 3 Char"/>
    <w:link w:val="4"/>
    <w:qFormat/>
    <w:uiPriority w:val="0"/>
    <w:rPr>
      <w:rFonts w:eastAsia="黑体"/>
      <w:bCs/>
      <w:kern w:val="2"/>
      <w:sz w:val="24"/>
      <w:szCs w:val="32"/>
    </w:rPr>
  </w:style>
  <w:style w:type="character" w:customStyle="1" w:styleId="74">
    <w:name w:val="批注框文本 Char"/>
    <w:link w:val="21"/>
    <w:qFormat/>
    <w:uiPriority w:val="0"/>
    <w:rPr>
      <w:kern w:val="2"/>
      <w:sz w:val="18"/>
      <w:szCs w:val="18"/>
    </w:rPr>
  </w:style>
  <w:style w:type="character" w:customStyle="1" w:styleId="75">
    <w:name w:val="副标题 Char"/>
    <w:link w:val="25"/>
    <w:qFormat/>
    <w:uiPriority w:val="0"/>
    <w:rPr>
      <w:rFonts w:ascii="Cambria" w:hAnsi="Cambria" w:cs="Times New Roman"/>
      <w:b/>
      <w:bCs/>
      <w:kern w:val="28"/>
      <w:sz w:val="32"/>
      <w:szCs w:val="32"/>
    </w:rPr>
  </w:style>
  <w:style w:type="character" w:customStyle="1" w:styleId="76">
    <w:name w:val="font14px1"/>
    <w:qFormat/>
    <w:uiPriority w:val="0"/>
    <w:rPr>
      <w:sz w:val="21"/>
      <w:szCs w:val="21"/>
    </w:rPr>
  </w:style>
  <w:style w:type="character" w:customStyle="1" w:styleId="77">
    <w:name w:val="apple-style-span"/>
    <w:basedOn w:val="37"/>
    <w:qFormat/>
    <w:uiPriority w:val="0"/>
  </w:style>
  <w:style w:type="paragraph" w:customStyle="1" w:styleId="78">
    <w:name w:val="xl3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7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80">
    <w:name w:val="font9"/>
    <w:basedOn w:val="1"/>
    <w:qFormat/>
    <w:uiPriority w:val="0"/>
    <w:pPr>
      <w:widowControl/>
      <w:spacing w:before="100" w:beforeAutospacing="1" w:after="100" w:afterAutospacing="1"/>
      <w:jc w:val="left"/>
    </w:pPr>
    <w:rPr>
      <w:rFonts w:ascii="Times New Roman"/>
      <w:bCs w:val="0"/>
      <w:kern w:val="0"/>
      <w:sz w:val="20"/>
      <w:szCs w:val="20"/>
    </w:rPr>
  </w:style>
  <w:style w:type="paragraph" w:customStyle="1" w:styleId="81">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bCs w:val="0"/>
      <w:kern w:val="0"/>
      <w:sz w:val="20"/>
      <w:szCs w:val="20"/>
    </w:rPr>
  </w:style>
  <w:style w:type="paragraph" w:customStyle="1" w:styleId="82">
    <w:name w:val="ÕýÎÄ"/>
    <w:qFormat/>
    <w:uiPriority w:val="0"/>
    <w:pPr>
      <w:widowControl w:val="0"/>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83">
    <w:name w:val="Char Char1 Char Char"/>
    <w:basedOn w:val="1"/>
    <w:qFormat/>
    <w:uiPriority w:val="0"/>
    <w:rPr>
      <w:rFonts w:ascii="Tahoma" w:hAnsi="Tahoma"/>
      <w:bCs w:val="0"/>
      <w:sz w:val="24"/>
      <w:szCs w:val="20"/>
    </w:rPr>
  </w:style>
  <w:style w:type="paragraph" w:customStyle="1" w:styleId="84">
    <w:name w:val="默认段落字体 Para Char Char Char Char Char Char Char Char Char Char Char Char Char Char Char Char"/>
    <w:basedOn w:val="1"/>
    <w:qFormat/>
    <w:uiPriority w:val="0"/>
    <w:rPr>
      <w:rFonts w:ascii="Tahoma" w:hAnsi="Tahoma"/>
      <w:bCs w:val="0"/>
      <w:sz w:val="24"/>
      <w:szCs w:val="20"/>
    </w:rPr>
  </w:style>
  <w:style w:type="paragraph" w:customStyle="1" w:styleId="85">
    <w:name w:val="xl4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4"/>
    </w:rPr>
  </w:style>
  <w:style w:type="paragraph" w:customStyle="1" w:styleId="86">
    <w:name w:val="p0"/>
    <w:basedOn w:val="1"/>
    <w:qFormat/>
    <w:uiPriority w:val="0"/>
    <w:pPr>
      <w:widowControl/>
    </w:pPr>
    <w:rPr>
      <w:rFonts w:ascii="Calibri" w:hAnsi="Calibri" w:cs="宋体"/>
      <w:bCs w:val="0"/>
      <w:kern w:val="0"/>
      <w:sz w:val="21"/>
      <w:szCs w:val="21"/>
    </w:rPr>
  </w:style>
  <w:style w:type="paragraph" w:customStyle="1" w:styleId="87">
    <w:name w:val="xl4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88">
    <w:name w:val="font5"/>
    <w:basedOn w:val="1"/>
    <w:qFormat/>
    <w:uiPriority w:val="0"/>
    <w:pPr>
      <w:widowControl/>
      <w:spacing w:before="100" w:beforeAutospacing="1" w:after="100" w:afterAutospacing="1"/>
      <w:jc w:val="left"/>
    </w:pPr>
    <w:rPr>
      <w:rFonts w:hint="eastAsia" w:hAnsi="宋体"/>
      <w:bCs w:val="0"/>
      <w:kern w:val="0"/>
      <w:sz w:val="24"/>
    </w:rPr>
  </w:style>
  <w:style w:type="paragraph" w:customStyle="1" w:styleId="8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0"/>
      <w:szCs w:val="20"/>
    </w:rPr>
  </w:style>
  <w:style w:type="paragraph" w:customStyle="1" w:styleId="9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bCs w:val="0"/>
      <w:kern w:val="0"/>
      <w:sz w:val="20"/>
      <w:szCs w:val="20"/>
    </w:rPr>
  </w:style>
  <w:style w:type="paragraph" w:customStyle="1" w:styleId="91">
    <w:name w:val="Char1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2">
    <w:name w:val="列出段落2"/>
    <w:basedOn w:val="1"/>
    <w:qFormat/>
    <w:uiPriority w:val="34"/>
    <w:pPr>
      <w:widowControl/>
      <w:spacing w:before="100" w:beforeAutospacing="1" w:after="100" w:afterAutospacing="1"/>
      <w:jc w:val="left"/>
    </w:pPr>
    <w:rPr>
      <w:rFonts w:hAnsi="宋体" w:cs="宋体"/>
      <w:bCs w:val="0"/>
      <w:kern w:val="0"/>
      <w:sz w:val="24"/>
    </w:rPr>
  </w:style>
  <w:style w:type="paragraph" w:customStyle="1" w:styleId="93">
    <w:name w:val="批注框文本1"/>
    <w:basedOn w:val="1"/>
    <w:qFormat/>
    <w:uiPriority w:val="0"/>
    <w:rPr>
      <w:rFonts w:hint="eastAsia" w:ascii="Times New Roman"/>
      <w:bCs w:val="0"/>
      <w:sz w:val="18"/>
      <w:szCs w:val="20"/>
    </w:rPr>
  </w:style>
  <w:style w:type="paragraph" w:customStyle="1" w:styleId="94">
    <w:name w:val="font8"/>
    <w:basedOn w:val="1"/>
    <w:qFormat/>
    <w:uiPriority w:val="0"/>
    <w:pPr>
      <w:widowControl/>
      <w:spacing w:before="100" w:beforeAutospacing="1" w:after="100" w:afterAutospacing="1"/>
      <w:jc w:val="left"/>
    </w:pPr>
    <w:rPr>
      <w:rFonts w:hint="eastAsia" w:hAnsi="宋体"/>
      <w:bCs w:val="0"/>
      <w:kern w:val="0"/>
      <w:sz w:val="20"/>
      <w:szCs w:val="20"/>
    </w:rPr>
  </w:style>
  <w:style w:type="paragraph" w:customStyle="1" w:styleId="95">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0"/>
      <w:szCs w:val="20"/>
    </w:rPr>
  </w:style>
  <w:style w:type="paragraph" w:customStyle="1" w:styleId="96">
    <w:name w:val="标准"/>
    <w:basedOn w:val="1"/>
    <w:qFormat/>
    <w:uiPriority w:val="0"/>
    <w:pPr>
      <w:adjustRightInd w:val="0"/>
      <w:spacing w:before="120" w:after="120" w:line="312" w:lineRule="atLeast"/>
    </w:pPr>
    <w:rPr>
      <w:bCs w:val="0"/>
      <w:kern w:val="0"/>
      <w:sz w:val="21"/>
      <w:szCs w:val="20"/>
    </w:rPr>
  </w:style>
  <w:style w:type="paragraph" w:customStyle="1" w:styleId="97">
    <w:name w:val="正文 New New New New"/>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98">
    <w:name w:val="Char Char Char Char Char Char Char Char Char"/>
    <w:basedOn w:val="1"/>
    <w:qFormat/>
    <w:uiPriority w:val="0"/>
    <w:pPr>
      <w:widowControl/>
      <w:spacing w:after="160" w:line="240" w:lineRule="exact"/>
      <w:jc w:val="left"/>
    </w:pPr>
    <w:rPr>
      <w:rFonts w:ascii="Verdana" w:hAnsi="Verdana" w:eastAsia="仿宋_GB2312"/>
      <w:bCs w:val="0"/>
      <w:kern w:val="0"/>
      <w:sz w:val="24"/>
      <w:szCs w:val="20"/>
      <w:lang w:eastAsia="en-US"/>
    </w:rPr>
  </w:style>
  <w:style w:type="paragraph" w:customStyle="1" w:styleId="99">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00">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0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2"/>
      <w:szCs w:val="22"/>
    </w:rPr>
  </w:style>
  <w:style w:type="paragraph" w:customStyle="1" w:styleId="102">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03">
    <w:name w:val="列出段落11"/>
    <w:basedOn w:val="1"/>
    <w:qFormat/>
    <w:uiPriority w:val="34"/>
    <w:pPr>
      <w:ind w:firstLine="420" w:firstLineChars="200"/>
    </w:pPr>
    <w:rPr>
      <w:rFonts w:ascii="Calibri" w:hAnsi="Calibri"/>
      <w:bCs w:val="0"/>
      <w:sz w:val="21"/>
    </w:rPr>
  </w:style>
  <w:style w:type="paragraph" w:customStyle="1" w:styleId="104">
    <w:name w:val="日期11"/>
    <w:basedOn w:val="1"/>
    <w:next w:val="1"/>
    <w:qFormat/>
    <w:uiPriority w:val="0"/>
    <w:pPr>
      <w:widowControl/>
      <w:adjustRightInd w:val="0"/>
      <w:snapToGrid w:val="0"/>
      <w:spacing w:line="520" w:lineRule="atLeast"/>
      <w:ind w:left="100" w:leftChars="2500"/>
    </w:pPr>
    <w:rPr>
      <w:rFonts w:ascii="Calibri" w:hAnsi="Calibri" w:cs="微软雅黑"/>
      <w:bCs w:val="0"/>
      <w:kern w:val="0"/>
      <w:sz w:val="24"/>
      <w:szCs w:val="21"/>
    </w:rPr>
  </w:style>
  <w:style w:type="paragraph" w:customStyle="1" w:styleId="10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2"/>
      <w:szCs w:val="22"/>
    </w:rPr>
  </w:style>
  <w:style w:type="paragraph" w:customStyle="1" w:styleId="106">
    <w:name w:val="Char Char Char Char Char Char Char"/>
    <w:basedOn w:val="1"/>
    <w:qFormat/>
    <w:uiPriority w:val="0"/>
    <w:rPr>
      <w:rFonts w:ascii="Tahoma" w:hAnsi="Tahoma" w:cs="仿宋_GB2312"/>
      <w:bCs w:val="0"/>
      <w:sz w:val="24"/>
      <w:szCs w:val="28"/>
    </w:rPr>
  </w:style>
  <w:style w:type="paragraph" w:customStyle="1" w:styleId="107">
    <w:name w:val="Char1 Char Char Char"/>
    <w:basedOn w:val="1"/>
    <w:qFormat/>
    <w:uiPriority w:val="0"/>
    <w:pPr>
      <w:tabs>
        <w:tab w:val="left" w:pos="900"/>
      </w:tabs>
      <w:spacing w:before="312" w:after="312" w:line="360" w:lineRule="auto"/>
      <w:ind w:left="900" w:hanging="360"/>
    </w:pPr>
    <w:rPr>
      <w:rFonts w:ascii="Times New Roman"/>
      <w:bCs w:val="0"/>
      <w:sz w:val="24"/>
    </w:rPr>
  </w:style>
  <w:style w:type="paragraph" w:customStyle="1" w:styleId="108">
    <w:name w:val="È±Ê¡ÎÄ±¾"/>
    <w:basedOn w:val="1"/>
    <w:qFormat/>
    <w:uiPriority w:val="0"/>
    <w:pPr>
      <w:widowControl/>
      <w:overflowPunct w:val="0"/>
      <w:autoSpaceDE w:val="0"/>
      <w:autoSpaceDN w:val="0"/>
      <w:adjustRightInd w:val="0"/>
      <w:jc w:val="left"/>
      <w:textAlignment w:val="baseline"/>
    </w:pPr>
    <w:rPr>
      <w:bCs w:val="0"/>
      <w:kern w:val="0"/>
      <w:sz w:val="24"/>
      <w:szCs w:val="20"/>
    </w:rPr>
  </w:style>
  <w:style w:type="paragraph" w:customStyle="1" w:styleId="109">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 w:val="24"/>
    </w:rPr>
  </w:style>
  <w:style w:type="paragraph" w:customStyle="1" w:styleId="110">
    <w:name w:val="font10"/>
    <w:basedOn w:val="1"/>
    <w:qFormat/>
    <w:uiPriority w:val="0"/>
    <w:pPr>
      <w:widowControl/>
      <w:spacing w:before="100" w:beforeAutospacing="1" w:after="100" w:afterAutospacing="1"/>
      <w:jc w:val="left"/>
    </w:pPr>
    <w:rPr>
      <w:rFonts w:ascii="Times New Roman"/>
      <w:bCs w:val="0"/>
      <w:kern w:val="0"/>
      <w:szCs w:val="28"/>
    </w:rPr>
  </w:style>
  <w:style w:type="paragraph" w:customStyle="1" w:styleId="111">
    <w:name w:val="xl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bCs w:val="0"/>
      <w:kern w:val="0"/>
      <w:sz w:val="22"/>
      <w:szCs w:val="22"/>
    </w:rPr>
  </w:style>
  <w:style w:type="paragraph" w:customStyle="1" w:styleId="112">
    <w:name w:val="font7"/>
    <w:basedOn w:val="1"/>
    <w:qFormat/>
    <w:uiPriority w:val="0"/>
    <w:pPr>
      <w:widowControl/>
      <w:spacing w:before="100" w:beforeAutospacing="1" w:after="100" w:afterAutospacing="1"/>
      <w:jc w:val="left"/>
    </w:pPr>
    <w:rPr>
      <w:rFonts w:hint="eastAsia" w:hAnsi="宋体"/>
      <w:bCs w:val="0"/>
      <w:kern w:val="0"/>
      <w:szCs w:val="28"/>
    </w:rPr>
  </w:style>
  <w:style w:type="paragraph" w:customStyle="1" w:styleId="113">
    <w:name w:val="样式 仿宋 行距: 1.5 倍行距"/>
    <w:basedOn w:val="1"/>
    <w:qFormat/>
    <w:uiPriority w:val="0"/>
    <w:pPr>
      <w:spacing w:line="360" w:lineRule="auto"/>
    </w:pPr>
    <w:rPr>
      <w:rFonts w:ascii="仿宋" w:hAnsi="仿宋" w:eastAsia="仿宋" w:cs="宋体"/>
      <w:bCs w:val="0"/>
      <w:sz w:val="24"/>
      <w:szCs w:val="20"/>
    </w:rPr>
  </w:style>
  <w:style w:type="paragraph" w:customStyle="1" w:styleId="114">
    <w:name w:val="Char"/>
    <w:basedOn w:val="1"/>
    <w:qFormat/>
    <w:uiPriority w:val="0"/>
    <w:pPr>
      <w:snapToGrid w:val="0"/>
      <w:spacing w:line="360" w:lineRule="auto"/>
      <w:ind w:firstLine="200" w:firstLineChars="200"/>
    </w:pPr>
    <w:rPr>
      <w:rFonts w:ascii="Times New Roman" w:eastAsia="仿宋_GB2312"/>
      <w:bCs w:val="0"/>
      <w:sz w:val="24"/>
    </w:rPr>
  </w:style>
  <w:style w:type="paragraph" w:customStyle="1" w:styleId="115">
    <w:name w:val="TOC 标题1"/>
    <w:basedOn w:val="2"/>
    <w:next w:val="1"/>
    <w:qFormat/>
    <w:uiPriority w:val="39"/>
    <w:pPr>
      <w:widowControl/>
      <w:spacing w:before="480" w:line="276" w:lineRule="auto"/>
      <w:jc w:val="left"/>
      <w:outlineLvl w:val="9"/>
    </w:pPr>
    <w:rPr>
      <w:rFonts w:ascii="Cambria" w:hAnsi="Cambria"/>
      <w:color w:val="365F91"/>
      <w:kern w:val="0"/>
      <w:sz w:val="28"/>
      <w:szCs w:val="28"/>
    </w:rPr>
  </w:style>
  <w:style w:type="paragraph" w:customStyle="1" w:styleId="11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Times New Roman"/>
      <w:b/>
      <w:kern w:val="0"/>
      <w:sz w:val="24"/>
    </w:rPr>
  </w:style>
  <w:style w:type="paragraph" w:customStyle="1" w:styleId="117">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 w:val="24"/>
    </w:rPr>
  </w:style>
  <w:style w:type="paragraph" w:customStyle="1" w:styleId="118">
    <w:name w:val="编号行"/>
    <w:basedOn w:val="1"/>
    <w:qFormat/>
    <w:uiPriority w:val="0"/>
    <w:pPr>
      <w:spacing w:line="500" w:lineRule="exact"/>
      <w:jc w:val="left"/>
    </w:pPr>
    <w:rPr>
      <w:rFonts w:hAnsi="宋体" w:cs="宋体"/>
      <w:bCs w:val="0"/>
      <w:sz w:val="24"/>
      <w:lang w:bidi="th-TH"/>
    </w:rPr>
  </w:style>
  <w:style w:type="paragraph" w:customStyle="1" w:styleId="119">
    <w:name w:val="font11"/>
    <w:basedOn w:val="1"/>
    <w:qFormat/>
    <w:uiPriority w:val="0"/>
    <w:pPr>
      <w:widowControl/>
      <w:spacing w:before="100" w:beforeAutospacing="1" w:after="100" w:afterAutospacing="1"/>
      <w:jc w:val="left"/>
    </w:pPr>
    <w:rPr>
      <w:rFonts w:hAnsi="宋体" w:cs="宋体"/>
      <w:bCs w:val="0"/>
      <w:kern w:val="0"/>
      <w:sz w:val="18"/>
      <w:szCs w:val="18"/>
    </w:rPr>
  </w:style>
  <w:style w:type="paragraph" w:customStyle="1" w:styleId="120">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bCs w:val="0"/>
      <w:kern w:val="0"/>
      <w:szCs w:val="28"/>
    </w:rPr>
  </w:style>
  <w:style w:type="paragraph" w:customStyle="1" w:styleId="121">
    <w:name w:val="无间隔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2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bCs w:val="0"/>
      <w:kern w:val="0"/>
      <w:szCs w:val="28"/>
    </w:rPr>
  </w:style>
  <w:style w:type="paragraph" w:customStyle="1" w:styleId="123">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Cs w:val="28"/>
    </w:rPr>
  </w:style>
  <w:style w:type="paragraph" w:customStyle="1" w:styleId="124">
    <w:name w:val="hei"/>
    <w:basedOn w:val="1"/>
    <w:qFormat/>
    <w:uiPriority w:val="0"/>
    <w:pPr>
      <w:widowControl/>
      <w:spacing w:before="100" w:beforeAutospacing="1" w:after="100" w:afterAutospacing="1"/>
      <w:jc w:val="left"/>
    </w:pPr>
    <w:rPr>
      <w:rFonts w:hAnsi="宋体"/>
      <w:bCs w:val="0"/>
      <w:kern w:val="0"/>
      <w:sz w:val="24"/>
    </w:rPr>
  </w:style>
  <w:style w:type="paragraph" w:customStyle="1" w:styleId="125">
    <w:name w:val="潘"/>
    <w:basedOn w:val="1"/>
    <w:qFormat/>
    <w:uiPriority w:val="0"/>
    <w:pPr>
      <w:snapToGrid w:val="0"/>
      <w:spacing w:line="240" w:lineRule="atLeast"/>
      <w:jc w:val="left"/>
    </w:pPr>
    <w:rPr>
      <w:rFonts w:ascii="Arial" w:hAnsi="Arial" w:eastAsia="楷体_GB2312"/>
      <w:b/>
      <w:sz w:val="21"/>
    </w:rPr>
  </w:style>
  <w:style w:type="paragraph" w:customStyle="1" w:styleId="126">
    <w:name w:val="font6"/>
    <w:basedOn w:val="1"/>
    <w:qFormat/>
    <w:uiPriority w:val="0"/>
    <w:pPr>
      <w:widowControl/>
      <w:spacing w:before="100" w:beforeAutospacing="1" w:after="100" w:afterAutospacing="1"/>
      <w:jc w:val="left"/>
    </w:pPr>
    <w:rPr>
      <w:rFonts w:hint="eastAsia" w:hAnsi="宋体"/>
      <w:bCs w:val="0"/>
      <w:kern w:val="0"/>
      <w:sz w:val="18"/>
      <w:szCs w:val="18"/>
    </w:rPr>
  </w:style>
  <w:style w:type="paragraph" w:customStyle="1" w:styleId="127">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Times New Roman"/>
      <w:bCs w:val="0"/>
      <w:kern w:val="0"/>
      <w:sz w:val="20"/>
      <w:szCs w:val="20"/>
    </w:rPr>
  </w:style>
  <w:style w:type="paragraph" w:customStyle="1" w:styleId="12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Cs w:val="0"/>
      <w:kern w:val="0"/>
      <w:sz w:val="20"/>
      <w:szCs w:val="20"/>
    </w:rPr>
  </w:style>
  <w:style w:type="paragraph" w:customStyle="1" w:styleId="129">
    <w:name w:val="xl28"/>
    <w:basedOn w:val="1"/>
    <w:qFormat/>
    <w:uiPriority w:val="0"/>
    <w:pPr>
      <w:widowControl/>
      <w:pBdr>
        <w:top w:val="single" w:color="auto" w:sz="4" w:space="0"/>
        <w:left w:val="single" w:color="auto" w:sz="4" w:space="0"/>
        <w:bottom w:val="single" w:color="auto" w:sz="4" w:space="0"/>
      </w:pBdr>
      <w:spacing w:before="100" w:beforeAutospacing="1" w:after="100" w:afterAutospacing="1"/>
      <w:jc w:val="right"/>
      <w:textAlignment w:val="center"/>
    </w:pPr>
    <w:rPr>
      <w:rFonts w:ascii="Arial Unicode MS" w:hAnsi="Arial Unicode MS"/>
      <w:bCs w:val="0"/>
      <w:kern w:val="0"/>
      <w:sz w:val="22"/>
      <w:szCs w:val="22"/>
    </w:rPr>
  </w:style>
  <w:style w:type="paragraph" w:customStyle="1" w:styleId="130">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bCs w:val="0"/>
      <w:sz w:val="21"/>
      <w:szCs w:val="20"/>
    </w:rPr>
  </w:style>
  <w:style w:type="paragraph" w:customStyle="1" w:styleId="131">
    <w:name w:val="Char1"/>
    <w:basedOn w:val="1"/>
    <w:qFormat/>
    <w:uiPriority w:val="0"/>
    <w:rPr>
      <w:rFonts w:ascii="仿宋_GB2312" w:eastAsia="仿宋_GB2312"/>
      <w:b/>
      <w:bCs w:val="0"/>
      <w:sz w:val="32"/>
      <w:szCs w:val="32"/>
    </w:rPr>
  </w:style>
  <w:style w:type="character" w:customStyle="1" w:styleId="132">
    <w:name w:val="批注文字 Char"/>
    <w:link w:val="12"/>
    <w:qFormat/>
    <w:uiPriority w:val="0"/>
    <w:rPr>
      <w:rFonts w:ascii="宋体"/>
      <w:bCs/>
      <w:kern w:val="2"/>
      <w:sz w:val="28"/>
      <w:szCs w:val="24"/>
    </w:rPr>
  </w:style>
  <w:style w:type="paragraph" w:customStyle="1" w:styleId="133">
    <w:name w:val="样式 首行缩进:  2 字符"/>
    <w:basedOn w:val="1"/>
    <w:qFormat/>
    <w:uiPriority w:val="0"/>
    <w:pPr>
      <w:ind w:firstLine="560"/>
    </w:pPr>
    <w:rPr>
      <w:rFonts w:eastAsia="仿宋_GB2312" w:cs="宋体"/>
      <w:sz w:val="24"/>
      <w:szCs w:val="20"/>
    </w:rPr>
  </w:style>
  <w:style w:type="paragraph" w:customStyle="1" w:styleId="134">
    <w:name w:val="Normal_8"/>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5">
    <w:name w:val="Heading2"/>
    <w:basedOn w:val="1"/>
    <w:qFormat/>
    <w:uiPriority w:val="0"/>
    <w:pPr>
      <w:spacing w:beforeAutospacing="1" w:afterAutospacing="1"/>
      <w:jc w:val="left"/>
    </w:pPr>
    <w:rPr>
      <w:b/>
      <w:kern w:val="0"/>
      <w:szCs w:val="36"/>
    </w:rPr>
  </w:style>
  <w:style w:type="character" w:customStyle="1" w:styleId="136">
    <w:name w:val="NormalCharacter"/>
    <w:qFormat/>
    <w:uiPriority w:val="0"/>
  </w:style>
  <w:style w:type="paragraph" w:customStyle="1" w:styleId="137">
    <w:name w:val="列出段落3"/>
    <w:basedOn w:val="1"/>
    <w:qFormat/>
    <w:uiPriority w:val="99"/>
    <w:pPr>
      <w:ind w:firstLine="420" w:firstLineChars="200"/>
    </w:pPr>
  </w:style>
  <w:style w:type="paragraph" w:customStyle="1" w:styleId="138">
    <w:name w:val="样式 标题 2 + 宋体 五号 非加粗 黑色"/>
    <w:basedOn w:val="3"/>
    <w:qFormat/>
    <w:uiPriority w:val="0"/>
    <w:pPr>
      <w:numPr>
        <w:ilvl w:val="1"/>
        <w:numId w:val="1"/>
      </w:numPr>
      <w:spacing w:line="416" w:lineRule="atLeast"/>
    </w:pPr>
    <w:rPr>
      <w:rFonts w:ascii="宋体" w:hAnsi="宋体" w:eastAsia="宋体"/>
      <w:b w:val="0"/>
      <w:bCs w:val="0"/>
      <w:color w:val="000000"/>
      <w:kern w:val="2"/>
      <w:sz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50</Pages>
  <Words>19696</Words>
  <Characters>20742</Characters>
  <Paragraphs>2987</Paragraphs>
  <TotalTime>2</TotalTime>
  <ScaleCrop>false</ScaleCrop>
  <LinksUpToDate>false</LinksUpToDate>
  <CharactersWithSpaces>21845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2020-06-10T09:50:00Z</dcterms:created>
  <dc:creator>wulai</dc:creator>
  <cp:lastModifiedBy>橙橙</cp:lastModifiedBy>
  <cp:lastPrinted>2021-07-09T06:35:00Z</cp:lastPrinted>
  <dcterms:modified xsi:type="dcterms:W3CDTF">2022-05-11T01:51:04Z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5EFECB0F21F14A2EAD56599512FCCDC6</vt:lpwstr>
  </property>
</Properties>
</file>