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5446794"/>
      <w:bookmarkStart w:id="1" w:name="_Toc325731733"/>
      <w:bookmarkStart w:id="2" w:name="_Toc326783408"/>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SDSHZB2022-362</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sz w:val="48"/>
          <w:szCs w:val="48"/>
          <w:highlight w:val="none"/>
          <w:lang w:eastAsia="zh-CN"/>
        </w:rPr>
        <w:t>山东大学第二医院外送检测服务项目</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11323381"/>
      <w:bookmarkStart w:id="7" w:name="_Toc7337024"/>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7337025"/>
      <w:bookmarkStart w:id="9" w:name="_Toc415058576"/>
      <w:bookmarkStart w:id="10" w:name="_Toc22573"/>
      <w:bookmarkStart w:id="11" w:name="_Toc11323382"/>
      <w:bookmarkStart w:id="12" w:name="_Toc415058500"/>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lang w:eastAsia="zh-CN"/>
        </w:rPr>
        <w:t>山东大学第二医院外送检测服务项目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731734"/>
      <w:bookmarkStart w:id="14" w:name="_Toc325446795"/>
      <w:bookmarkStart w:id="15" w:name="_Toc326783409"/>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5</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18</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415058577"/>
      <w:bookmarkStart w:id="17" w:name="_Toc375561634"/>
      <w:bookmarkStart w:id="18" w:name="_Toc357793028"/>
      <w:bookmarkStart w:id="19" w:name="_Toc362625917"/>
      <w:r>
        <w:rPr>
          <w:rFonts w:hint="eastAsia" w:ascii="仿宋" w:hAnsi="仿宋" w:eastAsia="仿宋" w:cs="仿宋"/>
          <w:b/>
          <w:bCs w:val="0"/>
          <w:sz w:val="28"/>
          <w:szCs w:val="28"/>
          <w:highlight w:val="none"/>
        </w:rPr>
        <w:t>目录</w:t>
      </w:r>
      <w:bookmarkEnd w:id="16"/>
      <w:bookmarkEnd w:id="17"/>
      <w:bookmarkEnd w:id="18"/>
      <w:bookmarkEnd w:id="19"/>
    </w:p>
    <w:p>
      <w:pPr>
        <w:pStyle w:val="24"/>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_Toc4475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_Toc4475 \h </w:instrText>
      </w:r>
      <w:r>
        <w:fldChar w:fldCharType="separate"/>
      </w:r>
      <w:r>
        <w:t>4</w:t>
      </w:r>
      <w:r>
        <w:fldChar w:fldCharType="end"/>
      </w:r>
      <w:r>
        <w:fldChar w:fldCharType="end"/>
      </w:r>
    </w:p>
    <w:p>
      <w:pPr>
        <w:pStyle w:val="24"/>
        <w:tabs>
          <w:tab w:val="right" w:leader="dot" w:pos="8867"/>
        </w:tabs>
      </w:pPr>
      <w:r>
        <w:fldChar w:fldCharType="begin"/>
      </w:r>
      <w:r>
        <w:instrText xml:space="preserve"> HYPERLINK \l _Toc5465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_Toc5465 \h </w:instrText>
      </w:r>
      <w:r>
        <w:fldChar w:fldCharType="separate"/>
      </w:r>
      <w:r>
        <w:t>8</w:t>
      </w:r>
      <w:r>
        <w:fldChar w:fldCharType="end"/>
      </w:r>
      <w:r>
        <w:fldChar w:fldCharType="end"/>
      </w:r>
    </w:p>
    <w:p>
      <w:pPr>
        <w:pStyle w:val="28"/>
        <w:tabs>
          <w:tab w:val="right" w:leader="dot" w:pos="8867"/>
          <w:tab w:val="clear" w:pos="8857"/>
        </w:tabs>
      </w:pPr>
      <w:r>
        <w:fldChar w:fldCharType="begin"/>
      </w:r>
      <w:r>
        <w:instrText xml:space="preserve"> HYPERLINK \l _Toc512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_Toc512 \h </w:instrText>
      </w:r>
      <w:r>
        <w:fldChar w:fldCharType="separate"/>
      </w:r>
      <w:r>
        <w:t>15</w:t>
      </w:r>
      <w:r>
        <w:fldChar w:fldCharType="end"/>
      </w:r>
      <w:r>
        <w:fldChar w:fldCharType="end"/>
      </w:r>
    </w:p>
    <w:p>
      <w:pPr>
        <w:pStyle w:val="28"/>
        <w:tabs>
          <w:tab w:val="right" w:leader="dot" w:pos="8867"/>
          <w:tab w:val="clear" w:pos="8857"/>
        </w:tabs>
      </w:pPr>
      <w:r>
        <w:fldChar w:fldCharType="begin"/>
      </w:r>
      <w:r>
        <w:instrText xml:space="preserve"> HYPERLINK \l _Toc15348 </w:instrText>
      </w:r>
      <w:r>
        <w:fldChar w:fldCharType="separate"/>
      </w:r>
      <w:r>
        <w:rPr>
          <w:rFonts w:hint="eastAsia" w:ascii="仿宋" w:hAnsi="仿宋" w:eastAsia="仿宋" w:cs="仿宋"/>
          <w:szCs w:val="28"/>
          <w:highlight w:val="none"/>
        </w:rPr>
        <w:t>二、定义</w:t>
      </w:r>
      <w:r>
        <w:tab/>
      </w:r>
      <w:r>
        <w:fldChar w:fldCharType="begin"/>
      </w:r>
      <w:r>
        <w:instrText xml:space="preserve"> PAGEREF _Toc15348 \h </w:instrText>
      </w:r>
      <w:r>
        <w:fldChar w:fldCharType="separate"/>
      </w:r>
      <w:r>
        <w:t>15</w:t>
      </w:r>
      <w:r>
        <w:fldChar w:fldCharType="end"/>
      </w:r>
      <w:r>
        <w:fldChar w:fldCharType="end"/>
      </w:r>
    </w:p>
    <w:p>
      <w:pPr>
        <w:pStyle w:val="28"/>
        <w:tabs>
          <w:tab w:val="right" w:leader="dot" w:pos="8867"/>
          <w:tab w:val="clear" w:pos="8857"/>
        </w:tabs>
      </w:pPr>
      <w:r>
        <w:fldChar w:fldCharType="begin"/>
      </w:r>
      <w:r>
        <w:instrText xml:space="preserve"> HYPERLINK \l _Toc5199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_Toc5199 \h </w:instrText>
      </w:r>
      <w:r>
        <w:fldChar w:fldCharType="separate"/>
      </w:r>
      <w:r>
        <w:t>15</w:t>
      </w:r>
      <w:r>
        <w:fldChar w:fldCharType="end"/>
      </w:r>
      <w:r>
        <w:fldChar w:fldCharType="end"/>
      </w:r>
    </w:p>
    <w:p>
      <w:pPr>
        <w:pStyle w:val="28"/>
        <w:tabs>
          <w:tab w:val="right" w:leader="dot" w:pos="8867"/>
          <w:tab w:val="clear" w:pos="8857"/>
        </w:tabs>
      </w:pPr>
      <w:r>
        <w:fldChar w:fldCharType="begin"/>
      </w:r>
      <w:r>
        <w:instrText xml:space="preserve"> HYPERLINK \l _Toc9932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_Toc9932 \h </w:instrText>
      </w:r>
      <w:r>
        <w:fldChar w:fldCharType="separate"/>
      </w:r>
      <w:r>
        <w:t>15</w:t>
      </w:r>
      <w:r>
        <w:fldChar w:fldCharType="end"/>
      </w:r>
      <w:r>
        <w:fldChar w:fldCharType="end"/>
      </w:r>
    </w:p>
    <w:p>
      <w:pPr>
        <w:pStyle w:val="28"/>
        <w:tabs>
          <w:tab w:val="right" w:leader="dot" w:pos="8867"/>
          <w:tab w:val="clear" w:pos="8857"/>
        </w:tabs>
      </w:pPr>
      <w:r>
        <w:fldChar w:fldCharType="begin"/>
      </w:r>
      <w:r>
        <w:instrText xml:space="preserve"> HYPERLINK \l _Toc21016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_Toc21016 \h </w:instrText>
      </w:r>
      <w:r>
        <w:fldChar w:fldCharType="separate"/>
      </w:r>
      <w:r>
        <w:t>15</w:t>
      </w:r>
      <w:r>
        <w:fldChar w:fldCharType="end"/>
      </w:r>
      <w:r>
        <w:fldChar w:fldCharType="end"/>
      </w:r>
    </w:p>
    <w:p>
      <w:pPr>
        <w:pStyle w:val="28"/>
        <w:tabs>
          <w:tab w:val="right" w:leader="dot" w:pos="8867"/>
          <w:tab w:val="clear" w:pos="8857"/>
        </w:tabs>
      </w:pPr>
      <w:r>
        <w:fldChar w:fldCharType="begin"/>
      </w:r>
      <w:r>
        <w:instrText xml:space="preserve"> HYPERLINK \l _Toc18330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_Toc18330 \h </w:instrText>
      </w:r>
      <w:r>
        <w:fldChar w:fldCharType="separate"/>
      </w:r>
      <w:r>
        <w:t>21</w:t>
      </w:r>
      <w:r>
        <w:fldChar w:fldCharType="end"/>
      </w:r>
      <w:r>
        <w:fldChar w:fldCharType="end"/>
      </w:r>
    </w:p>
    <w:p>
      <w:pPr>
        <w:pStyle w:val="28"/>
        <w:tabs>
          <w:tab w:val="right" w:leader="dot" w:pos="8867"/>
          <w:tab w:val="clear" w:pos="8857"/>
        </w:tabs>
      </w:pPr>
      <w:r>
        <w:fldChar w:fldCharType="begin"/>
      </w:r>
      <w:r>
        <w:instrText xml:space="preserve"> HYPERLINK \l _Toc25049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_Toc25049 \h </w:instrText>
      </w:r>
      <w:r>
        <w:fldChar w:fldCharType="separate"/>
      </w:r>
      <w:r>
        <w:t>21</w:t>
      </w:r>
      <w:r>
        <w:fldChar w:fldCharType="end"/>
      </w:r>
      <w:r>
        <w:fldChar w:fldCharType="end"/>
      </w:r>
    </w:p>
    <w:p>
      <w:pPr>
        <w:pStyle w:val="28"/>
        <w:tabs>
          <w:tab w:val="right" w:leader="dot" w:pos="8867"/>
          <w:tab w:val="clear" w:pos="8857"/>
        </w:tabs>
      </w:pPr>
      <w:r>
        <w:fldChar w:fldCharType="begin"/>
      </w:r>
      <w:r>
        <w:instrText xml:space="preserve"> HYPERLINK \l _Toc16378 </w:instrText>
      </w:r>
      <w:r>
        <w:fldChar w:fldCharType="separate"/>
      </w:r>
      <w:r>
        <w:rPr>
          <w:rFonts w:hint="eastAsia" w:ascii="仿宋" w:hAnsi="仿宋" w:eastAsia="仿宋" w:cs="仿宋"/>
          <w:szCs w:val="28"/>
          <w:highlight w:val="none"/>
        </w:rPr>
        <w:t>八、保证金</w:t>
      </w:r>
      <w:r>
        <w:tab/>
      </w:r>
      <w:r>
        <w:fldChar w:fldCharType="begin"/>
      </w:r>
      <w:r>
        <w:instrText xml:space="preserve"> PAGEREF _Toc16378 \h </w:instrText>
      </w:r>
      <w:r>
        <w:fldChar w:fldCharType="separate"/>
      </w:r>
      <w:r>
        <w:t>22</w:t>
      </w:r>
      <w:r>
        <w:fldChar w:fldCharType="end"/>
      </w:r>
      <w:r>
        <w:fldChar w:fldCharType="end"/>
      </w:r>
    </w:p>
    <w:p>
      <w:pPr>
        <w:pStyle w:val="28"/>
        <w:tabs>
          <w:tab w:val="right" w:leader="dot" w:pos="8867"/>
          <w:tab w:val="clear" w:pos="8857"/>
        </w:tabs>
      </w:pPr>
      <w:r>
        <w:fldChar w:fldCharType="begin"/>
      </w:r>
      <w:r>
        <w:instrText xml:space="preserve"> HYPERLINK \l _Toc1898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_Toc1898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_Toc4692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_Toc4692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_Toc31192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_Toc31192 \h </w:instrText>
      </w:r>
      <w:r>
        <w:fldChar w:fldCharType="separate"/>
      </w:r>
      <w:r>
        <w:t>25</w:t>
      </w:r>
      <w:r>
        <w:fldChar w:fldCharType="end"/>
      </w:r>
      <w:r>
        <w:fldChar w:fldCharType="end"/>
      </w:r>
    </w:p>
    <w:p>
      <w:pPr>
        <w:pStyle w:val="28"/>
        <w:tabs>
          <w:tab w:val="right" w:leader="dot" w:pos="8867"/>
          <w:tab w:val="clear" w:pos="8857"/>
        </w:tabs>
      </w:pPr>
      <w:r>
        <w:fldChar w:fldCharType="begin"/>
      </w:r>
      <w:r>
        <w:instrText xml:space="preserve"> HYPERLINK \l _Toc26295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_Toc26295 \h </w:instrText>
      </w:r>
      <w:r>
        <w:fldChar w:fldCharType="separate"/>
      </w:r>
      <w:r>
        <w:t>25</w:t>
      </w:r>
      <w:r>
        <w:fldChar w:fldCharType="end"/>
      </w:r>
      <w:r>
        <w:fldChar w:fldCharType="end"/>
      </w:r>
    </w:p>
    <w:p>
      <w:pPr>
        <w:pStyle w:val="24"/>
        <w:tabs>
          <w:tab w:val="right" w:leader="dot" w:pos="8867"/>
        </w:tabs>
      </w:pPr>
      <w:r>
        <w:fldChar w:fldCharType="begin"/>
      </w:r>
      <w:r>
        <w:instrText xml:space="preserve"> HYPERLINK \l _Toc16709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_Toc16709 \h </w:instrText>
      </w:r>
      <w:r>
        <w:fldChar w:fldCharType="separate"/>
      </w:r>
      <w:r>
        <w:t>27</w:t>
      </w:r>
      <w:r>
        <w:fldChar w:fldCharType="end"/>
      </w:r>
      <w:r>
        <w:fldChar w:fldCharType="end"/>
      </w:r>
    </w:p>
    <w:p>
      <w:pPr>
        <w:pStyle w:val="28"/>
        <w:tabs>
          <w:tab w:val="right" w:leader="dot" w:pos="8867"/>
          <w:tab w:val="clear" w:pos="8857"/>
        </w:tabs>
      </w:pPr>
      <w:r>
        <w:fldChar w:fldCharType="begin"/>
      </w:r>
      <w:r>
        <w:instrText xml:space="preserve"> HYPERLINK \l _Toc27591 </w:instrText>
      </w:r>
      <w:r>
        <w:fldChar w:fldCharType="separate"/>
      </w:r>
      <w:r>
        <w:rPr>
          <w:rFonts w:hint="eastAsia" w:ascii="仿宋" w:hAnsi="仿宋" w:eastAsia="仿宋" w:cs="仿宋"/>
          <w:szCs w:val="28"/>
          <w:highlight w:val="none"/>
        </w:rPr>
        <w:t>一、开标</w:t>
      </w:r>
      <w:r>
        <w:tab/>
      </w:r>
      <w:r>
        <w:fldChar w:fldCharType="begin"/>
      </w:r>
      <w:r>
        <w:instrText xml:space="preserve"> PAGEREF _Toc27591 \h </w:instrText>
      </w:r>
      <w:r>
        <w:fldChar w:fldCharType="separate"/>
      </w:r>
      <w:r>
        <w:t>27</w:t>
      </w:r>
      <w:r>
        <w:fldChar w:fldCharType="end"/>
      </w:r>
      <w:r>
        <w:fldChar w:fldCharType="end"/>
      </w:r>
    </w:p>
    <w:p>
      <w:pPr>
        <w:pStyle w:val="28"/>
        <w:tabs>
          <w:tab w:val="right" w:leader="dot" w:pos="8867"/>
          <w:tab w:val="clear" w:pos="8857"/>
        </w:tabs>
      </w:pPr>
      <w:r>
        <w:fldChar w:fldCharType="begin"/>
      </w:r>
      <w:r>
        <w:instrText xml:space="preserve"> HYPERLINK \l _Toc9386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_Toc9386 \h </w:instrText>
      </w:r>
      <w:r>
        <w:fldChar w:fldCharType="separate"/>
      </w:r>
      <w:r>
        <w:t>27</w:t>
      </w:r>
      <w:r>
        <w:fldChar w:fldCharType="end"/>
      </w:r>
      <w:r>
        <w:fldChar w:fldCharType="end"/>
      </w:r>
    </w:p>
    <w:p>
      <w:pPr>
        <w:pStyle w:val="28"/>
        <w:tabs>
          <w:tab w:val="right" w:leader="dot" w:pos="8867"/>
          <w:tab w:val="clear" w:pos="8857"/>
        </w:tabs>
      </w:pPr>
      <w:r>
        <w:fldChar w:fldCharType="begin"/>
      </w:r>
      <w:r>
        <w:instrText xml:space="preserve"> HYPERLINK \l _Toc23543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_Toc23543 \h </w:instrText>
      </w:r>
      <w:r>
        <w:fldChar w:fldCharType="separate"/>
      </w:r>
      <w:r>
        <w:t>27</w:t>
      </w:r>
      <w:r>
        <w:fldChar w:fldCharType="end"/>
      </w:r>
      <w:r>
        <w:fldChar w:fldCharType="end"/>
      </w:r>
    </w:p>
    <w:p>
      <w:pPr>
        <w:pStyle w:val="28"/>
        <w:tabs>
          <w:tab w:val="right" w:leader="dot" w:pos="8867"/>
          <w:tab w:val="clear" w:pos="8857"/>
        </w:tabs>
      </w:pPr>
      <w:r>
        <w:fldChar w:fldCharType="begin"/>
      </w:r>
      <w:r>
        <w:instrText xml:space="preserve"> HYPERLINK \l _Toc11939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_Toc11939 \h </w:instrText>
      </w:r>
      <w:r>
        <w:fldChar w:fldCharType="separate"/>
      </w:r>
      <w:r>
        <w:t>28</w:t>
      </w:r>
      <w:r>
        <w:fldChar w:fldCharType="end"/>
      </w:r>
      <w:r>
        <w:fldChar w:fldCharType="end"/>
      </w:r>
    </w:p>
    <w:p>
      <w:pPr>
        <w:pStyle w:val="28"/>
        <w:tabs>
          <w:tab w:val="right" w:leader="dot" w:pos="8867"/>
          <w:tab w:val="clear" w:pos="8857"/>
        </w:tabs>
      </w:pPr>
      <w:r>
        <w:fldChar w:fldCharType="begin"/>
      </w:r>
      <w:r>
        <w:instrText xml:space="preserve"> HYPERLINK \l _Toc12697 </w:instrText>
      </w:r>
      <w:r>
        <w:fldChar w:fldCharType="separate"/>
      </w:r>
      <w:r>
        <w:rPr>
          <w:rFonts w:hint="eastAsia" w:ascii="仿宋" w:hAnsi="仿宋" w:eastAsia="仿宋" w:cs="仿宋"/>
          <w:szCs w:val="28"/>
          <w:highlight w:val="none"/>
        </w:rPr>
        <w:t>五、废标</w:t>
      </w:r>
      <w:r>
        <w:tab/>
      </w:r>
      <w:r>
        <w:fldChar w:fldCharType="begin"/>
      </w:r>
      <w:r>
        <w:instrText xml:space="preserve"> PAGEREF _Toc12697 \h </w:instrText>
      </w:r>
      <w:r>
        <w:fldChar w:fldCharType="separate"/>
      </w:r>
      <w:r>
        <w:t>33</w:t>
      </w:r>
      <w:r>
        <w:fldChar w:fldCharType="end"/>
      </w:r>
      <w:r>
        <w:fldChar w:fldCharType="end"/>
      </w:r>
    </w:p>
    <w:p>
      <w:pPr>
        <w:pStyle w:val="28"/>
        <w:tabs>
          <w:tab w:val="right" w:leader="dot" w:pos="8867"/>
          <w:tab w:val="clear" w:pos="8857"/>
        </w:tabs>
      </w:pPr>
      <w:r>
        <w:fldChar w:fldCharType="begin"/>
      </w:r>
      <w:r>
        <w:instrText xml:space="preserve"> HYPERLINK \l _Toc18869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_Toc18869 \h </w:instrText>
      </w:r>
      <w:r>
        <w:fldChar w:fldCharType="separate"/>
      </w:r>
      <w:r>
        <w:t>33</w:t>
      </w:r>
      <w:r>
        <w:fldChar w:fldCharType="end"/>
      </w:r>
      <w:r>
        <w:fldChar w:fldCharType="end"/>
      </w:r>
    </w:p>
    <w:p>
      <w:pPr>
        <w:pStyle w:val="24"/>
        <w:tabs>
          <w:tab w:val="right" w:leader="dot" w:pos="8867"/>
        </w:tabs>
      </w:pPr>
      <w:r>
        <w:fldChar w:fldCharType="begin"/>
      </w:r>
      <w:r>
        <w:instrText xml:space="preserve"> HYPERLINK \l _Toc10395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_Toc10395 \h </w:instrText>
      </w:r>
      <w:r>
        <w:fldChar w:fldCharType="separate"/>
      </w:r>
      <w:r>
        <w:t>34</w:t>
      </w:r>
      <w:r>
        <w:fldChar w:fldCharType="end"/>
      </w:r>
      <w:r>
        <w:fldChar w:fldCharType="end"/>
      </w:r>
    </w:p>
    <w:p>
      <w:pPr>
        <w:pStyle w:val="28"/>
        <w:tabs>
          <w:tab w:val="right" w:leader="dot" w:pos="8867"/>
          <w:tab w:val="clear" w:pos="8857"/>
        </w:tabs>
      </w:pPr>
      <w:r>
        <w:fldChar w:fldCharType="begin"/>
      </w:r>
      <w:r>
        <w:instrText xml:space="preserve"> HYPERLINK \l _Toc14252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_Toc14252 \h </w:instrText>
      </w:r>
      <w:r>
        <w:fldChar w:fldCharType="separate"/>
      </w:r>
      <w:r>
        <w:t>34</w:t>
      </w:r>
      <w:r>
        <w:fldChar w:fldCharType="end"/>
      </w:r>
      <w:r>
        <w:fldChar w:fldCharType="end"/>
      </w:r>
    </w:p>
    <w:p>
      <w:pPr>
        <w:pStyle w:val="28"/>
        <w:tabs>
          <w:tab w:val="right" w:leader="dot" w:pos="8867"/>
          <w:tab w:val="clear" w:pos="8857"/>
        </w:tabs>
      </w:pPr>
      <w:r>
        <w:fldChar w:fldCharType="begin"/>
      </w:r>
      <w:r>
        <w:instrText xml:space="preserve"> HYPERLINK \l _Toc25310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_Toc25310 \h </w:instrText>
      </w:r>
      <w:r>
        <w:fldChar w:fldCharType="separate"/>
      </w:r>
      <w:r>
        <w:t>34</w:t>
      </w:r>
      <w:r>
        <w:fldChar w:fldCharType="end"/>
      </w:r>
      <w:r>
        <w:fldChar w:fldCharType="end"/>
      </w:r>
    </w:p>
    <w:p>
      <w:pPr>
        <w:pStyle w:val="24"/>
        <w:tabs>
          <w:tab w:val="right" w:leader="dot" w:pos="8867"/>
        </w:tabs>
      </w:pPr>
      <w:r>
        <w:fldChar w:fldCharType="begin"/>
      </w:r>
      <w:r>
        <w:instrText xml:space="preserve"> HYPERLINK \l _Toc1285 </w:instrText>
      </w:r>
      <w: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_Toc1285 \h </w:instrText>
      </w:r>
      <w:r>
        <w:fldChar w:fldCharType="separate"/>
      </w:r>
      <w:r>
        <w:t>39</w:t>
      </w:r>
      <w:r>
        <w:fldChar w:fldCharType="end"/>
      </w:r>
      <w:r>
        <w:fldChar w:fldCharType="end"/>
      </w:r>
    </w:p>
    <w:p>
      <w:pPr>
        <w:pStyle w:val="28"/>
        <w:tabs>
          <w:tab w:val="right" w:leader="dot" w:pos="8867"/>
          <w:tab w:val="clear" w:pos="8857"/>
        </w:tabs>
      </w:pPr>
      <w:r>
        <w:fldChar w:fldCharType="begin"/>
      </w:r>
      <w:r>
        <w:instrText xml:space="preserve"> HYPERLINK \l _Toc27786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_Toc27786 \h </w:instrText>
      </w:r>
      <w:r>
        <w:fldChar w:fldCharType="separate"/>
      </w:r>
      <w:r>
        <w:t>39</w:t>
      </w:r>
      <w:r>
        <w:fldChar w:fldCharType="end"/>
      </w:r>
      <w:r>
        <w:fldChar w:fldCharType="end"/>
      </w:r>
    </w:p>
    <w:p>
      <w:pPr>
        <w:pStyle w:val="28"/>
        <w:tabs>
          <w:tab w:val="right" w:leader="dot" w:pos="8867"/>
          <w:tab w:val="clear" w:pos="8857"/>
        </w:tabs>
      </w:pPr>
      <w:r>
        <w:fldChar w:fldCharType="begin"/>
      </w:r>
      <w:r>
        <w:instrText xml:space="preserve"> HYPERLINK \l _Toc24700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_Toc24700 \h </w:instrText>
      </w:r>
      <w:r>
        <w:fldChar w:fldCharType="separate"/>
      </w:r>
      <w:r>
        <w:t>39</w:t>
      </w:r>
      <w:r>
        <w:fldChar w:fldCharType="end"/>
      </w:r>
      <w:r>
        <w:fldChar w:fldCharType="end"/>
      </w:r>
    </w:p>
    <w:p>
      <w:pPr>
        <w:pStyle w:val="28"/>
        <w:tabs>
          <w:tab w:val="right" w:leader="dot" w:pos="8867"/>
          <w:tab w:val="clear" w:pos="8857"/>
        </w:tabs>
      </w:pPr>
      <w:r>
        <w:fldChar w:fldCharType="begin"/>
      </w:r>
      <w:r>
        <w:instrText xml:space="preserve"> HYPERLINK \l _Toc2003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_Toc2003 \h </w:instrText>
      </w:r>
      <w:r>
        <w:fldChar w:fldCharType="separate"/>
      </w:r>
      <w:r>
        <w:t>39</w:t>
      </w:r>
      <w:r>
        <w:fldChar w:fldCharType="end"/>
      </w:r>
      <w:r>
        <w:fldChar w:fldCharType="end"/>
      </w:r>
    </w:p>
    <w:p>
      <w:pPr>
        <w:pStyle w:val="28"/>
        <w:tabs>
          <w:tab w:val="right" w:leader="dot" w:pos="8867"/>
          <w:tab w:val="clear" w:pos="8857"/>
        </w:tabs>
      </w:pPr>
      <w:r>
        <w:fldChar w:fldCharType="begin"/>
      </w:r>
      <w:r>
        <w:instrText xml:space="preserve"> HYPERLINK \l _Toc16438 </w:instrText>
      </w:r>
      <w:r>
        <w:fldChar w:fldCharType="separate"/>
      </w:r>
      <w:r>
        <w:rPr>
          <w:rFonts w:hint="eastAsia" w:ascii="仿宋" w:hAnsi="仿宋" w:eastAsia="仿宋" w:cs="仿宋"/>
          <w:szCs w:val="28"/>
          <w:lang w:val="en-US" w:eastAsia="zh-CN"/>
        </w:rPr>
        <w:t xml:space="preserve">四、 </w:t>
      </w:r>
      <w:r>
        <w:rPr>
          <w:rFonts w:hint="eastAsia" w:ascii="仿宋" w:hAnsi="仿宋" w:eastAsia="仿宋" w:cs="仿宋"/>
          <w:szCs w:val="28"/>
          <w:highlight w:val="none"/>
          <w:lang w:val="en-US" w:eastAsia="zh-CN"/>
        </w:rPr>
        <w:t>采购要求</w:t>
      </w:r>
      <w:r>
        <w:tab/>
      </w:r>
      <w:r>
        <w:fldChar w:fldCharType="begin"/>
      </w:r>
      <w:r>
        <w:instrText xml:space="preserve"> PAGEREF _Toc16438 \h </w:instrText>
      </w:r>
      <w:r>
        <w:fldChar w:fldCharType="separate"/>
      </w:r>
      <w:r>
        <w:t>40</w:t>
      </w:r>
      <w:r>
        <w:fldChar w:fldCharType="end"/>
      </w:r>
      <w:r>
        <w:fldChar w:fldCharType="end"/>
      </w:r>
    </w:p>
    <w:p>
      <w:pPr>
        <w:pStyle w:val="24"/>
        <w:tabs>
          <w:tab w:val="right" w:leader="dot" w:pos="8867"/>
        </w:tabs>
      </w:pPr>
      <w:r>
        <w:fldChar w:fldCharType="begin"/>
      </w:r>
      <w:r>
        <w:instrText xml:space="preserve"> HYPERLINK \l _Toc9220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_Toc9220 \h </w:instrText>
      </w:r>
      <w:r>
        <w:fldChar w:fldCharType="separate"/>
      </w:r>
      <w:r>
        <w:t>53</w:t>
      </w:r>
      <w:r>
        <w:fldChar w:fldCharType="end"/>
      </w:r>
      <w:r>
        <w:fldChar w:fldCharType="end"/>
      </w:r>
    </w:p>
    <w:p>
      <w:pPr>
        <w:pStyle w:val="28"/>
        <w:tabs>
          <w:tab w:val="right" w:leader="dot" w:pos="8867"/>
          <w:tab w:val="clear" w:pos="8857"/>
        </w:tabs>
      </w:pPr>
      <w:r>
        <w:fldChar w:fldCharType="begin"/>
      </w:r>
      <w:r>
        <w:instrText xml:space="preserve"> HYPERLINK \l _Toc18726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_Toc18726 \h </w:instrText>
      </w:r>
      <w:r>
        <w:fldChar w:fldCharType="separate"/>
      </w:r>
      <w:r>
        <w:t>53</w:t>
      </w:r>
      <w:r>
        <w:fldChar w:fldCharType="end"/>
      </w:r>
      <w:r>
        <w:fldChar w:fldCharType="end"/>
      </w:r>
    </w:p>
    <w:p>
      <w:pPr>
        <w:pStyle w:val="28"/>
        <w:tabs>
          <w:tab w:val="right" w:leader="dot" w:pos="8867"/>
          <w:tab w:val="clear" w:pos="8857"/>
        </w:tabs>
      </w:pPr>
      <w:r>
        <w:fldChar w:fldCharType="begin"/>
      </w:r>
      <w:r>
        <w:instrText xml:space="preserve"> HYPERLINK \l _Toc16847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_Toc16847 \h </w:instrText>
      </w:r>
      <w:r>
        <w:fldChar w:fldCharType="separate"/>
      </w:r>
      <w:r>
        <w:t>55</w:t>
      </w:r>
      <w:r>
        <w:fldChar w:fldCharType="end"/>
      </w:r>
      <w:r>
        <w:fldChar w:fldCharType="end"/>
      </w:r>
    </w:p>
    <w:p>
      <w:pPr>
        <w:pStyle w:val="28"/>
        <w:tabs>
          <w:tab w:val="right" w:leader="dot" w:pos="8867"/>
          <w:tab w:val="clear" w:pos="8857"/>
        </w:tabs>
      </w:pPr>
      <w:r>
        <w:fldChar w:fldCharType="begin"/>
      </w:r>
      <w:r>
        <w:instrText xml:space="preserve"> HYPERLINK \l _Toc21141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_Toc21141 \h </w:instrText>
      </w:r>
      <w:r>
        <w:fldChar w:fldCharType="separate"/>
      </w:r>
      <w:r>
        <w:t>56</w:t>
      </w:r>
      <w:r>
        <w:fldChar w:fldCharType="end"/>
      </w:r>
      <w:r>
        <w:fldChar w:fldCharType="end"/>
      </w:r>
    </w:p>
    <w:p>
      <w:pPr>
        <w:pStyle w:val="28"/>
        <w:tabs>
          <w:tab w:val="right" w:leader="dot" w:pos="8867"/>
          <w:tab w:val="clear" w:pos="8857"/>
        </w:tabs>
      </w:pPr>
      <w:r>
        <w:fldChar w:fldCharType="begin"/>
      </w:r>
      <w:r>
        <w:instrText xml:space="preserve"> HYPERLINK \l _Toc22323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_Toc22323 \h </w:instrText>
      </w:r>
      <w:r>
        <w:fldChar w:fldCharType="separate"/>
      </w:r>
      <w:r>
        <w:t>57</w:t>
      </w:r>
      <w:r>
        <w:fldChar w:fldCharType="end"/>
      </w:r>
      <w:r>
        <w:fldChar w:fldCharType="end"/>
      </w:r>
    </w:p>
    <w:p>
      <w:pPr>
        <w:pStyle w:val="28"/>
        <w:tabs>
          <w:tab w:val="right" w:leader="dot" w:pos="8867"/>
          <w:tab w:val="clear" w:pos="8857"/>
        </w:tabs>
      </w:pPr>
      <w:r>
        <w:fldChar w:fldCharType="begin"/>
      </w:r>
      <w:r>
        <w:instrText xml:space="preserve"> HYPERLINK \l _Toc28409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：投 标 偏 离 表</w:t>
      </w:r>
      <w:r>
        <w:tab/>
      </w:r>
      <w:r>
        <w:fldChar w:fldCharType="begin"/>
      </w:r>
      <w:r>
        <w:instrText xml:space="preserve"> PAGEREF _Toc28409 \h </w:instrText>
      </w:r>
      <w:r>
        <w:fldChar w:fldCharType="separate"/>
      </w:r>
      <w:r>
        <w:t>58</w:t>
      </w:r>
      <w:r>
        <w:fldChar w:fldCharType="end"/>
      </w:r>
      <w:r>
        <w:fldChar w:fldCharType="end"/>
      </w:r>
    </w:p>
    <w:p>
      <w:pPr>
        <w:pStyle w:val="28"/>
        <w:tabs>
          <w:tab w:val="right" w:leader="dot" w:pos="8867"/>
          <w:tab w:val="clear" w:pos="8857"/>
        </w:tabs>
      </w:pPr>
      <w:r>
        <w:fldChar w:fldCharType="begin"/>
      </w:r>
      <w:r>
        <w:instrText xml:space="preserve"> HYPERLINK \l _Toc6006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拟投入本项目人员情况一览表</w:t>
      </w:r>
      <w:r>
        <w:tab/>
      </w:r>
      <w:r>
        <w:fldChar w:fldCharType="begin"/>
      </w:r>
      <w:r>
        <w:instrText xml:space="preserve"> PAGEREF _Toc6006 \h </w:instrText>
      </w:r>
      <w:r>
        <w:fldChar w:fldCharType="separate"/>
      </w:r>
      <w:r>
        <w:t>59</w:t>
      </w:r>
      <w:r>
        <w:fldChar w:fldCharType="end"/>
      </w:r>
      <w:r>
        <w:fldChar w:fldCharType="end"/>
      </w:r>
    </w:p>
    <w:p>
      <w:pPr>
        <w:pStyle w:val="28"/>
        <w:tabs>
          <w:tab w:val="right" w:leader="dot" w:pos="8867"/>
          <w:tab w:val="clear" w:pos="8857"/>
        </w:tabs>
      </w:pPr>
      <w:r>
        <w:fldChar w:fldCharType="begin"/>
      </w:r>
      <w:r>
        <w:instrText xml:space="preserve"> HYPERLINK \l _Toc27778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拟投入本项目仪器设备情况一览表</w:t>
      </w:r>
      <w:r>
        <w:tab/>
      </w:r>
      <w:r>
        <w:fldChar w:fldCharType="begin"/>
      </w:r>
      <w:r>
        <w:instrText xml:space="preserve"> PAGEREF _Toc27778 \h </w:instrText>
      </w:r>
      <w:r>
        <w:fldChar w:fldCharType="separate"/>
      </w:r>
      <w:r>
        <w:t>60</w:t>
      </w:r>
      <w:r>
        <w:fldChar w:fldCharType="end"/>
      </w:r>
      <w:r>
        <w:fldChar w:fldCharType="end"/>
      </w:r>
    </w:p>
    <w:p>
      <w:pPr>
        <w:pStyle w:val="28"/>
        <w:tabs>
          <w:tab w:val="right" w:leader="dot" w:pos="8867"/>
          <w:tab w:val="clear" w:pos="8857"/>
        </w:tabs>
      </w:pPr>
      <w:r>
        <w:fldChar w:fldCharType="begin"/>
      </w:r>
      <w:r>
        <w:instrText xml:space="preserve"> HYPERLINK \l _Toc26627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14</w:t>
      </w:r>
      <w:r>
        <w:rPr>
          <w:rFonts w:hint="eastAsia" w:ascii="仿宋" w:hAnsi="仿宋" w:eastAsia="仿宋" w:cs="仿宋"/>
          <w:bCs/>
          <w:color w:val="000000"/>
          <w:sz w:val="28"/>
          <w:szCs w:val="28"/>
          <w:highlight w:val="none"/>
          <w:u w:val="single"/>
        </w:rPr>
        <w:t>日</w:t>
      </w:r>
      <w:r>
        <w:rPr>
          <w:rFonts w:hint="eastAsia" w:ascii="仿宋" w:hAnsi="仿宋" w:eastAsia="仿宋" w:cs="仿宋"/>
          <w:szCs w:val="28"/>
          <w:highlight w:val="none"/>
        </w:rPr>
        <w:t>至今以来签订的同类业绩一览表</w:t>
      </w:r>
      <w:r>
        <w:tab/>
      </w:r>
      <w:r>
        <w:fldChar w:fldCharType="begin"/>
      </w:r>
      <w:r>
        <w:instrText xml:space="preserve"> PAGEREF _Toc26627 \h </w:instrText>
      </w:r>
      <w:r>
        <w:fldChar w:fldCharType="separate"/>
      </w:r>
      <w:r>
        <w:t>61</w:t>
      </w:r>
      <w:r>
        <w:fldChar w:fldCharType="end"/>
      </w:r>
      <w:r>
        <w:fldChar w:fldCharType="end"/>
      </w:r>
    </w:p>
    <w:p>
      <w:pPr>
        <w:pStyle w:val="28"/>
        <w:tabs>
          <w:tab w:val="right" w:leader="dot" w:pos="8867"/>
          <w:tab w:val="clear" w:pos="8857"/>
        </w:tabs>
      </w:pPr>
      <w:r>
        <w:fldChar w:fldCharType="begin"/>
      </w:r>
      <w:r>
        <w:instrText xml:space="preserve"> HYPERLINK \l _Toc4866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_Toc4866 \h </w:instrText>
      </w:r>
      <w:r>
        <w:fldChar w:fldCharType="separate"/>
      </w:r>
      <w:r>
        <w:t>62</w:t>
      </w:r>
      <w:r>
        <w:fldChar w:fldCharType="end"/>
      </w:r>
      <w:r>
        <w:fldChar w:fldCharType="end"/>
      </w:r>
    </w:p>
    <w:p>
      <w:pPr>
        <w:pStyle w:val="28"/>
        <w:tabs>
          <w:tab w:val="right" w:leader="dot" w:pos="8867"/>
          <w:tab w:val="clear" w:pos="8857"/>
        </w:tabs>
      </w:pPr>
      <w:r>
        <w:fldChar w:fldCharType="begin"/>
      </w:r>
      <w:r>
        <w:instrText xml:space="preserve"> HYPERLINK \l _Toc20784 </w:instrText>
      </w:r>
      <w:r>
        <w:fldChar w:fldCharType="separate"/>
      </w:r>
      <w:r>
        <w:rPr>
          <w:rFonts w:hint="eastAsia" w:ascii="仿宋" w:hAnsi="仿宋" w:eastAsia="仿宋" w:cs="仿宋"/>
          <w:szCs w:val="28"/>
          <w:highlight w:val="none"/>
        </w:rPr>
        <w:t>附件十：封面格式</w:t>
      </w:r>
      <w:r>
        <w:tab/>
      </w:r>
      <w:r>
        <w:fldChar w:fldCharType="begin"/>
      </w:r>
      <w:r>
        <w:instrText xml:space="preserve"> PAGEREF _Toc20784 \h </w:instrText>
      </w:r>
      <w:r>
        <w:fldChar w:fldCharType="separate"/>
      </w:r>
      <w:r>
        <w:t>64</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5365"/>
      <w:bookmarkStart w:id="22" w:name="_Toc356491305"/>
      <w:bookmarkStart w:id="23" w:name="_Toc17513"/>
      <w:bookmarkStart w:id="24" w:name="_Toc4475"/>
      <w:bookmarkStart w:id="25" w:name="_Toc4840"/>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End w:id="24"/>
      <w:bookmarkEnd w:id="25"/>
      <w:bookmarkStart w:id="26" w:name="_Toc325620702"/>
      <w:bookmarkStart w:id="27" w:name="_Toc325582571"/>
      <w:bookmarkStart w:id="28" w:name="_Toc325582066"/>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山东大学第二医院外送检测服务项目</w:t>
      </w:r>
      <w:r>
        <w:rPr>
          <w:rFonts w:hint="eastAsia" w:ascii="仿宋" w:hAnsi="仿宋" w:eastAsia="仿宋" w:cs="仿宋"/>
          <w:sz w:val="28"/>
          <w:szCs w:val="28"/>
          <w:highlight w:val="none"/>
        </w:rPr>
        <w:t>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14</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9" w:name="_Toc35393790"/>
      <w:bookmarkStart w:id="30" w:name="_Toc28359079"/>
      <w:bookmarkStart w:id="31" w:name="_Toc28359002"/>
      <w:bookmarkStart w:id="32" w:name="_Toc35393621"/>
      <w:bookmarkStart w:id="33" w:name="_Hlk24379207"/>
      <w:r>
        <w:rPr>
          <w:rFonts w:hint="eastAsia" w:ascii="仿宋" w:hAnsi="仿宋" w:eastAsia="仿宋" w:cs="仿宋"/>
          <w:b/>
          <w:bCs w:val="0"/>
          <w:sz w:val="28"/>
          <w:szCs w:val="28"/>
          <w:highlight w:val="none"/>
        </w:rPr>
        <w:t>一、项目基本情况</w:t>
      </w:r>
      <w:bookmarkEnd w:id="29"/>
      <w:bookmarkEnd w:id="30"/>
      <w:bookmarkEnd w:id="31"/>
      <w:bookmarkEnd w:id="32"/>
    </w:p>
    <w:p>
      <w:pPr>
        <w:spacing w:line="360" w:lineRule="auto"/>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SDSHZB2022-362</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山东大学第二医院外送检测服务项目</w:t>
      </w:r>
    </w:p>
    <w:bookmarkEnd w:id="33"/>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A1包：500万元/年，1500万元/3年；A2包：150万元/年，450万元/3年；A3包：100万元/年，300万元/3年；A4包：75万元/年，225万元/3年；A5包：75万元/年，225万元/3年。</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无。</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050"/>
        <w:gridCol w:w="1048"/>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00" w:type="pct"/>
            <w:vAlign w:val="center"/>
          </w:tcPr>
          <w:p>
            <w:pPr>
              <w:widowControl/>
              <w:spacing w:line="360" w:lineRule="auto"/>
              <w:jc w:val="center"/>
              <w:rPr>
                <w:rFonts w:hint="eastAsia" w:ascii="仿宋" w:hAnsi="仿宋" w:eastAsia="仿宋" w:cs="仿宋"/>
                <w:b/>
                <w:bCs/>
                <w:snapToGrid w:val="0"/>
                <w:kern w:val="0"/>
                <w:sz w:val="24"/>
                <w:lang w:val="en-US" w:eastAsia="zh-CN"/>
              </w:rPr>
            </w:pPr>
            <w:r>
              <w:rPr>
                <w:rFonts w:hint="eastAsia" w:ascii="仿宋" w:hAnsi="仿宋" w:eastAsia="仿宋" w:cs="仿宋"/>
                <w:b/>
                <w:bCs/>
                <w:snapToGrid w:val="0"/>
                <w:kern w:val="0"/>
                <w:sz w:val="24"/>
                <w:lang w:val="en-US" w:eastAsia="zh-CN"/>
              </w:rPr>
              <w:t>包号</w:t>
            </w:r>
          </w:p>
        </w:tc>
        <w:tc>
          <w:tcPr>
            <w:tcW w:w="1154"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90"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854"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0"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z w:val="28"/>
                <w:szCs w:val="28"/>
                <w:highlight w:val="none"/>
                <w:lang w:val="en-US" w:eastAsia="zh-CN"/>
              </w:rPr>
              <w:t>A1</w:t>
            </w:r>
          </w:p>
        </w:tc>
        <w:tc>
          <w:tcPr>
            <w:tcW w:w="1154"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肿瘤基因突变检测服务</w:t>
            </w:r>
          </w:p>
        </w:tc>
        <w:tc>
          <w:tcPr>
            <w:tcW w:w="590"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854" w:type="pct"/>
            <w:vAlign w:val="center"/>
          </w:tcPr>
          <w:p>
            <w:pPr>
              <w:widowControl/>
              <w:spacing w:line="240" w:lineRule="auto"/>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为肿瘤基因突变检测服务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0" w:type="pct"/>
            <w:vAlign w:val="center"/>
          </w:tcPr>
          <w:p>
            <w:pPr>
              <w:pStyle w:val="16"/>
              <w:spacing w:line="240" w:lineRule="auto"/>
              <w:ind w:left="0" w:firstLine="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A2</w:t>
            </w:r>
          </w:p>
        </w:tc>
        <w:tc>
          <w:tcPr>
            <w:tcW w:w="1154"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遗传系列基因检测服务</w:t>
            </w:r>
          </w:p>
        </w:tc>
        <w:tc>
          <w:tcPr>
            <w:tcW w:w="590" w:type="pct"/>
            <w:vAlign w:val="center"/>
          </w:tcPr>
          <w:p>
            <w:pPr>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854" w:type="pct"/>
            <w:vAlign w:val="center"/>
          </w:tcPr>
          <w:p>
            <w:pPr>
              <w:widowControl/>
              <w:spacing w:line="240" w:lineRule="auto"/>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为遗传系列基因检测服务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0" w:type="pct"/>
            <w:vAlign w:val="center"/>
          </w:tcPr>
          <w:p>
            <w:pPr>
              <w:pStyle w:val="16"/>
              <w:spacing w:line="240" w:lineRule="auto"/>
              <w:ind w:left="0" w:firstLine="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A3</w:t>
            </w:r>
          </w:p>
        </w:tc>
        <w:tc>
          <w:tcPr>
            <w:tcW w:w="1154"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临床质谱检测服务</w:t>
            </w:r>
          </w:p>
        </w:tc>
        <w:tc>
          <w:tcPr>
            <w:tcW w:w="590" w:type="pct"/>
            <w:vAlign w:val="center"/>
          </w:tcPr>
          <w:p>
            <w:pPr>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854" w:type="pct"/>
            <w:vAlign w:val="center"/>
          </w:tcPr>
          <w:p>
            <w:pPr>
              <w:widowControl/>
              <w:spacing w:line="240" w:lineRule="auto"/>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为临床质谱检测服务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0" w:type="pct"/>
            <w:vAlign w:val="center"/>
          </w:tcPr>
          <w:p>
            <w:pPr>
              <w:pStyle w:val="16"/>
              <w:spacing w:line="240" w:lineRule="auto"/>
              <w:ind w:left="0" w:firstLine="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A4</w:t>
            </w:r>
          </w:p>
        </w:tc>
        <w:tc>
          <w:tcPr>
            <w:tcW w:w="1154"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血液病系列检测服务</w:t>
            </w:r>
          </w:p>
        </w:tc>
        <w:tc>
          <w:tcPr>
            <w:tcW w:w="590" w:type="pct"/>
            <w:vAlign w:val="center"/>
          </w:tcPr>
          <w:p>
            <w:pPr>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854" w:type="pct"/>
            <w:vAlign w:val="center"/>
          </w:tcPr>
          <w:p>
            <w:pPr>
              <w:widowControl/>
              <w:spacing w:line="240" w:lineRule="auto"/>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为血液病系列检测服务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0" w:type="pct"/>
            <w:vAlign w:val="center"/>
          </w:tcPr>
          <w:p>
            <w:pPr>
              <w:pStyle w:val="16"/>
              <w:spacing w:line="240" w:lineRule="auto"/>
              <w:ind w:left="0" w:firstLine="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A5</w:t>
            </w:r>
          </w:p>
        </w:tc>
        <w:tc>
          <w:tcPr>
            <w:tcW w:w="1154"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感染系列检测服务</w:t>
            </w:r>
          </w:p>
        </w:tc>
        <w:tc>
          <w:tcPr>
            <w:tcW w:w="590" w:type="pct"/>
            <w:vAlign w:val="center"/>
          </w:tcPr>
          <w:p>
            <w:pPr>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854" w:type="pct"/>
            <w:vAlign w:val="center"/>
          </w:tcPr>
          <w:p>
            <w:pPr>
              <w:widowControl/>
              <w:spacing w:line="240" w:lineRule="auto"/>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为感染系列检测服务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4" w:name="_Toc28359003"/>
      <w:bookmarkStart w:id="35" w:name="_Toc35393622"/>
      <w:bookmarkStart w:id="36" w:name="_Toc35393791"/>
      <w:bookmarkStart w:id="37" w:name="_Toc28359080"/>
      <w:r>
        <w:rPr>
          <w:rFonts w:hint="eastAsia" w:ascii="仿宋" w:hAnsi="仿宋" w:eastAsia="仿宋" w:cs="仿宋"/>
          <w:b/>
          <w:bCs w:val="0"/>
          <w:sz w:val="28"/>
          <w:szCs w:val="28"/>
          <w:highlight w:val="none"/>
        </w:rPr>
        <w:t>二、申请人的资格要求：</w:t>
      </w:r>
      <w:bookmarkEnd w:id="34"/>
      <w:bookmarkEnd w:id="35"/>
      <w:bookmarkEnd w:id="36"/>
      <w:bookmarkEnd w:id="37"/>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本项目的特定资格要求：（1）具备独立检测拟投标项目检测资质，并独立完成项目检测，不得将项目进行二次分配；（2）投标人具备从事医学检验、检测的资质，具备卫生部门核发且在有效期内的《医疗机构执业许可证》，诊疗科目需包含医学检验科资质，同时，A1包要求医疗机构诊疗科目包含病理科；A2包要求医疗机构诊疗科目包含临床细胞分子遗传学、临床免疫；A4包要求医疗机构诊疗科目包含临床血液学、临床体液学、临床化学检验专业。（3）须具有国家认可的《临床基因扩增检验实验室技术审核合格证》；（4）</w:t>
      </w:r>
      <w:r>
        <w:rPr>
          <w:rFonts w:hint="eastAsia" w:ascii="仿宋" w:hAnsi="仿宋" w:eastAsia="仿宋" w:cs="仿宋"/>
          <w:sz w:val="28"/>
          <w:szCs w:val="28"/>
          <w:highlight w:val="none"/>
        </w:rPr>
        <w:t>投标人所投标项目检验能力需通过国家卫生健康委临床检验中心/国家卫生健康委病理质控中心能力验证。</w:t>
      </w:r>
      <w:bookmarkStart w:id="38" w:name="_Toc35393623"/>
      <w:bookmarkStart w:id="39" w:name="_Toc35393792"/>
      <w:bookmarkStart w:id="40" w:name="_Toc28359081"/>
      <w:bookmarkStart w:id="41" w:name="_Toc28359004"/>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8"/>
      <w:bookmarkEnd w:id="39"/>
      <w:bookmarkEnd w:id="40"/>
      <w:bookmarkEnd w:id="41"/>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bookmarkStart w:id="421" w:name="_GoBack"/>
      <w:bookmarkEnd w:id="421"/>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w:t>
      </w:r>
      <w:r>
        <w:rPr>
          <w:rFonts w:hint="eastAsia" w:ascii="仿宋" w:hAnsi="仿宋" w:eastAsia="仿宋" w:cs="仿宋"/>
          <w:sz w:val="28"/>
          <w:szCs w:val="28"/>
          <w:highlight w:val="none"/>
          <w:lang w:eastAsia="zh-CN"/>
        </w:rPr>
        <w:t>山东大学第二医院外送检测服务项目</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w:t>
      </w:r>
      <w:r>
        <w:rPr>
          <w:rFonts w:hint="eastAsia" w:ascii="仿宋" w:hAnsi="仿宋" w:eastAsia="仿宋" w:cs="仿宋"/>
          <w:sz w:val="28"/>
          <w:szCs w:val="28"/>
          <w:highlight w:val="none"/>
          <w:lang w:val="en-US" w:eastAsia="zh-CN"/>
        </w:rPr>
        <w:t>/包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2" w:name="_Toc28359005"/>
      <w:bookmarkStart w:id="43" w:name="_Toc28359082"/>
      <w:bookmarkStart w:id="44" w:name="_Toc35393793"/>
      <w:bookmarkStart w:id="45" w:name="_Toc35393624"/>
      <w:r>
        <w:rPr>
          <w:rFonts w:hint="eastAsia" w:ascii="仿宋" w:hAnsi="仿宋" w:eastAsia="仿宋" w:cs="仿宋"/>
          <w:b w:val="0"/>
          <w:sz w:val="28"/>
          <w:szCs w:val="28"/>
          <w:highlight w:val="none"/>
        </w:rPr>
        <w:t>四、提交投标文件</w:t>
      </w:r>
      <w:bookmarkEnd w:id="42"/>
      <w:bookmarkEnd w:id="43"/>
      <w:r>
        <w:rPr>
          <w:rFonts w:hint="eastAsia" w:ascii="仿宋" w:hAnsi="仿宋" w:eastAsia="仿宋" w:cs="仿宋"/>
          <w:b w:val="0"/>
          <w:sz w:val="28"/>
          <w:szCs w:val="28"/>
          <w:highlight w:val="none"/>
        </w:rPr>
        <w:t>截止时间、开标时间和地点</w:t>
      </w:r>
      <w:bookmarkEnd w:id="44"/>
      <w:bookmarkEnd w:id="45"/>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14</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09</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w:t>
      </w:r>
      <w:r>
        <w:rPr>
          <w:rFonts w:hint="eastAsia" w:ascii="仿宋" w:hAnsi="仿宋" w:eastAsia="仿宋" w:cs="仿宋"/>
          <w:sz w:val="28"/>
          <w:szCs w:val="28"/>
          <w:highlight w:val="none"/>
          <w:lang w:val="en-US" w:eastAsia="zh-CN"/>
        </w:rPr>
        <w:t>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6" w:name="_Toc35393794"/>
      <w:bookmarkStart w:id="47" w:name="_Toc35393625"/>
      <w:bookmarkStart w:id="48" w:name="_Toc28359084"/>
      <w:bookmarkStart w:id="49" w:name="_Toc28359007"/>
      <w:r>
        <w:rPr>
          <w:rFonts w:hint="eastAsia" w:ascii="仿宋" w:hAnsi="仿宋" w:eastAsia="仿宋" w:cs="仿宋"/>
          <w:b/>
          <w:bCs w:val="0"/>
          <w:sz w:val="28"/>
          <w:szCs w:val="28"/>
          <w:highlight w:val="none"/>
        </w:rPr>
        <w:t>五、公告期限</w:t>
      </w:r>
      <w:bookmarkEnd w:id="46"/>
      <w:bookmarkEnd w:id="47"/>
      <w:bookmarkEnd w:id="48"/>
      <w:bookmarkEnd w:id="49"/>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50" w:name="_Toc35393795"/>
      <w:bookmarkStart w:id="51" w:name="_Toc35393626"/>
      <w:r>
        <w:rPr>
          <w:rFonts w:hint="eastAsia" w:ascii="仿宋" w:hAnsi="仿宋" w:eastAsia="仿宋" w:cs="仿宋"/>
          <w:b/>
          <w:bCs w:val="0"/>
          <w:sz w:val="28"/>
          <w:szCs w:val="28"/>
          <w:highlight w:val="none"/>
        </w:rPr>
        <w:t>六、其他补充事宜</w:t>
      </w:r>
      <w:bookmarkEnd w:id="50"/>
      <w:bookmarkEnd w:id="51"/>
    </w:p>
    <w:p>
      <w:pPr>
        <w:spacing w:line="360" w:lineRule="auto"/>
        <w:outlineLvl w:val="9"/>
        <w:rPr>
          <w:rFonts w:hint="eastAsia" w:ascii="仿宋" w:hAnsi="仿宋" w:eastAsia="仿宋" w:cs="仿宋"/>
          <w:b w:val="0"/>
          <w:sz w:val="28"/>
          <w:szCs w:val="28"/>
          <w:highlight w:val="none"/>
        </w:rPr>
      </w:pPr>
      <w:bookmarkStart w:id="52" w:name="_Toc27247"/>
      <w:bookmarkStart w:id="53" w:name="_Toc27143"/>
      <w:bookmarkStart w:id="54" w:name="_Toc13738"/>
      <w:bookmarkStart w:id="55" w:name="_Toc9359"/>
      <w:bookmarkStart w:id="56" w:name="_Toc11380"/>
      <w:bookmarkStart w:id="57" w:name="_Toc8523"/>
      <w:bookmarkStart w:id="58" w:name="_Toc35393796"/>
      <w:bookmarkStart w:id="59" w:name="_Toc35393627"/>
      <w:bookmarkStart w:id="60" w:name="_Toc28359085"/>
      <w:bookmarkStart w:id="61" w:name="_Toc28359008"/>
      <w:r>
        <w:rPr>
          <w:rFonts w:hint="eastAsia" w:ascii="仿宋" w:hAnsi="仿宋" w:eastAsia="仿宋" w:cs="仿宋"/>
          <w:b w:val="0"/>
          <w:sz w:val="28"/>
          <w:szCs w:val="28"/>
          <w:highlight w:val="none"/>
        </w:rPr>
        <w:t>采购项目需要落实的政府采购政策</w:t>
      </w:r>
      <w:bookmarkEnd w:id="52"/>
      <w:bookmarkEnd w:id="53"/>
      <w:bookmarkEnd w:id="54"/>
      <w:bookmarkEnd w:id="55"/>
      <w:bookmarkEnd w:id="56"/>
      <w:bookmarkEnd w:id="57"/>
    </w:p>
    <w:p>
      <w:pPr>
        <w:spacing w:line="360" w:lineRule="auto"/>
        <w:outlineLvl w:val="9"/>
        <w:rPr>
          <w:rFonts w:hint="eastAsia" w:ascii="仿宋" w:hAnsi="仿宋" w:eastAsia="仿宋" w:cs="仿宋"/>
          <w:b w:val="0"/>
          <w:sz w:val="28"/>
          <w:szCs w:val="28"/>
          <w:highlight w:val="none"/>
        </w:rPr>
      </w:pPr>
      <w:bookmarkStart w:id="62" w:name="_Toc32511"/>
      <w:bookmarkStart w:id="63" w:name="_Toc5740"/>
      <w:bookmarkStart w:id="64" w:name="_Toc4986"/>
      <w:bookmarkStart w:id="65" w:name="_Toc25231"/>
      <w:bookmarkStart w:id="66" w:name="_Toc13114"/>
      <w:bookmarkStart w:id="67" w:name="_Toc21415"/>
      <w:r>
        <w:rPr>
          <w:rFonts w:hint="eastAsia" w:ascii="仿宋" w:hAnsi="仿宋" w:eastAsia="仿宋" w:cs="仿宋"/>
          <w:b w:val="0"/>
          <w:sz w:val="28"/>
          <w:szCs w:val="28"/>
          <w:highlight w:val="none"/>
        </w:rPr>
        <w:t>（一）中小微型企业政府采购政策</w:t>
      </w:r>
      <w:bookmarkEnd w:id="62"/>
      <w:bookmarkEnd w:id="63"/>
      <w:bookmarkEnd w:id="64"/>
      <w:bookmarkEnd w:id="65"/>
      <w:bookmarkEnd w:id="66"/>
      <w:bookmarkEnd w:id="67"/>
    </w:p>
    <w:p>
      <w:pPr>
        <w:spacing w:line="360" w:lineRule="auto"/>
        <w:outlineLvl w:val="9"/>
        <w:rPr>
          <w:rFonts w:hint="eastAsia" w:ascii="仿宋" w:hAnsi="仿宋" w:eastAsia="仿宋" w:cs="仿宋"/>
          <w:b w:val="0"/>
          <w:sz w:val="28"/>
          <w:szCs w:val="28"/>
          <w:highlight w:val="none"/>
        </w:rPr>
      </w:pPr>
      <w:bookmarkStart w:id="68" w:name="_Toc16973"/>
      <w:bookmarkStart w:id="69" w:name="_Toc27124"/>
      <w:bookmarkStart w:id="70" w:name="_Toc24918"/>
      <w:bookmarkStart w:id="71" w:name="_Toc2425"/>
      <w:bookmarkStart w:id="72" w:name="_Toc6934"/>
      <w:bookmarkStart w:id="73" w:name="_Toc18856"/>
      <w:r>
        <w:rPr>
          <w:rFonts w:hint="eastAsia" w:ascii="仿宋" w:hAnsi="仿宋" w:eastAsia="仿宋" w:cs="仿宋"/>
          <w:b w:val="0"/>
          <w:sz w:val="28"/>
          <w:szCs w:val="28"/>
          <w:highlight w:val="none"/>
        </w:rPr>
        <w:t>（二）监狱企业政府采购政策</w:t>
      </w:r>
      <w:bookmarkEnd w:id="68"/>
      <w:bookmarkEnd w:id="69"/>
      <w:bookmarkEnd w:id="70"/>
      <w:bookmarkEnd w:id="71"/>
      <w:bookmarkEnd w:id="72"/>
      <w:bookmarkEnd w:id="73"/>
    </w:p>
    <w:p>
      <w:pPr>
        <w:spacing w:line="360" w:lineRule="auto"/>
        <w:outlineLvl w:val="9"/>
        <w:rPr>
          <w:rFonts w:hint="eastAsia" w:ascii="仿宋" w:hAnsi="仿宋" w:eastAsia="仿宋" w:cs="仿宋"/>
          <w:b w:val="0"/>
          <w:sz w:val="28"/>
          <w:szCs w:val="28"/>
          <w:highlight w:val="none"/>
        </w:rPr>
      </w:pPr>
      <w:bookmarkStart w:id="74" w:name="_Toc25943"/>
      <w:bookmarkStart w:id="75" w:name="_Toc32242"/>
      <w:bookmarkStart w:id="76" w:name="_Toc18488"/>
      <w:bookmarkStart w:id="77" w:name="_Toc19142"/>
      <w:bookmarkStart w:id="78" w:name="_Toc19604"/>
      <w:bookmarkStart w:id="79" w:name="_Toc28309"/>
      <w:r>
        <w:rPr>
          <w:rFonts w:hint="eastAsia" w:ascii="仿宋" w:hAnsi="仿宋" w:eastAsia="仿宋" w:cs="仿宋"/>
          <w:b w:val="0"/>
          <w:sz w:val="28"/>
          <w:szCs w:val="28"/>
          <w:highlight w:val="none"/>
        </w:rPr>
        <w:t>（三）促进残疾人就业政府采购政策</w:t>
      </w:r>
      <w:bookmarkEnd w:id="74"/>
      <w:bookmarkEnd w:id="75"/>
      <w:bookmarkEnd w:id="76"/>
      <w:bookmarkEnd w:id="77"/>
      <w:bookmarkEnd w:id="78"/>
      <w:bookmarkEnd w:id="79"/>
    </w:p>
    <w:p>
      <w:pPr>
        <w:spacing w:line="360" w:lineRule="auto"/>
        <w:ind w:firstLine="280" w:firstLineChars="100"/>
        <w:outlineLvl w:val="9"/>
        <w:rPr>
          <w:rFonts w:hint="eastAsia" w:ascii="仿宋" w:hAnsi="仿宋" w:eastAsia="仿宋" w:cs="仿宋"/>
          <w:b w:val="0"/>
          <w:sz w:val="28"/>
          <w:szCs w:val="28"/>
          <w:highlight w:val="none"/>
        </w:rPr>
      </w:pPr>
      <w:bookmarkStart w:id="80" w:name="_Toc21956"/>
      <w:bookmarkStart w:id="81" w:name="_Toc2163"/>
      <w:bookmarkStart w:id="82" w:name="_Toc27218"/>
      <w:bookmarkStart w:id="83" w:name="_Toc26675"/>
      <w:bookmarkStart w:id="84" w:name="_Toc24173"/>
      <w:bookmarkStart w:id="85" w:name="_Toc31679"/>
      <w:r>
        <w:rPr>
          <w:rFonts w:hint="eastAsia" w:ascii="仿宋" w:hAnsi="仿宋" w:eastAsia="仿宋" w:cs="仿宋"/>
          <w:b w:val="0"/>
          <w:sz w:val="28"/>
          <w:szCs w:val="28"/>
          <w:highlight w:val="none"/>
        </w:rPr>
        <w:t>详见招标文件</w:t>
      </w:r>
      <w:bookmarkEnd w:id="80"/>
      <w:bookmarkEnd w:id="81"/>
      <w:bookmarkEnd w:id="82"/>
      <w:bookmarkEnd w:id="83"/>
      <w:bookmarkEnd w:id="84"/>
      <w:bookmarkEnd w:id="85"/>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8"/>
      <w:bookmarkEnd w:id="59"/>
      <w:bookmarkEnd w:id="60"/>
      <w:bookmarkEnd w:id="61"/>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6" w:name="_Toc28359009"/>
      <w:bookmarkStart w:id="87" w:name="_Toc28359086"/>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6"/>
      <w:bookmarkEnd w:id="87"/>
    </w:p>
    <w:p>
      <w:pPr>
        <w:spacing w:line="360" w:lineRule="auto"/>
        <w:ind w:firstLine="840" w:firstLineChars="300"/>
        <w:rPr>
          <w:rFonts w:hint="eastAsia" w:ascii="仿宋" w:hAnsi="仿宋" w:eastAsia="仿宋" w:cs="仿宋"/>
          <w:sz w:val="28"/>
          <w:szCs w:val="28"/>
          <w:highlight w:val="none"/>
        </w:rPr>
      </w:pPr>
      <w:bookmarkStart w:id="88" w:name="_Toc28359087"/>
      <w:bookmarkStart w:id="89"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8"/>
      <w:bookmarkEnd w:id="89"/>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w:t>
      </w:r>
      <w:r>
        <w:rPr>
          <w:rFonts w:hint="eastAsia" w:ascii="仿宋" w:hAnsi="仿宋" w:eastAsia="仿宋" w:cs="仿宋"/>
          <w:sz w:val="28"/>
          <w:szCs w:val="28"/>
          <w:highlight w:val="none"/>
        </w:rPr>
        <w:t>15153117917</w:t>
      </w:r>
      <w:r>
        <w:rPr>
          <w:rFonts w:hint="eastAsia" w:ascii="仿宋" w:hAnsi="仿宋" w:eastAsia="仿宋" w:cs="仿宋"/>
          <w:sz w:val="28"/>
          <w:szCs w:val="28"/>
          <w:highlight w:val="none"/>
          <w:lang w:val="en-US" w:eastAsia="zh-CN"/>
        </w:rPr>
        <w:t>、15264153233</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90" w:name="_Toc6660"/>
      <w:bookmarkStart w:id="91" w:name="_Toc5465"/>
      <w:bookmarkStart w:id="92" w:name="_Toc356491306"/>
      <w:bookmarkStart w:id="93" w:name="_Toc22348"/>
      <w:bookmarkStart w:id="94" w:name="_Toc15474"/>
      <w:bookmarkStart w:id="95" w:name="_Toc1343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6"/>
      <w:bookmarkEnd w:id="27"/>
      <w:bookmarkEnd w:id="28"/>
      <w:bookmarkEnd w:id="90"/>
      <w:bookmarkEnd w:id="91"/>
      <w:bookmarkEnd w:id="92"/>
      <w:bookmarkEnd w:id="93"/>
      <w:bookmarkEnd w:id="94"/>
      <w:bookmarkEnd w:id="95"/>
    </w:p>
    <w:p>
      <w:pPr>
        <w:spacing w:line="360" w:lineRule="auto"/>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山东大学第二医院外送检测服务项目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SDSHZB2022-362</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2"/>
              <w:spacing w:line="24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2"/>
              <w:spacing w:line="24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A1包：500万元/年，1500万元/3年；A2包：150万元/年，450万元/3年；A3包：100万元/年，300万元/3年；A4包：75万元/年，225万元/3年；A5包：75万元/年，225万元/3年。</w:t>
            </w:r>
          </w:p>
          <w:p>
            <w:pPr>
              <w:spacing w:line="240" w:lineRule="auto"/>
              <w:ind w:firstLine="480" w:firstLineChars="200"/>
              <w:rPr>
                <w:rFonts w:hint="eastAsia" w:ascii="仿宋" w:hAnsi="仿宋" w:eastAsia="仿宋" w:cs="仿宋"/>
                <w:sz w:val="28"/>
                <w:szCs w:val="28"/>
                <w:highlight w:val="none"/>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无。</w:t>
            </w:r>
          </w:p>
          <w:tbl>
            <w:tblPr>
              <w:tblStyle w:val="35"/>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705"/>
              <w:gridCol w:w="191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09" w:type="pct"/>
                  <w:vAlign w:val="center"/>
                </w:tcPr>
                <w:p>
                  <w:pPr>
                    <w:widowControl/>
                    <w:spacing w:line="360" w:lineRule="auto"/>
                    <w:jc w:val="center"/>
                    <w:rPr>
                      <w:rFonts w:hint="eastAsia" w:ascii="仿宋" w:hAnsi="仿宋" w:eastAsia="仿宋" w:cs="仿宋"/>
                      <w:b/>
                      <w:bCs/>
                      <w:snapToGrid w:val="0"/>
                      <w:kern w:val="0"/>
                      <w:sz w:val="24"/>
                      <w:szCs w:val="24"/>
                      <w:lang w:val="en-US" w:eastAsia="zh-CN"/>
                    </w:rPr>
                  </w:pPr>
                  <w:r>
                    <w:rPr>
                      <w:rFonts w:hint="eastAsia" w:ascii="仿宋" w:hAnsi="仿宋" w:eastAsia="仿宋" w:cs="仿宋"/>
                      <w:b/>
                      <w:bCs/>
                      <w:snapToGrid w:val="0"/>
                      <w:kern w:val="0"/>
                      <w:sz w:val="24"/>
                      <w:szCs w:val="24"/>
                      <w:lang w:val="en-US" w:eastAsia="zh-CN"/>
                    </w:rPr>
                    <w:t>包号</w:t>
                  </w:r>
                </w:p>
              </w:tc>
              <w:tc>
                <w:tcPr>
                  <w:tcW w:w="1889" w:type="pct"/>
                  <w:vAlign w:val="center"/>
                </w:tcPr>
                <w:p>
                  <w:pPr>
                    <w:widowControl/>
                    <w:spacing w:line="360" w:lineRule="auto"/>
                    <w:jc w:val="center"/>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服务名称</w:t>
                  </w:r>
                </w:p>
              </w:tc>
              <w:tc>
                <w:tcPr>
                  <w:tcW w:w="1340" w:type="pct"/>
                  <w:vAlign w:val="center"/>
                </w:tcPr>
                <w:p>
                  <w:pPr>
                    <w:widowControl/>
                    <w:spacing w:line="360" w:lineRule="auto"/>
                    <w:jc w:val="center"/>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数量</w:t>
                  </w:r>
                </w:p>
              </w:tc>
              <w:tc>
                <w:tcPr>
                  <w:tcW w:w="1260" w:type="pct"/>
                  <w:vAlign w:val="center"/>
                </w:tcPr>
                <w:p>
                  <w:pPr>
                    <w:widowControl/>
                    <w:spacing w:line="360" w:lineRule="auto"/>
                    <w:jc w:val="center"/>
                    <w:rPr>
                      <w:rFonts w:hint="eastAsia" w:ascii="仿宋" w:hAnsi="仿宋" w:eastAsia="仿宋" w:cs="仿宋"/>
                      <w:b/>
                      <w:bCs/>
                      <w:snapToGrid w:val="0"/>
                      <w:kern w:val="0"/>
                      <w:sz w:val="24"/>
                      <w:szCs w:val="24"/>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9" w:type="pct"/>
                  <w:vAlign w:val="center"/>
                </w:tcPr>
                <w:p>
                  <w:pPr>
                    <w:pStyle w:val="16"/>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z w:val="24"/>
                      <w:szCs w:val="24"/>
                      <w:highlight w:val="none"/>
                      <w:lang w:val="en-US" w:eastAsia="zh-CN"/>
                    </w:rPr>
                    <w:t>A1</w:t>
                  </w:r>
                </w:p>
              </w:tc>
              <w:tc>
                <w:tcPr>
                  <w:tcW w:w="1889" w:type="pct"/>
                  <w:vAlign w:val="center"/>
                </w:tcPr>
                <w:p>
                  <w:pPr>
                    <w:pStyle w:val="16"/>
                    <w:spacing w:line="240" w:lineRule="auto"/>
                    <w:ind w:left="0" w:firstLine="0"/>
                    <w:jc w:val="center"/>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肿瘤基因突变检测服务</w:t>
                  </w:r>
                </w:p>
              </w:tc>
              <w:tc>
                <w:tcPr>
                  <w:tcW w:w="1340" w:type="pct"/>
                  <w:vAlign w:val="center"/>
                </w:tcPr>
                <w:p>
                  <w:pPr>
                    <w:pStyle w:val="16"/>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1项</w:t>
                  </w:r>
                </w:p>
              </w:tc>
              <w:tc>
                <w:tcPr>
                  <w:tcW w:w="1805" w:type="dxa"/>
                  <w:vAlign w:val="center"/>
                </w:tcPr>
                <w:p>
                  <w:pPr>
                    <w:spacing w:line="300" w:lineRule="exact"/>
                    <w:jc w:val="center"/>
                    <w:rPr>
                      <w:rFonts w:hint="eastAsia" w:ascii="仿宋" w:hAnsi="仿宋" w:eastAsia="仿宋" w:cs="仿宋"/>
                      <w:snapToGrid w:val="0"/>
                      <w:kern w:val="0"/>
                      <w:sz w:val="24"/>
                      <w:szCs w:val="24"/>
                    </w:rPr>
                  </w:pPr>
                  <w:r>
                    <w:rPr>
                      <w:rFonts w:ascii="仿宋" w:hAnsi="仿宋" w:eastAsia="仿宋" w:cs="仿宋"/>
                      <w:sz w:val="24"/>
                    </w:rPr>
                    <w:t>5</w:t>
                  </w:r>
                  <w:r>
                    <w:rPr>
                      <w:rFonts w:hint="eastAsia" w:ascii="仿宋" w:hAnsi="仿宋" w:eastAsia="仿宋" w:cs="仿宋"/>
                      <w:sz w:val="24"/>
                    </w:rPr>
                    <w:t>00万元</w:t>
                  </w:r>
                  <w:r>
                    <w:rPr>
                      <w:rFonts w:hint="eastAsia" w:ascii="仿宋" w:hAnsi="仿宋" w:eastAsia="仿宋" w:cs="仿宋"/>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9" w:type="pct"/>
                  <w:vAlign w:val="center"/>
                </w:tcPr>
                <w:p>
                  <w:pPr>
                    <w:pStyle w:val="16"/>
                    <w:spacing w:line="240" w:lineRule="auto"/>
                    <w:ind w:lef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A2</w:t>
                  </w:r>
                </w:p>
              </w:tc>
              <w:tc>
                <w:tcPr>
                  <w:tcW w:w="1889" w:type="pct"/>
                  <w:vAlign w:val="center"/>
                </w:tcPr>
                <w:p>
                  <w:pPr>
                    <w:pStyle w:val="16"/>
                    <w:spacing w:line="240" w:lineRule="auto"/>
                    <w:ind w:left="0" w:firstLine="0"/>
                    <w:jc w:val="center"/>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遗传系列基因检测服务</w:t>
                  </w:r>
                </w:p>
              </w:tc>
              <w:tc>
                <w:tcPr>
                  <w:tcW w:w="1340" w:type="pct"/>
                  <w:vAlign w:val="center"/>
                </w:tcPr>
                <w:p>
                  <w:pPr>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1项</w:t>
                  </w:r>
                </w:p>
              </w:tc>
              <w:tc>
                <w:tcPr>
                  <w:tcW w:w="1805" w:type="dxa"/>
                  <w:vAlign w:val="center"/>
                </w:tcPr>
                <w:p>
                  <w:pPr>
                    <w:spacing w:line="300" w:lineRule="exact"/>
                    <w:jc w:val="center"/>
                    <w:rPr>
                      <w:rFonts w:hint="eastAsia" w:ascii="仿宋" w:hAnsi="仿宋" w:eastAsia="仿宋" w:cs="仿宋"/>
                      <w:snapToGrid w:val="0"/>
                      <w:kern w:val="0"/>
                      <w:sz w:val="24"/>
                      <w:szCs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0万元</w:t>
                  </w:r>
                  <w:r>
                    <w:rPr>
                      <w:rFonts w:hint="eastAsia" w:ascii="仿宋" w:hAnsi="仿宋" w:eastAsia="仿宋" w:cs="仿宋"/>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9" w:type="pct"/>
                  <w:vAlign w:val="center"/>
                </w:tcPr>
                <w:p>
                  <w:pPr>
                    <w:pStyle w:val="16"/>
                    <w:spacing w:line="240" w:lineRule="auto"/>
                    <w:ind w:lef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A3</w:t>
                  </w:r>
                </w:p>
              </w:tc>
              <w:tc>
                <w:tcPr>
                  <w:tcW w:w="1889" w:type="pct"/>
                  <w:vAlign w:val="center"/>
                </w:tcPr>
                <w:p>
                  <w:pPr>
                    <w:pStyle w:val="16"/>
                    <w:spacing w:line="240" w:lineRule="auto"/>
                    <w:ind w:left="0" w:firstLine="0"/>
                    <w:jc w:val="center"/>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临床质谱检测服务</w:t>
                  </w:r>
                </w:p>
              </w:tc>
              <w:tc>
                <w:tcPr>
                  <w:tcW w:w="1340" w:type="pct"/>
                  <w:vAlign w:val="center"/>
                </w:tcPr>
                <w:p>
                  <w:pPr>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1项</w:t>
                  </w:r>
                </w:p>
              </w:tc>
              <w:tc>
                <w:tcPr>
                  <w:tcW w:w="1805" w:type="dxa"/>
                  <w:vAlign w:val="center"/>
                </w:tcPr>
                <w:p>
                  <w:pPr>
                    <w:spacing w:line="300" w:lineRule="exact"/>
                    <w:jc w:val="center"/>
                    <w:rPr>
                      <w:rFonts w:hint="eastAsia" w:ascii="仿宋" w:hAnsi="仿宋" w:eastAsia="仿宋" w:cs="仿宋"/>
                      <w:snapToGrid w:val="0"/>
                      <w:kern w:val="0"/>
                      <w:sz w:val="24"/>
                      <w:szCs w:val="24"/>
                    </w:rPr>
                  </w:pPr>
                  <w:r>
                    <w:rPr>
                      <w:rFonts w:ascii="仿宋" w:hAnsi="仿宋" w:eastAsia="仿宋" w:cs="仿宋"/>
                      <w:sz w:val="24"/>
                    </w:rPr>
                    <w:t>10</w:t>
                  </w:r>
                  <w:r>
                    <w:rPr>
                      <w:rFonts w:hint="eastAsia" w:ascii="仿宋" w:hAnsi="仿宋" w:eastAsia="仿宋" w:cs="仿宋"/>
                      <w:sz w:val="24"/>
                    </w:rPr>
                    <w:t>0万元</w:t>
                  </w:r>
                  <w:r>
                    <w:rPr>
                      <w:rFonts w:hint="eastAsia" w:ascii="仿宋" w:hAnsi="仿宋" w:eastAsia="仿宋" w:cs="仿宋"/>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9" w:type="pct"/>
                  <w:vAlign w:val="center"/>
                </w:tcPr>
                <w:p>
                  <w:pPr>
                    <w:pStyle w:val="16"/>
                    <w:spacing w:line="240" w:lineRule="auto"/>
                    <w:ind w:lef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A4</w:t>
                  </w:r>
                </w:p>
              </w:tc>
              <w:tc>
                <w:tcPr>
                  <w:tcW w:w="1889" w:type="pct"/>
                  <w:vAlign w:val="center"/>
                </w:tcPr>
                <w:p>
                  <w:pPr>
                    <w:pStyle w:val="16"/>
                    <w:spacing w:line="240" w:lineRule="auto"/>
                    <w:ind w:left="0" w:firstLine="0"/>
                    <w:jc w:val="center"/>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血液病系列检测服务</w:t>
                  </w:r>
                </w:p>
              </w:tc>
              <w:tc>
                <w:tcPr>
                  <w:tcW w:w="1340" w:type="pct"/>
                  <w:vAlign w:val="center"/>
                </w:tcPr>
                <w:p>
                  <w:pPr>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1项</w:t>
                  </w:r>
                </w:p>
              </w:tc>
              <w:tc>
                <w:tcPr>
                  <w:tcW w:w="1805" w:type="dxa"/>
                  <w:vAlign w:val="center"/>
                </w:tcPr>
                <w:p>
                  <w:pPr>
                    <w:spacing w:line="300" w:lineRule="exact"/>
                    <w:jc w:val="center"/>
                    <w:rPr>
                      <w:rFonts w:hint="eastAsia" w:ascii="仿宋" w:hAnsi="仿宋" w:eastAsia="仿宋" w:cs="仿宋"/>
                      <w:snapToGrid w:val="0"/>
                      <w:kern w:val="0"/>
                      <w:sz w:val="24"/>
                      <w:szCs w:val="24"/>
                    </w:rPr>
                  </w:pPr>
                  <w:r>
                    <w:rPr>
                      <w:rFonts w:ascii="仿宋" w:hAnsi="仿宋" w:eastAsia="仿宋" w:cs="仿宋"/>
                      <w:sz w:val="24"/>
                    </w:rPr>
                    <w:t>75</w:t>
                  </w:r>
                  <w:r>
                    <w:rPr>
                      <w:rFonts w:hint="eastAsia" w:ascii="仿宋" w:hAnsi="仿宋" w:eastAsia="仿宋" w:cs="仿宋"/>
                      <w:sz w:val="24"/>
                    </w:rPr>
                    <w:t>万元</w:t>
                  </w:r>
                  <w:r>
                    <w:rPr>
                      <w:rFonts w:hint="eastAsia" w:ascii="仿宋" w:hAnsi="仿宋" w:eastAsia="仿宋" w:cs="仿宋"/>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9" w:type="pct"/>
                  <w:vAlign w:val="center"/>
                </w:tcPr>
                <w:p>
                  <w:pPr>
                    <w:pStyle w:val="16"/>
                    <w:spacing w:line="240" w:lineRule="auto"/>
                    <w:ind w:left="0"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A5</w:t>
                  </w:r>
                </w:p>
              </w:tc>
              <w:tc>
                <w:tcPr>
                  <w:tcW w:w="1889" w:type="pct"/>
                  <w:vAlign w:val="center"/>
                </w:tcPr>
                <w:p>
                  <w:pPr>
                    <w:pStyle w:val="16"/>
                    <w:spacing w:line="240" w:lineRule="auto"/>
                    <w:ind w:left="0" w:firstLine="0"/>
                    <w:jc w:val="center"/>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感染系列检测服务</w:t>
                  </w:r>
                </w:p>
              </w:tc>
              <w:tc>
                <w:tcPr>
                  <w:tcW w:w="1340" w:type="pct"/>
                  <w:vAlign w:val="center"/>
                </w:tcPr>
                <w:p>
                  <w:pPr>
                    <w:spacing w:line="240" w:lineRule="auto"/>
                    <w:ind w:left="0" w:firstLine="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1项</w:t>
                  </w:r>
                </w:p>
              </w:tc>
              <w:tc>
                <w:tcPr>
                  <w:tcW w:w="1805" w:type="dxa"/>
                  <w:vAlign w:val="center"/>
                </w:tcPr>
                <w:p>
                  <w:pPr>
                    <w:spacing w:line="300" w:lineRule="exact"/>
                    <w:jc w:val="center"/>
                    <w:rPr>
                      <w:rFonts w:hint="eastAsia" w:ascii="仿宋" w:hAnsi="仿宋" w:eastAsia="仿宋" w:cs="仿宋"/>
                      <w:snapToGrid w:val="0"/>
                      <w:kern w:val="0"/>
                      <w:sz w:val="24"/>
                      <w:szCs w:val="24"/>
                    </w:rPr>
                  </w:pPr>
                  <w:r>
                    <w:rPr>
                      <w:rFonts w:ascii="仿宋" w:hAnsi="仿宋" w:eastAsia="仿宋" w:cs="仿宋"/>
                      <w:sz w:val="24"/>
                    </w:rPr>
                    <w:t>75</w:t>
                  </w:r>
                  <w:r>
                    <w:rPr>
                      <w:rFonts w:hint="eastAsia" w:ascii="仿宋" w:hAnsi="仿宋" w:eastAsia="仿宋" w:cs="仿宋"/>
                      <w:sz w:val="24"/>
                    </w:rPr>
                    <w:t>万元</w:t>
                  </w:r>
                  <w:r>
                    <w:rPr>
                      <w:rFonts w:hint="eastAsia" w:ascii="仿宋" w:hAnsi="仿宋" w:eastAsia="仿宋" w:cs="仿宋"/>
                      <w:sz w:val="24"/>
                      <w:lang w:val="en-US" w:eastAsia="zh-CN"/>
                    </w:rPr>
                    <w:t>/年</w:t>
                  </w:r>
                </w:p>
              </w:tc>
            </w:tr>
          </w:tbl>
          <w:p>
            <w:pPr>
              <w:pStyle w:val="2"/>
              <w:ind w:firstLine="482" w:firstLineChars="2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w:t>
            </w:r>
            <w:r>
              <w:rPr>
                <w:rFonts w:hint="eastAsia" w:ascii="仿宋" w:hAnsi="仿宋" w:eastAsia="仿宋" w:cs="仿宋"/>
                <w:b/>
                <w:sz w:val="24"/>
                <w:szCs w:val="24"/>
                <w:lang w:val="en-US" w:eastAsia="zh-CN"/>
              </w:rPr>
              <w:t>或各项目单价报价超过单价最高控制价的，</w:t>
            </w:r>
            <w:r>
              <w:rPr>
                <w:rFonts w:hint="eastAsia" w:ascii="仿宋" w:hAnsi="仿宋" w:eastAsia="仿宋" w:cs="仿宋"/>
                <w:b/>
                <w:sz w:val="24"/>
                <w:szCs w:val="24"/>
              </w:rPr>
              <w:t>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w:t>
            </w:r>
            <w:r>
              <w:rPr>
                <w:rFonts w:hint="eastAsia" w:ascii="仿宋" w:hAnsi="仿宋" w:eastAsia="仿宋" w:cs="仿宋"/>
                <w:sz w:val="24"/>
                <w:szCs w:val="24"/>
                <w:lang w:val="en-US" w:eastAsia="zh-CN"/>
              </w:rPr>
              <w:t>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（7）</w:t>
            </w:r>
            <w:r>
              <w:rPr>
                <w:rFonts w:hint="eastAsia" w:ascii="仿宋" w:hAnsi="仿宋" w:eastAsia="仿宋" w:cs="仿宋"/>
                <w:b/>
                <w:bCs/>
                <w:sz w:val="24"/>
                <w:szCs w:val="24"/>
              </w:rPr>
              <w:t>书面声明</w:t>
            </w:r>
            <w:r>
              <w:rPr>
                <w:rFonts w:hint="eastAsia" w:ascii="仿宋" w:hAnsi="仿宋" w:eastAsia="仿宋" w:cs="仿宋"/>
                <w:b/>
                <w:bCs/>
                <w:sz w:val="24"/>
                <w:szCs w:val="24"/>
                <w:lang w:eastAsia="zh-CN"/>
              </w:rPr>
              <w:t>：</w:t>
            </w:r>
            <w:r>
              <w:rPr>
                <w:rFonts w:hint="eastAsia" w:ascii="仿宋" w:hAnsi="仿宋" w:eastAsia="仿宋" w:cs="仿宋"/>
                <w:sz w:val="24"/>
                <w:szCs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独立检测拟投标项目检测资质</w:t>
            </w:r>
            <w:r>
              <w:rPr>
                <w:rFonts w:hint="eastAsia" w:ascii="仿宋" w:hAnsi="仿宋" w:eastAsia="仿宋" w:cs="仿宋"/>
                <w:sz w:val="24"/>
                <w:szCs w:val="24"/>
                <w:highlight w:val="none"/>
                <w:lang w:val="en-US" w:eastAsia="zh-CN"/>
              </w:rPr>
              <w:t>证明</w:t>
            </w:r>
            <w:r>
              <w:rPr>
                <w:rFonts w:hint="eastAsia" w:ascii="仿宋" w:hAnsi="仿宋" w:eastAsia="仿宋" w:cs="仿宋"/>
                <w:sz w:val="24"/>
                <w:szCs w:val="24"/>
                <w:highlight w:val="none"/>
              </w:rPr>
              <w:t>，并独立完成项目检测，不得将项目进行二次分配；</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提供从事医学检验、检测的资质，具备卫生部门核发且在有效期内的《医疗机构执业许可证》，诊疗科目需包含医学检验科资质，同时，A1包要求医疗机构诊疗科目包含病理科；A2包要求医疗机构诊疗科目包含临床细胞分子遗传学、临床免疫；A4包要求医疗机构诊疗科目包含临床血液学、临床体液学、临床化学检验专业</w:t>
            </w:r>
            <w:r>
              <w:rPr>
                <w:rFonts w:hint="eastAsia" w:ascii="仿宋" w:hAnsi="仿宋" w:eastAsia="仿宋" w:cs="仿宋"/>
                <w:sz w:val="24"/>
                <w:szCs w:val="24"/>
                <w:highlight w:val="none"/>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国家认可的《临床基因扩增检验实验室技术审核合格证》</w:t>
            </w:r>
            <w:r>
              <w:rPr>
                <w:rFonts w:hint="eastAsia" w:ascii="仿宋" w:hAnsi="仿宋" w:eastAsia="仿宋" w:cs="仿宋"/>
                <w:sz w:val="24"/>
                <w:szCs w:val="24"/>
                <w:highlight w:val="none"/>
                <w:lang w:val="en-US" w:eastAsia="zh-CN"/>
              </w:rPr>
              <w:t>复印件</w:t>
            </w:r>
            <w:r>
              <w:rPr>
                <w:rFonts w:hint="eastAsia" w:ascii="仿宋" w:hAnsi="仿宋" w:eastAsia="仿宋" w:cs="仿宋"/>
                <w:sz w:val="24"/>
                <w:szCs w:val="24"/>
                <w:highlight w:val="none"/>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）投标人所投标项目检验能力需通过国家卫生健康委临床检验中心/国家卫生健康委病理质控中心能力验证；</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2年5月26日12:00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2年5月27日17:00</w:t>
            </w:r>
            <w:r>
              <w:rPr>
                <w:rFonts w:hint="eastAsia" w:ascii="仿宋" w:hAnsi="仿宋" w:eastAsia="仿宋" w:cs="仿宋"/>
                <w:color w:val="000000"/>
                <w:sz w:val="24"/>
                <w:szCs w:val="24"/>
              </w:rPr>
              <w:t>前。</w:t>
            </w:r>
          </w:p>
          <w:p>
            <w:pPr>
              <w:pStyle w:val="2"/>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2"/>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2"/>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7</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6</w:t>
            </w:r>
            <w:r>
              <w:rPr>
                <w:rFonts w:hint="eastAsia" w:ascii="仿宋" w:hAnsi="仿宋" w:eastAsia="仿宋" w:cs="仿宋"/>
                <w:snapToGrid w:val="0"/>
                <w:sz w:val="24"/>
                <w:szCs w:val="24"/>
              </w:rPr>
              <w:t>份；</w:t>
            </w:r>
          </w:p>
          <w:p>
            <w:pPr>
              <w:pStyle w:val="2"/>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2"/>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2"/>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2"/>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2"/>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2"/>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投标保证金金额：A1包：壹拾万元整，A2包：柒万元整，A3包：肆万元整，A4包：叁万元整，A5包：叁万元整</w:t>
            </w:r>
            <w:r>
              <w:rPr>
                <w:rFonts w:hint="eastAsia" w:ascii="仿宋" w:hAnsi="仿宋" w:eastAsia="仿宋" w:cs="仿宋"/>
                <w:snapToGrid w:val="0"/>
                <w:sz w:val="24"/>
                <w:szCs w:val="24"/>
              </w:rPr>
              <w:t>；</w:t>
            </w:r>
          </w:p>
          <w:p>
            <w:pPr>
              <w:pStyle w:val="2"/>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w:t>
            </w:r>
            <w:r>
              <w:rPr>
                <w:rFonts w:hint="eastAsia" w:ascii="仿宋" w:hAnsi="仿宋" w:eastAsia="仿宋" w:cs="仿宋"/>
                <w:sz w:val="24"/>
                <w:szCs w:val="24"/>
                <w:lang w:val="en-US" w:eastAsia="zh-CN"/>
              </w:rPr>
              <w:t>会</w:t>
            </w:r>
            <w:r>
              <w:rPr>
                <w:rFonts w:hint="eastAsia" w:ascii="仿宋" w:hAnsi="仿宋" w:eastAsia="仿宋" w:cs="仿宋"/>
                <w:sz w:val="24"/>
                <w:szCs w:val="24"/>
              </w:rPr>
              <w:t>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pStyle w:val="2"/>
              <w:spacing w:line="360"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近三年：自开标之日起</w:t>
            </w:r>
            <w:r>
              <w:rPr>
                <w:rFonts w:hint="eastAsia" w:ascii="仿宋" w:hAnsi="仿宋" w:eastAsia="仿宋" w:cs="仿宋"/>
                <w:color w:val="auto"/>
                <w:kern w:val="2"/>
                <w:sz w:val="24"/>
                <w:szCs w:val="24"/>
                <w:lang w:eastAsia="zh-CN"/>
              </w:rPr>
              <w:t>往前推</w:t>
            </w:r>
            <w:r>
              <w:rPr>
                <w:rFonts w:hint="eastAsia" w:ascii="仿宋" w:hAnsi="仿宋" w:eastAsia="仿宋" w:cs="仿宋"/>
                <w:color w:val="auto"/>
                <w:kern w:val="2"/>
                <w:sz w:val="24"/>
                <w:szCs w:val="24"/>
              </w:rPr>
              <w:t>三年</w:t>
            </w:r>
            <w:r>
              <w:rPr>
                <w:rFonts w:hint="eastAsia" w:ascii="仿宋" w:hAnsi="仿宋" w:eastAsia="仿宋" w:cs="仿宋"/>
                <w:color w:val="auto"/>
                <w:kern w:val="2"/>
                <w:sz w:val="24"/>
                <w:szCs w:val="24"/>
                <w:lang w:eastAsia="zh-CN"/>
              </w:rPr>
              <w:t>精确到日</w:t>
            </w:r>
            <w:r>
              <w:rPr>
                <w:rFonts w:hint="eastAsia" w:ascii="仿宋" w:hAnsi="仿宋" w:eastAsia="仿宋" w:cs="仿宋"/>
                <w:color w:val="auto"/>
                <w:kern w:val="2"/>
                <w:sz w:val="24"/>
                <w:szCs w:val="24"/>
              </w:rPr>
              <w:t>；</w:t>
            </w:r>
          </w:p>
          <w:p>
            <w:pPr>
              <w:pStyle w:val="2"/>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服务期3年，服务期内合同一年一续签。在合同履行期内，医院每年对合作方工作质量及服务水平进行考核，根据考核结果决定是否续签合同。如未按采购文件及合同要求提供医院所需服务，医院有权就服务期限、试剂、设备进行调整或终止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3个月对账付款，据实结算。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w:t>
            </w:r>
            <w:r>
              <w:rPr>
                <w:rFonts w:hint="eastAsia" w:ascii="仿宋" w:hAnsi="仿宋" w:eastAsia="仿宋" w:cs="仿宋"/>
                <w:snapToGrid w:val="0"/>
                <w:kern w:val="0"/>
                <w:sz w:val="24"/>
                <w:szCs w:val="24"/>
                <w:lang w:val="en-US" w:eastAsia="zh-CN"/>
              </w:rPr>
              <w:t>七</w:t>
            </w:r>
            <w:r>
              <w:rPr>
                <w:rFonts w:hint="eastAsia" w:ascii="仿宋" w:hAnsi="仿宋" w:eastAsia="仿宋" w:cs="仿宋"/>
                <w:snapToGrid w:val="0"/>
                <w:kern w:val="0"/>
                <w:sz w:val="24"/>
                <w:szCs w:val="24"/>
              </w:rPr>
              <w:t>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w:t>
            </w:r>
            <w:r>
              <w:rPr>
                <w:rFonts w:hint="eastAsia" w:ascii="仿宋" w:hAnsi="仿宋" w:eastAsia="仿宋" w:cs="仿宋"/>
                <w:sz w:val="24"/>
                <w:szCs w:val="24"/>
                <w:lang w:val="en-US" w:eastAsia="zh-CN"/>
              </w:rPr>
              <w:t>确定</w:t>
            </w:r>
            <w:r>
              <w:rPr>
                <w:rFonts w:hint="eastAsia" w:ascii="仿宋" w:hAnsi="仿宋" w:eastAsia="仿宋" w:cs="仿宋"/>
                <w:sz w:val="24"/>
                <w:szCs w:val="24"/>
              </w:rPr>
              <w:t>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否，评标委员会</w:t>
            </w:r>
            <w:r>
              <w:rPr>
                <w:rFonts w:hint="eastAsia" w:ascii="仿宋" w:hAnsi="仿宋" w:eastAsia="仿宋" w:cs="仿宋"/>
                <w:color w:val="000000"/>
                <w:sz w:val="24"/>
                <w:szCs w:val="24"/>
                <w:lang w:val="en-US" w:eastAsia="zh-CN"/>
              </w:rPr>
              <w:t>每包</w:t>
            </w:r>
            <w:r>
              <w:rPr>
                <w:rFonts w:hint="eastAsia" w:ascii="仿宋" w:hAnsi="仿宋" w:eastAsia="仿宋" w:cs="仿宋"/>
                <w:color w:val="000000"/>
                <w:sz w:val="24"/>
                <w:szCs w:val="24"/>
              </w:rPr>
              <w:t>推荐</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sym w:font="Wingdings 2" w:char="0052"/>
            </w:r>
            <w:r>
              <w:rPr>
                <w:rFonts w:hint="eastAsia" w:ascii="仿宋" w:hAnsi="仿宋" w:eastAsia="仿宋" w:cs="仿宋"/>
                <w:color w:val="000000"/>
                <w:sz w:val="24"/>
                <w:szCs w:val="24"/>
              </w:rPr>
              <w:t>是，评标委员会</w:t>
            </w:r>
            <w:r>
              <w:rPr>
                <w:rFonts w:hint="eastAsia" w:ascii="仿宋" w:hAnsi="仿宋" w:eastAsia="仿宋" w:cs="仿宋"/>
                <w:color w:val="000000"/>
                <w:sz w:val="24"/>
                <w:szCs w:val="24"/>
                <w:lang w:val="en-US" w:eastAsia="zh-CN"/>
              </w:rPr>
              <w:t>每包</w:t>
            </w:r>
            <w:r>
              <w:rPr>
                <w:rFonts w:hint="eastAsia" w:ascii="仿宋" w:hAnsi="仿宋" w:eastAsia="仿宋" w:cs="仿宋"/>
                <w:color w:val="000000"/>
                <w:sz w:val="24"/>
                <w:szCs w:val="24"/>
              </w:rPr>
              <w:t>推荐</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lang w:val="en-US" w:eastAsia="zh-CN"/>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☑本项目中标服务费</w:t>
            </w:r>
            <w:r>
              <w:rPr>
                <w:rFonts w:hint="eastAsia" w:ascii="仿宋" w:hAnsi="仿宋" w:eastAsia="仿宋" w:cs="仿宋"/>
                <w:color w:val="000000"/>
                <w:sz w:val="24"/>
                <w:szCs w:val="24"/>
                <w:lang w:val="en-US" w:eastAsia="zh-CN"/>
              </w:rPr>
              <w:t>以三年总预算金额作为计费基础，</w:t>
            </w:r>
            <w:r>
              <w:rPr>
                <w:rFonts w:hint="eastAsia" w:ascii="仿宋" w:hAnsi="仿宋" w:eastAsia="仿宋" w:cs="仿宋"/>
                <w:color w:val="000000"/>
                <w:sz w:val="24"/>
                <w:szCs w:val="24"/>
                <w:lang w:eastAsia="zh-CN"/>
              </w:rPr>
              <w:t>中标结果</w:t>
            </w:r>
            <w:r>
              <w:rPr>
                <w:rFonts w:hint="eastAsia" w:ascii="仿宋" w:hAnsi="仿宋" w:eastAsia="仿宋" w:cs="仿宋"/>
                <w:color w:val="000000"/>
                <w:sz w:val="24"/>
                <w:szCs w:val="24"/>
              </w:rPr>
              <w:t>公告发布后5个工作日内，</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供应商</w:t>
            </w:r>
            <w:r>
              <w:rPr>
                <w:rFonts w:hint="eastAsia" w:ascii="仿宋" w:hAnsi="仿宋" w:eastAsia="仿宋" w:cs="仿宋"/>
                <w:color w:val="000000"/>
                <w:sz w:val="24"/>
                <w:szCs w:val="24"/>
                <w:lang w:val="en-US" w:eastAsia="zh-CN"/>
              </w:rPr>
              <w:t>依据《国家发展改革委办公厅关于采购代理服务收费有关问题的通知》(发改办价格[2003]857号)和国家计委关于《采购代理服务收费管理暂行办法》（计价格[2002]1980号）规定的收费标准下浮40%后的50%</w:t>
            </w:r>
            <w:r>
              <w:rPr>
                <w:rFonts w:hint="eastAsia" w:ascii="仿宋" w:hAnsi="仿宋" w:eastAsia="仿宋" w:cs="仿宋"/>
                <w:color w:val="000000"/>
                <w:sz w:val="24"/>
                <w:szCs w:val="24"/>
              </w:rPr>
              <w:t>向山东盛和招标代理有限公司交纳</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服务费。</w:t>
            </w:r>
          </w:p>
          <w:p>
            <w:pPr>
              <w:pStyle w:val="2"/>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46"/>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6" w:name="_Toc356491307"/>
      <w:bookmarkStart w:id="97" w:name="_Toc356490368"/>
      <w:bookmarkStart w:id="98" w:name="_Toc407632769"/>
      <w:bookmarkStart w:id="99" w:name="_Toc10182"/>
      <w:bookmarkStart w:id="100" w:name="_Toc26394"/>
      <w:bookmarkStart w:id="101" w:name="_Toc512"/>
      <w:bookmarkStart w:id="102" w:name="_Toc325620703"/>
      <w:bookmarkStart w:id="103" w:name="_Toc12428"/>
      <w:bookmarkStart w:id="104" w:name="_Toc24644"/>
      <w:r>
        <w:rPr>
          <w:rFonts w:hint="eastAsia" w:ascii="仿宋" w:hAnsi="仿宋" w:eastAsia="仿宋" w:cs="仿宋"/>
          <w:sz w:val="28"/>
          <w:szCs w:val="28"/>
          <w:highlight w:val="none"/>
        </w:rPr>
        <w:t>一、适用范围</w:t>
      </w:r>
      <w:bookmarkEnd w:id="96"/>
      <w:bookmarkEnd w:id="97"/>
      <w:bookmarkEnd w:id="98"/>
      <w:bookmarkEnd w:id="99"/>
      <w:bookmarkEnd w:id="100"/>
      <w:bookmarkEnd w:id="101"/>
      <w:bookmarkEnd w:id="102"/>
      <w:bookmarkEnd w:id="103"/>
      <w:bookmarkEnd w:id="104"/>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5" w:name="_Toc325620704"/>
      <w:bookmarkStart w:id="106" w:name="_Toc356490369"/>
      <w:bookmarkStart w:id="107" w:name="_Toc15348"/>
      <w:bookmarkStart w:id="108" w:name="_Toc20395"/>
      <w:bookmarkStart w:id="109" w:name="_Toc3288"/>
      <w:bookmarkStart w:id="110" w:name="_Toc407632770"/>
      <w:bookmarkStart w:id="111" w:name="_Toc356491308"/>
      <w:bookmarkStart w:id="112" w:name="_Toc1696"/>
      <w:bookmarkStart w:id="113" w:name="_Toc6731"/>
      <w:r>
        <w:rPr>
          <w:rFonts w:hint="eastAsia" w:ascii="仿宋" w:hAnsi="仿宋" w:eastAsia="仿宋" w:cs="仿宋"/>
          <w:sz w:val="28"/>
          <w:szCs w:val="28"/>
          <w:highlight w:val="none"/>
        </w:rPr>
        <w:t>二、定义</w:t>
      </w:r>
      <w:bookmarkEnd w:id="105"/>
      <w:bookmarkEnd w:id="106"/>
      <w:bookmarkEnd w:id="107"/>
      <w:bookmarkEnd w:id="108"/>
      <w:bookmarkEnd w:id="109"/>
      <w:bookmarkEnd w:id="110"/>
      <w:bookmarkEnd w:id="111"/>
      <w:bookmarkEnd w:id="112"/>
      <w:bookmarkEnd w:id="113"/>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14"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1"/>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5" w:name="_Toc5199"/>
      <w:bookmarkStart w:id="116" w:name="_Toc356490370"/>
      <w:bookmarkStart w:id="117" w:name="_Toc407632771"/>
      <w:bookmarkStart w:id="118" w:name="_Toc3026"/>
      <w:bookmarkStart w:id="119" w:name="_Toc13233"/>
      <w:bookmarkStart w:id="120" w:name="_Toc356491309"/>
      <w:bookmarkStart w:id="121" w:name="_Toc478"/>
      <w:bookmarkStart w:id="122" w:name="_Toc15067"/>
      <w:r>
        <w:rPr>
          <w:rFonts w:hint="eastAsia" w:ascii="仿宋" w:hAnsi="仿宋" w:eastAsia="仿宋" w:cs="仿宋"/>
          <w:sz w:val="28"/>
          <w:szCs w:val="28"/>
          <w:highlight w:val="none"/>
        </w:rPr>
        <w:t>三、投标人具备的条件</w:t>
      </w:r>
      <w:bookmarkEnd w:id="114"/>
      <w:bookmarkEnd w:id="115"/>
      <w:bookmarkEnd w:id="116"/>
      <w:bookmarkEnd w:id="117"/>
      <w:bookmarkEnd w:id="118"/>
      <w:bookmarkEnd w:id="119"/>
      <w:bookmarkEnd w:id="120"/>
      <w:bookmarkEnd w:id="121"/>
      <w:bookmarkEnd w:id="122"/>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23" w:name="_Toc356490371"/>
      <w:bookmarkStart w:id="124" w:name="_Toc356491310"/>
      <w:bookmarkStart w:id="125" w:name="_Toc407632772"/>
      <w:bookmarkStart w:id="126" w:name="_Toc18137"/>
      <w:bookmarkStart w:id="127" w:name="_Toc325620706"/>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8" w:name="_Toc12106"/>
      <w:bookmarkStart w:id="129" w:name="_Toc17118"/>
      <w:bookmarkStart w:id="130" w:name="_Toc28658"/>
      <w:bookmarkStart w:id="131" w:name="_Toc9932"/>
      <w:r>
        <w:rPr>
          <w:rFonts w:hint="eastAsia" w:ascii="仿宋" w:hAnsi="仿宋" w:eastAsia="仿宋" w:cs="仿宋"/>
          <w:sz w:val="28"/>
          <w:szCs w:val="28"/>
          <w:highlight w:val="none"/>
        </w:rPr>
        <w:t>四、招标文件的澄清或修改</w:t>
      </w:r>
      <w:bookmarkEnd w:id="123"/>
      <w:bookmarkEnd w:id="124"/>
      <w:bookmarkEnd w:id="125"/>
      <w:bookmarkEnd w:id="126"/>
      <w:bookmarkEnd w:id="127"/>
      <w:bookmarkEnd w:id="128"/>
      <w:bookmarkEnd w:id="129"/>
      <w:bookmarkEnd w:id="130"/>
      <w:bookmarkEnd w:id="13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2" w:name="_Toc8927"/>
      <w:bookmarkStart w:id="133" w:name="_Toc15309"/>
      <w:bookmarkStart w:id="134" w:name="_Toc356490372"/>
      <w:bookmarkStart w:id="135" w:name="_Toc356491311"/>
      <w:bookmarkStart w:id="136" w:name="_Toc325620707"/>
      <w:bookmarkStart w:id="137" w:name="_Toc21016"/>
      <w:bookmarkStart w:id="138" w:name="_Toc3557"/>
      <w:bookmarkStart w:id="139" w:name="_Toc26403"/>
      <w:bookmarkStart w:id="140" w:name="_Toc407632773"/>
      <w:r>
        <w:rPr>
          <w:rFonts w:hint="eastAsia" w:ascii="仿宋" w:hAnsi="仿宋" w:eastAsia="仿宋" w:cs="仿宋"/>
          <w:sz w:val="28"/>
          <w:szCs w:val="28"/>
          <w:highlight w:val="none"/>
        </w:rPr>
        <w:t>五、投标文件的编写</w:t>
      </w:r>
      <w:bookmarkEnd w:id="132"/>
      <w:bookmarkEnd w:id="133"/>
      <w:bookmarkEnd w:id="134"/>
      <w:bookmarkEnd w:id="135"/>
      <w:bookmarkEnd w:id="136"/>
      <w:bookmarkEnd w:id="137"/>
      <w:bookmarkEnd w:id="138"/>
      <w:bookmarkEnd w:id="139"/>
      <w:bookmarkEnd w:id="14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六</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3.4.1</w:t>
      </w:r>
      <w:r>
        <w:rPr>
          <w:rFonts w:hint="eastAsia" w:ascii="仿宋" w:hAnsi="仿宋" w:eastAsia="仿宋" w:cs="仿宋"/>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3.4.3</w:t>
      </w:r>
      <w:r>
        <w:rPr>
          <w:rFonts w:hint="eastAsia" w:ascii="仿宋" w:hAnsi="仿宋" w:eastAsia="仿宋" w:cs="仿宋"/>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w:t>
      </w:r>
      <w:r>
        <w:rPr>
          <w:rFonts w:hint="eastAsia" w:ascii="仿宋" w:hAnsi="仿宋" w:eastAsia="仿宋" w:cs="仿宋"/>
          <w:sz w:val="28"/>
          <w:szCs w:val="28"/>
          <w:highlight w:val="none"/>
          <w:lang w:val="en-US" w:eastAsia="zh-CN"/>
        </w:rPr>
        <w:t>2021年</w:t>
      </w:r>
      <w:r>
        <w:rPr>
          <w:rFonts w:hint="eastAsia" w:ascii="仿宋" w:hAnsi="仿宋" w:eastAsia="仿宋" w:cs="仿宋"/>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w:t>
      </w:r>
      <w:r>
        <w:rPr>
          <w:rFonts w:hint="eastAsia" w:ascii="仿宋" w:hAnsi="仿宋" w:eastAsia="仿宋" w:cs="仿宋"/>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供应商是法人的，缴纳税收的证明材料，应提供开标前三个月内任意一个月的依法缴税凭据复印件；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供应商是法人的，缴纳社会保障资金的证明材料，应提供开标前三个月内任意一个月的缴纳社会保险的凭据（专用收据或社会保险缴纳清单）复印件；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供应商是其他组织和自然人的，需要提供开标前三个月内任意一个月的缴纳税收和社会保险的凭据。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3.4.6</w:t>
      </w:r>
      <w:r>
        <w:rPr>
          <w:rFonts w:hint="eastAsia" w:ascii="仿宋" w:hAnsi="仿宋" w:eastAsia="仿宋" w:cs="仿宋"/>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3.4.7</w:t>
      </w:r>
      <w:r>
        <w:rPr>
          <w:rFonts w:hint="eastAsia" w:ascii="仿宋" w:hAnsi="仿宋" w:eastAsia="仿宋" w:cs="仿宋"/>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3.4.8书面声明：单位负责人为同一人或者存在直接控股、管理关系的不同供应商，不得参加同一包的投标或者未划分包的同一招标项目的投标。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3.4.9提供独立检测拟投标项目检测资质证明，并独立完成项目检测，不得将项目进行二次分配；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3.4.10提供从事医学检验、检测的资质，具备卫生部门核发且在有效期内的《医疗机构执业许可证》，诊疗科目需包含医学检验科资质，同时，A1包要求医疗机构诊疗科目包含病理科；A2包要求医疗机构诊疗科目包含临床细胞分子遗传学、临床免疫；A4包要求医疗机构诊疗科目包含临床血液学、临床体液学、临床化学检验专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3.4.11提供国家认可的《临床基因扩增检验实验室技术审核合格证》复印件；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3.4.12投标人所投标项目检验能力需通过国家卫生健康委临床检验中心/国家卫生健康委病理质控中心能力验证；</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val="en-US" w:eastAsia="zh-CN"/>
        </w:rPr>
        <w:t>3.4.13</w:t>
      </w:r>
      <w:r>
        <w:rPr>
          <w:rFonts w:hint="eastAsia" w:ascii="仿宋" w:hAnsi="仿宋" w:eastAsia="仿宋" w:cs="仿宋"/>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w:t>
      </w:r>
      <w:r>
        <w:rPr>
          <w:rFonts w:hint="eastAsia" w:ascii="仿宋" w:hAnsi="仿宋" w:eastAsia="仿宋" w:cs="仿宋"/>
          <w:color w:val="auto"/>
          <w:sz w:val="28"/>
          <w:szCs w:val="28"/>
          <w:highlight w:val="none"/>
          <w:lang w:val="en-US" w:eastAsia="zh-CN"/>
        </w:rPr>
        <w:t>总体服务方案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w:t>
      </w:r>
      <w:r>
        <w:rPr>
          <w:rFonts w:hint="eastAsia" w:ascii="仿宋" w:hAnsi="仿宋" w:eastAsia="仿宋" w:cs="仿宋"/>
          <w:color w:val="auto"/>
          <w:sz w:val="28"/>
          <w:szCs w:val="28"/>
          <w:highlight w:val="none"/>
          <w:lang w:val="en-US" w:eastAsia="zh-CN"/>
        </w:rPr>
        <w:t>检测服务方案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3.6.3项目人员配备情况；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3.6.4拟投入仪器设备情况；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3.6.5场地条件；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3.6.6冷链车辆或冷链箱；</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3.6.7应急方案；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3.6.8售后服务方案；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3.6.9服务要求偏离表；</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3.6.10投标人认为需要说明的其他</w:t>
      </w:r>
      <w:r>
        <w:rPr>
          <w:rFonts w:hint="eastAsia" w:ascii="仿宋" w:hAnsi="仿宋" w:eastAsia="仿宋" w:cs="仿宋"/>
          <w:color w:val="auto"/>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3.7.1</w:t>
      </w:r>
      <w:r>
        <w:rPr>
          <w:rFonts w:hint="eastAsia" w:ascii="仿宋" w:hAnsi="仿宋" w:eastAsia="仿宋" w:cs="仿宋"/>
          <w:sz w:val="28"/>
          <w:szCs w:val="28"/>
          <w:highlight w:val="none"/>
          <w:lang w:val="en-US" w:eastAsia="zh-CN"/>
        </w:rPr>
        <w:t xml:space="preserve"> 2019年6月14日至今以来签订的同类业绩一览表 (附件)。</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3.7.2室间质评证书及ISO15189认证（如有）；</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3.7.3 企业综合实力自证材料；</w:t>
      </w:r>
    </w:p>
    <w:p>
      <w:pPr>
        <w:pageBreakBefore w:val="0"/>
        <w:kinsoku/>
        <w:overflowPunct/>
        <w:topLinePunct w:val="0"/>
        <w:bidi w:val="0"/>
        <w:snapToGrid/>
        <w:spacing w:line="360" w:lineRule="auto"/>
        <w:ind w:firstLine="560" w:firstLineChars="200"/>
        <w:rPr>
          <w:rFonts w:hint="eastAsia"/>
          <w:lang w:val="en-US" w:eastAsia="zh-CN"/>
        </w:rPr>
      </w:pPr>
      <w:r>
        <w:rPr>
          <w:rFonts w:hint="eastAsia" w:ascii="仿宋" w:hAnsi="仿宋" w:eastAsia="仿宋" w:cs="仿宋"/>
          <w:sz w:val="28"/>
          <w:szCs w:val="28"/>
          <w:highlight w:val="none"/>
          <w:lang w:val="en-US" w:eastAsia="zh-CN"/>
        </w:rPr>
        <w:t>3.7.4商务要求偏离表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3.7.5优惠条款；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w:t>
      </w:r>
      <w:r>
        <w:rPr>
          <w:rFonts w:hint="eastAsia" w:ascii="仿宋" w:hAnsi="仿宋" w:eastAsia="仿宋" w:cs="仿宋"/>
          <w:b/>
          <w:sz w:val="28"/>
          <w:szCs w:val="28"/>
          <w:highlight w:val="none"/>
        </w:rPr>
        <w:t>本次采购项目的收费价格由医院根据相关规定制定，各投标单位以收费价的折扣形式报价</w:t>
      </w:r>
      <w:r>
        <w:rPr>
          <w:rFonts w:hint="eastAsia" w:ascii="仿宋" w:hAnsi="仿宋" w:eastAsia="仿宋" w:cs="仿宋"/>
          <w:b/>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3.8.4如果大写的金额和小写的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不一致时，以大写的金额为准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份副本。在每一份投标文件上要明确注明 “项目编号”、“项目名称”</w:t>
      </w:r>
      <w:r>
        <w:rPr>
          <w:rFonts w:hint="eastAsia" w:ascii="仿宋" w:hAnsi="仿宋" w:eastAsia="仿宋" w:cs="仿宋"/>
          <w:sz w:val="28"/>
          <w:szCs w:val="28"/>
          <w:highlight w:val="none"/>
          <w:lang w:eastAsia="zh-CN"/>
        </w:rPr>
        <w:t>、“包号”</w:t>
      </w:r>
      <w:r>
        <w:rPr>
          <w:rFonts w:hint="eastAsia" w:ascii="仿宋" w:hAnsi="仿宋" w:eastAsia="仿宋" w:cs="仿宋"/>
          <w:sz w:val="28"/>
          <w:szCs w:val="28"/>
          <w:highlight w:val="none"/>
        </w:rPr>
        <w:t>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r>
        <w:rPr>
          <w:rFonts w:hint="eastAsia" w:ascii="仿宋" w:hAnsi="仿宋" w:eastAsia="仿宋" w:cs="仿宋"/>
          <w:sz w:val="28"/>
          <w:szCs w:val="28"/>
          <w:highlight w:val="none"/>
          <w:lang w:eastAsia="zh-CN"/>
        </w:rPr>
        <w:t>、包号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41" w:name="_Toc18569"/>
      <w:bookmarkStart w:id="142" w:name="_Toc325620708"/>
      <w:bookmarkStart w:id="143" w:name="_Toc356490373"/>
      <w:bookmarkStart w:id="144" w:name="_Toc15530"/>
      <w:bookmarkStart w:id="145" w:name="_Toc18330"/>
      <w:bookmarkStart w:id="146" w:name="_Toc356491312"/>
      <w:bookmarkStart w:id="147" w:name="_Toc12438"/>
      <w:bookmarkStart w:id="148" w:name="_Toc1590"/>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41"/>
      <w:bookmarkEnd w:id="142"/>
      <w:bookmarkEnd w:id="143"/>
      <w:bookmarkEnd w:id="144"/>
      <w:bookmarkEnd w:id="145"/>
      <w:bookmarkEnd w:id="146"/>
      <w:bookmarkEnd w:id="147"/>
      <w:bookmarkEnd w:id="14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9" w:name="_Toc31836"/>
      <w:bookmarkStart w:id="150" w:name="_Toc356490374"/>
      <w:bookmarkStart w:id="151" w:name="_Toc325620709"/>
      <w:bookmarkStart w:id="152" w:name="_Toc1724"/>
      <w:bookmarkStart w:id="153" w:name="_Toc356491313"/>
      <w:bookmarkStart w:id="154" w:name="_Toc21586"/>
      <w:bookmarkStart w:id="155" w:name="_Toc25049"/>
      <w:bookmarkStart w:id="156" w:name="_Toc73"/>
      <w:r>
        <w:rPr>
          <w:rFonts w:hint="eastAsia" w:ascii="仿宋" w:hAnsi="仿宋" w:eastAsia="仿宋" w:cs="仿宋"/>
          <w:sz w:val="28"/>
          <w:szCs w:val="28"/>
          <w:highlight w:val="none"/>
        </w:rPr>
        <w:t>七、投标费用</w:t>
      </w:r>
      <w:bookmarkEnd w:id="149"/>
      <w:bookmarkEnd w:id="150"/>
      <w:bookmarkEnd w:id="151"/>
      <w:bookmarkEnd w:id="152"/>
      <w:bookmarkEnd w:id="153"/>
      <w:bookmarkEnd w:id="154"/>
      <w:bookmarkEnd w:id="155"/>
      <w:bookmarkEnd w:id="156"/>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57" w:name="_Toc445997425"/>
      <w:bookmarkStart w:id="158" w:name="_Toc529777140"/>
      <w:bookmarkStart w:id="159" w:name="_Toc325620710"/>
      <w:bookmarkStart w:id="160" w:name="_Toc356491315"/>
      <w:bookmarkStart w:id="161" w:name="_Toc325620711"/>
      <w:bookmarkStart w:id="162"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本项目中标服务费</w:t>
      </w:r>
      <w:r>
        <w:rPr>
          <w:rFonts w:hint="eastAsia" w:ascii="仿宋" w:hAnsi="仿宋" w:eastAsia="仿宋" w:cs="仿宋"/>
          <w:color w:val="000000"/>
          <w:sz w:val="28"/>
          <w:szCs w:val="28"/>
          <w:highlight w:val="none"/>
          <w:lang w:val="en-US" w:eastAsia="zh-CN"/>
        </w:rPr>
        <w:t>以三年总预算金额作为计费基础，</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依据《国家发展改革委办公厅关于采购代理服务收费有关问题的通知》(发改办价格[2003]857号)和国家计委关于《采购代理服务收费管理暂行办法》（计价格[2002]1980号）规定的收费标准下浮40%后的50%</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3" w:name="_Toc4610"/>
      <w:bookmarkStart w:id="164" w:name="_Toc16378"/>
      <w:bookmarkStart w:id="165" w:name="_Toc23393"/>
      <w:bookmarkStart w:id="166" w:name="_Toc21092"/>
      <w:bookmarkStart w:id="167" w:name="_Toc7252"/>
      <w:r>
        <w:rPr>
          <w:rFonts w:hint="eastAsia" w:ascii="仿宋" w:hAnsi="仿宋" w:eastAsia="仿宋" w:cs="仿宋"/>
          <w:sz w:val="28"/>
          <w:szCs w:val="28"/>
          <w:highlight w:val="none"/>
        </w:rPr>
        <w:t>八、保证金</w:t>
      </w:r>
      <w:bookmarkEnd w:id="157"/>
      <w:bookmarkEnd w:id="158"/>
      <w:bookmarkEnd w:id="159"/>
      <w:bookmarkEnd w:id="163"/>
      <w:bookmarkEnd w:id="164"/>
      <w:bookmarkEnd w:id="165"/>
      <w:bookmarkEnd w:id="166"/>
      <w:bookmarkEnd w:id="16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w:t>
      </w:r>
      <w:r>
        <w:rPr>
          <w:rFonts w:hint="eastAsia" w:ascii="仿宋" w:hAnsi="仿宋" w:eastAsia="仿宋" w:cs="仿宋"/>
          <w:bCs/>
          <w:color w:val="000000"/>
          <w:sz w:val="28"/>
          <w:szCs w:val="28"/>
          <w:highlight w:val="none"/>
          <w:u w:val="none"/>
          <w:lang w:val="en-US" w:eastAsia="zh-CN"/>
        </w:rPr>
        <w:t>6</w:t>
      </w:r>
      <w:r>
        <w:rPr>
          <w:rFonts w:hint="eastAsia" w:ascii="仿宋" w:hAnsi="仿宋" w:eastAsia="仿宋" w:cs="仿宋"/>
          <w:bCs/>
          <w:color w:val="000000"/>
          <w:sz w:val="28"/>
          <w:szCs w:val="28"/>
          <w:highlight w:val="none"/>
          <w:u w:val="none"/>
        </w:rPr>
        <w:t>月</w:t>
      </w:r>
      <w:r>
        <w:rPr>
          <w:rFonts w:hint="eastAsia" w:ascii="仿宋" w:hAnsi="仿宋" w:eastAsia="仿宋" w:cs="仿宋"/>
          <w:bCs/>
          <w:color w:val="000000"/>
          <w:sz w:val="28"/>
          <w:szCs w:val="28"/>
          <w:highlight w:val="none"/>
          <w:u w:val="none"/>
          <w:lang w:val="en-US" w:eastAsia="zh-CN"/>
        </w:rPr>
        <w:t>14</w:t>
      </w:r>
      <w:r>
        <w:rPr>
          <w:rFonts w:hint="eastAsia" w:ascii="仿宋" w:hAnsi="仿宋" w:eastAsia="仿宋" w:cs="仿宋"/>
          <w:bCs/>
          <w:color w:val="000000"/>
          <w:sz w:val="28"/>
          <w:szCs w:val="28"/>
          <w:highlight w:val="none"/>
          <w:u w:val="none"/>
        </w:rPr>
        <w:t>日</w:t>
      </w:r>
      <w:r>
        <w:rPr>
          <w:rFonts w:hint="eastAsia" w:ascii="仿宋" w:hAnsi="仿宋" w:eastAsia="仿宋" w:cs="仿宋"/>
          <w:sz w:val="28"/>
          <w:szCs w:val="28"/>
          <w:highlight w:val="none"/>
          <w:lang w:val="en-US" w:eastAsia="zh-CN"/>
        </w:rPr>
        <w:t>上午9:00</w:t>
      </w:r>
      <w:r>
        <w:rPr>
          <w:rFonts w:hint="eastAsia" w:ascii="仿宋" w:hAnsi="仿宋" w:eastAsia="仿宋" w:cs="仿宋"/>
          <w:sz w:val="28"/>
          <w:szCs w:val="28"/>
          <w:highlight w:val="none"/>
        </w:rPr>
        <w:t>前以电汇形式（电汇以到账时间为准）交纳A1包：</w:t>
      </w:r>
      <w:r>
        <w:rPr>
          <w:rFonts w:hint="eastAsia" w:ascii="仿宋" w:hAnsi="仿宋" w:eastAsia="仿宋" w:cs="仿宋"/>
          <w:sz w:val="28"/>
          <w:szCs w:val="28"/>
          <w:highlight w:val="none"/>
          <w:lang w:val="en-US" w:eastAsia="zh-CN"/>
        </w:rPr>
        <w:t>100000</w:t>
      </w:r>
      <w:r>
        <w:rPr>
          <w:rFonts w:hint="eastAsia" w:ascii="仿宋" w:hAnsi="仿宋" w:eastAsia="仿宋" w:cs="仿宋"/>
          <w:sz w:val="28"/>
          <w:szCs w:val="28"/>
          <w:highlight w:val="none"/>
        </w:rPr>
        <w:t>元，A2包：</w:t>
      </w:r>
      <w:r>
        <w:rPr>
          <w:rFonts w:hint="eastAsia" w:ascii="仿宋" w:hAnsi="仿宋" w:eastAsia="仿宋" w:cs="仿宋"/>
          <w:sz w:val="28"/>
          <w:szCs w:val="28"/>
          <w:highlight w:val="none"/>
          <w:lang w:val="en-US" w:eastAsia="zh-CN"/>
        </w:rPr>
        <w:t>70000</w:t>
      </w:r>
      <w:r>
        <w:rPr>
          <w:rFonts w:hint="eastAsia" w:ascii="仿宋" w:hAnsi="仿宋" w:eastAsia="仿宋" w:cs="仿宋"/>
          <w:sz w:val="28"/>
          <w:szCs w:val="28"/>
          <w:highlight w:val="none"/>
        </w:rPr>
        <w:t>元，A3包：</w:t>
      </w:r>
      <w:r>
        <w:rPr>
          <w:rFonts w:hint="eastAsia" w:ascii="仿宋" w:hAnsi="仿宋" w:eastAsia="仿宋" w:cs="仿宋"/>
          <w:sz w:val="28"/>
          <w:szCs w:val="28"/>
          <w:highlight w:val="none"/>
          <w:lang w:val="en-US" w:eastAsia="zh-CN"/>
        </w:rPr>
        <w:t>40000</w:t>
      </w:r>
      <w:r>
        <w:rPr>
          <w:rFonts w:hint="eastAsia" w:ascii="仿宋" w:hAnsi="仿宋" w:eastAsia="仿宋" w:cs="仿宋"/>
          <w:sz w:val="28"/>
          <w:szCs w:val="28"/>
          <w:highlight w:val="none"/>
        </w:rPr>
        <w:t>元，A4包：</w:t>
      </w:r>
      <w:r>
        <w:rPr>
          <w:rFonts w:hint="eastAsia" w:ascii="仿宋" w:hAnsi="仿宋" w:eastAsia="仿宋" w:cs="仿宋"/>
          <w:sz w:val="28"/>
          <w:szCs w:val="28"/>
          <w:highlight w:val="none"/>
          <w:lang w:val="en-US" w:eastAsia="zh-CN"/>
        </w:rPr>
        <w:t>30000</w:t>
      </w:r>
      <w:r>
        <w:rPr>
          <w:rFonts w:hint="eastAsia" w:ascii="仿宋" w:hAnsi="仿宋" w:eastAsia="仿宋" w:cs="仿宋"/>
          <w:sz w:val="28"/>
          <w:szCs w:val="28"/>
          <w:highlight w:val="none"/>
        </w:rPr>
        <w:t>元，A5包：</w:t>
      </w:r>
      <w:r>
        <w:rPr>
          <w:rFonts w:hint="eastAsia" w:ascii="仿宋" w:hAnsi="仿宋" w:eastAsia="仿宋" w:cs="仿宋"/>
          <w:sz w:val="28"/>
          <w:szCs w:val="28"/>
          <w:highlight w:val="none"/>
          <w:lang w:val="en-US" w:eastAsia="zh-CN"/>
        </w:rPr>
        <w:t>30000元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8" w:name="_Toc1898"/>
      <w:bookmarkStart w:id="169" w:name="_Toc4511"/>
      <w:bookmarkStart w:id="170" w:name="_Toc16530"/>
      <w:bookmarkStart w:id="171" w:name="_Toc13888"/>
      <w:bookmarkStart w:id="172" w:name="_Toc16422"/>
      <w:r>
        <w:rPr>
          <w:rFonts w:hint="eastAsia" w:ascii="仿宋" w:hAnsi="仿宋" w:eastAsia="仿宋" w:cs="仿宋"/>
          <w:sz w:val="28"/>
          <w:szCs w:val="28"/>
          <w:highlight w:val="none"/>
        </w:rPr>
        <w:t>九、无效</w:t>
      </w:r>
      <w:bookmarkEnd w:id="160"/>
      <w:bookmarkEnd w:id="161"/>
      <w:bookmarkEnd w:id="162"/>
      <w:r>
        <w:rPr>
          <w:rFonts w:hint="eastAsia" w:ascii="仿宋" w:hAnsi="仿宋" w:eastAsia="仿宋" w:cs="仿宋"/>
          <w:sz w:val="28"/>
          <w:szCs w:val="28"/>
          <w:highlight w:val="none"/>
        </w:rPr>
        <w:t>投标</w:t>
      </w:r>
      <w:bookmarkEnd w:id="168"/>
      <w:bookmarkEnd w:id="169"/>
      <w:bookmarkEnd w:id="170"/>
      <w:bookmarkEnd w:id="171"/>
      <w:bookmarkEnd w:id="17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73" w:name="_Toc356490377"/>
      <w:bookmarkStart w:id="174" w:name="_Toc325620712"/>
      <w:bookmarkStart w:id="175"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.法律、法规和招标文件规定的其他无效投标情形。</w:t>
      </w:r>
    </w:p>
    <w:bookmarkEnd w:id="173"/>
    <w:bookmarkEnd w:id="174"/>
    <w:bookmarkEnd w:id="175"/>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76" w:name="_Toc4692"/>
      <w:bookmarkStart w:id="177" w:name="_Toc8486"/>
      <w:bookmarkStart w:id="178" w:name="_Toc21750"/>
      <w:bookmarkStart w:id="179" w:name="_Toc325582572"/>
      <w:bookmarkStart w:id="180" w:name="_Toc323129563"/>
      <w:bookmarkStart w:id="181" w:name="_Toc325582067"/>
      <w:bookmarkStart w:id="182" w:name="_Toc325620713"/>
      <w:r>
        <w:rPr>
          <w:rFonts w:hint="eastAsia" w:ascii="仿宋" w:hAnsi="仿宋" w:eastAsia="仿宋" w:cs="仿宋"/>
          <w:sz w:val="28"/>
          <w:szCs w:val="28"/>
          <w:highlight w:val="none"/>
          <w:lang w:eastAsia="zh-CN"/>
        </w:rPr>
        <w:t>十、质疑的提出与答复</w:t>
      </w:r>
      <w:bookmarkEnd w:id="176"/>
      <w:bookmarkEnd w:id="177"/>
      <w:bookmarkEnd w:id="178"/>
    </w:p>
    <w:p>
      <w:pPr>
        <w:pStyle w:val="2"/>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通讯地址：济南市历城区唐冶西路868号东8区企业公馆B1号楼。不符合规定的质疑采购代理机构有权不接收。</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3" w:name="_Toc31192"/>
      <w:bookmarkStart w:id="184" w:name="_Toc10465"/>
      <w:bookmarkStart w:id="185" w:name="_Toc20943"/>
      <w:bookmarkStart w:id="186" w:name="_Toc30273"/>
      <w:bookmarkStart w:id="187" w:name="_Toc4346"/>
      <w:r>
        <w:rPr>
          <w:rFonts w:hint="eastAsia" w:ascii="仿宋" w:hAnsi="仿宋" w:eastAsia="仿宋" w:cs="仿宋"/>
          <w:sz w:val="28"/>
          <w:szCs w:val="28"/>
          <w:highlight w:val="none"/>
        </w:rPr>
        <w:t>十</w:t>
      </w:r>
      <w:bookmarkStart w:id="188" w:name="_Toc304901697"/>
      <w:bookmarkStart w:id="189" w:name="_Toc259000653"/>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83"/>
      <w:bookmarkEnd w:id="184"/>
      <w:bookmarkEnd w:id="185"/>
      <w:bookmarkEnd w:id="186"/>
      <w:bookmarkEnd w:id="187"/>
      <w:bookmarkEnd w:id="188"/>
      <w:bookmarkEnd w:id="18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90" w:name="_Toc70060538"/>
      <w:bookmarkStart w:id="191" w:name="_Toc291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2" w:name="_Toc15304"/>
      <w:bookmarkStart w:id="193" w:name="_Toc17160"/>
      <w:bookmarkStart w:id="194" w:name="_Toc26295"/>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90"/>
      <w:bookmarkEnd w:id="191"/>
      <w:bookmarkEnd w:id="192"/>
      <w:bookmarkEnd w:id="193"/>
      <w:bookmarkEnd w:id="194"/>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rPr>
          <w:rFonts w:hint="eastAsia" w:ascii="仿宋" w:hAnsi="仿宋" w:eastAsia="仿宋" w:cs="仿宋"/>
          <w:sz w:val="28"/>
          <w:szCs w:val="28"/>
          <w:highlight w:val="none"/>
        </w:rPr>
      </w:pPr>
      <w:bookmarkStart w:id="195" w:name="_Toc14247"/>
      <w:bookmarkStart w:id="196" w:name="_Toc3341"/>
      <w:bookmarkStart w:id="197" w:name="_Toc16709"/>
      <w:bookmarkStart w:id="198" w:name="_Toc356491317"/>
      <w:bookmarkStart w:id="199" w:name="_Toc11061"/>
      <w:bookmarkStart w:id="200" w:name="_Toc356490378"/>
      <w:bookmarkStart w:id="201" w:name="_Toc3074"/>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第三部分 开标、评审、</w:t>
      </w:r>
      <w:bookmarkEnd w:id="179"/>
      <w:bookmarkEnd w:id="180"/>
      <w:bookmarkEnd w:id="181"/>
      <w:bookmarkEnd w:id="182"/>
      <w:r>
        <w:rPr>
          <w:rFonts w:hint="eastAsia" w:ascii="仿宋" w:hAnsi="仿宋" w:eastAsia="仿宋" w:cs="仿宋"/>
          <w:sz w:val="28"/>
          <w:szCs w:val="28"/>
          <w:highlight w:val="none"/>
        </w:rPr>
        <w:t>中标</w:t>
      </w:r>
      <w:bookmarkEnd w:id="195"/>
      <w:bookmarkEnd w:id="196"/>
      <w:bookmarkEnd w:id="197"/>
      <w:bookmarkEnd w:id="198"/>
      <w:bookmarkEnd w:id="199"/>
      <w:bookmarkEnd w:id="200"/>
      <w:bookmarkEnd w:id="20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2" w:name="_Toc332979555"/>
      <w:bookmarkStart w:id="203" w:name="_Toc8665"/>
      <w:bookmarkStart w:id="204" w:name="_Toc11988"/>
      <w:bookmarkStart w:id="205" w:name="_Toc27591"/>
      <w:bookmarkStart w:id="206" w:name="_Toc1361"/>
      <w:bookmarkStart w:id="207" w:name="_Toc325620714"/>
      <w:bookmarkStart w:id="208" w:name="_Toc10319"/>
      <w:bookmarkStart w:id="209" w:name="_Toc356491321"/>
      <w:bookmarkStart w:id="210" w:name="_Toc325620717"/>
      <w:bookmarkStart w:id="211" w:name="_Toc356490382"/>
      <w:bookmarkStart w:id="212" w:name="_Toc325582068"/>
      <w:bookmarkStart w:id="213" w:name="_Toc356490385"/>
      <w:bookmarkStart w:id="214" w:name="_Toc356491324"/>
      <w:bookmarkStart w:id="215" w:name="_Toc325582573"/>
      <w:bookmarkStart w:id="216" w:name="_Toc325620720"/>
      <w:bookmarkStart w:id="217" w:name="_Toc323129564"/>
      <w:r>
        <w:rPr>
          <w:rFonts w:hint="eastAsia" w:ascii="仿宋" w:hAnsi="仿宋" w:eastAsia="仿宋" w:cs="仿宋"/>
          <w:sz w:val="28"/>
          <w:szCs w:val="28"/>
          <w:highlight w:val="none"/>
        </w:rPr>
        <w:t>一、开标</w:t>
      </w:r>
      <w:bookmarkEnd w:id="202"/>
      <w:bookmarkEnd w:id="203"/>
      <w:bookmarkEnd w:id="204"/>
      <w:bookmarkEnd w:id="205"/>
      <w:bookmarkEnd w:id="206"/>
      <w:bookmarkEnd w:id="207"/>
      <w:bookmarkEnd w:id="20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18" w:name="_Toc325620715"/>
      <w:bookmarkStart w:id="219" w:name="_Toc332979556"/>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0" w:name="_Toc19305"/>
      <w:bookmarkStart w:id="221" w:name="_Toc9360"/>
      <w:bookmarkStart w:id="222" w:name="_Toc9386"/>
      <w:bookmarkStart w:id="223" w:name="_Toc24689"/>
      <w:bookmarkStart w:id="224" w:name="_Toc9073"/>
      <w:r>
        <w:rPr>
          <w:rFonts w:hint="eastAsia" w:ascii="仿宋" w:hAnsi="仿宋" w:eastAsia="仿宋" w:cs="仿宋"/>
          <w:sz w:val="28"/>
          <w:szCs w:val="28"/>
          <w:highlight w:val="none"/>
        </w:rPr>
        <w:t>二、评审委员会</w:t>
      </w:r>
      <w:bookmarkEnd w:id="218"/>
      <w:bookmarkEnd w:id="219"/>
      <w:bookmarkEnd w:id="220"/>
      <w:bookmarkEnd w:id="221"/>
      <w:bookmarkEnd w:id="222"/>
      <w:bookmarkEnd w:id="223"/>
      <w:bookmarkEnd w:id="22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5" w:name="_Toc23543"/>
      <w:bookmarkStart w:id="226" w:name="_Toc4414"/>
      <w:bookmarkStart w:id="227" w:name="_Toc861"/>
      <w:bookmarkStart w:id="228" w:name="_Toc24299"/>
      <w:bookmarkStart w:id="229" w:name="_Toc28432"/>
      <w:bookmarkStart w:id="230" w:name="_Toc325620716"/>
      <w:bookmarkStart w:id="231" w:name="_Toc332979557"/>
      <w:r>
        <w:rPr>
          <w:rFonts w:hint="eastAsia" w:ascii="仿宋" w:hAnsi="仿宋" w:eastAsia="仿宋" w:cs="仿宋"/>
          <w:sz w:val="28"/>
          <w:szCs w:val="28"/>
          <w:highlight w:val="none"/>
        </w:rPr>
        <w:t>三、评审原则</w:t>
      </w:r>
      <w:bookmarkEnd w:id="225"/>
      <w:bookmarkEnd w:id="226"/>
      <w:bookmarkEnd w:id="227"/>
      <w:bookmarkEnd w:id="228"/>
      <w:bookmarkEnd w:id="229"/>
      <w:bookmarkEnd w:id="230"/>
      <w:bookmarkEnd w:id="23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2" w:name="_Toc31816"/>
      <w:bookmarkStart w:id="233" w:name="_Toc5126"/>
      <w:bookmarkStart w:id="234" w:name="_Toc11939"/>
      <w:bookmarkStart w:id="235" w:name="_Toc27582"/>
      <w:bookmarkStart w:id="236" w:name="_Toc23461"/>
      <w:r>
        <w:rPr>
          <w:rFonts w:hint="eastAsia" w:ascii="仿宋" w:hAnsi="仿宋" w:eastAsia="仿宋" w:cs="仿宋"/>
          <w:sz w:val="28"/>
          <w:szCs w:val="28"/>
          <w:highlight w:val="none"/>
        </w:rPr>
        <w:t>四、评审办法</w:t>
      </w:r>
      <w:bookmarkEnd w:id="209"/>
      <w:bookmarkEnd w:id="210"/>
      <w:bookmarkEnd w:id="211"/>
      <w:bookmarkEnd w:id="232"/>
      <w:bookmarkEnd w:id="233"/>
      <w:bookmarkEnd w:id="234"/>
      <w:bookmarkEnd w:id="235"/>
      <w:bookmarkEnd w:id="23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rPr>
        <w:t>评标委员会确定综合得分排名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Style w:val="46"/>
        <w:ind w:firstLine="560" w:firstLineChars="200"/>
        <w:rPr>
          <w:rFonts w:hint="default" w:ascii="仿宋" w:hAnsi="仿宋" w:eastAsia="仿宋" w:cs="仿宋"/>
          <w:sz w:val="28"/>
          <w:szCs w:val="28"/>
          <w:highlight w:val="none"/>
          <w:lang w:val="en-US" w:eastAsia="zh-CN"/>
        </w:rPr>
      </w:pPr>
      <w:bookmarkStart w:id="237" w:name="_Toc30373"/>
      <w:bookmarkStart w:id="238" w:name="_Toc9035"/>
      <w:bookmarkStart w:id="239" w:name="_Toc24623"/>
      <w:bookmarkStart w:id="240" w:name="_Toc17551"/>
      <w:bookmarkStart w:id="241" w:name="_Toc23776"/>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237"/>
      <w:bookmarkEnd w:id="238"/>
      <w:bookmarkEnd w:id="239"/>
      <w:bookmarkEnd w:id="240"/>
      <w:bookmarkEnd w:id="241"/>
      <w:r>
        <w:rPr>
          <w:rFonts w:hint="eastAsia" w:ascii="仿宋" w:hAnsi="仿宋" w:eastAsia="仿宋" w:cs="仿宋"/>
          <w:sz w:val="28"/>
          <w:szCs w:val="28"/>
          <w:highlight w:val="none"/>
          <w:lang w:val="en-US" w:eastAsia="zh-CN"/>
        </w:rPr>
        <w:t>A1-A5包</w:t>
      </w:r>
    </w:p>
    <w:tbl>
      <w:tblPr>
        <w:tblStyle w:val="35"/>
        <w:tblW w:w="93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1"/>
        <w:gridCol w:w="7399"/>
        <w:gridCol w:w="8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031" w:type="dxa"/>
            <w:tcBorders>
              <w:top w:val="single" w:color="auto" w:sz="4" w:space="0"/>
            </w:tcBorders>
            <w:vAlign w:val="center"/>
          </w:tcPr>
          <w:p>
            <w:pPr>
              <w:widowControl/>
              <w:adjustRightInd w:val="0"/>
              <w:snapToGrid w:val="0"/>
              <w:spacing w:line="360" w:lineRule="auto"/>
              <w:ind w:right="-67" w:rightChars="-24"/>
              <w:jc w:val="center"/>
              <w:rPr>
                <w:rFonts w:ascii="仿宋" w:hAnsi="仿宋" w:eastAsia="仿宋" w:cs="仿宋"/>
                <w:b/>
                <w:color w:val="000000" w:themeColor="text1"/>
                <w:kern w:val="0"/>
                <w:sz w:val="24"/>
                <w14:textFill>
                  <w14:solidFill>
                    <w14:schemeClr w14:val="tx1"/>
                  </w14:solidFill>
                </w14:textFill>
              </w:rPr>
            </w:pPr>
            <w:bookmarkStart w:id="242" w:name="_Toc204537203"/>
            <w:r>
              <w:rPr>
                <w:rFonts w:hint="eastAsia" w:ascii="仿宋" w:hAnsi="仿宋" w:eastAsia="仿宋" w:cs="仿宋"/>
                <w:b/>
                <w:color w:val="000000" w:themeColor="text1"/>
                <w:kern w:val="0"/>
                <w:sz w:val="24"/>
                <w14:textFill>
                  <w14:solidFill>
                    <w14:schemeClr w14:val="tx1"/>
                  </w14:solidFill>
                </w14:textFill>
              </w:rPr>
              <w:t>内  容</w:t>
            </w:r>
          </w:p>
        </w:tc>
        <w:tc>
          <w:tcPr>
            <w:tcW w:w="7399" w:type="dxa"/>
            <w:tcBorders>
              <w:top w:val="single" w:color="auto" w:sz="4" w:space="0"/>
            </w:tcBorders>
            <w:vAlign w:val="center"/>
          </w:tcPr>
          <w:p>
            <w:pPr>
              <w:widowControl/>
              <w:adjustRightInd w:val="0"/>
              <w:snapToGrid w:val="0"/>
              <w:spacing w:line="360" w:lineRule="auto"/>
              <w:ind w:right="-67" w:rightChars="-24"/>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评分原则</w:t>
            </w:r>
          </w:p>
        </w:tc>
        <w:tc>
          <w:tcPr>
            <w:tcW w:w="888" w:type="dxa"/>
            <w:tcBorders>
              <w:top w:val="single" w:color="auto" w:sz="4" w:space="0"/>
            </w:tcBorders>
            <w:vAlign w:val="center"/>
          </w:tcPr>
          <w:p>
            <w:pPr>
              <w:widowControl/>
              <w:adjustRightInd w:val="0"/>
              <w:snapToGrid w:val="0"/>
              <w:spacing w:line="360" w:lineRule="auto"/>
              <w:ind w:right="-67" w:rightChars="-24" w:firstLine="118" w:firstLineChars="49"/>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1" w:type="dxa"/>
            <w:vAlign w:val="center"/>
          </w:tcPr>
          <w:p>
            <w:pPr>
              <w:widowControl/>
              <w:adjustRightInd w:val="0"/>
              <w:snapToGrid w:val="0"/>
              <w:spacing w:line="360" w:lineRule="auto"/>
              <w:ind w:right="-67" w:rightChars="-2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  价</w:t>
            </w:r>
          </w:p>
        </w:tc>
        <w:tc>
          <w:tcPr>
            <w:tcW w:w="739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szCs w:val="24"/>
              </w:rPr>
              <w:t>以满足</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要求且</w:t>
            </w:r>
            <w:r>
              <w:rPr>
                <w:rFonts w:hint="eastAsia" w:ascii="仿宋" w:hAnsi="仿宋" w:eastAsia="仿宋" w:cs="仿宋"/>
                <w:b w:val="0"/>
                <w:bCs w:val="0"/>
                <w:color w:val="auto"/>
                <w:sz w:val="24"/>
                <w:szCs w:val="24"/>
                <w:lang w:val="en-US" w:eastAsia="zh-CN"/>
              </w:rPr>
              <w:t>所报</w:t>
            </w:r>
            <w:r>
              <w:rPr>
                <w:rFonts w:hint="eastAsia" w:ascii="仿宋" w:hAnsi="仿宋" w:eastAsia="仿宋" w:cs="仿宋"/>
                <w:color w:val="auto"/>
                <w:sz w:val="24"/>
                <w:szCs w:val="24"/>
                <w:lang w:val="en-US" w:eastAsia="zh-CN"/>
              </w:rPr>
              <w:t>折扣率</w:t>
            </w:r>
            <w:r>
              <w:rPr>
                <w:rFonts w:hint="eastAsia" w:ascii="仿宋" w:hAnsi="仿宋" w:eastAsia="仿宋" w:cs="仿宋"/>
                <w:color w:val="auto"/>
                <w:sz w:val="24"/>
                <w:szCs w:val="24"/>
              </w:rPr>
              <w:t>最低的</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报价为评审基准价，其价格分为满分</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分，其他供应商的价格分按照下列公式计算：</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报价得分=（评审基准价/</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%×100。</w:t>
            </w:r>
          </w:p>
        </w:tc>
        <w:tc>
          <w:tcPr>
            <w:tcW w:w="888" w:type="dxa"/>
            <w:vAlign w:val="center"/>
          </w:tcPr>
          <w:p>
            <w:pPr>
              <w:widowControl/>
              <w:adjustRightInd w:val="0"/>
              <w:snapToGrid w:val="0"/>
              <w:spacing w:line="360" w:lineRule="auto"/>
              <w:ind w:right="-67" w:rightChars="-24"/>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30</w:t>
            </w:r>
            <w:r>
              <w:rPr>
                <w:rFonts w:hint="eastAsia" w:ascii="仿宋" w:hAnsi="仿宋" w:eastAsia="仿宋" w:cs="仿宋"/>
                <w:color w:val="000000" w:themeColor="text1"/>
                <w:kern w:val="0"/>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1" w:type="dxa"/>
            <w:vAlign w:val="center"/>
          </w:tcPr>
          <w:p>
            <w:pPr>
              <w:widowControl/>
              <w:adjustRightInd w:val="0"/>
              <w:snapToGrid w:val="0"/>
              <w:spacing w:line="360" w:lineRule="auto"/>
              <w:ind w:right="-67" w:rightChars="-24"/>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工作基础与</w:t>
            </w:r>
            <w:r>
              <w:rPr>
                <w:rFonts w:hint="eastAsia" w:ascii="仿宋" w:hAnsi="仿宋" w:eastAsia="仿宋" w:cs="仿宋"/>
                <w:color w:val="000000" w:themeColor="text1"/>
                <w:sz w:val="24"/>
                <w:lang w:val="en-US" w:eastAsia="zh-CN"/>
                <w14:textFill>
                  <w14:solidFill>
                    <w14:schemeClr w14:val="tx1"/>
                  </w14:solidFill>
                </w14:textFill>
              </w:rPr>
              <w:t>业绩</w:t>
            </w:r>
          </w:p>
        </w:tc>
        <w:tc>
          <w:tcPr>
            <w:tcW w:w="7399" w:type="dxa"/>
            <w:vAlign w:val="center"/>
          </w:tcPr>
          <w:p>
            <w:pPr>
              <w:spacing w:line="360" w:lineRule="auto"/>
              <w:ind w:left="292" w:leftChars="20" w:hanging="236"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人员（</w:t>
            </w:r>
            <w:r>
              <w:rPr>
                <w:rFonts w:ascii="仿宋" w:hAnsi="仿宋" w:eastAsia="仿宋" w:cs="仿宋"/>
                <w:b/>
                <w:color w:val="000000" w:themeColor="text1"/>
                <w:sz w:val="24"/>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：根据投标人提供的服务团队配备情况进行评审，每提供一名具有相应资格证书的得1分，满分</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分。（注：须提供上述人员的相关证书复印件及2021年7月至今任意1个月投标人为其缴纳的社保证明（加盖公章）附在投标文件中，否则不得分）</w:t>
            </w:r>
          </w:p>
          <w:p>
            <w:pPr>
              <w:spacing w:line="360" w:lineRule="auto"/>
              <w:ind w:left="292" w:leftChars="20" w:hanging="236"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设备（</w:t>
            </w:r>
            <w:r>
              <w:rPr>
                <w:rFonts w:ascii="仿宋" w:hAnsi="仿宋" w:eastAsia="仿宋" w:cs="仿宋"/>
                <w:b/>
                <w:color w:val="000000" w:themeColor="text1"/>
                <w:sz w:val="24"/>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：根据供应商所投包提供相关仪器设备配备情况进行评审，满足所投包检测服务要求的得</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分，需提供仪器设备配备的发票复印件（附在投标文件中），未按要求提供发票的不得分。</w:t>
            </w:r>
          </w:p>
          <w:p>
            <w:pPr>
              <w:spacing w:line="360" w:lineRule="auto"/>
              <w:ind w:left="292" w:leftChars="20" w:hanging="236"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场地（</w:t>
            </w:r>
            <w:r>
              <w:rPr>
                <w:rFonts w:ascii="仿宋" w:hAnsi="仿宋" w:eastAsia="仿宋" w:cs="仿宋"/>
                <w:b/>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：根据投标供应商实验室场地情况进行评审，满足所投包检测服务要求的得</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分，需提供场地所有权证明或租赁使用合同并提供工作场地照片、实验室布局平面图。</w:t>
            </w:r>
          </w:p>
          <w:p>
            <w:pPr>
              <w:spacing w:line="360" w:lineRule="auto"/>
              <w:ind w:left="292" w:leftChars="20" w:hanging="236" w:hangingChars="98"/>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r>
              <w:rPr>
                <w:rFonts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运输（</w:t>
            </w:r>
            <w:r>
              <w:rPr>
                <w:rFonts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szCs w:val="24"/>
                <w:lang w:val="en-US" w:eastAsia="zh-CN"/>
              </w:rPr>
              <w:t>根据投标人提供的冷链车辆或冷链箱满足物流运输要求，且提供对应证明材料的得2分；虽提供了满足物流运输要求冷链车辆或冷链箱，但未提供证明材料的得1分；提供的不满足物流运输要求不得分</w:t>
            </w:r>
            <w:r>
              <w:rPr>
                <w:rFonts w:hint="eastAsia" w:ascii="仿宋" w:hAnsi="仿宋" w:eastAsia="仿宋" w:cs="仿宋"/>
                <w:bCs/>
                <w:kern w:val="2"/>
                <w:sz w:val="24"/>
                <w:szCs w:val="24"/>
                <w:lang w:val="en-US" w:eastAsia="zh-CN"/>
              </w:rPr>
              <w:t>。</w:t>
            </w:r>
          </w:p>
          <w:p>
            <w:pPr>
              <w:spacing w:line="360" w:lineRule="auto"/>
              <w:ind w:left="292" w:leftChars="20" w:hanging="236" w:hangingChars="98"/>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5. </w:t>
            </w:r>
            <w:r>
              <w:rPr>
                <w:rFonts w:hint="eastAsia" w:ascii="仿宋" w:hAnsi="仿宋" w:eastAsia="仿宋" w:cs="仿宋"/>
                <w:b/>
                <w:color w:val="000000" w:themeColor="text1"/>
                <w:sz w:val="24"/>
                <w14:textFill>
                  <w14:solidFill>
                    <w14:schemeClr w14:val="tx1"/>
                  </w14:solidFill>
                </w14:textFill>
              </w:rPr>
              <w:t>工作业绩（1</w:t>
            </w:r>
            <w:r>
              <w:rPr>
                <w:rFonts w:ascii="仿宋" w:hAnsi="仿宋" w:eastAsia="仿宋" w:cs="仿宋"/>
                <w:b/>
                <w:color w:val="000000" w:themeColor="text1"/>
                <w:sz w:val="24"/>
                <w14:textFill>
                  <w14:solidFill>
                    <w14:schemeClr w14:val="tx1"/>
                  </w14:solidFill>
                </w14:textFill>
              </w:rPr>
              <w:t>8</w:t>
            </w:r>
            <w:r>
              <w:rPr>
                <w:rFonts w:hint="eastAsia" w:ascii="仿宋" w:hAnsi="仿宋" w:eastAsia="仿宋" w:cs="仿宋"/>
                <w:b/>
                <w:color w:val="000000" w:themeColor="text1"/>
                <w:sz w:val="24"/>
                <w14:textFill>
                  <w14:solidFill>
                    <w14:schemeClr w14:val="tx1"/>
                  </w14:solidFill>
                </w14:textFill>
              </w:rPr>
              <w:t>分）：</w:t>
            </w:r>
          </w:p>
          <w:p>
            <w:pPr>
              <w:spacing w:line="360" w:lineRule="auto"/>
              <w:ind w:left="291" w:leftChars="20" w:hanging="235"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根据投标供应商提供2021年以来取得的国家卫生健康委临床检验中心/国家卫生健康委病理质控中心室间质评证书进行评审（必须与所投标包检验内容技术要求密切相关），每提供1份得</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分，满分</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p>
            <w:pPr>
              <w:spacing w:line="360" w:lineRule="auto"/>
              <w:ind w:left="291" w:leftChars="20" w:hanging="235"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根据投标供应商提供ISO15189认证项目数量进行评审，项目数量≥150项的得</w:t>
            </w: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分；≥100项的得2分，＜100项的不得分。</w:t>
            </w:r>
          </w:p>
          <w:p>
            <w:pPr>
              <w:spacing w:line="360" w:lineRule="auto"/>
              <w:ind w:left="291" w:leftChars="20" w:hanging="235" w:hangingChars="98"/>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根据供应商提供自2019年</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日以来所投同类项目业绩（必须包含所投标包检验内容）进行评审，每提供一份案例（包含：合同全部页）得1分，最多</w:t>
            </w: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分。（以合同签订日期为准，相应完整合同复印件装订于投标文件中，否则不得分）</w:t>
            </w:r>
          </w:p>
        </w:tc>
        <w:tc>
          <w:tcPr>
            <w:tcW w:w="888" w:type="dxa"/>
            <w:vAlign w:val="center"/>
          </w:tcPr>
          <w:p>
            <w:pPr>
              <w:widowControl/>
              <w:adjustRightInd w:val="0"/>
              <w:snapToGrid w:val="0"/>
              <w:spacing w:line="360" w:lineRule="auto"/>
              <w:ind w:right="-67" w:rightChars="-24"/>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35</w:t>
            </w:r>
            <w:r>
              <w:rPr>
                <w:rFonts w:hint="eastAsia" w:ascii="仿宋" w:hAnsi="仿宋" w:eastAsia="仿宋" w:cs="仿宋"/>
                <w:color w:val="000000" w:themeColor="text1"/>
                <w:kern w:val="0"/>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5" w:hRule="atLeast"/>
          <w:jc w:val="center"/>
        </w:trPr>
        <w:tc>
          <w:tcPr>
            <w:tcW w:w="1031" w:type="dxa"/>
            <w:vAlign w:val="center"/>
          </w:tcPr>
          <w:p>
            <w:pPr>
              <w:widowControl/>
              <w:adjustRightInd w:val="0"/>
              <w:snapToGrid w:val="0"/>
              <w:spacing w:line="360" w:lineRule="auto"/>
              <w:ind w:right="-67" w:rightChars="-2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w:t>
            </w:r>
          </w:p>
        </w:tc>
        <w:tc>
          <w:tcPr>
            <w:tcW w:w="7399" w:type="dxa"/>
            <w:vAlign w:val="center"/>
          </w:tcPr>
          <w:p>
            <w:pPr>
              <w:numPr>
                <w:ilvl w:val="0"/>
                <w:numId w:val="3"/>
              </w:num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总体服务方案（2</w:t>
            </w:r>
            <w:r>
              <w:rPr>
                <w:rFonts w:ascii="仿宋" w:hAnsi="仿宋" w:eastAsia="仿宋" w:cs="仿宋"/>
                <w:b/>
                <w:color w:val="000000" w:themeColor="text1"/>
                <w:sz w:val="24"/>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根据投标人提供的总体服务方案进行评审，服务方案至少包括标本收集、运输、检测、报告出具、结果解读工作、运输冷链系统及物流运输方案、结果查询等7项内容，每项内容满分</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eastAsia="zh-CN"/>
                <w14:textFill>
                  <w14:solidFill>
                    <w14:schemeClr w14:val="tx1"/>
                  </w14:solidFill>
                </w14:textFill>
              </w:rPr>
              <w:t>。</w:t>
            </w:r>
          </w:p>
          <w:p>
            <w:pPr>
              <w:numPr>
                <w:ilvl w:val="0"/>
                <w:numId w:val="0"/>
              </w:num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每项方案内容详实、细致清晰，得3分；</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每项方案内容较详实、明确，得2分；</w:t>
            </w:r>
          </w:p>
          <w:p>
            <w:pPr>
              <w:spacing w:line="360" w:lineRule="auto"/>
              <w:ind w:left="212" w:hanging="211" w:hangingChars="88"/>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每项方案粗略，无针对性得1分；未提供方案不得分</w:t>
            </w:r>
            <w:r>
              <w:rPr>
                <w:rFonts w:hint="eastAsia" w:ascii="仿宋" w:hAnsi="仿宋" w:eastAsia="仿宋" w:cs="仿宋"/>
                <w:color w:val="000000" w:themeColor="text1"/>
                <w:sz w:val="24"/>
                <w14:textFill>
                  <w14:solidFill>
                    <w14:schemeClr w14:val="tx1"/>
                  </w14:solidFill>
                </w14:textFill>
              </w:rPr>
              <w:t>。</w:t>
            </w:r>
          </w:p>
          <w:p>
            <w:pPr>
              <w:spacing w:line="360" w:lineRule="auto"/>
              <w:ind w:left="212" w:hanging="212" w:hangingChars="88"/>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.商务优惠（</w:t>
            </w:r>
            <w:r>
              <w:rPr>
                <w:rFonts w:ascii="仿宋" w:hAnsi="仿宋" w:eastAsia="仿宋" w:cs="仿宋"/>
                <w:b/>
                <w:color w:val="000000" w:themeColor="text1"/>
                <w:sz w:val="24"/>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根据投标供应商提供的优惠条款进行评审，经评标委员会认定为实质性优惠的，每条得</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分，满分</w:t>
            </w: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c>
          <w:tcPr>
            <w:tcW w:w="888" w:type="dxa"/>
            <w:vAlign w:val="center"/>
          </w:tcPr>
          <w:p>
            <w:pPr>
              <w:widowControl/>
              <w:adjustRightInd w:val="0"/>
              <w:snapToGrid w:val="0"/>
              <w:spacing w:line="360" w:lineRule="auto"/>
              <w:ind w:right="-67" w:rightChars="-24"/>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5" w:hRule="atLeast"/>
          <w:jc w:val="center"/>
        </w:trPr>
        <w:tc>
          <w:tcPr>
            <w:tcW w:w="1031"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售后与应急响应</w:t>
            </w:r>
          </w:p>
        </w:tc>
        <w:tc>
          <w:tcPr>
            <w:tcW w:w="7399" w:type="dxa"/>
            <w:vAlign w:val="center"/>
          </w:tcPr>
          <w:p>
            <w:pPr>
              <w:numPr>
                <w:ilvl w:val="0"/>
                <w:numId w:val="4"/>
              </w:num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售后服务（5分）：</w:t>
            </w:r>
            <w:r>
              <w:rPr>
                <w:rFonts w:hint="eastAsia" w:ascii="仿宋" w:hAnsi="仿宋" w:eastAsia="仿宋" w:cs="仿宋"/>
                <w:color w:val="000000" w:themeColor="text1"/>
                <w:sz w:val="24"/>
                <w14:textFill>
                  <w14:solidFill>
                    <w14:schemeClr w14:val="tx1"/>
                  </w14:solidFill>
                </w14:textFill>
              </w:rPr>
              <w:t>根据投标人提供的售后服务方案进行评审，服务方案包括但不限于以下内容：学术支持、平台共建、售后服务支持、保密义务、售后服务承诺五部分。满分5分</w:t>
            </w:r>
            <w:r>
              <w:rPr>
                <w:rFonts w:hint="eastAsia" w:ascii="仿宋" w:hAnsi="仿宋" w:eastAsia="仿宋" w:cs="仿宋"/>
                <w:color w:val="000000" w:themeColor="text1"/>
                <w:sz w:val="24"/>
                <w:lang w:eastAsia="zh-CN"/>
                <w14:textFill>
                  <w14:solidFill>
                    <w14:schemeClr w14:val="tx1"/>
                  </w14:solidFill>
                </w14:textFill>
              </w:rPr>
              <w:t>。</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w:t>
            </w:r>
            <w:r>
              <w:rPr>
                <w:rFonts w:hint="eastAsia" w:ascii="仿宋" w:hAnsi="仿宋" w:eastAsia="仿宋" w:cs="仿宋"/>
                <w:sz w:val="24"/>
                <w:szCs w:val="24"/>
              </w:rPr>
              <w:t>服务方案</w:t>
            </w:r>
            <w:r>
              <w:rPr>
                <w:rFonts w:hint="eastAsia" w:ascii="仿宋" w:hAnsi="仿宋" w:eastAsia="仿宋" w:cs="仿宋"/>
                <w:sz w:val="24"/>
                <w:szCs w:val="24"/>
                <w:lang w:val="en-US" w:eastAsia="zh-CN"/>
              </w:rPr>
              <w:t>内容详实齐全、可操作性及针对性强得5分；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w:t>
            </w:r>
            <w:r>
              <w:rPr>
                <w:rFonts w:hint="eastAsia" w:ascii="仿宋" w:hAnsi="仿宋" w:eastAsia="仿宋" w:cs="仿宋"/>
                <w:sz w:val="24"/>
                <w:szCs w:val="24"/>
              </w:rPr>
              <w:t>服务方案</w:t>
            </w:r>
            <w:r>
              <w:rPr>
                <w:rFonts w:hint="eastAsia" w:ascii="仿宋" w:hAnsi="仿宋" w:eastAsia="仿宋" w:cs="仿宋"/>
                <w:sz w:val="24"/>
                <w:szCs w:val="24"/>
                <w:lang w:val="en-US" w:eastAsia="zh-CN"/>
              </w:rPr>
              <w:t>内容基本齐全、有一定针对性强得3分；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w:t>
            </w:r>
            <w:r>
              <w:rPr>
                <w:rFonts w:hint="eastAsia" w:ascii="仿宋" w:hAnsi="仿宋" w:eastAsia="仿宋" w:cs="仿宋"/>
                <w:sz w:val="24"/>
                <w:szCs w:val="24"/>
              </w:rPr>
              <w:t>服务方案</w:t>
            </w:r>
            <w:r>
              <w:rPr>
                <w:rFonts w:hint="eastAsia" w:ascii="仿宋" w:hAnsi="仿宋" w:eastAsia="仿宋" w:cs="仿宋"/>
                <w:sz w:val="24"/>
                <w:szCs w:val="24"/>
                <w:lang w:val="en-US" w:eastAsia="zh-CN"/>
              </w:rPr>
              <w:t>内容粗略、不齐全、无针对性强得1分；</w:t>
            </w:r>
          </w:p>
          <w:p>
            <w:pPr>
              <w:spacing w:line="360" w:lineRule="auto"/>
              <w:ind w:left="267" w:hanging="266" w:hangingChars="11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szCs w:val="24"/>
                <w:lang w:val="en-US" w:eastAsia="zh-CN"/>
              </w:rPr>
              <w:t>未提供方案不得分</w:t>
            </w:r>
            <w:r>
              <w:rPr>
                <w:rFonts w:hint="eastAsia" w:ascii="仿宋" w:hAnsi="仿宋" w:eastAsia="仿宋" w:cs="仿宋"/>
                <w:color w:val="000000" w:themeColor="text1"/>
                <w:sz w:val="24"/>
                <w14:textFill>
                  <w14:solidFill>
                    <w14:schemeClr w14:val="tx1"/>
                  </w14:solidFill>
                </w14:textFill>
              </w:rPr>
              <w:t>。</w:t>
            </w:r>
          </w:p>
          <w:p>
            <w:pPr>
              <w:spacing w:line="360" w:lineRule="auto"/>
              <w:ind w:left="267" w:hanging="267" w:hangingChars="111"/>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应急响应（5分）：</w:t>
            </w:r>
            <w:r>
              <w:rPr>
                <w:rFonts w:hint="eastAsia" w:ascii="仿宋" w:hAnsi="仿宋" w:eastAsia="仿宋" w:cs="仿宋"/>
                <w:color w:val="000000" w:themeColor="text1"/>
                <w:sz w:val="24"/>
                <w14:textFill>
                  <w14:solidFill>
                    <w14:schemeClr w14:val="tx1"/>
                  </w14:solidFill>
                </w14:textFill>
              </w:rPr>
              <w:t>根据响应供应商针对本项目的应急方案（包括但不限于：突发事件处理、应急措施、应急人员调配方案及应急处置保障队伍等）进行综合评审：</w:t>
            </w:r>
          </w:p>
          <w:p>
            <w:pPr>
              <w:spacing w:line="360" w:lineRule="auto"/>
              <w:ind w:firstLine="316" w:firstLineChars="1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（1）应急方案详细、措施完善、人员调配合理，得5分；</w:t>
            </w:r>
          </w:p>
          <w:p>
            <w:pPr>
              <w:spacing w:line="360" w:lineRule="auto"/>
              <w:ind w:firstLine="316" w:firstLineChars="1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（2）应急方案较详细、措施较完善、人员调配较合理，得3分；</w:t>
            </w:r>
          </w:p>
          <w:p>
            <w:pPr>
              <w:spacing w:line="360" w:lineRule="auto"/>
              <w:ind w:firstLine="316" w:firstLineChars="1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（3）应急方案欠缺详细、措施欠缺完善、人员调配欠缺合理， 得1分；</w:t>
            </w:r>
          </w:p>
          <w:p>
            <w:pPr>
              <w:spacing w:line="360" w:lineRule="auto"/>
              <w:ind w:firstLine="316" w:firstLineChars="1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（4）方案差或没有提供方案，得0分。</w:t>
            </w:r>
          </w:p>
        </w:tc>
        <w:tc>
          <w:tcPr>
            <w:tcW w:w="888" w:type="dxa"/>
            <w:vAlign w:val="center"/>
          </w:tcPr>
          <w:p>
            <w:pPr>
              <w:widowControl/>
              <w:adjustRightInd w:val="0"/>
              <w:snapToGrid w:val="0"/>
              <w:spacing w:line="360" w:lineRule="auto"/>
              <w:ind w:right="-67" w:rightChars="-24"/>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分</w:t>
            </w:r>
          </w:p>
        </w:tc>
      </w:tr>
      <w:bookmarkEnd w:id="242"/>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43" w:name="_Toc332979559"/>
      <w:bookmarkStart w:id="244" w:name="_Toc12613"/>
      <w:bookmarkStart w:id="245" w:name="_Toc5594"/>
      <w:bookmarkStart w:id="246" w:name="_Toc14666"/>
      <w:bookmarkStart w:id="247" w:name="_Toc12697"/>
      <w:bookmarkStart w:id="248" w:name="_Toc3404"/>
      <w:r>
        <w:rPr>
          <w:rFonts w:hint="eastAsia" w:ascii="仿宋" w:hAnsi="仿宋" w:eastAsia="仿宋" w:cs="仿宋"/>
          <w:sz w:val="28"/>
          <w:szCs w:val="28"/>
          <w:highlight w:val="none"/>
        </w:rPr>
        <w:t>五、废标</w:t>
      </w:r>
      <w:bookmarkEnd w:id="243"/>
      <w:bookmarkEnd w:id="244"/>
      <w:bookmarkEnd w:id="245"/>
      <w:bookmarkEnd w:id="246"/>
      <w:bookmarkEnd w:id="247"/>
      <w:bookmarkEnd w:id="24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7"/>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（一）在投标截止时间后参加投标的</w:t>
      </w:r>
      <w:r>
        <w:rPr>
          <w:rStyle w:val="57"/>
          <w:rFonts w:hint="eastAsia" w:ascii="仿宋" w:hAnsi="仿宋" w:eastAsia="仿宋" w:cs="仿宋"/>
          <w:sz w:val="28"/>
          <w:szCs w:val="28"/>
          <w:highlight w:val="none"/>
          <w:lang w:val="en-US" w:eastAsia="zh-CN"/>
        </w:rPr>
        <w:t>供应商少于3</w:t>
      </w:r>
      <w:r>
        <w:rPr>
          <w:rStyle w:val="57"/>
          <w:rFonts w:hint="eastAsia" w:ascii="仿宋" w:hAnsi="仿宋" w:eastAsia="仿宋" w:cs="仿宋"/>
          <w:sz w:val="28"/>
          <w:szCs w:val="28"/>
          <w:highlight w:val="none"/>
        </w:rPr>
        <w:t>家</w:t>
      </w:r>
      <w:r>
        <w:rPr>
          <w:rStyle w:val="57"/>
          <w:rFonts w:hint="eastAsia" w:ascii="仿宋" w:hAnsi="仿宋" w:eastAsia="仿宋" w:cs="仿宋"/>
          <w:sz w:val="28"/>
          <w:szCs w:val="28"/>
          <w:highlight w:val="none"/>
          <w:lang w:val="en-US" w:eastAsia="zh-CN"/>
        </w:rPr>
        <w:t>的</w:t>
      </w:r>
      <w:r>
        <w:rPr>
          <w:rStyle w:val="57"/>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7"/>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49" w:name="_Toc30100"/>
      <w:bookmarkStart w:id="250" w:name="_Toc325620719"/>
      <w:bookmarkStart w:id="251" w:name="_Toc206"/>
      <w:bookmarkStart w:id="252" w:name="_Toc10684"/>
      <w:bookmarkStart w:id="253" w:name="_Toc10557"/>
      <w:bookmarkStart w:id="254" w:name="_Toc18869"/>
      <w:bookmarkStart w:id="255" w:name="_Toc332979560"/>
      <w:r>
        <w:rPr>
          <w:rFonts w:hint="eastAsia" w:ascii="仿宋" w:hAnsi="仿宋" w:eastAsia="仿宋" w:cs="仿宋"/>
          <w:sz w:val="28"/>
          <w:szCs w:val="28"/>
          <w:highlight w:val="none"/>
        </w:rPr>
        <w:t>六、中标通知书</w:t>
      </w:r>
      <w:bookmarkEnd w:id="249"/>
      <w:bookmarkEnd w:id="250"/>
      <w:bookmarkEnd w:id="251"/>
      <w:bookmarkEnd w:id="252"/>
      <w:bookmarkEnd w:id="253"/>
      <w:bookmarkEnd w:id="254"/>
      <w:bookmarkEnd w:id="25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56" w:name="_Toc23987"/>
      <w:bookmarkStart w:id="257" w:name="_Toc29849"/>
      <w:bookmarkStart w:id="258" w:name="_Toc7131"/>
      <w:bookmarkStart w:id="259" w:name="_Toc10395"/>
      <w:bookmarkStart w:id="260" w:name="_Toc17317"/>
      <w:r>
        <w:rPr>
          <w:rFonts w:hint="eastAsia" w:ascii="仿宋" w:hAnsi="仿宋" w:eastAsia="仿宋" w:cs="仿宋"/>
          <w:sz w:val="28"/>
          <w:szCs w:val="28"/>
          <w:highlight w:val="none"/>
        </w:rPr>
        <w:t>第四部分 授予合同</w:t>
      </w:r>
      <w:bookmarkEnd w:id="212"/>
      <w:bookmarkEnd w:id="213"/>
      <w:bookmarkEnd w:id="214"/>
      <w:bookmarkEnd w:id="215"/>
      <w:bookmarkEnd w:id="216"/>
      <w:bookmarkEnd w:id="217"/>
      <w:bookmarkEnd w:id="256"/>
      <w:bookmarkEnd w:id="257"/>
      <w:bookmarkEnd w:id="258"/>
      <w:bookmarkEnd w:id="259"/>
      <w:bookmarkEnd w:id="260"/>
    </w:p>
    <w:p>
      <w:pPr>
        <w:pStyle w:val="4"/>
        <w:pageBreakBefore w:val="0"/>
        <w:kinsoku/>
        <w:overflowPunct/>
        <w:topLinePunct w:val="0"/>
        <w:bidi w:val="0"/>
        <w:snapToGrid/>
        <w:spacing w:line="360" w:lineRule="auto"/>
        <w:rPr>
          <w:rStyle w:val="57"/>
          <w:rFonts w:hint="eastAsia" w:ascii="仿宋" w:hAnsi="仿宋" w:eastAsia="仿宋" w:cs="仿宋"/>
          <w:b/>
          <w:bCs w:val="0"/>
          <w:sz w:val="28"/>
          <w:szCs w:val="28"/>
          <w:highlight w:val="none"/>
          <w:lang w:val="en-US" w:eastAsia="zh-CN" w:bidi="ar-SA"/>
        </w:rPr>
      </w:pPr>
      <w:bookmarkStart w:id="261" w:name="_Toc325620721"/>
      <w:bookmarkStart w:id="262" w:name="_Toc356490386"/>
      <w:bookmarkStart w:id="263" w:name="_Toc8163"/>
      <w:bookmarkStart w:id="264" w:name="_Toc14252"/>
      <w:bookmarkStart w:id="265" w:name="_Toc10640"/>
      <w:bookmarkStart w:id="266" w:name="_Toc356491325"/>
      <w:bookmarkStart w:id="267" w:name="_Toc4152"/>
      <w:bookmarkStart w:id="268" w:name="_Toc4267"/>
      <w:r>
        <w:rPr>
          <w:rStyle w:val="57"/>
          <w:rFonts w:hint="eastAsia" w:ascii="仿宋" w:hAnsi="仿宋" w:eastAsia="仿宋" w:cs="仿宋"/>
          <w:b/>
          <w:bCs w:val="0"/>
          <w:sz w:val="28"/>
          <w:szCs w:val="28"/>
          <w:highlight w:val="none"/>
          <w:lang w:val="en-US" w:eastAsia="zh-CN" w:bidi="ar-SA"/>
        </w:rPr>
        <w:t>一、签订合同</w:t>
      </w:r>
      <w:bookmarkEnd w:id="261"/>
      <w:bookmarkEnd w:id="262"/>
      <w:bookmarkEnd w:id="263"/>
      <w:bookmarkEnd w:id="264"/>
      <w:bookmarkEnd w:id="265"/>
      <w:bookmarkEnd w:id="266"/>
      <w:bookmarkEnd w:id="267"/>
      <w:bookmarkEnd w:id="268"/>
    </w:p>
    <w:p>
      <w:pPr>
        <w:pageBreakBefore w:val="0"/>
        <w:kinsoku/>
        <w:overflowPunct/>
        <w:topLinePunct w:val="0"/>
        <w:bidi w:val="0"/>
        <w:snapToGrid/>
        <w:spacing w:line="360" w:lineRule="auto"/>
        <w:ind w:firstLine="560" w:firstLineChars="200"/>
        <w:outlineLvl w:val="9"/>
        <w:rPr>
          <w:rStyle w:val="57"/>
          <w:rFonts w:hint="eastAsia" w:ascii="仿宋" w:hAnsi="仿宋" w:eastAsia="仿宋" w:cs="仿宋"/>
          <w:b w:val="0"/>
          <w:bCs/>
          <w:sz w:val="28"/>
          <w:szCs w:val="28"/>
          <w:highlight w:val="none"/>
          <w:lang w:val="en-US" w:eastAsia="zh-CN" w:bidi="ar-SA"/>
        </w:rPr>
      </w:pPr>
      <w:bookmarkStart w:id="269" w:name="_Toc88"/>
      <w:bookmarkStart w:id="270" w:name="_Toc25947"/>
      <w:bookmarkStart w:id="271" w:name="_Toc7493"/>
      <w:bookmarkStart w:id="272" w:name="_Toc32207"/>
      <w:bookmarkStart w:id="273" w:name="_Toc3313"/>
      <w:bookmarkStart w:id="274" w:name="_Toc19586"/>
      <w:r>
        <w:rPr>
          <w:rStyle w:val="57"/>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69"/>
      <w:bookmarkEnd w:id="270"/>
      <w:bookmarkEnd w:id="271"/>
      <w:bookmarkEnd w:id="272"/>
      <w:bookmarkEnd w:id="273"/>
      <w:bookmarkEnd w:id="274"/>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5" w:name="_Toc325620722"/>
      <w:bookmarkStart w:id="276" w:name="_Toc26558"/>
      <w:bookmarkStart w:id="277" w:name="_Toc356491326"/>
      <w:bookmarkStart w:id="278" w:name="_Toc356490387"/>
      <w:bookmarkStart w:id="279" w:name="_Toc29321"/>
      <w:bookmarkStart w:id="280" w:name="_Toc18185"/>
      <w:bookmarkStart w:id="281" w:name="_Toc27885"/>
      <w:bookmarkStart w:id="282" w:name="_Toc25310"/>
      <w:r>
        <w:rPr>
          <w:rFonts w:hint="eastAsia" w:ascii="仿宋" w:hAnsi="仿宋" w:eastAsia="仿宋" w:cs="仿宋"/>
          <w:sz w:val="28"/>
          <w:szCs w:val="28"/>
          <w:highlight w:val="none"/>
        </w:rPr>
        <w:t>二、合同格式</w:t>
      </w:r>
      <w:bookmarkEnd w:id="275"/>
      <w:bookmarkEnd w:id="276"/>
      <w:bookmarkEnd w:id="277"/>
      <w:bookmarkEnd w:id="278"/>
      <w:bookmarkEnd w:id="279"/>
      <w:bookmarkEnd w:id="280"/>
      <w:bookmarkEnd w:id="281"/>
      <w:bookmarkEnd w:id="28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2"/>
        <w:pageBreakBefore w:val="0"/>
        <w:numPr>
          <w:ilvl w:val="0"/>
          <w:numId w:val="5"/>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3个月对账付款，据实结算。</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default"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服务期内合同一年一续签。在合同履行期内，医院每年对合作方工作质量及服务水平进行考核，根据考核结果决定是否续签合同。如未按采购文件及合同要求提供医院所需服务，医院有权就服务期限、试剂、设备进行调整或终止合同。</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2"/>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2"/>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2"/>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default" w:ascii="仿宋" w:hAnsi="仿宋" w:eastAsia="仿宋" w:cs="仿宋"/>
          <w:bCs w:val="0"/>
          <w:sz w:val="28"/>
          <w:szCs w:val="28"/>
          <w:highlight w:val="none"/>
          <w:lang w:val="en-US"/>
        </w:rPr>
        <w:t>2</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default" w:ascii="仿宋" w:hAnsi="仿宋" w:eastAsia="仿宋" w:cs="仿宋"/>
          <w:bCs w:val="0"/>
          <w:sz w:val="28"/>
          <w:szCs w:val="28"/>
          <w:highlight w:val="none"/>
          <w:lang w:val="en-US"/>
        </w:rPr>
        <w:t>3</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default" w:ascii="仿宋" w:hAnsi="仿宋" w:eastAsia="仿宋" w:cs="仿宋"/>
          <w:bCs w:val="0"/>
          <w:sz w:val="28"/>
          <w:szCs w:val="28"/>
          <w:highlight w:val="none"/>
          <w:lang w:val="en-US"/>
        </w:rPr>
        <w:t>4</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2"/>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jc w:val="both"/>
        <w:outlineLvl w:val="9"/>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注：最终合同内容以采购人</w:t>
      </w:r>
      <w:r>
        <w:rPr>
          <w:rFonts w:hint="eastAsia" w:ascii="仿宋" w:hAnsi="仿宋" w:eastAsia="仿宋" w:cs="仿宋"/>
          <w:b/>
          <w:bCs w:val="0"/>
          <w:sz w:val="28"/>
          <w:szCs w:val="28"/>
          <w:highlight w:val="none"/>
          <w:lang w:eastAsia="zh-CN"/>
        </w:rPr>
        <w:t>实际</w:t>
      </w:r>
      <w:r>
        <w:rPr>
          <w:rFonts w:hint="eastAsia" w:ascii="仿宋" w:hAnsi="仿宋" w:eastAsia="仿宋" w:cs="仿宋"/>
          <w:b/>
          <w:bCs w:val="0"/>
          <w:sz w:val="28"/>
          <w:szCs w:val="28"/>
          <w:highlight w:val="none"/>
        </w:rPr>
        <w:t>签署的合同为准。</w:t>
      </w:r>
    </w:p>
    <w:p>
      <w:pPr>
        <w:pageBreakBefore w:val="0"/>
        <w:kinsoku/>
        <w:overflowPunct/>
        <w:topLinePunct w:val="0"/>
        <w:bidi w:val="0"/>
        <w:snapToGrid/>
        <w:spacing w:line="360" w:lineRule="auto"/>
        <w:jc w:val="center"/>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83" w:name="_Toc7549"/>
      <w:bookmarkStart w:id="284" w:name="_Toc31891"/>
      <w:bookmarkStart w:id="285" w:name="_Toc17036"/>
      <w:bookmarkStart w:id="286" w:name="_Toc1285"/>
      <w:bookmarkStart w:id="287" w:name="_Toc28705"/>
      <w:r>
        <w:rPr>
          <w:rFonts w:hint="eastAsia" w:ascii="仿宋" w:hAnsi="仿宋" w:eastAsia="仿宋" w:cs="仿宋"/>
          <w:b/>
          <w:bCs w:val="0"/>
          <w:sz w:val="32"/>
          <w:szCs w:val="32"/>
          <w:highlight w:val="none"/>
        </w:rPr>
        <w:t>第五部分 项目说明及要求</w:t>
      </w:r>
      <w:bookmarkEnd w:id="283"/>
      <w:bookmarkEnd w:id="284"/>
      <w:bookmarkEnd w:id="285"/>
      <w:bookmarkEnd w:id="286"/>
      <w:bookmarkEnd w:id="28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88" w:name="_Toc20316"/>
      <w:bookmarkStart w:id="289" w:name="_Toc29518"/>
      <w:bookmarkStart w:id="290" w:name="_Toc42877310"/>
      <w:bookmarkStart w:id="291" w:name="_Toc356491328"/>
      <w:bookmarkStart w:id="292" w:name="_Toc356490389"/>
      <w:bookmarkStart w:id="293" w:name="_Toc4764"/>
      <w:bookmarkStart w:id="294" w:name="_Toc27786"/>
      <w:bookmarkStart w:id="295" w:name="_Toc325620724"/>
      <w:bookmarkStart w:id="296" w:name="_Toc407632791"/>
      <w:bookmarkStart w:id="297" w:name="_Toc29159"/>
      <w:r>
        <w:rPr>
          <w:rFonts w:hint="eastAsia" w:ascii="仿宋" w:hAnsi="仿宋" w:eastAsia="仿宋" w:cs="仿宋"/>
          <w:sz w:val="28"/>
          <w:szCs w:val="28"/>
          <w:highlight w:val="none"/>
        </w:rPr>
        <w:t>一、项目名称</w:t>
      </w:r>
      <w:bookmarkEnd w:id="288"/>
      <w:bookmarkEnd w:id="289"/>
      <w:bookmarkEnd w:id="290"/>
      <w:bookmarkEnd w:id="291"/>
      <w:bookmarkEnd w:id="292"/>
      <w:bookmarkEnd w:id="293"/>
      <w:bookmarkEnd w:id="294"/>
      <w:bookmarkEnd w:id="295"/>
      <w:bookmarkEnd w:id="296"/>
      <w:bookmarkEnd w:id="297"/>
      <w:bookmarkStart w:id="298" w:name="_Toc325620725"/>
    </w:p>
    <w:bookmarkEnd w:id="298"/>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99" w:name="_Toc407632792"/>
      <w:bookmarkStart w:id="300" w:name="_Toc356491329"/>
      <w:bookmarkStart w:id="301" w:name="_Toc356490390"/>
      <w:r>
        <w:rPr>
          <w:rFonts w:hint="eastAsia" w:ascii="仿宋" w:hAnsi="仿宋" w:eastAsia="仿宋" w:cs="仿宋"/>
          <w:sz w:val="28"/>
          <w:szCs w:val="28"/>
          <w:highlight w:val="none"/>
          <w:lang w:eastAsia="zh-CN"/>
        </w:rPr>
        <w:t>山东大学第二医院外送检测服务项目</w:t>
      </w:r>
      <w:r>
        <w:rPr>
          <w:rFonts w:hint="eastAsia" w:ascii="仿宋" w:hAnsi="仿宋" w:eastAsia="仿宋" w:cs="仿宋"/>
          <w:sz w:val="28"/>
          <w:szCs w:val="28"/>
          <w:highlight w:val="none"/>
          <w:lang w:val="en-US" w:eastAsia="zh-CN"/>
        </w:rPr>
        <w:t>公开招标</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302" w:name="_Toc20032"/>
      <w:bookmarkStart w:id="303" w:name="_Toc20648"/>
      <w:bookmarkStart w:id="304" w:name="_Toc42877311"/>
      <w:bookmarkStart w:id="305" w:name="_Toc22865"/>
      <w:bookmarkStart w:id="306" w:name="_Toc2073"/>
      <w:bookmarkStart w:id="307" w:name="_Toc24700"/>
      <w:r>
        <w:rPr>
          <w:rFonts w:hint="eastAsia" w:ascii="仿宋" w:hAnsi="仿宋" w:eastAsia="仿宋" w:cs="仿宋"/>
          <w:sz w:val="28"/>
          <w:szCs w:val="28"/>
          <w:highlight w:val="none"/>
        </w:rPr>
        <w:t>二、项目说明</w:t>
      </w:r>
      <w:bookmarkEnd w:id="299"/>
      <w:bookmarkEnd w:id="300"/>
      <w:bookmarkEnd w:id="301"/>
      <w:bookmarkEnd w:id="302"/>
      <w:bookmarkEnd w:id="303"/>
      <w:bookmarkEnd w:id="304"/>
      <w:bookmarkEnd w:id="305"/>
      <w:bookmarkEnd w:id="306"/>
      <w:bookmarkEnd w:id="30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308" w:name="_Toc356490391"/>
      <w:bookmarkStart w:id="309" w:name="_Toc325620726"/>
      <w:bookmarkStart w:id="310" w:name="_Toc356491330"/>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每包</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不得超过</w:t>
      </w:r>
      <w:r>
        <w:rPr>
          <w:rFonts w:hint="eastAsia" w:ascii="仿宋" w:hAnsi="仿宋" w:eastAsia="仿宋" w:cs="仿宋"/>
          <w:sz w:val="28"/>
          <w:szCs w:val="28"/>
          <w:highlight w:val="none"/>
          <w:lang w:val="en-US" w:eastAsia="zh-CN"/>
        </w:rPr>
        <w:t>每包</w:t>
      </w:r>
      <w:r>
        <w:rPr>
          <w:rFonts w:hint="eastAsia" w:ascii="仿宋" w:hAnsi="仿宋" w:eastAsia="仿宋" w:cs="仿宋"/>
          <w:sz w:val="28"/>
          <w:szCs w:val="28"/>
          <w:highlight w:val="none"/>
        </w:rPr>
        <w:t>最高控制价，否则作无效报价处理。</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311" w:name="_Toc24750"/>
      <w:bookmarkStart w:id="312" w:name="_Toc42877312"/>
      <w:bookmarkStart w:id="313" w:name="_Toc4994"/>
      <w:bookmarkStart w:id="314" w:name="_Toc24306"/>
      <w:bookmarkStart w:id="315" w:name="_Toc10650"/>
      <w:bookmarkStart w:id="316" w:name="_Toc407632793"/>
      <w:bookmarkStart w:id="317" w:name="_Toc2003"/>
      <w:r>
        <w:rPr>
          <w:rFonts w:hint="eastAsia" w:ascii="仿宋" w:hAnsi="仿宋" w:eastAsia="仿宋" w:cs="仿宋"/>
          <w:color w:val="auto"/>
          <w:sz w:val="28"/>
          <w:szCs w:val="28"/>
          <w:highlight w:val="none"/>
        </w:rPr>
        <w:t>三、商务条件</w:t>
      </w:r>
      <w:bookmarkEnd w:id="308"/>
      <w:bookmarkEnd w:id="309"/>
      <w:bookmarkEnd w:id="310"/>
      <w:bookmarkEnd w:id="311"/>
      <w:bookmarkEnd w:id="312"/>
      <w:bookmarkEnd w:id="313"/>
      <w:bookmarkEnd w:id="314"/>
      <w:bookmarkEnd w:id="315"/>
      <w:bookmarkEnd w:id="316"/>
      <w:bookmarkEnd w:id="317"/>
    </w:p>
    <w:p>
      <w:pPr>
        <w:pStyle w:val="7"/>
        <w:tabs>
          <w:tab w:val="left" w:pos="382"/>
        </w:tabs>
        <w:spacing w:line="360" w:lineRule="auto"/>
        <w:ind w:left="0" w:leftChars="0"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r>
        <w:rPr>
          <w:rFonts w:hint="eastAsia" w:ascii="仿宋" w:hAnsi="仿宋" w:eastAsia="仿宋" w:cs="仿宋"/>
          <w:sz w:val="24"/>
        </w:rPr>
        <w:t>，</w:t>
      </w:r>
      <w:r>
        <w:rPr>
          <w:rFonts w:hint="eastAsia" w:ascii="仿宋" w:hAnsi="仿宋" w:eastAsia="仿宋" w:cs="仿宋"/>
          <w:bCs w:val="0"/>
          <w:color w:val="auto"/>
          <w:sz w:val="28"/>
          <w:szCs w:val="28"/>
          <w:highlight w:val="none"/>
          <w:lang w:val="en-US" w:eastAsia="zh-CN"/>
        </w:rPr>
        <w:t>服务期内合同一年一续签。在合同履行期内，医院每年对合作方工作质量及服务水平进行考核，根据考核结果决定是否续签合同。如未按采购文件及合同要求提供医院所需服务，医院有权就服务期限、试剂、设备进行调整或终止合同。</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3、付款方式：3个月对账付款，据实结算。</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318" w:name="_Toc356491341"/>
      <w:bookmarkStart w:id="319" w:name="_Toc356490393"/>
      <w:r>
        <w:rPr>
          <w:rFonts w:hint="eastAsia" w:ascii="仿宋" w:hAnsi="仿宋" w:eastAsia="仿宋" w:cs="仿宋"/>
          <w:bCs w:val="0"/>
          <w:color w:val="auto"/>
          <w:sz w:val="28"/>
          <w:szCs w:val="28"/>
          <w:highlight w:val="none"/>
          <w:lang w:val="en-US" w:eastAsia="zh-CN"/>
        </w:rPr>
        <w:t>A1包：500万元/年，1500万元/3年；A2包：150万元/年，450万元/3年；A3包：100万元/年，300万元/3年；A4包：75万元/年，225万元/3年；A5包：75万元/年，225万元/3年。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br w:type="page"/>
      </w:r>
    </w:p>
    <w:p>
      <w:pPr>
        <w:pStyle w:val="4"/>
        <w:pageBreakBefore w:val="0"/>
        <w:numPr>
          <w:ilvl w:val="0"/>
          <w:numId w:val="6"/>
        </w:numPr>
        <w:kinsoku/>
        <w:overflowPunct/>
        <w:topLinePunct w:val="0"/>
        <w:bidi w:val="0"/>
        <w:snapToGrid/>
        <w:spacing w:line="240" w:lineRule="auto"/>
        <w:rPr>
          <w:rFonts w:hint="eastAsia" w:ascii="仿宋" w:hAnsi="仿宋" w:eastAsia="仿宋" w:cs="仿宋"/>
          <w:color w:val="auto"/>
          <w:sz w:val="28"/>
          <w:szCs w:val="28"/>
          <w:highlight w:val="none"/>
          <w:lang w:val="en-US" w:eastAsia="zh-CN"/>
        </w:rPr>
      </w:pPr>
      <w:bookmarkStart w:id="320" w:name="_Toc1409"/>
      <w:bookmarkStart w:id="321" w:name="_Toc31810"/>
      <w:bookmarkStart w:id="322" w:name="_Toc16289"/>
      <w:bookmarkStart w:id="323" w:name="_Toc16438"/>
      <w:bookmarkStart w:id="324" w:name="_Toc27342"/>
      <w:r>
        <w:rPr>
          <w:rFonts w:hint="eastAsia" w:ascii="仿宋" w:hAnsi="仿宋" w:eastAsia="仿宋" w:cs="仿宋"/>
          <w:color w:val="auto"/>
          <w:sz w:val="28"/>
          <w:szCs w:val="28"/>
          <w:highlight w:val="none"/>
          <w:lang w:val="en-US" w:eastAsia="zh-CN"/>
        </w:rPr>
        <w:t>采购要求</w:t>
      </w:r>
      <w:bookmarkEnd w:id="320"/>
      <w:bookmarkEnd w:id="321"/>
      <w:bookmarkEnd w:id="322"/>
      <w:bookmarkEnd w:id="323"/>
      <w:bookmarkEnd w:id="324"/>
    </w:p>
    <w:p>
      <w:pPr>
        <w:numPr>
          <w:ilvl w:val="0"/>
          <w:numId w:val="0"/>
        </w:num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（一）采购内容</w:t>
      </w:r>
    </w:p>
    <w:p>
      <w:pPr>
        <w:numPr>
          <w:ilvl w:val="0"/>
          <w:numId w:val="0"/>
        </w:numPr>
        <w:spacing w:line="360" w:lineRule="auto"/>
        <w:ind w:firstLine="480" w:firstLineChars="200"/>
        <w:rPr>
          <w:rFonts w:ascii="仿宋" w:hAnsi="仿宋" w:eastAsia="仿宋"/>
          <w:kern w:val="0"/>
          <w:sz w:val="24"/>
          <w:szCs w:val="28"/>
        </w:rPr>
      </w:pPr>
      <w:r>
        <w:rPr>
          <w:rFonts w:hint="eastAsia" w:ascii="仿宋" w:hAnsi="仿宋" w:eastAsia="仿宋"/>
          <w:kern w:val="0"/>
          <w:sz w:val="24"/>
          <w:szCs w:val="28"/>
        </w:rPr>
        <w:t>本次招标为山东大学第二医院外送检测服务项目，具体技术要求详见招标文件，共分</w:t>
      </w:r>
      <w:r>
        <w:rPr>
          <w:rFonts w:ascii="仿宋" w:hAnsi="仿宋" w:eastAsia="仿宋"/>
          <w:kern w:val="0"/>
          <w:sz w:val="24"/>
          <w:szCs w:val="28"/>
        </w:rPr>
        <w:t>5</w:t>
      </w:r>
      <w:r>
        <w:rPr>
          <w:rFonts w:hint="eastAsia" w:ascii="仿宋" w:hAnsi="仿宋" w:eastAsia="仿宋"/>
          <w:kern w:val="0"/>
          <w:sz w:val="24"/>
          <w:szCs w:val="28"/>
        </w:rPr>
        <w:t>个包，分包情况如下：</w:t>
      </w:r>
    </w:p>
    <w:tbl>
      <w:tblPr>
        <w:tblStyle w:val="35"/>
        <w:tblW w:w="8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05"/>
        <w:gridCol w:w="1595"/>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9" w:type="dxa"/>
            <w:vAlign w:val="center"/>
          </w:tcPr>
          <w:p>
            <w:pPr>
              <w:pStyle w:val="139"/>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包号</w:t>
            </w:r>
          </w:p>
        </w:tc>
        <w:tc>
          <w:tcPr>
            <w:tcW w:w="2405" w:type="dxa"/>
            <w:vAlign w:val="center"/>
          </w:tcPr>
          <w:p>
            <w:pPr>
              <w:pStyle w:val="139"/>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1595" w:type="dxa"/>
            <w:vAlign w:val="center"/>
          </w:tcPr>
          <w:p>
            <w:pPr>
              <w:pStyle w:val="139"/>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预算金额</w:t>
            </w:r>
          </w:p>
          <w:p>
            <w:pPr>
              <w:pStyle w:val="139"/>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（最高限价）</w:t>
            </w:r>
          </w:p>
        </w:tc>
        <w:tc>
          <w:tcPr>
            <w:tcW w:w="3301" w:type="dxa"/>
            <w:vAlign w:val="center"/>
          </w:tcPr>
          <w:p>
            <w:pPr>
              <w:pStyle w:val="139"/>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A1</w:t>
            </w:r>
          </w:p>
        </w:tc>
        <w:tc>
          <w:tcPr>
            <w:tcW w:w="2405" w:type="dxa"/>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肿瘤基因突变检测服务</w:t>
            </w:r>
          </w:p>
        </w:tc>
        <w:tc>
          <w:tcPr>
            <w:tcW w:w="1595" w:type="dxa"/>
            <w:vAlign w:val="center"/>
          </w:tcPr>
          <w:p>
            <w:pPr>
              <w:spacing w:line="300" w:lineRule="exact"/>
              <w:jc w:val="center"/>
              <w:rPr>
                <w:rFonts w:hint="default" w:ascii="仿宋" w:hAnsi="仿宋" w:eastAsia="仿宋" w:cs="仿宋"/>
                <w:sz w:val="24"/>
                <w:szCs w:val="24"/>
                <w:lang w:val="en-US" w:eastAsia="zh-CN"/>
              </w:rPr>
            </w:pPr>
            <w:r>
              <w:rPr>
                <w:rFonts w:ascii="仿宋" w:hAnsi="仿宋" w:eastAsia="仿宋" w:cs="仿宋"/>
                <w:sz w:val="24"/>
              </w:rPr>
              <w:t>5</w:t>
            </w:r>
            <w:r>
              <w:rPr>
                <w:rFonts w:hint="eastAsia" w:ascii="仿宋" w:hAnsi="仿宋" w:eastAsia="仿宋" w:cs="仿宋"/>
                <w:sz w:val="24"/>
              </w:rPr>
              <w:t>00万元</w:t>
            </w:r>
            <w:r>
              <w:rPr>
                <w:rFonts w:hint="eastAsia" w:ascii="仿宋" w:hAnsi="仿宋" w:eastAsia="仿宋" w:cs="仿宋"/>
                <w:sz w:val="24"/>
                <w:lang w:val="en-US" w:eastAsia="zh-CN"/>
              </w:rPr>
              <w:t>/年</w:t>
            </w:r>
          </w:p>
        </w:tc>
        <w:tc>
          <w:tcPr>
            <w:tcW w:w="3301" w:type="dxa"/>
            <w:vAlign w:val="center"/>
          </w:tcPr>
          <w:p>
            <w:pPr>
              <w:pStyle w:val="139"/>
              <w:spacing w:line="300" w:lineRule="exact"/>
              <w:ind w:firstLine="0" w:firstLineChars="0"/>
              <w:jc w:val="center"/>
              <w:rPr>
                <w:rFonts w:hint="eastAsia" w:ascii="仿宋" w:hAnsi="仿宋" w:eastAsia="仿宋" w:cs="仿宋"/>
                <w:spacing w:val="0"/>
                <w:sz w:val="24"/>
                <w:szCs w:val="24"/>
              </w:rPr>
            </w:pPr>
            <w:r>
              <w:rPr>
                <w:rFonts w:hint="eastAsia" w:ascii="仿宋" w:hAnsi="仿宋" w:eastAsia="仿宋" w:cs="仿宋"/>
                <w:spacing w:val="0"/>
              </w:rPr>
              <w:t>送检科室：病理科、检验医学中心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A2</w:t>
            </w:r>
          </w:p>
        </w:tc>
        <w:tc>
          <w:tcPr>
            <w:tcW w:w="2405" w:type="dxa"/>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遗传系列基因检测服务</w:t>
            </w:r>
          </w:p>
        </w:tc>
        <w:tc>
          <w:tcPr>
            <w:tcW w:w="1595"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0万元</w:t>
            </w:r>
            <w:r>
              <w:rPr>
                <w:rFonts w:hint="eastAsia" w:ascii="仿宋" w:hAnsi="仿宋" w:eastAsia="仿宋" w:cs="仿宋"/>
                <w:sz w:val="24"/>
                <w:lang w:val="en-US" w:eastAsia="zh-CN"/>
              </w:rPr>
              <w:t>/年</w:t>
            </w:r>
          </w:p>
        </w:tc>
        <w:tc>
          <w:tcPr>
            <w:tcW w:w="3301" w:type="dxa"/>
            <w:vAlign w:val="center"/>
          </w:tcPr>
          <w:p>
            <w:pPr>
              <w:pStyle w:val="139"/>
              <w:spacing w:line="300" w:lineRule="exact"/>
              <w:ind w:firstLine="0" w:firstLineChars="0"/>
              <w:jc w:val="center"/>
              <w:rPr>
                <w:rFonts w:hint="eastAsia" w:ascii="仿宋" w:hAnsi="仿宋" w:eastAsia="仿宋" w:cs="仿宋"/>
                <w:spacing w:val="0"/>
                <w:sz w:val="24"/>
                <w:szCs w:val="24"/>
              </w:rPr>
            </w:pPr>
            <w:r>
              <w:rPr>
                <w:rFonts w:hint="eastAsia" w:ascii="仿宋" w:hAnsi="仿宋" w:eastAsia="仿宋" w:cs="仿宋"/>
                <w:spacing w:val="0"/>
              </w:rPr>
              <w:t>送检科室：检验医学中心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A3</w:t>
            </w:r>
          </w:p>
        </w:tc>
        <w:tc>
          <w:tcPr>
            <w:tcW w:w="2405" w:type="dxa"/>
            <w:vAlign w:val="center"/>
          </w:tcPr>
          <w:p>
            <w:pPr>
              <w:spacing w:line="3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临床质谱检测服务</w:t>
            </w:r>
          </w:p>
        </w:tc>
        <w:tc>
          <w:tcPr>
            <w:tcW w:w="1595" w:type="dxa"/>
            <w:vAlign w:val="center"/>
          </w:tcPr>
          <w:p>
            <w:pPr>
              <w:spacing w:line="300" w:lineRule="exact"/>
              <w:jc w:val="center"/>
              <w:rPr>
                <w:rFonts w:hint="eastAsia" w:ascii="仿宋" w:hAnsi="仿宋" w:eastAsia="仿宋" w:cs="仿宋"/>
                <w:sz w:val="24"/>
                <w:szCs w:val="24"/>
              </w:rPr>
            </w:pPr>
            <w:r>
              <w:rPr>
                <w:rFonts w:ascii="仿宋" w:hAnsi="仿宋" w:eastAsia="仿宋" w:cs="仿宋"/>
                <w:sz w:val="24"/>
              </w:rPr>
              <w:t>10</w:t>
            </w:r>
            <w:r>
              <w:rPr>
                <w:rFonts w:hint="eastAsia" w:ascii="仿宋" w:hAnsi="仿宋" w:eastAsia="仿宋" w:cs="仿宋"/>
                <w:sz w:val="24"/>
              </w:rPr>
              <w:t>0万元</w:t>
            </w:r>
            <w:r>
              <w:rPr>
                <w:rFonts w:hint="eastAsia" w:ascii="仿宋" w:hAnsi="仿宋" w:eastAsia="仿宋" w:cs="仿宋"/>
                <w:sz w:val="24"/>
                <w:lang w:val="en-US" w:eastAsia="zh-CN"/>
              </w:rPr>
              <w:t>/年</w:t>
            </w:r>
          </w:p>
        </w:tc>
        <w:tc>
          <w:tcPr>
            <w:tcW w:w="3301" w:type="dxa"/>
            <w:vAlign w:val="center"/>
          </w:tcPr>
          <w:p>
            <w:pPr>
              <w:pStyle w:val="139"/>
              <w:spacing w:line="300" w:lineRule="exact"/>
              <w:ind w:firstLine="0" w:firstLineChars="0"/>
              <w:jc w:val="center"/>
              <w:rPr>
                <w:rFonts w:hint="eastAsia" w:ascii="仿宋" w:hAnsi="仿宋" w:eastAsia="仿宋" w:cs="仿宋"/>
                <w:spacing w:val="0"/>
                <w:sz w:val="24"/>
                <w:szCs w:val="24"/>
              </w:rPr>
            </w:pPr>
            <w:r>
              <w:rPr>
                <w:rFonts w:hint="eastAsia" w:ascii="仿宋" w:hAnsi="仿宋" w:eastAsia="仿宋" w:cs="仿宋"/>
                <w:spacing w:val="0"/>
              </w:rPr>
              <w:t>送检科室：检验医学中心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A4</w:t>
            </w:r>
          </w:p>
        </w:tc>
        <w:tc>
          <w:tcPr>
            <w:tcW w:w="2405" w:type="dxa"/>
            <w:vAlign w:val="center"/>
          </w:tcPr>
          <w:p>
            <w:pPr>
              <w:spacing w:line="3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血液病系列检测服务</w:t>
            </w:r>
          </w:p>
        </w:tc>
        <w:tc>
          <w:tcPr>
            <w:tcW w:w="1595" w:type="dxa"/>
            <w:vAlign w:val="center"/>
          </w:tcPr>
          <w:p>
            <w:pPr>
              <w:spacing w:line="300" w:lineRule="exact"/>
              <w:jc w:val="center"/>
              <w:rPr>
                <w:rFonts w:hint="eastAsia" w:ascii="仿宋" w:hAnsi="仿宋" w:eastAsia="仿宋" w:cs="仿宋"/>
                <w:sz w:val="24"/>
                <w:szCs w:val="24"/>
              </w:rPr>
            </w:pPr>
            <w:r>
              <w:rPr>
                <w:rFonts w:ascii="仿宋" w:hAnsi="仿宋" w:eastAsia="仿宋" w:cs="仿宋"/>
                <w:sz w:val="24"/>
              </w:rPr>
              <w:t>75</w:t>
            </w:r>
            <w:r>
              <w:rPr>
                <w:rFonts w:hint="eastAsia" w:ascii="仿宋" w:hAnsi="仿宋" w:eastAsia="仿宋" w:cs="仿宋"/>
                <w:sz w:val="24"/>
              </w:rPr>
              <w:t>万元</w:t>
            </w:r>
            <w:r>
              <w:rPr>
                <w:rFonts w:hint="eastAsia" w:ascii="仿宋" w:hAnsi="仿宋" w:eastAsia="仿宋" w:cs="仿宋"/>
                <w:sz w:val="24"/>
                <w:lang w:val="en-US" w:eastAsia="zh-CN"/>
              </w:rPr>
              <w:t>/年</w:t>
            </w:r>
          </w:p>
        </w:tc>
        <w:tc>
          <w:tcPr>
            <w:tcW w:w="3301" w:type="dxa"/>
            <w:vAlign w:val="center"/>
          </w:tcPr>
          <w:p>
            <w:pPr>
              <w:pStyle w:val="139"/>
              <w:spacing w:line="300" w:lineRule="exact"/>
              <w:ind w:firstLine="0" w:firstLineChars="0"/>
              <w:jc w:val="center"/>
              <w:rPr>
                <w:rFonts w:hint="eastAsia" w:ascii="仿宋" w:hAnsi="仿宋" w:eastAsia="仿宋" w:cs="仿宋"/>
                <w:spacing w:val="0"/>
                <w:sz w:val="24"/>
                <w:szCs w:val="24"/>
              </w:rPr>
            </w:pPr>
            <w:r>
              <w:rPr>
                <w:rFonts w:hint="eastAsia" w:ascii="仿宋" w:hAnsi="仿宋" w:eastAsia="仿宋" w:cs="仿宋"/>
                <w:spacing w:val="0"/>
              </w:rPr>
              <w:t>送检科室：检验医学中心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9" w:type="dxa"/>
            <w:vAlign w:val="center"/>
          </w:tcPr>
          <w:p>
            <w:pPr>
              <w:spacing w:line="3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A5</w:t>
            </w:r>
          </w:p>
        </w:tc>
        <w:tc>
          <w:tcPr>
            <w:tcW w:w="2405" w:type="dxa"/>
            <w:vAlign w:val="center"/>
          </w:tcPr>
          <w:p>
            <w:pPr>
              <w:spacing w:line="3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感染系列检测服务</w:t>
            </w:r>
          </w:p>
        </w:tc>
        <w:tc>
          <w:tcPr>
            <w:tcW w:w="1595" w:type="dxa"/>
            <w:vAlign w:val="center"/>
          </w:tcPr>
          <w:p>
            <w:pPr>
              <w:spacing w:line="300" w:lineRule="exact"/>
              <w:jc w:val="center"/>
              <w:rPr>
                <w:rFonts w:hint="eastAsia" w:ascii="仿宋" w:hAnsi="仿宋" w:eastAsia="仿宋" w:cs="仿宋"/>
                <w:sz w:val="24"/>
                <w:szCs w:val="24"/>
              </w:rPr>
            </w:pPr>
            <w:r>
              <w:rPr>
                <w:rFonts w:ascii="仿宋" w:hAnsi="仿宋" w:eastAsia="仿宋" w:cs="仿宋"/>
                <w:sz w:val="24"/>
              </w:rPr>
              <w:t>75</w:t>
            </w:r>
            <w:r>
              <w:rPr>
                <w:rFonts w:hint="eastAsia" w:ascii="仿宋" w:hAnsi="仿宋" w:eastAsia="仿宋" w:cs="仿宋"/>
                <w:sz w:val="24"/>
              </w:rPr>
              <w:t>万元</w:t>
            </w:r>
            <w:r>
              <w:rPr>
                <w:rFonts w:hint="eastAsia" w:ascii="仿宋" w:hAnsi="仿宋" w:eastAsia="仿宋" w:cs="仿宋"/>
                <w:sz w:val="24"/>
                <w:lang w:val="en-US" w:eastAsia="zh-CN"/>
              </w:rPr>
              <w:t>/年</w:t>
            </w:r>
          </w:p>
        </w:tc>
        <w:tc>
          <w:tcPr>
            <w:tcW w:w="3301" w:type="dxa"/>
            <w:vAlign w:val="center"/>
          </w:tcPr>
          <w:p>
            <w:pPr>
              <w:pStyle w:val="139"/>
              <w:spacing w:line="300" w:lineRule="exact"/>
              <w:ind w:firstLine="0" w:firstLineChars="0"/>
              <w:jc w:val="center"/>
              <w:rPr>
                <w:rFonts w:hint="eastAsia" w:ascii="仿宋" w:hAnsi="仿宋" w:eastAsia="仿宋" w:cs="仿宋"/>
                <w:spacing w:val="0"/>
                <w:sz w:val="24"/>
                <w:szCs w:val="24"/>
              </w:rPr>
            </w:pPr>
            <w:r>
              <w:rPr>
                <w:rFonts w:hint="eastAsia" w:ascii="仿宋" w:hAnsi="仿宋" w:eastAsia="仿宋" w:cs="仿宋"/>
                <w:spacing w:val="0"/>
              </w:rPr>
              <w:t>送检科室：检验医学中心</w:t>
            </w:r>
          </w:p>
        </w:tc>
      </w:tr>
    </w:tbl>
    <w:p>
      <w:pPr>
        <w:pStyle w:val="7"/>
        <w:numPr>
          <w:ilvl w:val="0"/>
          <w:numId w:val="0"/>
        </w:numPr>
        <w:tabs>
          <w:tab w:val="left" w:pos="382"/>
        </w:tabs>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（二）具体质量要求</w:t>
      </w:r>
    </w:p>
    <w:p>
      <w:pPr>
        <w:pStyle w:val="7"/>
        <w:numPr>
          <w:ilvl w:val="0"/>
          <w:numId w:val="0"/>
        </w:numPr>
        <w:tabs>
          <w:tab w:val="left" w:pos="382"/>
        </w:tabs>
        <w:spacing w:line="360" w:lineRule="auto"/>
        <w:ind w:leftChars="200"/>
        <w:rPr>
          <w:rFonts w:hint="eastAsia" w:ascii="仿宋" w:hAnsi="仿宋" w:eastAsia="仿宋" w:cs="仿宋"/>
          <w:b/>
          <w:sz w:val="24"/>
          <w:szCs w:val="24"/>
        </w:rPr>
      </w:pPr>
      <w:r>
        <w:rPr>
          <w:rFonts w:hint="eastAsia" w:ascii="仿宋" w:hAnsi="仿宋" w:eastAsia="仿宋" w:cs="仿宋"/>
          <w:b/>
          <w:sz w:val="24"/>
          <w:szCs w:val="24"/>
        </w:rPr>
        <w:t>一）总体要求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第三方实验室对检测报告负全责，保证报告的准确性、及时性、合理重复性、规范性。若因报告产生纠纷，所需的赔偿费用一律由中标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第三方实验室承担。在合同期满之后，对于合同期内发出的报告，若出现报告纠纷的，</w:t>
      </w:r>
      <w:r>
        <w:rPr>
          <w:rFonts w:hint="eastAsia" w:ascii="仿宋" w:hAnsi="仿宋" w:eastAsia="仿宋" w:cs="仿宋"/>
          <w:sz w:val="24"/>
          <w:szCs w:val="24"/>
          <w:lang w:val="en-US" w:eastAsia="zh-CN"/>
        </w:rPr>
        <w:t>山东大学第二医院</w:t>
      </w:r>
      <w:r>
        <w:rPr>
          <w:rFonts w:hint="eastAsia" w:ascii="仿宋" w:hAnsi="仿宋" w:eastAsia="仿宋" w:cs="仿宋"/>
          <w:sz w:val="24"/>
          <w:szCs w:val="24"/>
        </w:rPr>
        <w:t>仍有权利要求中标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第三方实验室进行赔偿。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第三方实验室保证开展的项目附有相关资质证明，否则由资质问题引起的一切医疗纠纷及所产生的费用由中标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第三方实验室全权承担。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第三方实验室应保证试剂及耗材符合国家相关质量标准，如因采购物品的质量、进货渠道和代理资格等原因造成的医疗纠纷、事故或其他纠纷等，一切责任和经济损失由中标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第三方实验室全部负责。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第三方实验室提供的相关资质证明虚假或擅自经营无资质项目、聘用无资质人员等，由此发生的一切后果由中标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第三方实验室全权承担，与</w:t>
      </w:r>
      <w:r>
        <w:rPr>
          <w:rFonts w:hint="eastAsia" w:ascii="仿宋" w:hAnsi="仿宋" w:eastAsia="仿宋" w:cs="仿宋"/>
          <w:sz w:val="24"/>
          <w:szCs w:val="24"/>
          <w:lang w:val="en-US" w:eastAsia="zh-CN"/>
        </w:rPr>
        <w:t>山东大学第二医院</w:t>
      </w:r>
      <w:r>
        <w:rPr>
          <w:rFonts w:hint="eastAsia" w:ascii="仿宋" w:hAnsi="仿宋" w:eastAsia="仿宋" w:cs="仿宋"/>
          <w:sz w:val="24"/>
          <w:szCs w:val="24"/>
        </w:rPr>
        <w:t>无关，并赔偿由此给</w:t>
      </w:r>
      <w:r>
        <w:rPr>
          <w:rFonts w:hint="eastAsia" w:ascii="仿宋" w:hAnsi="仿宋" w:eastAsia="仿宋" w:cs="仿宋"/>
          <w:sz w:val="24"/>
          <w:szCs w:val="24"/>
          <w:lang w:val="en-US" w:eastAsia="zh-CN"/>
        </w:rPr>
        <w:t>山东大学第二医院</w:t>
      </w:r>
      <w:r>
        <w:rPr>
          <w:rFonts w:hint="eastAsia" w:ascii="仿宋" w:hAnsi="仿宋" w:eastAsia="仿宋" w:cs="仿宋"/>
          <w:sz w:val="24"/>
          <w:szCs w:val="24"/>
        </w:rPr>
        <w:t>造成的损失。</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5、若中标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第三方实验室，未能履行招标要求中的规定，</w:t>
      </w:r>
      <w:r>
        <w:rPr>
          <w:rFonts w:hint="eastAsia" w:ascii="仿宋" w:hAnsi="仿宋" w:eastAsia="仿宋" w:cs="仿宋"/>
          <w:sz w:val="24"/>
          <w:szCs w:val="24"/>
          <w:lang w:val="en-US" w:eastAsia="zh-CN"/>
        </w:rPr>
        <w:t>山东大学第二医院</w:t>
      </w:r>
      <w:r>
        <w:rPr>
          <w:rFonts w:hint="eastAsia" w:ascii="仿宋" w:hAnsi="仿宋" w:eastAsia="仿宋" w:cs="仿宋"/>
          <w:sz w:val="24"/>
          <w:szCs w:val="24"/>
        </w:rPr>
        <w:t>有权解除合同，无需承担任何法律责任。</w:t>
      </w:r>
      <w:r>
        <w:rPr>
          <w:rFonts w:hint="eastAsia" w:ascii="仿宋" w:hAnsi="仿宋" w:eastAsia="仿宋" w:cs="仿宋"/>
          <w:b/>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6、中标</w:t>
      </w:r>
      <w:r>
        <w:rPr>
          <w:rFonts w:hint="eastAsia" w:ascii="仿宋" w:hAnsi="仿宋" w:eastAsia="仿宋" w:cs="仿宋"/>
          <w:sz w:val="24"/>
          <w:szCs w:val="24"/>
          <w:lang w:val="en-US" w:eastAsia="zh-CN"/>
        </w:rPr>
        <w:t>的</w:t>
      </w:r>
      <w:r>
        <w:rPr>
          <w:rFonts w:hint="eastAsia" w:ascii="仿宋" w:hAnsi="仿宋" w:eastAsia="仿宋" w:cs="仿宋"/>
          <w:sz w:val="24"/>
          <w:szCs w:val="24"/>
        </w:rPr>
        <w:t>第三方实验室须完成标本收集、运输、检测、报告出具及结果解读工作。</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7、本次采购项目的</w:t>
      </w:r>
      <w:r>
        <w:rPr>
          <w:rFonts w:hint="eastAsia" w:ascii="仿宋" w:hAnsi="仿宋" w:eastAsia="仿宋" w:cs="仿宋"/>
          <w:color w:val="000000"/>
          <w:sz w:val="24"/>
          <w:szCs w:val="24"/>
          <w:lang w:val="en-US" w:eastAsia="zh-CN"/>
        </w:rPr>
        <w:t>参考</w:t>
      </w:r>
      <w:r>
        <w:rPr>
          <w:rFonts w:hint="eastAsia" w:ascii="仿宋" w:hAnsi="仿宋" w:eastAsia="仿宋" w:cs="仿宋"/>
          <w:color w:val="000000"/>
          <w:sz w:val="24"/>
          <w:szCs w:val="24"/>
        </w:rPr>
        <w:t>收费价格由</w:t>
      </w:r>
      <w:r>
        <w:rPr>
          <w:rFonts w:hint="eastAsia" w:ascii="仿宋" w:hAnsi="仿宋" w:eastAsia="仿宋" w:cs="仿宋"/>
          <w:sz w:val="24"/>
          <w:szCs w:val="24"/>
          <w:lang w:val="en-US" w:eastAsia="zh-CN"/>
        </w:rPr>
        <w:t>山东大学第二医院</w:t>
      </w:r>
      <w:r>
        <w:rPr>
          <w:rFonts w:hint="eastAsia" w:ascii="仿宋" w:hAnsi="仿宋" w:eastAsia="仿宋" w:cs="仿宋"/>
          <w:color w:val="000000"/>
          <w:sz w:val="24"/>
          <w:szCs w:val="24"/>
        </w:rPr>
        <w:t>根据相关规定制定，各投标单位以</w:t>
      </w:r>
      <w:r>
        <w:rPr>
          <w:rFonts w:hint="eastAsia" w:ascii="仿宋" w:hAnsi="仿宋" w:eastAsia="仿宋" w:cs="仿宋"/>
          <w:color w:val="000000"/>
          <w:sz w:val="24"/>
          <w:szCs w:val="24"/>
          <w:lang w:val="en-US" w:eastAsia="zh-CN"/>
        </w:rPr>
        <w:t>参考</w:t>
      </w:r>
      <w:r>
        <w:rPr>
          <w:rFonts w:hint="eastAsia" w:ascii="仿宋" w:hAnsi="仿宋" w:eastAsia="仿宋" w:cs="仿宋"/>
          <w:color w:val="000000"/>
          <w:sz w:val="24"/>
          <w:szCs w:val="24"/>
        </w:rPr>
        <w:t>收费价的折扣形式报价。</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8、采购完成后，具体合作项目根据</w:t>
      </w:r>
      <w:r>
        <w:rPr>
          <w:rFonts w:hint="eastAsia" w:ascii="仿宋" w:hAnsi="仿宋" w:eastAsia="仿宋" w:cs="仿宋"/>
          <w:sz w:val="24"/>
          <w:szCs w:val="24"/>
          <w:lang w:val="en-US" w:eastAsia="zh-CN"/>
        </w:rPr>
        <w:t>山东大学第二医院</w:t>
      </w:r>
      <w:r>
        <w:rPr>
          <w:rFonts w:hint="eastAsia" w:ascii="仿宋" w:hAnsi="仿宋" w:eastAsia="仿宋" w:cs="仿宋"/>
          <w:color w:val="000000"/>
          <w:sz w:val="24"/>
          <w:szCs w:val="24"/>
        </w:rPr>
        <w:t>工作进度逐步上线，结算价格按照成交折扣</w:t>
      </w:r>
      <w:r>
        <w:rPr>
          <w:rFonts w:hint="eastAsia" w:ascii="仿宋" w:hAnsi="仿宋" w:eastAsia="仿宋" w:cs="仿宋"/>
          <w:color w:val="000000"/>
          <w:sz w:val="24"/>
          <w:szCs w:val="24"/>
          <w:lang w:val="en-US" w:eastAsia="zh-CN"/>
        </w:rPr>
        <w:t>*参考</w:t>
      </w:r>
      <w:r>
        <w:rPr>
          <w:rFonts w:hint="eastAsia" w:ascii="仿宋" w:hAnsi="仿宋" w:eastAsia="仿宋" w:cs="仿宋"/>
          <w:color w:val="000000"/>
          <w:sz w:val="24"/>
          <w:szCs w:val="24"/>
        </w:rPr>
        <w:t>收费价格据实结算。</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二）服务要求</w:t>
      </w:r>
    </w:p>
    <w:p>
      <w:pPr>
        <w:widowControl/>
        <w:spacing w:line="36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rPr>
        <w:t>1、样本接收</w:t>
      </w:r>
      <w:r>
        <w:rPr>
          <w:rFonts w:hint="eastAsia" w:ascii="仿宋" w:hAnsi="仿宋" w:eastAsia="仿宋" w:cs="仿宋"/>
          <w:b/>
          <w:sz w:val="24"/>
          <w:szCs w:val="24"/>
          <w:lang w:val="en-US" w:eastAsia="zh-CN"/>
        </w:rPr>
        <w:t>和检测</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1.1医院将样本统一收集存放在指定地点，安排人员与第三方实验室进行样本的交接、签收工作。</w:t>
      </w:r>
      <w:r>
        <w:rPr>
          <w:rFonts w:hint="eastAsia" w:ascii="仿宋" w:hAnsi="仿宋" w:eastAsia="仿宋" w:cs="仿宋"/>
          <w:color w:val="000000"/>
          <w:sz w:val="24"/>
          <w:szCs w:val="24"/>
        </w:rPr>
        <w:t>医院收集样本所需的耗材由第三方实验室提供。</w:t>
      </w:r>
      <w:r>
        <w:rPr>
          <w:rFonts w:hint="eastAsia" w:ascii="仿宋" w:hAnsi="仿宋" w:eastAsia="仿宋" w:cs="仿宋"/>
          <w:sz w:val="24"/>
          <w:szCs w:val="24"/>
        </w:rPr>
        <w:t>第三方实验室每天均能接收标本，由受过专业培训的物流人员按采购要求上门收取标本；出报告时间：详见各项目具体要求。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第三方实验室向医院提供检测项目汇编，汇编内容包括</w:t>
      </w:r>
      <w:r>
        <w:rPr>
          <w:rFonts w:hint="eastAsia" w:ascii="仿宋" w:hAnsi="仿宋" w:eastAsia="仿宋" w:cs="仿宋"/>
          <w:sz w:val="24"/>
          <w:szCs w:val="24"/>
          <w:lang w:val="en-US" w:eastAsia="zh-CN"/>
        </w:rPr>
        <w:t>检测项目的</w:t>
      </w:r>
      <w:r>
        <w:rPr>
          <w:rFonts w:hint="eastAsia" w:ascii="仿宋" w:hAnsi="仿宋" w:eastAsia="仿宋" w:cs="仿宋"/>
          <w:sz w:val="24"/>
          <w:szCs w:val="24"/>
        </w:rPr>
        <w:t>项目名称、</w:t>
      </w:r>
      <w:r>
        <w:rPr>
          <w:rFonts w:hint="eastAsia" w:ascii="仿宋" w:hAnsi="仿宋" w:eastAsia="仿宋" w:cs="仿宋"/>
          <w:sz w:val="24"/>
          <w:szCs w:val="24"/>
          <w:lang w:val="en-US" w:eastAsia="zh-CN"/>
        </w:rPr>
        <w:t>检测设备型号、</w:t>
      </w:r>
      <w:r>
        <w:rPr>
          <w:rFonts w:hint="eastAsia" w:ascii="仿宋" w:hAnsi="仿宋" w:eastAsia="仿宋" w:cs="仿宋"/>
          <w:sz w:val="24"/>
          <w:szCs w:val="24"/>
        </w:rPr>
        <w:t>检测方法、标本要求、报告时间、临床意义。</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 医院对采集的样本进行前处理和存储，并注明样本的检测信息，如：患者基本信息，样本类型、项目名称、采样时间等。</w:t>
      </w:r>
    </w:p>
    <w:p>
      <w:pPr>
        <w:widowControl/>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第三方实验室根据医院提供的标本完成实验，并出具检测报告。对特殊项目提供紧急检测服务。</w:t>
      </w:r>
    </w:p>
    <w:p>
      <w:pPr>
        <w:widowControl/>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val="en-US" w:eastAsia="zh-CN"/>
        </w:rPr>
        <w:t>1.5</w:t>
      </w:r>
      <w:r>
        <w:rPr>
          <w:rFonts w:hint="eastAsia" w:ascii="仿宋" w:hAnsi="仿宋" w:eastAsia="仿宋" w:cs="仿宋"/>
          <w:color w:val="000000"/>
          <w:sz w:val="24"/>
          <w:szCs w:val="24"/>
        </w:rPr>
        <w:t xml:space="preserve"> 样本的保存：第三方实验室应按国家和行业标准对样本进行保存，不得挪作他用。检验类原始样本保存7天，病理原始组织保存15天。由于样本本身特性不能达到上述保存期限或上述保存期限对样本保存无意义时，经医院和第三方实验室共同确定，可另行约定保存期限。</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第三方实验室应做好样本的保存工作，因第三方实验室原因造成样本的丢失，第三方实验室应承担相应的法律责任和赔偿责任。</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如医院对检测结果有异议，并在样本保存有效期内提出，第三方实验室应重新检测。</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 如医院有大批量体检样本需检测，将提前</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个工作日通知第三方实验室，第三方实验室应及时做好各项准备工作。</w:t>
      </w:r>
    </w:p>
    <w:p>
      <w:pPr>
        <w:widowControl/>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、运输冷链系统及物流运输要求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.1第三方实验室必须配备完善医疗冷链物流系统和信息服务体系，要保证接收、送检标本运输过程的安全，保证标本的质量。</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 所有样本的运送必须符合样本温度的管理要求，采用相应的冷链运送技术，特殊标本运输过程中需干冰冻存。</w:t>
      </w:r>
    </w:p>
    <w:p>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.3所有样本运送必须采用符合相关标准的冷链物流车或转送车辆及冷链物流箱，冷链物流车或转送车辆及冷链物流箱配备数量满足标本转送要求。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提供可实时监控物流各个环节的温度的系统和终端设备，能够对物流的全程进行温度监控、报警及记录，能够对整个过程进行溯源管理，并能够提交相关记录的纸质文档，以留档备查。一年3次以上无法进行运送温度溯源，医院有权终止合同，并追究相关损失。</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.5第三方实验室负责全程冷链运送现有的标本。</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.6 样本交接及运送过程必须符合样本的安全管理要求，符合《病原微生物实验室生物安全管理条例》、《可感染人类的高致病性病原微生物菌（毒）种或样本运输管理规定》等相关法律法规规章涉及的生物安全规定。</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.7第三方实验室应具备标本转运物流流程规章制度（包括标本运输紧急预案）及工作各环节操作说明书。</w:t>
      </w:r>
    </w:p>
    <w:p>
      <w:pPr>
        <w:widowControl/>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lang w:val="en-US" w:eastAsia="zh-CN"/>
        </w:rPr>
        <w:t>2</w:t>
      </w:r>
      <w:r>
        <w:rPr>
          <w:rFonts w:hint="eastAsia" w:ascii="仿宋" w:hAnsi="仿宋" w:eastAsia="仿宋" w:cs="仿宋"/>
          <w:sz w:val="24"/>
          <w:szCs w:val="24"/>
        </w:rPr>
        <w:t>.8第三方实验室的运输车辆应拥有运输标本专业设备如生物安全转运箱，并装有处置</w:t>
      </w:r>
      <w:r>
        <w:rPr>
          <w:rFonts w:hint="eastAsia" w:ascii="仿宋" w:hAnsi="仿宋" w:eastAsia="仿宋" w:cs="仿宋"/>
          <w:sz w:val="24"/>
          <w:szCs w:val="24"/>
          <w:highlight w:val="none"/>
        </w:rPr>
        <w:t>生物安全应急事件的应急箱及消毒用喷壶，可以应对突发生物安全事件的现场处置。</w:t>
      </w:r>
    </w:p>
    <w:p>
      <w:pPr>
        <w:widowControl/>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.9 第三方实验室应提供整个物流的完整书面规划方案，如配置的车辆，冷链箱的情况，每天物流运送的路线和车次的安排，如何保障样本每天的及时送达，安全措施、应急预案等等。</w:t>
      </w:r>
    </w:p>
    <w:p>
      <w:pPr>
        <w:widowControl/>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、结果查询</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为保证检验结果实时网络传送，实现实验室数据的汇总、储存、传输功能，将检测结果传入医院LIS系统，实现数字回传和特殊报告单的PDF回传功能。需完成与山东大学第二医院系统对接，同时负责提供相应软硬件服务，提供实施方案，并需在合同开始后</w:t>
      </w:r>
      <w:r>
        <w:rPr>
          <w:rFonts w:hint="eastAsia" w:ascii="仿宋" w:hAnsi="仿宋" w:eastAsia="仿宋" w:cs="仿宋"/>
          <w:sz w:val="24"/>
          <w:szCs w:val="24"/>
          <w:lang w:val="en-US" w:eastAsia="zh-CN"/>
        </w:rPr>
        <w:t>2</w:t>
      </w:r>
      <w:r>
        <w:rPr>
          <w:rFonts w:hint="eastAsia" w:ascii="仿宋" w:hAnsi="仿宋" w:eastAsia="仿宋" w:cs="仿宋"/>
          <w:sz w:val="24"/>
          <w:szCs w:val="24"/>
        </w:rPr>
        <w:t>个月内完成安装、调试。相关软硬件及网络接口费用由第三方实验室承担。</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.2第三方实验室应提供网上查询服务，以供随时查询进度和结果。</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.3第三方实验室应提供电话查询服务，危急值专人电话跟进，确保患者检测信息与临床医生的畅通。</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w:t>
      </w:r>
      <w:r>
        <w:rPr>
          <w:rFonts w:hint="eastAsia" w:ascii="仿宋" w:hAnsi="仿宋" w:eastAsia="仿宋" w:cs="仿宋"/>
          <w:sz w:val="24"/>
          <w:szCs w:val="24"/>
          <w:lang w:val="en-US" w:eastAsia="zh-CN"/>
        </w:rPr>
        <w:t>赋予权限的</w:t>
      </w:r>
      <w:r>
        <w:rPr>
          <w:rFonts w:hint="eastAsia" w:ascii="仿宋" w:hAnsi="仿宋" w:eastAsia="仿宋" w:cs="仿宋"/>
          <w:sz w:val="24"/>
          <w:szCs w:val="24"/>
        </w:rPr>
        <w:t>医务人员可以随时调阅检验结果，第三方实验室须保证病人</w:t>
      </w:r>
      <w:r>
        <w:rPr>
          <w:rFonts w:hint="eastAsia" w:ascii="仿宋" w:hAnsi="仿宋" w:eastAsia="仿宋" w:cs="仿宋"/>
          <w:sz w:val="24"/>
          <w:szCs w:val="24"/>
          <w:lang w:val="en-US" w:eastAsia="zh-CN"/>
        </w:rPr>
        <w:t>信息和</w:t>
      </w:r>
      <w:r>
        <w:rPr>
          <w:rFonts w:hint="eastAsia" w:ascii="仿宋" w:hAnsi="仿宋" w:eastAsia="仿宋" w:cs="仿宋"/>
          <w:sz w:val="24"/>
          <w:szCs w:val="24"/>
        </w:rPr>
        <w:t>检验结果的</w:t>
      </w:r>
      <w:r>
        <w:rPr>
          <w:rFonts w:hint="eastAsia" w:ascii="仿宋" w:hAnsi="仿宋" w:eastAsia="仿宋" w:cs="仿宋"/>
          <w:sz w:val="24"/>
          <w:szCs w:val="24"/>
          <w:lang w:val="en-US" w:eastAsia="zh-CN"/>
        </w:rPr>
        <w:t>准确性和</w:t>
      </w:r>
      <w:r>
        <w:rPr>
          <w:rFonts w:hint="eastAsia" w:ascii="仿宋" w:hAnsi="仿宋" w:eastAsia="仿宋" w:cs="仿宋"/>
          <w:sz w:val="24"/>
          <w:szCs w:val="24"/>
        </w:rPr>
        <w:t>及时性，并提供系统使用的必要培训与技术支持。</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.5按照检测项目常规报告时间提供检测结果。</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、因检验结果问题引起的医疗纠纷，对患方的所有赔（补）偿费用完全由第三方实验室支付，同时第三方实验室应对医院进行相应赔偿。</w:t>
      </w:r>
    </w:p>
    <w:p>
      <w:pPr>
        <w:pStyle w:val="142"/>
        <w:spacing w:line="360" w:lineRule="auto"/>
        <w:ind w:firstLine="480" w:firstLineChars="200"/>
        <w:rPr>
          <w:rFonts w:hint="eastAsia" w:ascii="仿宋" w:hAnsi="仿宋" w:eastAsia="仿宋" w:cs="仿宋"/>
          <w:kern w:val="2"/>
          <w:sz w:val="24"/>
          <w:szCs w:val="24"/>
          <w:lang w:val="en-US"/>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lang w:val="en-US"/>
        </w:rPr>
        <w:t>、第三方实验室每季度提交质量控制数据记录。如出现检测结果错误或精确度低的现象，经医院要求，第三方实验室整改后仍不能满足医院临床需求，医院有权终止相应的项目检测委托。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、医院将不定期</w:t>
      </w:r>
      <w:r>
        <w:rPr>
          <w:rFonts w:hint="eastAsia" w:ascii="仿宋" w:hAnsi="仿宋" w:eastAsia="仿宋" w:cs="仿宋"/>
          <w:sz w:val="24"/>
          <w:szCs w:val="24"/>
          <w:lang w:val="en-US" w:eastAsia="zh-CN"/>
        </w:rPr>
        <w:t>到</w:t>
      </w:r>
      <w:r>
        <w:rPr>
          <w:rFonts w:hint="eastAsia" w:ascii="仿宋" w:hAnsi="仿宋" w:eastAsia="仿宋" w:cs="仿宋"/>
          <w:sz w:val="24"/>
          <w:szCs w:val="24"/>
        </w:rPr>
        <w:t>第三方实验室现场检查、督导并查看试剂、设备等采购相关台账，如发现第三方实验室存在提供虚假信息或未经院方同意私自更改使用试剂的品牌和检验项目的方法学等现象，医院有权立即终止合同，第三方实验室需按已做项目的收费金额赔偿院方，并承担所有相关违约责任。</w:t>
      </w:r>
    </w:p>
    <w:p>
      <w:pPr>
        <w:widowControl/>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、遵守保密制度，保护受检者的秘密，未经许可，不得向无关人员泄露受检者的检测情况。有措施保证网络安全，防止数据丢失、泄露或窃取。</w:t>
      </w:r>
    </w:p>
    <w:p>
      <w:pPr>
        <w:widowControl/>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、第三方实验室提供专职运营人员，解决医院送检及报告过程中所发生的应急问题。协助医院培养相关的实验、数据分析、报告解读的团队。</w:t>
      </w:r>
      <w:r>
        <w:rPr>
          <w:rFonts w:hint="eastAsia" w:ascii="仿宋" w:hAnsi="仿宋" w:eastAsia="仿宋" w:cs="仿宋"/>
          <w:color w:val="000000"/>
          <w:sz w:val="24"/>
          <w:szCs w:val="24"/>
        </w:rPr>
        <w:t>提供学术科研服务支持。</w:t>
      </w:r>
      <w:r>
        <w:rPr>
          <w:rFonts w:hint="eastAsia" w:ascii="仿宋" w:hAnsi="仿宋" w:eastAsia="仿宋" w:cs="仿宋"/>
          <w:color w:val="000000"/>
          <w:sz w:val="24"/>
          <w:szCs w:val="24"/>
          <w:lang w:val="en-US" w:eastAsia="zh-CN"/>
        </w:rPr>
        <w:t>山东大学第二医院</w:t>
      </w:r>
      <w:r>
        <w:rPr>
          <w:rFonts w:hint="eastAsia" w:ascii="仿宋" w:hAnsi="仿宋" w:eastAsia="仿宋" w:cs="仿宋"/>
          <w:color w:val="000000"/>
          <w:sz w:val="24"/>
          <w:szCs w:val="24"/>
        </w:rPr>
        <w:t xml:space="preserve">拥有所有数据及相关衍生的所有知识产权。 </w:t>
      </w:r>
    </w:p>
    <w:p>
      <w:pPr>
        <w:widowControl/>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、在医院需要时，协助医院建立本地化检测平台，开展相关检测。</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三）项目说明及参数要求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1、检测方法：高通量测序方法、液相色谱串联质谱方法、实时荧光定量PCR方法、酶联免疫法等。</w:t>
      </w:r>
    </w:p>
    <w:p>
      <w:pPr>
        <w:spacing w:line="360" w:lineRule="auto"/>
        <w:ind w:firstLine="480" w:firstLineChars="200"/>
        <w:rPr>
          <w:rFonts w:hint="eastAsia" w:ascii="仿宋" w:hAnsi="仿宋" w:eastAsia="仿宋" w:cs="仿宋"/>
          <w:color w:val="000000"/>
          <w:sz w:val="24"/>
          <w:szCs w:val="24"/>
          <w:u w:val="none"/>
        </w:rPr>
      </w:pPr>
      <w:r>
        <w:rPr>
          <w:rFonts w:hint="eastAsia" w:ascii="仿宋" w:hAnsi="仿宋" w:eastAsia="仿宋" w:cs="仿宋"/>
          <w:sz w:val="24"/>
          <w:szCs w:val="24"/>
          <w:u w:val="none"/>
        </w:rPr>
        <w:t>2</w:t>
      </w:r>
      <w:r>
        <w:rPr>
          <w:rFonts w:hint="eastAsia" w:ascii="仿宋" w:hAnsi="仿宋" w:eastAsia="仿宋" w:cs="仿宋"/>
          <w:color w:val="000000"/>
          <w:sz w:val="24"/>
          <w:szCs w:val="24"/>
          <w:u w:val="none"/>
        </w:rPr>
        <w:t>、仪器设备：至少配备高通量测序仪、液相色谱串联质谱仪、实时荧光定量PCR仪、全自动核酸提取仪、酶标仪等拟投标项目包必需的仪器设备，所配备仪器设备应能满足拟投标项目包所有检验项目的开展，上述仪器设备要求为一线知名品牌（投标文件中须注明提供的仪器设备的品牌、型号、仪器设备照片、设备购置发票等关键信息）。</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3、人员：从事PCR相关项目的技术人员应具备PCR上岗证，相关技术人员应具有临床医学检验技术资格证书、生物信息学相关专业证书等。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需提供相应证明材料</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4、具有实施本项目的相应实验室，须提供实验室场地所有权证明或租赁使用合同、工作场地照片、实验室布局平面图等材料。</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5、提供大数据管理系统，实现样本管理、实验数据管理、自动化结果判读、自动化报告生成等功能，提供数据备份与云存储服务。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需提供相应证明材料</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6、所有的原始测序结果要保存并发送到</w:t>
      </w:r>
      <w:r>
        <w:rPr>
          <w:rFonts w:hint="eastAsia" w:ascii="仿宋" w:hAnsi="仿宋" w:eastAsia="仿宋" w:cs="仿宋"/>
          <w:sz w:val="24"/>
          <w:szCs w:val="24"/>
          <w:lang w:val="en-US" w:eastAsia="zh-CN"/>
        </w:rPr>
        <w:t>山东大学第二医院指定地点或实验室</w:t>
      </w:r>
      <w:r>
        <w:rPr>
          <w:rFonts w:hint="eastAsia" w:ascii="仿宋" w:hAnsi="仿宋" w:eastAsia="仿宋" w:cs="仿宋"/>
          <w:sz w:val="24"/>
          <w:szCs w:val="24"/>
        </w:rPr>
        <w:t>，实现数据本地化。</w:t>
      </w:r>
    </w:p>
    <w:p>
      <w:pPr>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三</w:t>
      </w:r>
      <w:r>
        <w:rPr>
          <w:rFonts w:hint="eastAsia" w:ascii="仿宋" w:hAnsi="仿宋" w:eastAsia="仿宋" w:cs="仿宋"/>
          <w:b/>
          <w:sz w:val="24"/>
          <w:szCs w:val="24"/>
          <w:lang w:eastAsia="zh-CN"/>
        </w:rPr>
        <w:t>）</w:t>
      </w:r>
      <w:r>
        <w:rPr>
          <w:rFonts w:hint="eastAsia" w:ascii="仿宋" w:hAnsi="仿宋" w:eastAsia="仿宋" w:cs="仿宋"/>
          <w:b/>
          <w:sz w:val="24"/>
          <w:szCs w:val="24"/>
        </w:rPr>
        <w:t>检测项目说明及具体要求</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一）项目清单详见各项目包。合同期内，如医院有能力自行开展项目包中的项目，医院可自行检测，不再委托中标方检测。</w:t>
      </w:r>
    </w:p>
    <w:p>
      <w:pPr>
        <w:spacing w:line="360" w:lineRule="auto"/>
        <w:ind w:firstLine="480" w:firstLineChars="200"/>
        <w:rPr>
          <w:rFonts w:hint="eastAsia" w:ascii="仿宋" w:hAnsi="仿宋" w:eastAsia="仿宋" w:cs="仿宋"/>
          <w:color w:val="000000"/>
          <w:sz w:val="24"/>
          <w:szCs w:val="24"/>
        </w:rPr>
      </w:pPr>
      <w:bookmarkStart w:id="325" w:name="_Toc20341"/>
      <w:bookmarkStart w:id="326" w:name="_Toc15361"/>
      <w:bookmarkStart w:id="327" w:name="_Toc4282"/>
      <w:bookmarkStart w:id="328" w:name="_Toc2300"/>
      <w:r>
        <w:rPr>
          <w:rFonts w:hint="eastAsia" w:ascii="仿宋" w:hAnsi="仿宋" w:eastAsia="仿宋" w:cs="仿宋"/>
          <w:color w:val="000000"/>
          <w:sz w:val="24"/>
          <w:szCs w:val="24"/>
        </w:rPr>
        <w:t>二）医院可根据技术更新等情况增减项目，结算折扣以本次成交折扣为准。</w:t>
      </w:r>
      <w:bookmarkEnd w:id="325"/>
      <w:bookmarkEnd w:id="326"/>
      <w:bookmarkEnd w:id="327"/>
      <w:bookmarkEnd w:id="328"/>
      <w:r>
        <w:rPr>
          <w:rFonts w:hint="eastAsia" w:ascii="仿宋" w:hAnsi="仿宋" w:eastAsia="仿宋" w:cs="仿宋"/>
          <w:color w:val="000000"/>
          <w:sz w:val="24"/>
          <w:szCs w:val="24"/>
        </w:rPr>
        <w:t>合同期内，单个项目的物价收费标准变动低于参考收费价格时，双方将以本次成交折扣率调减结算价格。</w:t>
      </w:r>
    </w:p>
    <w:p>
      <w:pPr>
        <w:widowControl/>
        <w:spacing w:line="360" w:lineRule="auto"/>
        <w:ind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rPr>
        <w:t>三）</w:t>
      </w:r>
      <w:r>
        <w:rPr>
          <w:rFonts w:hint="eastAsia" w:ascii="仿宋" w:hAnsi="仿宋" w:eastAsia="仿宋" w:cs="仿宋"/>
          <w:b/>
          <w:color w:val="000000"/>
          <w:sz w:val="24"/>
          <w:szCs w:val="24"/>
          <w:lang w:val="en-US" w:eastAsia="zh-CN"/>
        </w:rPr>
        <w:t>具体要求</w:t>
      </w:r>
    </w:p>
    <w:p>
      <w:pPr>
        <w:widowControl/>
        <w:spacing w:line="360" w:lineRule="auto"/>
        <w:ind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A1包：</w:t>
      </w:r>
      <w:r>
        <w:rPr>
          <w:rFonts w:hint="eastAsia" w:ascii="仿宋" w:hAnsi="仿宋" w:eastAsia="仿宋" w:cs="仿宋"/>
          <w:b/>
          <w:color w:val="000000"/>
          <w:sz w:val="24"/>
          <w:szCs w:val="24"/>
        </w:rPr>
        <w:t>肿瘤基因突变检测服务具体要求</w:t>
      </w:r>
    </w:p>
    <w:p>
      <w:pPr>
        <w:widowControl/>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1、检测方法：高通量测序方法</w:t>
      </w:r>
    </w:p>
    <w:p>
      <w:pPr>
        <w:widowControl/>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2、具备完成整个NGS测序实验所需要的所有试剂，包括核酸提取试剂、核酸纯化试剂、建库试剂、测序试剂等。</w:t>
      </w:r>
    </w:p>
    <w:p>
      <w:pPr>
        <w:widowControl/>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3、具备高通量基因检测平台</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需提供检测平台的品牌、规格型号</w:t>
      </w:r>
      <w:r>
        <w:rPr>
          <w:rFonts w:hint="eastAsia" w:ascii="仿宋" w:hAnsi="仿宋" w:eastAsia="仿宋" w:cs="仿宋"/>
          <w:sz w:val="24"/>
          <w:szCs w:val="24"/>
          <w:u w:val="none"/>
        </w:rPr>
        <w:t xml:space="preserve">。                </w:t>
      </w:r>
    </w:p>
    <w:p>
      <w:pPr>
        <w:widowControl/>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 xml:space="preserve">4、检测试剂要求                                                </w:t>
      </w:r>
    </w:p>
    <w:p>
      <w:pPr>
        <w:widowControl/>
        <w:spacing w:line="360" w:lineRule="auto"/>
        <w:ind w:firstLine="480" w:firstLineChars="200"/>
        <w:jc w:val="left"/>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4.1建库试剂须获得国家NMPA三类医疗器械注册证，其他配套试剂须获得一类医疗器械备案凭证</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rPr>
        <w:t xml:space="preserve">所投试剂需提供检测报告证明。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5、检测内容要求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5.1样本：能够适用于组织、血液或其他DNA样本。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5.2检测基因数：应覆盖目前NCCN指南推荐的基因。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6、分析软件支持自动产生检测报告，可以提供检出的突变生物学及临床用药意义的解读信息，供医生参考辅助治疗方案的选择。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7、提供大数据管理系统，实现分子病理诊断平台业务流程管理、实验样本管理、实验数据管理、自动化结果判读、自动化报告生成等功能可以提供数据备份与云存储解决方案。                                 </w:t>
      </w:r>
    </w:p>
    <w:p>
      <w:pPr>
        <w:widowControl/>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rPr>
        <w:t>8、所有的原始测序结果要保存并发送到</w:t>
      </w:r>
      <w:r>
        <w:rPr>
          <w:rFonts w:hint="eastAsia" w:ascii="仿宋" w:hAnsi="仿宋" w:eastAsia="仿宋" w:cs="仿宋"/>
          <w:sz w:val="24"/>
          <w:szCs w:val="24"/>
          <w:u w:val="none"/>
          <w:lang w:val="en-US" w:eastAsia="zh-CN"/>
        </w:rPr>
        <w:t>山东大学第二医院指定地点或实验室</w:t>
      </w:r>
      <w:r>
        <w:rPr>
          <w:rFonts w:hint="eastAsia" w:ascii="仿宋" w:hAnsi="仿宋" w:eastAsia="仿宋" w:cs="仿宋"/>
          <w:sz w:val="24"/>
          <w:szCs w:val="24"/>
          <w:u w:val="none"/>
        </w:rPr>
        <w:t>，实现数据本地化。</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9、质控要求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测序质量：Q30≥75%</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DNA文库平均测序深度≥1500×</w:t>
      </w:r>
    </w:p>
    <w:tbl>
      <w:tblPr>
        <w:tblStyle w:val="35"/>
        <w:tblW w:w="9073" w:type="dxa"/>
        <w:tblInd w:w="-431" w:type="dxa"/>
        <w:tblLayout w:type="autofit"/>
        <w:tblCellMar>
          <w:top w:w="0" w:type="dxa"/>
          <w:left w:w="108" w:type="dxa"/>
          <w:bottom w:w="0" w:type="dxa"/>
          <w:right w:w="108" w:type="dxa"/>
        </w:tblCellMar>
      </w:tblPr>
      <w:tblGrid>
        <w:gridCol w:w="700"/>
        <w:gridCol w:w="4404"/>
        <w:gridCol w:w="1276"/>
        <w:gridCol w:w="2693"/>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44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检测方法</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参考收费价格（元）</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实体肿瘤多基因突变检测（大panel，&gt;300基因）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12000/FFPE；14800/ctDNA</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w:t>
            </w:r>
          </w:p>
        </w:tc>
        <w:tc>
          <w:tcPr>
            <w:tcW w:w="4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实体肿瘤多基因突变检测（中panel，100-300（含）基因）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7500/FFPE；9000/ctDNA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FF0000"/>
                <w:kern w:val="0"/>
                <w:sz w:val="24"/>
                <w:szCs w:val="24"/>
              </w:rPr>
            </w:pPr>
            <w:r>
              <w:rPr>
                <w:rFonts w:hint="eastAsia" w:ascii="仿宋" w:hAnsi="仿宋" w:eastAsia="仿宋" w:cs="仿宋"/>
                <w:kern w:val="0"/>
                <w:sz w:val="24"/>
                <w:szCs w:val="24"/>
              </w:rPr>
              <w:t>3</w:t>
            </w:r>
          </w:p>
        </w:tc>
        <w:tc>
          <w:tcPr>
            <w:tcW w:w="4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微卫星序列不稳定性（MSI，片段分析）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片段分析</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遗传性肿瘤易感基因检测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6400</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实体肿瘤化疗药物检测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2700/FFPE；1000/ctDNA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44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BRCA1/2基因突变检测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3000</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44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Lynch综合征基因检测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3000</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44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宫颈</w:t>
            </w:r>
            <w:r>
              <w:rPr>
                <w:rFonts w:hint="eastAsia" w:ascii="仿宋" w:hAnsi="仿宋" w:eastAsia="仿宋" w:cs="仿宋"/>
                <w:kern w:val="0"/>
                <w:sz w:val="24"/>
                <w:szCs w:val="24"/>
                <w:lang w:val="en-US" w:eastAsia="zh-CN"/>
              </w:rPr>
              <w:t>癌</w:t>
            </w:r>
            <w:r>
              <w:rPr>
                <w:rFonts w:hint="eastAsia" w:ascii="仿宋" w:hAnsi="仿宋" w:eastAsia="仿宋" w:cs="仿宋"/>
                <w:kern w:val="0"/>
                <w:sz w:val="24"/>
                <w:szCs w:val="24"/>
              </w:rPr>
              <w:t>DNA甲基化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1150</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肺癌相关基因测序检测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5000/FFPE；6000/ctDNA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结直肠癌相关基因测序检测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5000/FFPE；6000/ctDNA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乳腺癌相关基因测序检测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甲状腺癌相关基因测序检测（FFPE）</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4500/FFPE</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胃肠间质瘤相关基因测序检测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软组织和骨肿瘤相关基因测序检测（FFPE）</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黑色素瘤相关基因测序检测（ctDNA）</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440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脑胶质瘤基因检测（FFPE）</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7500/FFPE</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胃癌相关基因测序检测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食管癌相关基因测序检测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前列腺癌相关基因检测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肾细胞癌相关基因检测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胰腺癌相关基因检测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5000/FFPE；5500/ctDNA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膀胱癌相关基因测序检测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5500/FFPE；6000/ctDNA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宫颈癌相关基因测序检测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6500/FFPE；8000/ctDNA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子宫内膜癌分子分型相关基因检测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3500/FFPE</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440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女性生殖系统肿瘤相关基因测序检测</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9000/FFPE；9000/ctDNA</w:t>
            </w:r>
          </w:p>
        </w:tc>
      </w:tr>
      <w:tr>
        <w:tblPrEx>
          <w:tblCellMar>
            <w:top w:w="0" w:type="dxa"/>
            <w:left w:w="108" w:type="dxa"/>
            <w:bottom w:w="0" w:type="dxa"/>
            <w:right w:w="108" w:type="dxa"/>
          </w:tblCellMar>
        </w:tblPrEx>
        <w:trPr>
          <w:trHeight w:val="369" w:hRule="exac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44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神经母细胞瘤相关基因测序检测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二代测序</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7500/FFPE；9000/ctDNA</w:t>
            </w:r>
          </w:p>
        </w:tc>
      </w:tr>
    </w:tbl>
    <w:p>
      <w:pPr>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A2包：</w:t>
      </w:r>
      <w:r>
        <w:rPr>
          <w:rFonts w:hint="eastAsia" w:ascii="仿宋" w:hAnsi="仿宋" w:eastAsia="仿宋" w:cs="仿宋"/>
          <w:b/>
          <w:sz w:val="24"/>
          <w:szCs w:val="24"/>
        </w:rPr>
        <w:t>遗传系列基因检测服务具体要求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1、具备完成整个NGS测序实验等所需要的所有试剂，包括核酸提取试剂、核酸纯化试剂、建库试剂、测序试剂等。    </w:t>
      </w:r>
    </w:p>
    <w:p>
      <w:pPr>
        <w:widowControl/>
        <w:spacing w:line="360" w:lineRule="auto"/>
        <w:ind w:firstLine="480" w:firstLineChars="200"/>
        <w:jc w:val="left"/>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2、投标人需自主拥有高通量测序平台、一代测序平台以及其他多类型的技术平台（包括集团公司旗下自主拥有，需能提供有效服务），以满足NGS分析后多种变异类型的验证及其他项目需求。</w:t>
      </w:r>
    </w:p>
    <w:p>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3、检测试剂要求                                                </w:t>
      </w:r>
    </w:p>
    <w:p>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3.1所投试剂需提供检测报告证明。生产厂家获批生产该试剂盒的医疗器械生产许可证、一类医疗器械生产备案凭证。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rPr>
        <w:t>3.2试剂盒有配套的分析软件，且搭配有自动报告系统，可以在医院端进行安装，并能出具相应报告。</w:t>
      </w:r>
      <w:r>
        <w:rPr>
          <w:rFonts w:hint="eastAsia" w:ascii="仿宋" w:hAnsi="仿宋" w:eastAsia="仿宋" w:cs="仿宋"/>
          <w:sz w:val="24"/>
          <w:szCs w:val="24"/>
        </w:rPr>
        <w:t xml:space="preserve">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r>
        <w:rPr>
          <w:rFonts w:hint="eastAsia" w:ascii="仿宋" w:hAnsi="仿宋" w:eastAsia="仿宋" w:cs="仿宋"/>
          <w:sz w:val="24"/>
          <w:szCs w:val="24"/>
        </w:rPr>
        <w:t>测序数据质量要求：</w:t>
      </w:r>
      <w:r>
        <w:rPr>
          <w:rFonts w:hint="eastAsia" w:ascii="仿宋" w:hAnsi="仿宋" w:eastAsia="仿宋" w:cs="仿宋"/>
          <w:sz w:val="24"/>
          <w:szCs w:val="24"/>
          <w:lang w:val="en-US" w:eastAsia="zh-CN"/>
        </w:rPr>
        <w:t>符合国家实验室要求</w:t>
      </w:r>
      <w:r>
        <w:rPr>
          <w:rFonts w:hint="eastAsia" w:ascii="仿宋" w:hAnsi="仿宋" w:eastAsia="仿宋" w:cs="仿宋"/>
          <w:sz w:val="24"/>
          <w:szCs w:val="24"/>
        </w:rPr>
        <w:t xml:space="preserve">。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遗传分析解读能力：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①变异分析能力I：可精确分析单核苷酸变异SNV，SV变异，Indel，高精度的外显子CNV分析，并可自主完成相应验证实验。                  </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②变异分析能力II：采用表型驱动的变异解读方法，基因变异的致病性按照ACMG指南进行注释。                                           </w:t>
      </w:r>
    </w:p>
    <w:p>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③遗传咨询专家的资质证明，提供证明资料。</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④遗传解读能力：具备在线遗传解读及管理系统；参考专业数据库包括： OMIM、clinvar、HGMD、gnomAD2.0等。</w:t>
      </w:r>
    </w:p>
    <w:tbl>
      <w:tblPr>
        <w:tblStyle w:val="35"/>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212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建议收费价格（元）</w:t>
            </w:r>
          </w:p>
        </w:tc>
        <w:tc>
          <w:tcPr>
            <w:tcW w:w="2226"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高通量基因测序染色体畸变检测</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无创DNA PLUS 100产前检测</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脊髓性肌肉萎缩症（SMA）检测</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450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荧光定量PCR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脆性X综合症（FXS）检测</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毛细管电泳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单独先证者全外显子检测（先证者+父母验证）</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4000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家系全外显子检测（Trio）</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7750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vAlign w:val="top"/>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rPr>
              <w:t>遗传病整体检测方案（WES+CNVs+线粒体）</w:t>
            </w:r>
            <w:r>
              <w:rPr>
                <w:rFonts w:hint="eastAsia" w:ascii="仿宋" w:hAnsi="仿宋" w:eastAsia="仿宋" w:cs="仿宋"/>
                <w:color w:val="auto"/>
                <w:sz w:val="24"/>
                <w:vertAlign w:val="superscript"/>
              </w:rPr>
              <w:t>1</w:t>
            </w:r>
          </w:p>
        </w:tc>
        <w:tc>
          <w:tcPr>
            <w:tcW w:w="2127" w:type="dxa"/>
            <w:shd w:val="clear" w:color="auto" w:fill="auto"/>
            <w:vAlign w:val="top"/>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rPr>
              <w:t>7200</w:t>
            </w:r>
          </w:p>
        </w:tc>
        <w:tc>
          <w:tcPr>
            <w:tcW w:w="2226" w:type="dxa"/>
            <w:shd w:val="clear" w:color="auto" w:fill="auto"/>
            <w:vAlign w:val="top"/>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MLPA</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多重连接探针扩增技术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Q-PCR检测</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荧光定量PCR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一代验证</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Sanger测序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动态突变检测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多重引物PCR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线粒体检测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遗传性神经系统疾病综合检测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遗传性代谢系统疾病综合检测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遗传性内分泌系统疾病综合检测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遗传性眼科系统疾病综合检测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遗传性心血管系统疾病综合检测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遗传性皮肤系统疾病综合检测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遗传性骨骼系统疾病综合检测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遗传性肾脏系统疾病综合检测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遗传性免疫系统疾病综合检测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遗传性消化系统疾病综合检测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shd w:val="clear" w:color="auto" w:fill="auto"/>
          </w:tcPr>
          <w:p>
            <w:pPr>
              <w:spacing w:line="360" w:lineRule="auto"/>
              <w:jc w:val="left"/>
              <w:rPr>
                <w:rFonts w:hint="eastAsia" w:ascii="仿宋" w:hAnsi="仿宋" w:eastAsia="仿宋" w:cs="仿宋"/>
                <w:sz w:val="24"/>
                <w:szCs w:val="24"/>
                <w:vertAlign w:val="superscript"/>
              </w:rPr>
            </w:pPr>
            <w:r>
              <w:rPr>
                <w:rFonts w:hint="eastAsia" w:ascii="仿宋" w:hAnsi="仿宋" w:eastAsia="仿宋" w:cs="仿宋"/>
                <w:sz w:val="24"/>
                <w:szCs w:val="24"/>
              </w:rPr>
              <w:t>遗传性呼吸系统疾病综合检测</w:t>
            </w:r>
            <w:r>
              <w:rPr>
                <w:rFonts w:hint="eastAsia" w:ascii="仿宋" w:hAnsi="仿宋" w:eastAsia="仿宋" w:cs="仿宋"/>
                <w:sz w:val="24"/>
                <w:szCs w:val="24"/>
                <w:vertAlign w:val="superscript"/>
              </w:rPr>
              <w:t>1</w:t>
            </w:r>
          </w:p>
        </w:tc>
        <w:tc>
          <w:tcPr>
            <w:tcW w:w="2127" w:type="dxa"/>
            <w:shd w:val="clear" w:color="auto" w:fill="auto"/>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3600</w:t>
            </w:r>
          </w:p>
        </w:tc>
        <w:tc>
          <w:tcPr>
            <w:tcW w:w="2226" w:type="dxa"/>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二代测序</w:t>
            </w:r>
          </w:p>
        </w:tc>
      </w:tr>
    </w:tbl>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备注：1.中标人应根据临床实际需求，进一步细化项目明细，提供检测组套，单价不得高于该项目建议收费价格。</w:t>
      </w:r>
    </w:p>
    <w:p>
      <w:pPr>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A3包：</w:t>
      </w:r>
      <w:r>
        <w:rPr>
          <w:rFonts w:hint="eastAsia" w:ascii="仿宋" w:hAnsi="仿宋" w:eastAsia="仿宋" w:cs="仿宋"/>
          <w:b/>
          <w:sz w:val="24"/>
          <w:szCs w:val="24"/>
        </w:rPr>
        <w:t>临床质谱检测服务具体要求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具有非靶向平台代谢组学检测的技术能力，可检测包括氨基酸类、糖类、辅酶和维生素类、核酸类、脂类、能量代谢物以及微生物代谢物和新发现代谢物等八大类物质，能根据医院的要求，对医院提供的批量样本进行高通量代谢组学比较分析，定性定量血清中≥900多种内源性小分子。</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2、投标人实验室</w:t>
      </w:r>
      <w:r>
        <w:rPr>
          <w:rFonts w:hint="eastAsia" w:ascii="仿宋" w:hAnsi="仿宋" w:eastAsia="仿宋" w:cs="仿宋"/>
          <w:sz w:val="24"/>
          <w:szCs w:val="24"/>
          <w:lang w:val="en-US" w:eastAsia="zh-CN"/>
        </w:rPr>
        <w:t>需</w:t>
      </w:r>
      <w:r>
        <w:rPr>
          <w:rFonts w:hint="eastAsia" w:ascii="仿宋" w:hAnsi="仿宋" w:eastAsia="仿宋" w:cs="仿宋"/>
          <w:sz w:val="24"/>
          <w:szCs w:val="24"/>
        </w:rPr>
        <w:t>满足送检标本报告时间，具备检测本项目所需的串联质谱和核酸质谱相关仪器设备，提供设备的品牌、型号及设备购置发票。</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3、技术参数</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3.1样品基质效应干扰</w:t>
      </w:r>
      <w:r>
        <w:rPr>
          <w:rFonts w:hint="eastAsia" w:ascii="仿宋" w:hAnsi="仿宋" w:eastAsia="仿宋" w:cs="仿宋"/>
          <w:sz w:val="24"/>
          <w:szCs w:val="24"/>
          <w:lang w:val="en-US" w:eastAsia="zh-CN"/>
        </w:rPr>
        <w:t>≤</w:t>
      </w:r>
      <w:r>
        <w:rPr>
          <w:rFonts w:hint="eastAsia" w:ascii="仿宋" w:hAnsi="仿宋" w:eastAsia="仿宋" w:cs="仿宋"/>
          <w:sz w:val="24"/>
          <w:szCs w:val="24"/>
        </w:rPr>
        <w:t>15%，不同药物的质谱峰能够完全分离，不存在化合物间相互干扰。</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3.2质控要求日内精密度应RSD≤15%，日间精密度应RSD≤15%，加样回收率在85%-115%，线性R2＞0.99，并提供证明文件。</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3.3非靶向平台每个样本在多套设备上运行，采用不同的方法分析，可实现质控样本中内标相对标准偏差中位数（Median RSD）＜5%。</w:t>
      </w:r>
    </w:p>
    <w:tbl>
      <w:tblPr>
        <w:tblStyle w:val="35"/>
        <w:tblW w:w="9180" w:type="dxa"/>
        <w:tblInd w:w="-289" w:type="dxa"/>
        <w:tblLayout w:type="autofit"/>
        <w:tblCellMar>
          <w:top w:w="0" w:type="dxa"/>
          <w:left w:w="108" w:type="dxa"/>
          <w:bottom w:w="0" w:type="dxa"/>
          <w:right w:w="108" w:type="dxa"/>
        </w:tblCellMar>
      </w:tblPr>
      <w:tblGrid>
        <w:gridCol w:w="600"/>
        <w:gridCol w:w="2094"/>
        <w:gridCol w:w="1120"/>
        <w:gridCol w:w="3880"/>
        <w:gridCol w:w="1486"/>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0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检测方法</w:t>
            </w:r>
          </w:p>
        </w:tc>
        <w:tc>
          <w:tcPr>
            <w:tcW w:w="3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项目明细</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建议收费价格（元）</w:t>
            </w:r>
          </w:p>
        </w:tc>
      </w:tr>
      <w:tr>
        <w:tblPrEx>
          <w:tblCellMar>
            <w:top w:w="0" w:type="dxa"/>
            <w:left w:w="108" w:type="dxa"/>
            <w:bottom w:w="0" w:type="dxa"/>
            <w:right w:w="108" w:type="dxa"/>
          </w:tblCellMar>
        </w:tblPrEx>
        <w:trPr>
          <w:trHeight w:val="27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0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维生素类项目检测</w:t>
            </w:r>
          </w:p>
        </w:tc>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25羟维生素D测定</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160</w:t>
            </w:r>
          </w:p>
        </w:tc>
      </w:tr>
      <w:tr>
        <w:tblPrEx>
          <w:tblCellMar>
            <w:top w:w="0" w:type="dxa"/>
            <w:left w:w="108" w:type="dxa"/>
            <w:bottom w:w="0" w:type="dxa"/>
            <w:right w:w="108" w:type="dxa"/>
          </w:tblCellMar>
        </w:tblPrEx>
        <w:trPr>
          <w:trHeight w:val="27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09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维生素群ADEK测定</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320</w:t>
            </w:r>
          </w:p>
        </w:tc>
      </w:tr>
      <w:tr>
        <w:tblPrEx>
          <w:tblCellMar>
            <w:top w:w="0" w:type="dxa"/>
            <w:left w:w="108" w:type="dxa"/>
            <w:bottom w:w="0" w:type="dxa"/>
            <w:right w:w="108" w:type="dxa"/>
          </w:tblCellMar>
        </w:tblPrEx>
        <w:trPr>
          <w:trHeight w:val="27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09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24"/>
                <w:szCs w:val="24"/>
              </w:rPr>
            </w:pP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8种B族维生素测定</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480</w:t>
            </w:r>
          </w:p>
        </w:tc>
      </w:tr>
      <w:tr>
        <w:tblPrEx>
          <w:tblCellMar>
            <w:top w:w="0" w:type="dxa"/>
            <w:left w:w="108" w:type="dxa"/>
            <w:bottom w:w="0" w:type="dxa"/>
            <w:right w:w="108" w:type="dxa"/>
          </w:tblCellMar>
        </w:tblPrEx>
        <w:trPr>
          <w:trHeight w:val="67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药物浓度检测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包含但不限于抗痴呆药物，免疫抑制剂治疗药物，抗结核治疗药物，抗焦虑催眠治疗药物等药物检测</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r>
              <w:rPr>
                <w:rFonts w:hint="eastAsia" w:ascii="仿宋" w:hAnsi="仿宋" w:eastAsia="仿宋" w:cs="仿宋"/>
                <w:color w:val="000000"/>
                <w:kern w:val="0"/>
                <w:sz w:val="24"/>
                <w:szCs w:val="24"/>
              </w:rPr>
              <w:t>/项</w:t>
            </w:r>
          </w:p>
        </w:tc>
      </w:tr>
      <w:tr>
        <w:tblPrEx>
          <w:tblCellMar>
            <w:top w:w="0" w:type="dxa"/>
            <w:left w:w="108" w:type="dxa"/>
            <w:bottom w:w="0" w:type="dxa"/>
            <w:right w:w="108" w:type="dxa"/>
          </w:tblCellMar>
        </w:tblPrEx>
        <w:trPr>
          <w:trHeight w:val="67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类固醇类激素9项检测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孕酮、17-羟孕酮、总睾酮、雄烯二酮、皮质醇、11-脱氧皮质醇、脱氢表雄酮、硫酸脱氢表雄酮、脱氧皮质酮等激素检测</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r>
      <w:tr>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盐皮质激素相关高血压筛查</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醛固酮、血管紧张素I（孵育前）、血管紧张素I（孵育后）、肾素活性、醛固酮/肾素活性、脱氧皮质酮、皮质醇、可的松、皮质醇/可的松、干扰药物等相关因子筛查</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370</w:t>
            </w:r>
          </w:p>
        </w:tc>
      </w:tr>
      <w:tr>
        <w:tblPrEx>
          <w:tblCellMar>
            <w:top w:w="0" w:type="dxa"/>
            <w:left w:w="108" w:type="dxa"/>
            <w:bottom w:w="0" w:type="dxa"/>
            <w:right w:w="108" w:type="dxa"/>
          </w:tblCellMar>
        </w:tblPrEx>
        <w:trPr>
          <w:trHeight w:val="67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雄激素5项检测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包含：17α羟孕酮测定、睾酮测定、雄烯二酮测定、血清脱氢表雄酮及硫酸酯测定、血清脱氢表雄酮及硫酸酯测定</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200</w:t>
            </w:r>
          </w:p>
        </w:tc>
      </w:tr>
      <w:tr>
        <w:tblPrEx>
          <w:tblCellMar>
            <w:top w:w="0" w:type="dxa"/>
            <w:left w:w="108" w:type="dxa"/>
            <w:bottom w:w="0" w:type="dxa"/>
            <w:right w:w="108" w:type="dxa"/>
          </w:tblCellMar>
        </w:tblPrEx>
        <w:trPr>
          <w:trHeight w:val="7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性早熟激素8项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包含：孕酮、17-羟孕酮、总睾酮、雄烯二酮、皮质醇、11-脱氧皮质醇、脱氢表雄酮、脱氧皮质酮</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310</w:t>
            </w:r>
          </w:p>
        </w:tc>
      </w:tr>
      <w:tr>
        <w:trPr>
          <w:trHeight w:val="112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胆汁酸谱测定</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包含：鹅脱氧胆酸、甘氨鹅脱氧胆酸、牛磺鹅脱氧胆酸、胆酸、甘氨胆酸、牛磺胆酸、脱氧胆酸、甘氨脱氧胆酸、牛磺脱氧胆酸、熊脱氧胆酸、甘氨熊脱氧胆酸、牛磺熊脱氧胆酸、石胆酸、甘氨石胆酸、牛磺石胆酸等15中胆酸检测</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w:t>
            </w:r>
          </w:p>
        </w:tc>
      </w:tr>
      <w:tr>
        <w:tblPrEx>
          <w:tblCellMar>
            <w:top w:w="0" w:type="dxa"/>
            <w:left w:w="108" w:type="dxa"/>
            <w:bottom w:w="0" w:type="dxa"/>
            <w:right w:w="108" w:type="dxa"/>
          </w:tblCellMar>
        </w:tblPrEx>
        <w:trPr>
          <w:trHeight w:val="67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儿茶酚胺六项检测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多巴胺、肾上腺素、去甲肾上腺素、3-甲氧酪胺（3-MT）、甲氧基肾上腺素（MN）、甲氧基去甲肾上腺素（NMN）</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w:t>
            </w:r>
          </w:p>
        </w:tc>
      </w:tr>
      <w:tr>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24小时尿儿茶酚胺8项检测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串联质谱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多巴胺、肾上腺素、去甲肾上腺素、香草扁桃酸（VMA）、甲氧基去甲肾上腺素（NMN）、甲氧基肾上腺素（MN）、3-甲氧基酪胺（3-MT）、高香草酸（HVA）</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遗传性耳聋基因检测(20位点）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心脑血管个性化用药指导21基因检测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叶酸及营养元素19基因检测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癫痫个性化用药15基因检测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血栓性疾病个体化用药基因检测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20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高血压个性化用药基因检测</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核酸质谱</w:t>
            </w:r>
          </w:p>
        </w:tc>
        <w:tc>
          <w:tcPr>
            <w:tcW w:w="38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800</w:t>
            </w:r>
          </w:p>
        </w:tc>
      </w:tr>
    </w:tbl>
    <w:p>
      <w:pPr>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A4包：</w:t>
      </w:r>
      <w:r>
        <w:rPr>
          <w:rFonts w:hint="eastAsia" w:ascii="仿宋" w:hAnsi="仿宋" w:eastAsia="仿宋" w:cs="仿宋"/>
          <w:b/>
          <w:sz w:val="24"/>
          <w:szCs w:val="24"/>
        </w:rPr>
        <w:t>血液病系列检测服务具体要求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1、投标人需自主拥有血液NGS检测平台、一代测序平台以及qPCR检测平台等多类型的技术平台。</w:t>
      </w:r>
      <w:r>
        <w:rPr>
          <w:rFonts w:hint="eastAsia" w:ascii="仿宋" w:hAnsi="仿宋" w:eastAsia="仿宋" w:cs="仿宋"/>
          <w:sz w:val="24"/>
          <w:szCs w:val="24"/>
          <w:lang w:val="en-US" w:eastAsia="zh-CN"/>
        </w:rPr>
        <w:t>检测项目需涵盖指南要求。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2、投标人应具有发MICM（形态学，免疫学，细胞遗传学，分子生物学）综合报告的能力。</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3、试剂项目：白血病相关融合基因检测试剂盒（荧光RT-PCR），骨髓增殖性肿瘤相关基因突变检测试剂（PCR荧光探针法），TEL-AML1探针组，WT1基因定量检测试剂盒，FIP1L1-PDGFRa FISH探针法，固有免疫功能检测等，但不限于这些基因。   </w:t>
      </w:r>
    </w:p>
    <w:tbl>
      <w:tblPr>
        <w:tblStyle w:val="35"/>
        <w:tblW w:w="9418" w:type="dxa"/>
        <w:tblInd w:w="0" w:type="dxa"/>
        <w:tblLayout w:type="autofit"/>
        <w:tblCellMar>
          <w:top w:w="0" w:type="dxa"/>
          <w:left w:w="108" w:type="dxa"/>
          <w:bottom w:w="0" w:type="dxa"/>
          <w:right w:w="108" w:type="dxa"/>
        </w:tblCellMar>
      </w:tblPr>
      <w:tblGrid>
        <w:gridCol w:w="749"/>
        <w:gridCol w:w="6851"/>
        <w:gridCol w:w="1818"/>
      </w:tblGrid>
      <w:tr>
        <w:tblPrEx>
          <w:tblCellMar>
            <w:top w:w="0" w:type="dxa"/>
            <w:left w:w="108" w:type="dxa"/>
            <w:bottom w:w="0" w:type="dxa"/>
            <w:right w:w="108" w:type="dxa"/>
          </w:tblCellMar>
        </w:tblPrEx>
        <w:trPr>
          <w:trHeight w:val="632" w:hRule="atLeast"/>
        </w:trPr>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编号</w:t>
            </w:r>
          </w:p>
        </w:tc>
        <w:tc>
          <w:tcPr>
            <w:tcW w:w="685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项目明细</w:t>
            </w:r>
          </w:p>
        </w:tc>
        <w:tc>
          <w:tcPr>
            <w:tcW w:w="1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参考收费价格（元）</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髓系白血病中25种融合基因筛查</w:t>
            </w:r>
          </w:p>
        </w:tc>
        <w:tc>
          <w:tcPr>
            <w:tcW w:w="181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淋系白血病中14种融合基因筛查</w:t>
            </w:r>
          </w:p>
        </w:tc>
        <w:tc>
          <w:tcPr>
            <w:tcW w:w="181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白血病中56种融合基因筛查</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3600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白血病中30种融合基因筛查</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Ph</w:t>
            </w:r>
            <w:r>
              <w:rPr>
                <w:rFonts w:hint="eastAsia" w:ascii="仿宋" w:hAnsi="仿宋" w:eastAsia="仿宋" w:cs="仿宋"/>
                <w:color w:val="333333"/>
                <w:kern w:val="0"/>
                <w:sz w:val="24"/>
                <w:szCs w:val="24"/>
              </w:rPr>
              <w:t>样ALL相关融合基因筛查(1表达+27融合）</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APL罕见融合基因检测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PML/RARα融合基因定量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BCR-ABL1融合基因分型&amp;定量(初诊)</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900</w:t>
            </w:r>
          </w:p>
        </w:tc>
      </w:tr>
      <w:tr>
        <w:tblPrEx>
          <w:tblCellMar>
            <w:top w:w="0" w:type="dxa"/>
            <w:left w:w="108" w:type="dxa"/>
            <w:bottom w:w="0" w:type="dxa"/>
            <w:right w:w="108" w:type="dxa"/>
          </w:tblCellMar>
        </w:tblPrEx>
        <w:trPr>
          <w:trHeight w:val="2497"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685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PML/ RARα融合基因v型定量检测/S型定量检测/L型定量检测；TEL/ABL1定量；AML-ETO融合基因检测；MLL-AF9融合基因定量检测(RQ-PCR)；FIP1L1-PDGFRa融合基因定量检测；ETV6-PDGFRB融合基因定量检测；CBFβ-MYH11融合基因定量检测(RQ-PCR)；BCR-ABL1(p230)融合基因定量检测(RQ-PCR)；BCR-ABL1(p210)融合基因定量检测(RQ-PCR)；BCR-ABL1(p190)融合基因定量检测(RQ-PCR)；SIL/TAL1定量；NPM1/ALK定量；MLL/AF6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300/项</w:t>
            </w:r>
          </w:p>
        </w:tc>
      </w:tr>
      <w:tr>
        <w:tblPrEx>
          <w:tblCellMar>
            <w:top w:w="0" w:type="dxa"/>
            <w:left w:w="108" w:type="dxa"/>
            <w:bottom w:w="0" w:type="dxa"/>
            <w:right w:w="108" w:type="dxa"/>
          </w:tblCellMar>
        </w:tblPrEx>
        <w:trPr>
          <w:trHeight w:val="3429"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685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FISH-IGH/MAF；FISH-IGH/MAFB；FISH-IGH/FGFR3；FISH-IGH/CCND1；FISH-IGH/BCL2；FISH-BCR/ABL1；FISH-IGH/MYC；FISH-c-MYC；FISH-RB1；浆细胞富集（CD138）；p53基因(17p13.1)缺失检测(FISH)；CKS1B(1q21)基因扩增检测(FISH)；CBFβ基因重排检测(FISH)；FISH-BCL6基因重排；FISH-Y(男性勾选）FISH；'7q-(-7/del(7q),FISH)；'5q-(-5/del(5q),FISH)；'20q-(del(20q),FISH)；'13q14.3/13q34(D13S319/13q34,FISH)；'+8(CEP8,FISH)；'+12(CEP12,FISH)；JAK2基因重排（FISH）；ATM基因(11q22)缺失检测(FISH)</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800/项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三项收费2380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WT1定量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FLT3-ITD突变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IDH1/IDH2突变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TP53突变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JAK2 V617F定量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JAK2基因突变检测(外显子12，13)</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MPL检测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CALR检测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CSF3R突变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BCRABL激酶区突变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SF3B1突变</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阳性位点后续检测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T细胞克隆性评估</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1350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B细胞克隆性评估</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1350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弥漫大B细胞淋巴瘤相关基因突变检测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AML相关基因突变检测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ALL相关基因突变检测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HCL相关基因突变检测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CLL/SLL相关基因突变检测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MDS/MPN相关基因突变检测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CMML相关基因突变检测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JMML相关基因突变检测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AA相关基因突变检测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MDS相关基因突变检测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3800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地中海贫血基因分型(含α地贫点突变检测)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噬血细胞综合征（HLH）基因突变筛查</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HLA等位基因确认分型（含HLA-A/B/C/DRB1/DQB1/DPB1）</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骨髓移植供体细胞 DNA嵌合率检测（STR）</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4160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MPN4基因</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AML相关基因突变及融合检测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AML相关基因突变及融合检测（基础套餐7突变+6融合）</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MPN相关基因突变及融合检测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MPN相关基因突变及融合检测(基础套餐4突变+1融合）</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ALL相关基因突变及融合检测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6000</w:t>
            </w:r>
          </w:p>
        </w:tc>
      </w:tr>
      <w:tr>
        <w:tblPrEx>
          <w:tblCellMar>
            <w:top w:w="0" w:type="dxa"/>
            <w:left w:w="108" w:type="dxa"/>
            <w:bottom w:w="0" w:type="dxa"/>
            <w:right w:w="108" w:type="dxa"/>
          </w:tblCellMar>
        </w:tblPrEx>
        <w:trPr>
          <w:trHeight w:val="520"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MDS相关基因突变及融合检测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5300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血小板自身抗体六项(PAKAUTO)</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血清游离轻链组合</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血清免疫固定电泳(IgD+IgE)</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49</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尿免疫固定电泳</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尿蛋白电泳定量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血蛋白电泳定量</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血红蛋白电泳</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尿游离轻链组合</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彗星实验（SCGE）+丝裂霉素C实验（MMC）</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ADAMTS13酶活性及抑制性抗体检测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高敏PNH全套检测(14CD)</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1120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EMA流式检测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640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58</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aGVHD生物标志物检测六因子</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59</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可溶性CD25</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1080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骨髓细胞染色体核型分析</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580</w:t>
            </w:r>
          </w:p>
        </w:tc>
      </w:tr>
      <w:tr>
        <w:tblPrEx>
          <w:tblCellMar>
            <w:top w:w="0" w:type="dxa"/>
            <w:left w:w="108" w:type="dxa"/>
            <w:bottom w:w="0" w:type="dxa"/>
            <w:right w:w="108" w:type="dxa"/>
          </w:tblCellMar>
        </w:tblPrEx>
        <w:trPr>
          <w:trHeight w:val="535"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DSA-HLA抗体打包（抗体筛查LMX+LSA I/II类检测）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62</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HLA-loss</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12" w:hRule="atLeast"/>
        </w:trPr>
        <w:tc>
          <w:tcPr>
            <w:tcW w:w="7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68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sC5b-9浓度检测</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r>
      <w:tr>
        <w:tblPrEx>
          <w:tblCellMar>
            <w:top w:w="0" w:type="dxa"/>
            <w:left w:w="108" w:type="dxa"/>
            <w:bottom w:w="0" w:type="dxa"/>
            <w:right w:w="108" w:type="dxa"/>
          </w:tblCellMar>
        </w:tblPrEx>
        <w:trPr>
          <w:trHeight w:val="422" w:hRule="atLeast"/>
        </w:trPr>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64</w:t>
            </w:r>
          </w:p>
        </w:tc>
        <w:tc>
          <w:tcPr>
            <w:tcW w:w="68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肾穿刺活检电镜检查</w:t>
            </w:r>
          </w:p>
        </w:tc>
        <w:tc>
          <w:tcPr>
            <w:tcW w:w="1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w:t>
            </w:r>
          </w:p>
        </w:tc>
      </w:tr>
    </w:tbl>
    <w:p>
      <w:pPr>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A5包：</w:t>
      </w:r>
      <w:r>
        <w:rPr>
          <w:rFonts w:hint="eastAsia" w:ascii="仿宋" w:hAnsi="仿宋" w:eastAsia="仿宋" w:cs="仿宋"/>
          <w:b/>
          <w:sz w:val="24"/>
          <w:szCs w:val="24"/>
        </w:rPr>
        <w:t>感染系列检测服务具体要求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1、单个样本下机数据量不低于20M Reads数，每份样本测序数据质量必须达到 Q30＞85%，测序 Read长度≥75bp；可覆盖多种样本类型，包括：血液、脑脊液、痰液、肺泡灌洗液、脓液、新鲜组织、拭子、胸腹水、关节液等。需提供原始下机数据以备检查和核查。</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2、所提供产品的病原体数据库所含病原菌≥1</w:t>
      </w:r>
      <w:r>
        <w:rPr>
          <w:rFonts w:hint="eastAsia" w:ascii="仿宋" w:hAnsi="仿宋" w:eastAsia="仿宋" w:cs="仿宋"/>
          <w:sz w:val="24"/>
          <w:szCs w:val="24"/>
          <w:lang w:val="en-US" w:eastAsia="zh-CN"/>
        </w:rPr>
        <w:t>0</w:t>
      </w:r>
      <w:r>
        <w:rPr>
          <w:rFonts w:hint="eastAsia" w:ascii="仿宋" w:hAnsi="仿宋" w:eastAsia="仿宋" w:cs="仿宋"/>
          <w:sz w:val="24"/>
          <w:szCs w:val="24"/>
        </w:rPr>
        <w:t>000种，检测病原体种类包括：细菌（含肺胞子菌，军团菌）、真菌、病毒、寄生虫、分枝杆菌、支原体/衣原体、立克次体等（需提供实验室检出记录）；数据库涵盖试剂工程菌背景数据库、人体定植菌数据库。</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3、临床对样本中宏基因组测序项目检出的病原体存疑(与医院实际诊断不符或与患者临床症状不符等情况），实验室</w:t>
      </w:r>
      <w:r>
        <w:rPr>
          <w:rFonts w:hint="eastAsia" w:ascii="仿宋" w:hAnsi="仿宋" w:eastAsia="仿宋" w:cs="仿宋"/>
          <w:sz w:val="24"/>
          <w:szCs w:val="24"/>
          <w:lang w:val="en-US" w:eastAsia="zh-CN"/>
        </w:rPr>
        <w:t>应</w:t>
      </w:r>
      <w:r>
        <w:rPr>
          <w:rFonts w:hint="eastAsia" w:ascii="仿宋" w:hAnsi="仿宋" w:eastAsia="仿宋" w:cs="仿宋"/>
          <w:sz w:val="24"/>
          <w:szCs w:val="24"/>
        </w:rPr>
        <w:t>提供原始下机数据以备检查和核查。</w:t>
      </w:r>
    </w:p>
    <w:p>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4、常规样本检测从样本接收到报告发出</w:t>
      </w:r>
      <w:r>
        <w:rPr>
          <w:rFonts w:hint="eastAsia" w:ascii="仿宋" w:hAnsi="仿宋" w:eastAsia="仿宋" w:cs="仿宋"/>
          <w:color w:val="000000"/>
          <w:sz w:val="24"/>
          <w:szCs w:val="24"/>
          <w:lang w:val="en-US" w:eastAsia="zh-CN"/>
        </w:rPr>
        <w:t>＜72</w:t>
      </w:r>
      <w:r>
        <w:rPr>
          <w:rFonts w:hint="eastAsia" w:ascii="仿宋" w:hAnsi="仿宋" w:eastAsia="仿宋" w:cs="仿宋"/>
          <w:color w:val="000000"/>
          <w:sz w:val="24"/>
          <w:szCs w:val="24"/>
        </w:rPr>
        <w:t>小时，急诊样本（临床医生根据患者病情评估）从样本接收到报告发出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48小时。每个样本提供专业的冷链物流配送。</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5、对于进行宏基因组测序的每份样本，实验室提供相应样本的涂片染色镜检结果。宏基因组报告单整合了宏基因组测序及传统染色镜检结果。</w:t>
      </w:r>
    </w:p>
    <w:tbl>
      <w:tblPr>
        <w:tblStyle w:val="35"/>
        <w:tblW w:w="8716" w:type="dxa"/>
        <w:tblInd w:w="0" w:type="dxa"/>
        <w:tblLayout w:type="autofit"/>
        <w:tblCellMar>
          <w:top w:w="0" w:type="dxa"/>
          <w:left w:w="108" w:type="dxa"/>
          <w:bottom w:w="0" w:type="dxa"/>
          <w:right w:w="108" w:type="dxa"/>
        </w:tblCellMar>
      </w:tblPr>
      <w:tblGrid>
        <w:gridCol w:w="704"/>
        <w:gridCol w:w="3969"/>
        <w:gridCol w:w="1843"/>
        <w:gridCol w:w="2200"/>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参考收费价格（元）</w:t>
            </w:r>
          </w:p>
        </w:tc>
        <w:tc>
          <w:tcPr>
            <w:tcW w:w="2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检测方法</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病原微生物宏基因高通量测序（DNA+RNA）</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5000</w:t>
            </w:r>
          </w:p>
        </w:tc>
        <w:tc>
          <w:tcPr>
            <w:tcW w:w="2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高通量测序</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病原微生物宏基因高通量测序（RNA）</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3500</w:t>
            </w:r>
          </w:p>
        </w:tc>
        <w:tc>
          <w:tcPr>
            <w:tcW w:w="2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高通量测序</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病原微生物宏基因高通量测序（DNA）</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3500</w:t>
            </w:r>
          </w:p>
        </w:tc>
        <w:tc>
          <w:tcPr>
            <w:tcW w:w="2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高通量测序</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病原微生物靶向测序（tNGS）</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1200</w:t>
            </w:r>
          </w:p>
        </w:tc>
        <w:tc>
          <w:tcPr>
            <w:tcW w:w="2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PCR+二代测序</w:t>
            </w:r>
          </w:p>
        </w:tc>
      </w:tr>
    </w:tbl>
    <w:p>
      <w:pPr>
        <w:spacing w:line="360" w:lineRule="auto"/>
        <w:rPr>
          <w:b/>
          <w:bCs/>
          <w:sz w:val="24"/>
          <w:szCs w:val="24"/>
        </w:rPr>
      </w:pPr>
    </w:p>
    <w:p>
      <w:pPr>
        <w:pStyle w:val="34"/>
        <w:ind w:left="0" w:leftChars="0" w:firstLine="0" w:firstLineChars="0"/>
        <w:rPr>
          <w:rFonts w:hint="default" w:eastAsia="宋体"/>
          <w:lang w:val="en-US" w:eastAsia="zh-CN"/>
        </w:rPr>
      </w:pPr>
    </w:p>
    <w:p>
      <w:pPr>
        <w:rPr>
          <w:rFonts w:hint="eastAsia"/>
          <w:lang w:val="en-US" w:eastAsia="zh-CN"/>
        </w:rPr>
      </w:pPr>
    </w:p>
    <w:p>
      <w:pPr>
        <w:pStyle w:val="4"/>
        <w:pageBreakBefore w:val="0"/>
        <w:numPr>
          <w:ilvl w:val="0"/>
          <w:numId w:val="0"/>
        </w:numPr>
        <w:kinsoku/>
        <w:overflowPunct/>
        <w:topLinePunct w:val="0"/>
        <w:bidi w:val="0"/>
        <w:snapToGrid/>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329" w:name="_Toc9220"/>
      <w:bookmarkStart w:id="330" w:name="_Toc17842"/>
      <w:bookmarkStart w:id="331" w:name="_Toc23109"/>
      <w:bookmarkStart w:id="332" w:name="_Toc15105"/>
      <w:bookmarkStart w:id="333" w:name="_Toc3"/>
      <w:r>
        <w:rPr>
          <w:rFonts w:hint="eastAsia" w:ascii="仿宋" w:hAnsi="仿宋" w:eastAsia="仿宋" w:cs="仿宋"/>
          <w:b/>
          <w:bCs w:val="0"/>
          <w:sz w:val="28"/>
          <w:szCs w:val="28"/>
          <w:highlight w:val="none"/>
        </w:rPr>
        <w:t>第六部分  附件</w:t>
      </w:r>
      <w:bookmarkEnd w:id="318"/>
      <w:bookmarkEnd w:id="319"/>
      <w:bookmarkEnd w:id="329"/>
      <w:bookmarkEnd w:id="330"/>
      <w:bookmarkEnd w:id="331"/>
      <w:bookmarkEnd w:id="332"/>
      <w:bookmarkEnd w:id="33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334" w:name="_Toc356491342"/>
      <w:bookmarkStart w:id="335" w:name="_Toc1537"/>
      <w:bookmarkStart w:id="336" w:name="_Toc13636"/>
      <w:bookmarkStart w:id="337" w:name="_Toc18726"/>
      <w:bookmarkStart w:id="338" w:name="_Toc356490394"/>
      <w:bookmarkStart w:id="339" w:name="_Toc6901"/>
      <w:bookmarkStart w:id="340" w:name="_Toc16164"/>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334"/>
      <w:bookmarkEnd w:id="335"/>
      <w:bookmarkEnd w:id="336"/>
      <w:bookmarkEnd w:id="337"/>
      <w:bookmarkEnd w:id="338"/>
      <w:bookmarkEnd w:id="339"/>
      <w:bookmarkEnd w:id="34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41" w:name="_Toc323130135"/>
      <w:bookmarkStart w:id="342" w:name="_Toc323129568"/>
      <w:bookmarkStart w:id="343" w:name="_Toc356491343"/>
      <w:bookmarkStart w:id="344" w:name="_Toc7221"/>
      <w:bookmarkStart w:id="345" w:name="_Toc325620729"/>
      <w:bookmarkStart w:id="346" w:name="_Toc10742"/>
      <w:bookmarkStart w:id="347" w:name="_Toc1366"/>
      <w:bookmarkStart w:id="348" w:name="_Toc19377"/>
      <w:bookmarkStart w:id="349" w:name="_Toc16847"/>
      <w:r>
        <w:rPr>
          <w:rFonts w:hint="eastAsia" w:ascii="仿宋" w:hAnsi="仿宋" w:eastAsia="仿宋" w:cs="仿宋"/>
          <w:sz w:val="28"/>
          <w:szCs w:val="28"/>
          <w:highlight w:val="none"/>
        </w:rPr>
        <w:t>附件二</w:t>
      </w:r>
      <w:bookmarkEnd w:id="341"/>
      <w:bookmarkEnd w:id="342"/>
      <w:r>
        <w:rPr>
          <w:rFonts w:hint="eastAsia" w:ascii="仿宋" w:hAnsi="仿宋" w:eastAsia="仿宋" w:cs="仿宋"/>
          <w:sz w:val="28"/>
          <w:szCs w:val="28"/>
          <w:highlight w:val="none"/>
        </w:rPr>
        <w:t>：法定代表人授权委托书</w:t>
      </w:r>
      <w:bookmarkEnd w:id="343"/>
      <w:bookmarkEnd w:id="344"/>
      <w:bookmarkEnd w:id="345"/>
      <w:bookmarkEnd w:id="346"/>
      <w:bookmarkEnd w:id="347"/>
      <w:bookmarkEnd w:id="348"/>
      <w:bookmarkEnd w:id="34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2"/>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350" w:name="_Toc11320305"/>
      <w:bookmarkStart w:id="351" w:name="_Toc323130136"/>
      <w:bookmarkStart w:id="352" w:name="_Toc323129569"/>
      <w:bookmarkStart w:id="353" w:name="_Toc325620730"/>
      <w:bookmarkStart w:id="354" w:name="_Toc356490395"/>
      <w:bookmarkStart w:id="355" w:name="_Toc356491344"/>
    </w:p>
    <w:p>
      <w:pPr>
        <w:pStyle w:val="2"/>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kern w:val="0"/>
          <w:sz w:val="28"/>
          <w:szCs w:val="28"/>
          <w:highlight w:val="none"/>
          <w:lang w:val="en-US" w:eastAsia="zh-CN" w:bidi="ar-SA"/>
        </w:rPr>
      </w:pPr>
      <w:bookmarkStart w:id="356" w:name="_Toc22936"/>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357" w:name="_Toc17296"/>
      <w:bookmarkStart w:id="358" w:name="_Toc21141"/>
      <w:bookmarkStart w:id="359" w:name="_Toc17572"/>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350"/>
      <w:bookmarkEnd w:id="356"/>
      <w:bookmarkEnd w:id="357"/>
      <w:bookmarkEnd w:id="358"/>
      <w:bookmarkEnd w:id="359"/>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r>
        <w:rPr>
          <w:rFonts w:hint="eastAsia" w:ascii="仿宋" w:hAnsi="仿宋" w:eastAsia="仿宋" w:cs="仿宋"/>
          <w:b w:val="0"/>
          <w:bCs w:val="0"/>
          <w:kern w:val="2"/>
          <w:sz w:val="28"/>
          <w:szCs w:val="28"/>
          <w:highlight w:val="none"/>
        </w:rPr>
        <w:br w:type="page"/>
      </w:r>
      <w:bookmarkStart w:id="360" w:name="_Toc9736"/>
      <w:bookmarkStart w:id="361" w:name="_Toc3372"/>
      <w:bookmarkStart w:id="362" w:name="_Toc5273"/>
      <w:bookmarkStart w:id="363" w:name="_Toc22323"/>
      <w:bookmarkStart w:id="364" w:name="_Toc12415"/>
      <w:r>
        <w:rPr>
          <w:rFonts w:hint="eastAsia" w:ascii="仿宋" w:hAnsi="仿宋" w:eastAsia="仿宋" w:cs="仿宋"/>
          <w:sz w:val="28"/>
          <w:szCs w:val="28"/>
          <w:highlight w:val="none"/>
        </w:rPr>
        <w:t>附件</w:t>
      </w:r>
      <w:bookmarkEnd w:id="351"/>
      <w:bookmarkEnd w:id="352"/>
      <w:r>
        <w:rPr>
          <w:rFonts w:hint="eastAsia" w:ascii="仿宋" w:hAnsi="仿宋" w:eastAsia="仿宋" w:cs="仿宋"/>
          <w:sz w:val="28"/>
          <w:szCs w:val="28"/>
          <w:highlight w:val="none"/>
        </w:rPr>
        <w:t>四：报  价 一 览 表</w:t>
      </w:r>
      <w:bookmarkEnd w:id="353"/>
      <w:bookmarkEnd w:id="354"/>
      <w:bookmarkEnd w:id="355"/>
      <w:bookmarkEnd w:id="360"/>
      <w:bookmarkEnd w:id="361"/>
      <w:bookmarkEnd w:id="362"/>
      <w:bookmarkEnd w:id="363"/>
      <w:bookmarkEnd w:id="364"/>
    </w:p>
    <w:p>
      <w:pPr>
        <w:pStyle w:val="2"/>
        <w:pageBreakBefore w:val="0"/>
        <w:kinsoku/>
        <w:overflowPunct/>
        <w:topLinePunct w:val="0"/>
        <w:bidi w:val="0"/>
        <w:snapToGrid/>
        <w:spacing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 xml:space="preserve"> </w:t>
      </w:r>
      <w:r>
        <w:rPr>
          <w:rFonts w:hint="eastAsia" w:ascii="仿宋" w:hAnsi="仿宋" w:eastAsia="仿宋" w:cs="仿宋"/>
          <w:b/>
          <w:bCs w:val="0"/>
          <w:sz w:val="28"/>
          <w:szCs w:val="28"/>
          <w:highlight w:val="none"/>
        </w:rPr>
        <w:t>报  价 一 览 表</w:t>
      </w:r>
    </w:p>
    <w:p>
      <w:pPr>
        <w:rPr>
          <w:rFonts w:hint="default"/>
          <w:lang w:val="en-US" w:eastAsia="zh-CN"/>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包号：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 xml:space="preserve">投标人名称（公章）：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r>
        <w:rPr>
          <w:rFonts w:hint="eastAsia" w:ascii="仿宋" w:hAnsi="仿宋" w:eastAsia="仿宋" w:cs="仿宋"/>
          <w:b/>
          <w:highlight w:val="none"/>
        </w:rPr>
        <w:t xml:space="preserve">                                            </w:t>
      </w:r>
    </w:p>
    <w:tbl>
      <w:tblPr>
        <w:tblStyle w:val="3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2"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5977"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2"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5977"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2" w:type="dxa"/>
            <w:vAlign w:val="center"/>
          </w:tcPr>
          <w:p>
            <w:pPr>
              <w:spacing w:line="48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lang w:val="en-US" w:eastAsia="zh-CN"/>
              </w:rPr>
              <w:t>折扣率</w:t>
            </w:r>
          </w:p>
        </w:tc>
        <w:tc>
          <w:tcPr>
            <w:tcW w:w="5977" w:type="dxa"/>
            <w:vAlign w:val="center"/>
          </w:tcPr>
          <w:p>
            <w:pPr>
              <w:spacing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医院制定</w:t>
            </w:r>
            <w:r>
              <w:rPr>
                <w:rFonts w:hint="eastAsia" w:ascii="仿宋" w:hAnsi="仿宋" w:eastAsia="仿宋" w:cs="仿宋"/>
                <w:sz w:val="24"/>
                <w:highlight w:val="none"/>
                <w:lang w:val="en-US" w:eastAsia="zh-CN"/>
              </w:rPr>
              <w:t>收费价格的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2"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5977"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642"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5977"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642"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5977"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w:t>
      </w:r>
      <w:r>
        <w:rPr>
          <w:rFonts w:hint="eastAsia" w:ascii="仿宋" w:hAnsi="仿宋" w:eastAsia="仿宋" w:cs="仿宋"/>
          <w:bCs w:val="0"/>
          <w:sz w:val="28"/>
          <w:szCs w:val="28"/>
          <w:highlight w:val="none"/>
          <w:lang w:val="en-US" w:eastAsia="zh-CN"/>
        </w:rPr>
        <w:t>投包号</w:t>
      </w:r>
      <w:r>
        <w:rPr>
          <w:rFonts w:hint="eastAsia" w:ascii="仿宋" w:hAnsi="仿宋" w:eastAsia="仿宋" w:cs="仿宋"/>
          <w:bCs w:val="0"/>
          <w:sz w:val="28"/>
          <w:szCs w:val="28"/>
          <w:highlight w:val="none"/>
        </w:rPr>
        <w:t>、投标人名称。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365" w:name="_Toc323129572"/>
      <w:bookmarkStart w:id="366" w:name="_Toc323130139"/>
      <w:bookmarkStart w:id="367" w:name="_Toc28409"/>
      <w:bookmarkStart w:id="368" w:name="_Toc325620733"/>
      <w:bookmarkStart w:id="369" w:name="_Toc1344"/>
      <w:bookmarkStart w:id="370" w:name="_Toc8079"/>
      <w:bookmarkStart w:id="371" w:name="_Toc21772"/>
      <w:bookmarkStart w:id="372" w:name="_Toc356491346"/>
      <w:bookmarkStart w:id="373" w:name="_Toc9389"/>
      <w:bookmarkStart w:id="374" w:name="_Toc356490397"/>
      <w:r>
        <w:rPr>
          <w:rFonts w:hint="eastAsia" w:ascii="仿宋" w:hAnsi="仿宋" w:eastAsia="仿宋" w:cs="仿宋"/>
          <w:sz w:val="28"/>
          <w:szCs w:val="28"/>
          <w:highlight w:val="none"/>
        </w:rPr>
        <w:t>附件</w:t>
      </w:r>
      <w:bookmarkEnd w:id="365"/>
      <w:bookmarkEnd w:id="366"/>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：投 标 偏 离 表</w:t>
      </w:r>
      <w:bookmarkEnd w:id="367"/>
      <w:bookmarkEnd w:id="368"/>
      <w:bookmarkEnd w:id="369"/>
      <w:bookmarkEnd w:id="370"/>
      <w:bookmarkEnd w:id="371"/>
      <w:bookmarkEnd w:id="372"/>
      <w:bookmarkEnd w:id="373"/>
      <w:bookmarkEnd w:id="374"/>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75" w:name="_Toc356491029"/>
      <w:bookmarkStart w:id="376" w:name="_Toc362625957"/>
      <w:bookmarkStart w:id="377" w:name="_Toc357793072"/>
      <w:bookmarkStart w:id="378" w:name="_Toc375561669"/>
      <w:bookmarkStart w:id="379" w:name="_Toc415058612"/>
      <w:bookmarkStart w:id="380" w:name="_Toc356491347"/>
      <w:r>
        <w:rPr>
          <w:rFonts w:hint="eastAsia" w:ascii="仿宋" w:hAnsi="仿宋" w:eastAsia="仿宋" w:cs="仿宋"/>
          <w:b/>
          <w:sz w:val="28"/>
          <w:szCs w:val="28"/>
          <w:highlight w:val="none"/>
        </w:rPr>
        <w:t>投  标 偏 离 表</w:t>
      </w:r>
      <w:bookmarkEnd w:id="375"/>
      <w:bookmarkEnd w:id="376"/>
      <w:bookmarkEnd w:id="377"/>
      <w:bookmarkEnd w:id="378"/>
      <w:bookmarkEnd w:id="379"/>
      <w:bookmarkEnd w:id="38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eastAsia="zh-CN"/>
        </w:rPr>
        <w:t xml:space="preserve">          包号：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投标人名称：（公章）法定代表人或授权代理人签字：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381" w:name="_Toc10566"/>
      <w:bookmarkStart w:id="382" w:name="_Toc12990"/>
      <w:bookmarkStart w:id="383" w:name="_Toc24798"/>
      <w:bookmarkStart w:id="384" w:name="_Toc7841"/>
      <w:bookmarkStart w:id="385" w:name="_Toc6006"/>
      <w:bookmarkStart w:id="386" w:name="_Toc525996982"/>
      <w:bookmarkStart w:id="387" w:name="_Toc323130140"/>
      <w:bookmarkStart w:id="388" w:name="_Toc356491348"/>
      <w:bookmarkStart w:id="389" w:name="_Toc323129573"/>
      <w:bookmarkStart w:id="390" w:name="_Toc7098148"/>
      <w:bookmarkStart w:id="391" w:name="_Toc356490398"/>
      <w:bookmarkStart w:id="392" w:name="_Toc6566"/>
      <w:bookmarkStart w:id="393" w:name="_Toc325620734"/>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381"/>
      <w:bookmarkEnd w:id="382"/>
      <w:r>
        <w:rPr>
          <w:rFonts w:hint="eastAsia" w:ascii="仿宋" w:hAnsi="仿宋" w:eastAsia="仿宋" w:cs="仿宋"/>
          <w:sz w:val="28"/>
          <w:szCs w:val="28"/>
          <w:highlight w:val="none"/>
          <w:lang w:val="en-US" w:eastAsia="zh-CN"/>
        </w:rPr>
        <w:t>拟投入本项目人员情况一览表</w:t>
      </w:r>
      <w:bookmarkEnd w:id="383"/>
      <w:bookmarkEnd w:id="384"/>
      <w:bookmarkEnd w:id="385"/>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拟投入本项目人员情况一览表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姓名</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所获得证书或资质</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说明：后附证书</w:t>
      </w:r>
      <w:r>
        <w:rPr>
          <w:rFonts w:hint="eastAsia" w:ascii="仿宋" w:hAnsi="仿宋" w:eastAsia="仿宋" w:cs="仿宋"/>
          <w:bCs w:val="0"/>
          <w:sz w:val="28"/>
          <w:szCs w:val="28"/>
          <w:highlight w:val="none"/>
          <w:lang w:val="en-US" w:eastAsia="zh-CN"/>
        </w:rPr>
        <w:t>或资质</w:t>
      </w:r>
      <w:r>
        <w:rPr>
          <w:rFonts w:hint="eastAsia" w:ascii="仿宋" w:hAnsi="仿宋" w:eastAsia="仿宋" w:cs="仿宋"/>
          <w:bCs w:val="0"/>
          <w:sz w:val="28"/>
          <w:szCs w:val="28"/>
          <w:highlight w:val="none"/>
        </w:rPr>
        <w:t>和社保缴纳证明</w:t>
      </w:r>
      <w:r>
        <w:rPr>
          <w:rFonts w:hint="eastAsia" w:ascii="仿宋" w:hAnsi="仿宋" w:eastAsia="仿宋" w:cs="仿宋"/>
          <w:bCs w:val="0"/>
          <w:sz w:val="28"/>
          <w:szCs w:val="28"/>
          <w:highlight w:val="none"/>
          <w:lang w:val="en-US" w:eastAsia="zh-CN"/>
        </w:rPr>
        <w:t>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u w:val="single"/>
        </w:rPr>
        <w:br w:type="page"/>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bookmarkStart w:id="394" w:name="_Toc27778"/>
      <w:bookmarkStart w:id="395" w:name="_Toc15949"/>
      <w:bookmarkStart w:id="396" w:name="_Toc22266"/>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拟投入本项目仪器设备情况一览表</w:t>
      </w:r>
      <w:bookmarkEnd w:id="394"/>
      <w:bookmarkEnd w:id="395"/>
      <w:bookmarkEnd w:id="396"/>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拟投入本项目仪器设备情况一览表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rPr>
            </w:pPr>
            <w:r>
              <w:rPr>
                <w:rFonts w:hint="eastAsia" w:ascii="仿宋" w:hAnsi="仿宋" w:eastAsia="仿宋" w:cs="仿宋"/>
                <w:bCs w:val="0"/>
                <w:sz w:val="28"/>
                <w:szCs w:val="28"/>
                <w:highlight w:val="none"/>
                <w:lang w:val="en-US" w:eastAsia="zh-CN"/>
              </w:rPr>
              <w:t>设备名称</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品牌</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规格型号</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w:t>
      </w:r>
      <w:r>
        <w:rPr>
          <w:rFonts w:hint="eastAsia" w:ascii="仿宋" w:hAnsi="仿宋" w:eastAsia="仿宋" w:cs="仿宋"/>
          <w:bCs w:val="0"/>
          <w:sz w:val="28"/>
          <w:szCs w:val="28"/>
          <w:highlight w:val="none"/>
          <w:lang w:val="en-US" w:eastAsia="zh-CN"/>
        </w:rPr>
        <w:t>设备照片及其他证明材料</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ind w:right="480"/>
        <w:jc w:val="right"/>
        <w:outlineLvl w:val="9"/>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bookmarkStart w:id="397" w:name="_Toc24232"/>
      <w:bookmarkStart w:id="398" w:name="_Toc20069"/>
    </w:p>
    <w:p>
      <w:pPr>
        <w:pStyle w:val="4"/>
        <w:pageBreakBefore w:val="0"/>
        <w:kinsoku/>
        <w:overflowPunct/>
        <w:topLinePunct w:val="0"/>
        <w:bidi w:val="0"/>
        <w:snapToGrid/>
        <w:spacing w:line="360" w:lineRule="auto"/>
        <w:ind w:right="480"/>
        <w:jc w:val="right"/>
        <w:rPr>
          <w:rFonts w:hint="eastAsia" w:ascii="仿宋" w:hAnsi="仿宋" w:eastAsia="仿宋" w:cs="仿宋"/>
          <w:bCs w:val="0"/>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97"/>
    <w:bookmarkEnd w:id="398"/>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99" w:name="_Toc3028"/>
      <w:bookmarkStart w:id="400" w:name="_Toc14828"/>
      <w:bookmarkStart w:id="401" w:name="_Toc10780"/>
      <w:bookmarkStart w:id="402" w:name="_Toc26627"/>
      <w:bookmarkStart w:id="403" w:name="_Toc32323"/>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bookmarkEnd w:id="399"/>
      <w:bookmarkEnd w:id="400"/>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日至今以来签订的同类业绩一览表</w:t>
      </w:r>
      <w:bookmarkEnd w:id="401"/>
      <w:bookmarkEnd w:id="402"/>
      <w:bookmarkEnd w:id="40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86"/>
    <w:bookmarkEnd w:id="387"/>
    <w:bookmarkEnd w:id="388"/>
    <w:bookmarkEnd w:id="389"/>
    <w:bookmarkEnd w:id="390"/>
    <w:bookmarkEnd w:id="391"/>
    <w:bookmarkEnd w:id="392"/>
    <w:bookmarkEnd w:id="393"/>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404" w:name="_Toc16991"/>
      <w:bookmarkStart w:id="405" w:name="_Toc4839"/>
      <w:bookmarkStart w:id="406" w:name="_Toc25037"/>
      <w:bookmarkStart w:id="407" w:name="_Toc3740"/>
      <w:bookmarkStart w:id="408" w:name="_Toc4866"/>
      <w:bookmarkStart w:id="409" w:name="_Toc501386372"/>
      <w:bookmarkStart w:id="410" w:name="_Toc481499180"/>
      <w:bookmarkStart w:id="411" w:name="_Toc323130141"/>
      <w:bookmarkStart w:id="412" w:name="_Toc323129574"/>
      <w:bookmarkStart w:id="413" w:name="_Toc325620735"/>
      <w:bookmarkStart w:id="414" w:name="_Toc356490399"/>
      <w:bookmarkStart w:id="415" w:name="_Toc35649134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404"/>
      <w:bookmarkEnd w:id="405"/>
      <w:bookmarkEnd w:id="406"/>
      <w:bookmarkEnd w:id="407"/>
      <w:bookmarkEnd w:id="408"/>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7"/>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409"/>
    <w:bookmarkEnd w:id="410"/>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416" w:name="_Toc20784"/>
      <w:bookmarkStart w:id="417" w:name="_Toc9573"/>
      <w:bookmarkStart w:id="418" w:name="_Toc15273"/>
      <w:bookmarkStart w:id="419" w:name="_Toc29452"/>
      <w:bookmarkStart w:id="420" w:name="_Toc28370"/>
      <w:r>
        <w:rPr>
          <w:rFonts w:hint="eastAsia" w:ascii="仿宋" w:hAnsi="仿宋" w:eastAsia="仿宋" w:cs="仿宋"/>
          <w:sz w:val="28"/>
          <w:szCs w:val="28"/>
          <w:highlight w:val="none"/>
        </w:rPr>
        <w:t>附件</w:t>
      </w:r>
      <w:bookmarkEnd w:id="411"/>
      <w:bookmarkEnd w:id="412"/>
      <w:r>
        <w:rPr>
          <w:rFonts w:hint="eastAsia" w:ascii="仿宋" w:hAnsi="仿宋" w:eastAsia="仿宋" w:cs="仿宋"/>
          <w:sz w:val="28"/>
          <w:szCs w:val="28"/>
          <w:highlight w:val="none"/>
        </w:rPr>
        <w:t>十：封面格</w:t>
      </w:r>
      <w:bookmarkEnd w:id="413"/>
      <w:r>
        <w:rPr>
          <w:rFonts w:hint="eastAsia" w:ascii="仿宋" w:hAnsi="仿宋" w:eastAsia="仿宋" w:cs="仿宋"/>
          <w:sz w:val="28"/>
          <w:szCs w:val="28"/>
          <w:highlight w:val="none"/>
        </w:rPr>
        <w:t>式</w:t>
      </w:r>
      <w:bookmarkEnd w:id="414"/>
      <w:bookmarkEnd w:id="415"/>
      <w:bookmarkEnd w:id="416"/>
      <w:bookmarkEnd w:id="417"/>
      <w:bookmarkEnd w:id="418"/>
      <w:bookmarkEnd w:id="419"/>
      <w:bookmarkEnd w:id="420"/>
    </w:p>
    <w:tbl>
      <w:tblPr>
        <w:tblStyle w:val="35"/>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0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7"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AFIC8SrAQAA&#10;cgMAAA4AAAAAAAAAAQAgAAAAIwEAAGRycy9lMm9Eb2MueG1sUEsFBgAAAAAGAAYAWQEAAEAFAAAA&#10;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3DB03"/>
    <w:multiLevelType w:val="singleLevel"/>
    <w:tmpl w:val="8043DB03"/>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4"/>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0000004"/>
    <w:multiLevelType w:val="singleLevel"/>
    <w:tmpl w:val="00000004"/>
    <w:lvl w:ilvl="0" w:tentative="0">
      <w:start w:val="4"/>
      <w:numFmt w:val="chineseCounting"/>
      <w:suff w:val="nothing"/>
      <w:lvlText w:val="%1、"/>
      <w:lvlJc w:val="left"/>
      <w:rPr>
        <w:rFonts w:hint="eastAsia"/>
      </w:rPr>
    </w:lvl>
  </w:abstractNum>
  <w:abstractNum w:abstractNumId="6">
    <w:nsid w:val="3956BC01"/>
    <w:multiLevelType w:val="singleLevel"/>
    <w:tmpl w:val="3956BC01"/>
    <w:lvl w:ilvl="0" w:tentative="0">
      <w:start w:val="1"/>
      <w:numFmt w:val="decimal"/>
      <w:lvlText w:val="%1."/>
      <w:lvlJc w:val="left"/>
      <w:pPr>
        <w:tabs>
          <w:tab w:val="left" w:pos="312"/>
        </w:tabs>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GVlMTgwOTQ5ZDE1ZjcyOGM0Y2YzMGQ2M2JhZTQifQ=="/>
  </w:docVars>
  <w:rsids>
    <w:rsidRoot w:val="00000000"/>
    <w:rsid w:val="000220FA"/>
    <w:rsid w:val="00F211EF"/>
    <w:rsid w:val="01510EFF"/>
    <w:rsid w:val="02086759"/>
    <w:rsid w:val="0232089A"/>
    <w:rsid w:val="033A0C2B"/>
    <w:rsid w:val="0486237A"/>
    <w:rsid w:val="04A5465C"/>
    <w:rsid w:val="05687CD1"/>
    <w:rsid w:val="07724E37"/>
    <w:rsid w:val="09351905"/>
    <w:rsid w:val="09F204B1"/>
    <w:rsid w:val="0A435EA1"/>
    <w:rsid w:val="0A9E5F43"/>
    <w:rsid w:val="0BD27CF3"/>
    <w:rsid w:val="0D0E26F0"/>
    <w:rsid w:val="0D215336"/>
    <w:rsid w:val="0D5A119E"/>
    <w:rsid w:val="0D682F64"/>
    <w:rsid w:val="0DD203DE"/>
    <w:rsid w:val="0E820056"/>
    <w:rsid w:val="11E82431"/>
    <w:rsid w:val="120873D7"/>
    <w:rsid w:val="12BC340B"/>
    <w:rsid w:val="13E76B91"/>
    <w:rsid w:val="143376FC"/>
    <w:rsid w:val="16C3745D"/>
    <w:rsid w:val="17C26AB6"/>
    <w:rsid w:val="19524AC9"/>
    <w:rsid w:val="198A5D44"/>
    <w:rsid w:val="19D11E91"/>
    <w:rsid w:val="1A1A7FD7"/>
    <w:rsid w:val="1A200723"/>
    <w:rsid w:val="1AC92B69"/>
    <w:rsid w:val="1AE442A9"/>
    <w:rsid w:val="1AF220BF"/>
    <w:rsid w:val="1B0B3181"/>
    <w:rsid w:val="1B2C1EC8"/>
    <w:rsid w:val="1B3C77DE"/>
    <w:rsid w:val="1C33473D"/>
    <w:rsid w:val="1CAC44F0"/>
    <w:rsid w:val="1D0046D9"/>
    <w:rsid w:val="1D3249B6"/>
    <w:rsid w:val="1DE63A32"/>
    <w:rsid w:val="1DED6B6E"/>
    <w:rsid w:val="1EAA2CB1"/>
    <w:rsid w:val="1F467EBB"/>
    <w:rsid w:val="1F986864"/>
    <w:rsid w:val="21D544E9"/>
    <w:rsid w:val="22FB1D2D"/>
    <w:rsid w:val="23767606"/>
    <w:rsid w:val="2419690F"/>
    <w:rsid w:val="265005E2"/>
    <w:rsid w:val="26D27249"/>
    <w:rsid w:val="27246E02"/>
    <w:rsid w:val="27E351D9"/>
    <w:rsid w:val="282B2895"/>
    <w:rsid w:val="2A0C742F"/>
    <w:rsid w:val="2AF91248"/>
    <w:rsid w:val="2D23435A"/>
    <w:rsid w:val="2DCE2518"/>
    <w:rsid w:val="307237B5"/>
    <w:rsid w:val="31833619"/>
    <w:rsid w:val="31D9148B"/>
    <w:rsid w:val="31F2254D"/>
    <w:rsid w:val="32026D4B"/>
    <w:rsid w:val="3286398C"/>
    <w:rsid w:val="32E17AF4"/>
    <w:rsid w:val="342D3D10"/>
    <w:rsid w:val="352549E8"/>
    <w:rsid w:val="356E2833"/>
    <w:rsid w:val="364A6DFC"/>
    <w:rsid w:val="36822F6A"/>
    <w:rsid w:val="37D00077"/>
    <w:rsid w:val="38003C16"/>
    <w:rsid w:val="3814321D"/>
    <w:rsid w:val="39E82BB3"/>
    <w:rsid w:val="3A281202"/>
    <w:rsid w:val="3A3165A4"/>
    <w:rsid w:val="3A792964"/>
    <w:rsid w:val="3AC933A0"/>
    <w:rsid w:val="3AD234E0"/>
    <w:rsid w:val="3B0357CB"/>
    <w:rsid w:val="3BD3519D"/>
    <w:rsid w:val="3D0C7A81"/>
    <w:rsid w:val="3E11707D"/>
    <w:rsid w:val="3E5720B6"/>
    <w:rsid w:val="3E725142"/>
    <w:rsid w:val="3E990920"/>
    <w:rsid w:val="40171EFD"/>
    <w:rsid w:val="43B65AD0"/>
    <w:rsid w:val="44B02520"/>
    <w:rsid w:val="47AF2F63"/>
    <w:rsid w:val="484F02A2"/>
    <w:rsid w:val="48657AC5"/>
    <w:rsid w:val="48895562"/>
    <w:rsid w:val="48DB38E3"/>
    <w:rsid w:val="49641B2B"/>
    <w:rsid w:val="4A277E60"/>
    <w:rsid w:val="4BBF129A"/>
    <w:rsid w:val="4DD7360C"/>
    <w:rsid w:val="4E305B08"/>
    <w:rsid w:val="4E4361B3"/>
    <w:rsid w:val="4E4C150B"/>
    <w:rsid w:val="4F7768FB"/>
    <w:rsid w:val="50BC3FFA"/>
    <w:rsid w:val="51226553"/>
    <w:rsid w:val="5173391D"/>
    <w:rsid w:val="51E97071"/>
    <w:rsid w:val="525B4A3A"/>
    <w:rsid w:val="53000B16"/>
    <w:rsid w:val="553B4087"/>
    <w:rsid w:val="554D7917"/>
    <w:rsid w:val="569577C7"/>
    <w:rsid w:val="56B55774"/>
    <w:rsid w:val="57A777B2"/>
    <w:rsid w:val="580A7D41"/>
    <w:rsid w:val="591E3AA4"/>
    <w:rsid w:val="5AFA409D"/>
    <w:rsid w:val="5BB82E11"/>
    <w:rsid w:val="5C0D7E00"/>
    <w:rsid w:val="5DAE670C"/>
    <w:rsid w:val="5E4312B8"/>
    <w:rsid w:val="5E5F0DE7"/>
    <w:rsid w:val="5EB50A07"/>
    <w:rsid w:val="5F4E49B7"/>
    <w:rsid w:val="61561862"/>
    <w:rsid w:val="61F41EBF"/>
    <w:rsid w:val="62015D11"/>
    <w:rsid w:val="629D1EDE"/>
    <w:rsid w:val="62F615EE"/>
    <w:rsid w:val="63EB6C79"/>
    <w:rsid w:val="68152516"/>
    <w:rsid w:val="68160011"/>
    <w:rsid w:val="68A532B2"/>
    <w:rsid w:val="68DC1286"/>
    <w:rsid w:val="6AB06526"/>
    <w:rsid w:val="6C7F1DFA"/>
    <w:rsid w:val="6CCE7137"/>
    <w:rsid w:val="6E0C6071"/>
    <w:rsid w:val="701557A9"/>
    <w:rsid w:val="70D41227"/>
    <w:rsid w:val="72930C07"/>
    <w:rsid w:val="746E5488"/>
    <w:rsid w:val="74730CF0"/>
    <w:rsid w:val="753F5076"/>
    <w:rsid w:val="754658E4"/>
    <w:rsid w:val="759C6025"/>
    <w:rsid w:val="76373F9F"/>
    <w:rsid w:val="775A7F45"/>
    <w:rsid w:val="78290C18"/>
    <w:rsid w:val="78B83176"/>
    <w:rsid w:val="7A6546E2"/>
    <w:rsid w:val="7A9B4AFD"/>
    <w:rsid w:val="7B475436"/>
    <w:rsid w:val="7B7538EB"/>
    <w:rsid w:val="7BDC53CD"/>
    <w:rsid w:val="7C9E08D4"/>
    <w:rsid w:val="7CAF7A07"/>
    <w:rsid w:val="7CE16A13"/>
    <w:rsid w:val="7CED496C"/>
    <w:rsid w:val="7EBF4429"/>
    <w:rsid w:val="7EC97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5"/>
    <w:qFormat/>
    <w:uiPriority w:val="0"/>
    <w:pPr>
      <w:keepNext/>
      <w:keepLines/>
      <w:spacing w:line="360" w:lineRule="auto"/>
      <w:jc w:val="center"/>
      <w:outlineLvl w:val="0"/>
    </w:pPr>
    <w:rPr>
      <w:b/>
      <w:kern w:val="44"/>
      <w:sz w:val="36"/>
      <w:szCs w:val="44"/>
    </w:rPr>
  </w:style>
  <w:style w:type="paragraph" w:styleId="4">
    <w:name w:val="heading 2"/>
    <w:basedOn w:val="1"/>
    <w:next w:val="1"/>
    <w:link w:val="68"/>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4"/>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6"/>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w:basedOn w:val="1"/>
    <w:next w:val="1"/>
    <w:link w:val="48"/>
    <w:qFormat/>
    <w:uiPriority w:val="0"/>
    <w:rPr>
      <w:rFonts w:hAnsi="宋体"/>
      <w:sz w:val="32"/>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1"/>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2"/>
    <w:qFormat/>
    <w:uiPriority w:val="0"/>
    <w:pPr>
      <w:jc w:val="left"/>
    </w:pPr>
  </w:style>
  <w:style w:type="paragraph" w:styleId="14">
    <w:name w:val="Body Text Indent"/>
    <w:basedOn w:val="1"/>
    <w:link w:val="49"/>
    <w:qFormat/>
    <w:uiPriority w:val="0"/>
    <w:pPr>
      <w:spacing w:line="480" w:lineRule="exact"/>
      <w:ind w:firstLine="538" w:firstLineChars="192"/>
      <w:jc w:val="left"/>
    </w:pPr>
    <w:rPr>
      <w:bCs w:val="0"/>
    </w:rPr>
  </w:style>
  <w:style w:type="paragraph" w:styleId="15">
    <w:name w:val="List 2"/>
    <w:basedOn w:val="1"/>
    <w:qFormat/>
    <w:uiPriority w:val="0"/>
    <w:pPr>
      <w:ind w:left="100" w:leftChars="200" w:hanging="200" w:hangingChars="200"/>
    </w:pPr>
    <w:rPr>
      <w:rFonts w:ascii="Times New Roman"/>
      <w:bCs w:val="0"/>
      <w:sz w:val="21"/>
    </w:rPr>
  </w:style>
  <w:style w:type="paragraph" w:styleId="16">
    <w:name w:val="index 4"/>
    <w:basedOn w:val="1"/>
    <w:next w:val="1"/>
    <w:qFormat/>
    <w:uiPriority w:val="0"/>
    <w:pPr>
      <w:ind w:left="428" w:firstLine="140"/>
    </w:pPr>
    <w:rPr>
      <w:rFonts w:eastAsia="华文仿宋"/>
      <w:sz w:val="28"/>
    </w:rPr>
  </w:style>
  <w:style w:type="paragraph" w:styleId="17">
    <w:name w:val="toc 3"/>
    <w:basedOn w:val="1"/>
    <w:next w:val="1"/>
    <w:qFormat/>
    <w:uiPriority w:val="39"/>
    <w:pPr>
      <w:ind w:left="840" w:leftChars="400"/>
    </w:pPr>
  </w:style>
  <w:style w:type="paragraph" w:styleId="18">
    <w:name w:val="Plain Text"/>
    <w:basedOn w:val="1"/>
    <w:link w:val="69"/>
    <w:qFormat/>
    <w:uiPriority w:val="0"/>
    <w:rPr>
      <w:rFonts w:hAnsi="Courier New"/>
      <w:bCs w:val="0"/>
      <w:sz w:val="21"/>
      <w:szCs w:val="20"/>
    </w:rPr>
  </w:style>
  <w:style w:type="paragraph" w:styleId="19">
    <w:name w:val="Date"/>
    <w:basedOn w:val="1"/>
    <w:next w:val="1"/>
    <w:link w:val="64"/>
    <w:qFormat/>
    <w:uiPriority w:val="99"/>
    <w:pPr>
      <w:ind w:left="100" w:leftChars="2500"/>
    </w:pPr>
  </w:style>
  <w:style w:type="paragraph" w:styleId="20">
    <w:name w:val="Body Text Indent 2"/>
    <w:basedOn w:val="1"/>
    <w:link w:val="51"/>
    <w:qFormat/>
    <w:uiPriority w:val="0"/>
    <w:pPr>
      <w:spacing w:line="480" w:lineRule="exact"/>
      <w:ind w:firstLine="241" w:firstLineChars="100"/>
      <w:jc w:val="left"/>
    </w:pPr>
    <w:rPr>
      <w:rFonts w:ascii="黑体" w:hAnsi="宋体" w:eastAsia="黑体"/>
      <w:b/>
      <w:sz w:val="24"/>
    </w:rPr>
  </w:style>
  <w:style w:type="paragraph" w:styleId="21">
    <w:name w:val="Balloon Text"/>
    <w:basedOn w:val="1"/>
    <w:link w:val="75"/>
    <w:qFormat/>
    <w:uiPriority w:val="0"/>
    <w:rPr>
      <w:rFonts w:ascii="Times New Roman"/>
      <w:bCs w:val="0"/>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bCs w:val="0"/>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4">
    <w:name w:val="toc 1"/>
    <w:basedOn w:val="1"/>
    <w:next w:val="1"/>
    <w:qFormat/>
    <w:uiPriority w:val="39"/>
  </w:style>
  <w:style w:type="paragraph" w:styleId="25">
    <w:name w:val="Subtitle"/>
    <w:basedOn w:val="1"/>
    <w:next w:val="1"/>
    <w:link w:val="76"/>
    <w:qFormat/>
    <w:uiPriority w:val="0"/>
    <w:pPr>
      <w:spacing w:before="240" w:after="60" w:line="312" w:lineRule="auto"/>
      <w:jc w:val="center"/>
      <w:outlineLvl w:val="1"/>
    </w:pPr>
    <w:rPr>
      <w:rFonts w:ascii="Cambria" w:hAnsi="Cambria"/>
      <w:b/>
      <w:kern w:val="28"/>
      <w:sz w:val="32"/>
      <w:szCs w:val="32"/>
    </w:rPr>
  </w:style>
  <w:style w:type="paragraph" w:styleId="26">
    <w:name w:val="List"/>
    <w:basedOn w:val="1"/>
    <w:qFormat/>
    <w:uiPriority w:val="0"/>
    <w:pPr>
      <w:ind w:left="200" w:hanging="200" w:hangingChars="200"/>
    </w:pPr>
    <w:rPr>
      <w:rFonts w:ascii="Times New Roman"/>
      <w:bCs w:val="0"/>
      <w:sz w:val="21"/>
    </w:rPr>
  </w:style>
  <w:style w:type="paragraph" w:styleId="27">
    <w:name w:val="Body Text Indent 3"/>
    <w:basedOn w:val="1"/>
    <w:link w:val="72"/>
    <w:qFormat/>
    <w:uiPriority w:val="0"/>
    <w:pPr>
      <w:spacing w:line="360" w:lineRule="auto"/>
      <w:ind w:firstLine="480" w:firstLineChars="200"/>
    </w:pPr>
    <w:rPr>
      <w:rFonts w:hAnsi="宋体"/>
      <w:bCs w:val="0"/>
      <w:sz w:val="24"/>
      <w:szCs w:val="20"/>
    </w:rPr>
  </w:style>
  <w:style w:type="paragraph" w:styleId="28">
    <w:name w:val="toc 2"/>
    <w:basedOn w:val="1"/>
    <w:next w:val="1"/>
    <w:qFormat/>
    <w:uiPriority w:val="39"/>
    <w:pPr>
      <w:tabs>
        <w:tab w:val="right" w:leader="dot" w:pos="8857"/>
      </w:tabs>
      <w:spacing w:line="360" w:lineRule="auto"/>
      <w:ind w:left="560" w:leftChars="200"/>
    </w:pPr>
  </w:style>
  <w:style w:type="paragraph" w:styleId="29">
    <w:name w:val="Body Text 2"/>
    <w:basedOn w:val="1"/>
    <w:link w:val="59"/>
    <w:qFormat/>
    <w:uiPriority w:val="0"/>
    <w:pPr>
      <w:spacing w:after="120" w:line="480" w:lineRule="auto"/>
    </w:pPr>
  </w:style>
  <w:style w:type="paragraph" w:styleId="30">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2">
    <w:name w:val="Title"/>
    <w:basedOn w:val="1"/>
    <w:next w:val="1"/>
    <w:link w:val="73"/>
    <w:qFormat/>
    <w:uiPriority w:val="0"/>
    <w:pPr>
      <w:spacing w:before="240" w:after="60"/>
      <w:jc w:val="left"/>
      <w:outlineLvl w:val="0"/>
    </w:pPr>
    <w:rPr>
      <w:rFonts w:ascii="Cambria" w:hAnsi="Cambria"/>
      <w:b/>
      <w:szCs w:val="32"/>
    </w:rPr>
  </w:style>
  <w:style w:type="paragraph" w:styleId="33">
    <w:name w:val="annotation subject"/>
    <w:basedOn w:val="13"/>
    <w:next w:val="13"/>
    <w:qFormat/>
    <w:uiPriority w:val="0"/>
    <w:rPr>
      <w:b/>
    </w:rPr>
  </w:style>
  <w:style w:type="paragraph" w:styleId="34">
    <w:name w:val="Body Text First Indent 2"/>
    <w:basedOn w:val="14"/>
    <w:qFormat/>
    <w:uiPriority w:val="99"/>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7">
    <w:name w:val="unnamed11"/>
    <w:qFormat/>
    <w:uiPriority w:val="0"/>
    <w:rPr>
      <w:spacing w:val="340"/>
      <w:sz w:val="18"/>
      <w:szCs w:val="18"/>
    </w:rPr>
  </w:style>
  <w:style w:type="character" w:customStyle="1" w:styleId="48">
    <w:name w:val="正文文本 Char"/>
    <w:link w:val="2"/>
    <w:qFormat/>
    <w:uiPriority w:val="0"/>
    <w:rPr>
      <w:rFonts w:ascii="宋体" w:hAnsi="宋体"/>
      <w:bCs/>
      <w:kern w:val="2"/>
      <w:sz w:val="32"/>
    </w:rPr>
  </w:style>
  <w:style w:type="character" w:customStyle="1" w:styleId="49">
    <w:name w:val="正文文本缩进 Char"/>
    <w:link w:val="14"/>
    <w:qFormat/>
    <w:uiPriority w:val="0"/>
    <w:rPr>
      <w:rFonts w:ascii="宋体"/>
      <w:kern w:val="2"/>
      <w:sz w:val="28"/>
      <w:szCs w:val="24"/>
    </w:rPr>
  </w:style>
  <w:style w:type="character" w:customStyle="1" w:styleId="50">
    <w:name w:val="14"/>
    <w:basedOn w:val="37"/>
    <w:qFormat/>
    <w:uiPriority w:val="0"/>
  </w:style>
  <w:style w:type="character" w:customStyle="1" w:styleId="51">
    <w:name w:val="正文文本缩进 2 Char"/>
    <w:link w:val="20"/>
    <w:qFormat/>
    <w:uiPriority w:val="0"/>
    <w:rPr>
      <w:rFonts w:ascii="黑体" w:hAnsi="宋体" w:eastAsia="黑体"/>
      <w:b/>
      <w:bCs/>
      <w:kern w:val="2"/>
      <w:sz w:val="24"/>
      <w:szCs w:val="24"/>
      <w:lang w:val="en-US" w:eastAsia="zh-CN"/>
    </w:rPr>
  </w:style>
  <w:style w:type="character" w:customStyle="1" w:styleId="52">
    <w:name w:val="列出段落 Char"/>
    <w:link w:val="53"/>
    <w:qFormat/>
    <w:uiPriority w:val="34"/>
    <w:rPr>
      <w:kern w:val="2"/>
      <w:sz w:val="21"/>
    </w:rPr>
  </w:style>
  <w:style w:type="paragraph" w:styleId="53">
    <w:name w:val="List Paragraph"/>
    <w:basedOn w:val="1"/>
    <w:link w:val="52"/>
    <w:qFormat/>
    <w:uiPriority w:val="34"/>
    <w:pPr>
      <w:ind w:firstLine="420" w:firstLineChars="200"/>
    </w:pPr>
    <w:rPr>
      <w:rFonts w:ascii="Times New Roman"/>
      <w:bCs w:val="0"/>
      <w:sz w:val="21"/>
      <w:szCs w:val="20"/>
    </w:rPr>
  </w:style>
  <w:style w:type="character" w:customStyle="1" w:styleId="54">
    <w:name w:val="Char Char6"/>
    <w:qFormat/>
    <w:uiPriority w:val="0"/>
    <w:rPr>
      <w:rFonts w:ascii="宋体" w:hAnsi="宋体" w:eastAsia="宋体"/>
      <w:kern w:val="2"/>
      <w:sz w:val="24"/>
      <w:lang w:val="en-US" w:eastAsia="zh-CN" w:bidi="ar-SA"/>
    </w:rPr>
  </w:style>
  <w:style w:type="character" w:customStyle="1" w:styleId="55">
    <w:name w:val="Char Char"/>
    <w:qFormat/>
    <w:uiPriority w:val="0"/>
    <w:rPr>
      <w:rFonts w:ascii="宋体" w:hAnsi="宋体" w:eastAsia="宋体" w:cs="宋体"/>
      <w:sz w:val="24"/>
      <w:szCs w:val="24"/>
      <w:lang w:val="en-US" w:eastAsia="zh-CN" w:bidi="ar-SA"/>
    </w:rPr>
  </w:style>
  <w:style w:type="character" w:customStyle="1" w:styleId="56">
    <w:name w:val="标题 4 Char"/>
    <w:link w:val="6"/>
    <w:qFormat/>
    <w:uiPriority w:val="0"/>
    <w:rPr>
      <w:rFonts w:ascii="Cambria" w:hAnsi="Cambria" w:eastAsia="宋体" w:cs="Times New Roman"/>
      <w:b/>
      <w:bCs/>
      <w:kern w:val="2"/>
      <w:sz w:val="28"/>
      <w:szCs w:val="28"/>
    </w:rPr>
  </w:style>
  <w:style w:type="character" w:customStyle="1" w:styleId="57">
    <w:name w:val="样式 仿宋"/>
    <w:qFormat/>
    <w:uiPriority w:val="0"/>
    <w:rPr>
      <w:rFonts w:ascii="仿宋" w:hAnsi="仿宋" w:eastAsia="仿宋"/>
      <w:kern w:val="1"/>
    </w:rPr>
  </w:style>
  <w:style w:type="character" w:customStyle="1" w:styleId="58">
    <w:name w:val="ziti1"/>
    <w:basedOn w:val="37"/>
    <w:qFormat/>
    <w:uiPriority w:val="0"/>
  </w:style>
  <w:style w:type="character" w:customStyle="1" w:styleId="59">
    <w:name w:val="正文文本 2 Char"/>
    <w:link w:val="29"/>
    <w:qFormat/>
    <w:uiPriority w:val="0"/>
    <w:rPr>
      <w:rFonts w:ascii="宋体"/>
      <w:bCs/>
      <w:kern w:val="2"/>
      <w:sz w:val="28"/>
      <w:szCs w:val="24"/>
    </w:rPr>
  </w:style>
  <w:style w:type="character" w:customStyle="1" w:styleId="60">
    <w:name w:val="HTML 预设格式 Char"/>
    <w:link w:val="30"/>
    <w:qFormat/>
    <w:uiPriority w:val="0"/>
    <w:rPr>
      <w:rFonts w:ascii="宋体" w:hAnsi="宋体" w:cs="宋体"/>
      <w:sz w:val="24"/>
      <w:szCs w:val="24"/>
    </w:rPr>
  </w:style>
  <w:style w:type="character" w:customStyle="1" w:styleId="61">
    <w:name w:val="文档结构图 Char"/>
    <w:link w:val="11"/>
    <w:qFormat/>
    <w:uiPriority w:val="99"/>
    <w:rPr>
      <w:rFonts w:ascii="宋体"/>
      <w:bCs/>
      <w:kern w:val="2"/>
      <w:sz w:val="18"/>
      <w:szCs w:val="18"/>
    </w:rPr>
  </w:style>
  <w:style w:type="character" w:customStyle="1" w:styleId="62">
    <w:name w:val="页脚 Char"/>
    <w:link w:val="22"/>
    <w:qFormat/>
    <w:uiPriority w:val="99"/>
    <w:rPr>
      <w:kern w:val="2"/>
      <w:sz w:val="18"/>
      <w:szCs w:val="18"/>
    </w:rPr>
  </w:style>
  <w:style w:type="character" w:customStyle="1" w:styleId="63">
    <w:name w:val="页眉 Char"/>
    <w:link w:val="23"/>
    <w:qFormat/>
    <w:uiPriority w:val="99"/>
    <w:rPr>
      <w:kern w:val="2"/>
      <w:sz w:val="18"/>
      <w:szCs w:val="18"/>
    </w:rPr>
  </w:style>
  <w:style w:type="character" w:customStyle="1" w:styleId="64">
    <w:name w:val="日期 Char"/>
    <w:link w:val="19"/>
    <w:qFormat/>
    <w:uiPriority w:val="99"/>
    <w:rPr>
      <w:rFonts w:ascii="宋体"/>
      <w:bCs/>
      <w:kern w:val="2"/>
      <w:sz w:val="28"/>
      <w:szCs w:val="24"/>
    </w:rPr>
  </w:style>
  <w:style w:type="character" w:customStyle="1" w:styleId="65">
    <w:name w:val="标题 1 Char"/>
    <w:link w:val="3"/>
    <w:qFormat/>
    <w:uiPriority w:val="0"/>
    <w:rPr>
      <w:rFonts w:ascii="宋体"/>
      <w:b/>
      <w:bCs/>
      <w:kern w:val="44"/>
      <w:sz w:val="36"/>
      <w:szCs w:val="44"/>
    </w:rPr>
  </w:style>
  <w:style w:type="character" w:customStyle="1" w:styleId="66">
    <w:name w:val="样式3 Char"/>
    <w:link w:val="67"/>
    <w:qFormat/>
    <w:uiPriority w:val="0"/>
    <w:rPr>
      <w:rFonts w:ascii="宋体" w:hAnsi="宋体"/>
      <w:kern w:val="2"/>
      <w:sz w:val="21"/>
      <w:szCs w:val="24"/>
    </w:rPr>
  </w:style>
  <w:style w:type="paragraph" w:customStyle="1" w:styleId="67">
    <w:name w:val="样式3"/>
    <w:basedOn w:val="1"/>
    <w:link w:val="66"/>
    <w:qFormat/>
    <w:uiPriority w:val="0"/>
    <w:rPr>
      <w:rFonts w:hAnsi="宋体"/>
      <w:bCs w:val="0"/>
      <w:sz w:val="21"/>
    </w:rPr>
  </w:style>
  <w:style w:type="character" w:customStyle="1" w:styleId="68">
    <w:name w:val="标题 2 Char"/>
    <w:link w:val="4"/>
    <w:qFormat/>
    <w:uiPriority w:val="0"/>
    <w:rPr>
      <w:rFonts w:ascii="宋体" w:hAnsi="宋体" w:cs="宋体"/>
      <w:b/>
      <w:bCs/>
      <w:sz w:val="28"/>
      <w:szCs w:val="36"/>
    </w:rPr>
  </w:style>
  <w:style w:type="character" w:customStyle="1" w:styleId="69">
    <w:name w:val="纯文本 Char"/>
    <w:link w:val="18"/>
    <w:qFormat/>
    <w:uiPriority w:val="0"/>
    <w:rPr>
      <w:rFonts w:ascii="宋体" w:hAnsi="Courier New"/>
      <w:kern w:val="2"/>
      <w:sz w:val="21"/>
    </w:rPr>
  </w:style>
  <w:style w:type="character" w:customStyle="1" w:styleId="70">
    <w:name w:val="2级标题 Char"/>
    <w:link w:val="71"/>
    <w:qFormat/>
    <w:uiPriority w:val="0"/>
    <w:rPr>
      <w:rFonts w:ascii="宋体" w:hAnsi="宋体"/>
      <w:b/>
      <w:bCs/>
      <w:color w:val="000000"/>
      <w:kern w:val="2"/>
      <w:sz w:val="24"/>
      <w:szCs w:val="24"/>
    </w:rPr>
  </w:style>
  <w:style w:type="paragraph" w:customStyle="1" w:styleId="71">
    <w:name w:val="2级标题"/>
    <w:basedOn w:val="1"/>
    <w:link w:val="70"/>
    <w:qFormat/>
    <w:uiPriority w:val="0"/>
    <w:pPr>
      <w:spacing w:line="480" w:lineRule="exact"/>
      <w:ind w:firstLine="482" w:firstLineChars="200"/>
    </w:pPr>
    <w:rPr>
      <w:rFonts w:hAnsi="宋体"/>
      <w:b/>
      <w:color w:val="000000"/>
      <w:sz w:val="24"/>
    </w:rPr>
  </w:style>
  <w:style w:type="character" w:customStyle="1" w:styleId="72">
    <w:name w:val="正文文本缩进 3 Char"/>
    <w:link w:val="27"/>
    <w:qFormat/>
    <w:uiPriority w:val="0"/>
    <w:rPr>
      <w:rFonts w:ascii="宋体" w:hAnsi="宋体"/>
      <w:kern w:val="2"/>
      <w:sz w:val="24"/>
    </w:rPr>
  </w:style>
  <w:style w:type="character" w:customStyle="1" w:styleId="73">
    <w:name w:val="标题 Char"/>
    <w:link w:val="32"/>
    <w:qFormat/>
    <w:uiPriority w:val="0"/>
    <w:rPr>
      <w:rFonts w:ascii="Cambria" w:hAnsi="Cambria"/>
      <w:b/>
      <w:bCs/>
      <w:kern w:val="2"/>
      <w:sz w:val="28"/>
      <w:szCs w:val="32"/>
    </w:rPr>
  </w:style>
  <w:style w:type="character" w:customStyle="1" w:styleId="74">
    <w:name w:val="标题 3 Char"/>
    <w:link w:val="5"/>
    <w:qFormat/>
    <w:uiPriority w:val="0"/>
    <w:rPr>
      <w:rFonts w:eastAsia="黑体"/>
      <w:bCs/>
      <w:kern w:val="2"/>
      <w:sz w:val="24"/>
      <w:szCs w:val="32"/>
    </w:rPr>
  </w:style>
  <w:style w:type="character" w:customStyle="1" w:styleId="75">
    <w:name w:val="批注框文本 Char"/>
    <w:link w:val="21"/>
    <w:qFormat/>
    <w:uiPriority w:val="0"/>
    <w:rPr>
      <w:kern w:val="2"/>
      <w:sz w:val="18"/>
      <w:szCs w:val="18"/>
    </w:rPr>
  </w:style>
  <w:style w:type="character" w:customStyle="1" w:styleId="76">
    <w:name w:val="副标题 Char"/>
    <w:link w:val="25"/>
    <w:qFormat/>
    <w:uiPriority w:val="0"/>
    <w:rPr>
      <w:rFonts w:ascii="Cambria" w:hAnsi="Cambria" w:cs="Times New Roman"/>
      <w:b/>
      <w:bCs/>
      <w:kern w:val="28"/>
      <w:sz w:val="32"/>
      <w:szCs w:val="32"/>
    </w:rPr>
  </w:style>
  <w:style w:type="character" w:customStyle="1" w:styleId="77">
    <w:name w:val="font14px1"/>
    <w:qFormat/>
    <w:uiPriority w:val="0"/>
    <w:rPr>
      <w:sz w:val="21"/>
      <w:szCs w:val="21"/>
    </w:rPr>
  </w:style>
  <w:style w:type="character" w:customStyle="1" w:styleId="78">
    <w:name w:val="apple-style-span"/>
    <w:basedOn w:val="37"/>
    <w:qFormat/>
    <w:uiPriority w:val="0"/>
  </w:style>
  <w:style w:type="paragraph" w:customStyle="1" w:styleId="7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1">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3">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4">
    <w:name w:val="Char Char1 Char Char"/>
    <w:basedOn w:val="1"/>
    <w:qFormat/>
    <w:uiPriority w:val="0"/>
    <w:rPr>
      <w:rFonts w:ascii="Tahoma" w:hAnsi="Tahoma"/>
      <w:bCs w:val="0"/>
      <w:sz w:val="24"/>
      <w:szCs w:val="20"/>
    </w:rPr>
  </w:style>
  <w:style w:type="paragraph" w:customStyle="1" w:styleId="85">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6">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7">
    <w:name w:val="p0"/>
    <w:basedOn w:val="1"/>
    <w:qFormat/>
    <w:uiPriority w:val="0"/>
    <w:pPr>
      <w:widowControl/>
    </w:pPr>
    <w:rPr>
      <w:rFonts w:ascii="Calibri" w:hAnsi="Calibri" w:cs="宋体"/>
      <w:bCs w:val="0"/>
      <w:kern w:val="0"/>
      <w:sz w:val="21"/>
      <w:szCs w:val="21"/>
    </w:rPr>
  </w:style>
  <w:style w:type="paragraph" w:customStyle="1" w:styleId="88">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9">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2">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3">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4">
    <w:name w:val="批注框文本1"/>
    <w:basedOn w:val="1"/>
    <w:qFormat/>
    <w:uiPriority w:val="0"/>
    <w:rPr>
      <w:rFonts w:hint="eastAsia" w:ascii="Times New Roman"/>
      <w:bCs w:val="0"/>
      <w:sz w:val="18"/>
      <w:szCs w:val="20"/>
    </w:rPr>
  </w:style>
  <w:style w:type="paragraph" w:customStyle="1" w:styleId="95">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7">
    <w:name w:val="标准"/>
    <w:basedOn w:val="1"/>
    <w:qFormat/>
    <w:uiPriority w:val="0"/>
    <w:pPr>
      <w:adjustRightInd w:val="0"/>
      <w:spacing w:before="120" w:after="120" w:line="312" w:lineRule="atLeast"/>
    </w:pPr>
    <w:rPr>
      <w:bCs w:val="0"/>
      <w:kern w:val="0"/>
      <w:sz w:val="21"/>
      <w:szCs w:val="20"/>
    </w:rPr>
  </w:style>
  <w:style w:type="paragraph" w:customStyle="1" w:styleId="9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9">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0">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3"/>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39">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0">
    <w:name w:val="List Paragraph1"/>
    <w:basedOn w:val="1"/>
    <w:qFormat/>
    <w:uiPriority w:val="0"/>
    <w:pPr>
      <w:ind w:firstLine="420" w:firstLineChars="200"/>
    </w:pPr>
    <w:rPr>
      <w:rFonts w:ascii="Calibri" w:hAnsi="Calibri"/>
      <w:szCs w:val="22"/>
    </w:rPr>
  </w:style>
  <w:style w:type="paragraph" w:customStyle="1" w:styleId="141">
    <w:name w:val="样式9 Char"/>
    <w:basedOn w:val="1"/>
    <w:qFormat/>
    <w:uiPriority w:val="99"/>
    <w:pPr>
      <w:spacing w:line="440" w:lineRule="exact"/>
      <w:ind w:firstLine="200" w:firstLineChars="200"/>
    </w:pPr>
    <w:rPr>
      <w:spacing w:val="6"/>
      <w:sz w:val="24"/>
    </w:rPr>
  </w:style>
  <w:style w:type="paragraph" w:customStyle="1" w:styleId="142">
    <w:name w:val="[Normal]"/>
    <w:qFormat/>
    <w:uiPriority w:val="0"/>
    <w:rPr>
      <w:rFonts w:ascii="宋体" w:hAnsi="宋体" w:eastAsia="宋体" w:cs="Times New Roman"/>
      <w:sz w:val="24"/>
      <w:szCs w:val="22"/>
      <w:lang w:val="zh-CN" w:eastAsia="zh-CN" w:bidi="ar-SA"/>
    </w:rPr>
  </w:style>
  <w:style w:type="table" w:customStyle="1" w:styleId="1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64</Pages>
  <Words>28521</Words>
  <Characters>31524</Characters>
  <Paragraphs>1986</Paragraphs>
  <TotalTime>9</TotalTime>
  <ScaleCrop>false</ScaleCrop>
  <LinksUpToDate>false</LinksUpToDate>
  <CharactersWithSpaces>33027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橙橙</cp:lastModifiedBy>
  <cp:lastPrinted>2022-04-06T09:34:00Z</cp:lastPrinted>
  <dcterms:modified xsi:type="dcterms:W3CDTF">2022-05-18T09:30:30Z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4A47539191134FD198924E24F04C3673</vt:lpwstr>
  </property>
</Properties>
</file>