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700" w:lineRule="exact"/>
        <w:jc w:val="center"/>
        <w:rPr>
          <w:rFonts w:hint="eastAsia" w:ascii="宋体" w:hAnsi="宋体" w:eastAsia="宋体" w:cs="宋体"/>
          <w:color w:val="000000"/>
          <w:sz w:val="30"/>
          <w:szCs w:val="30"/>
          <w:highlight w:val="none"/>
        </w:rPr>
      </w:pPr>
    </w:p>
    <w:p>
      <w:pPr>
        <w:pStyle w:val="7"/>
        <w:spacing w:before="290" w:beforeLines="100" w:after="0"/>
        <w:jc w:val="center"/>
        <w:rPr>
          <w:rFonts w:hint="eastAsia" w:ascii="宋体" w:hAnsi="宋体" w:eastAsia="宋体" w:cs="宋体"/>
          <w:b/>
          <w:color w:val="000000"/>
          <w:spacing w:val="20"/>
          <w:sz w:val="44"/>
          <w:szCs w:val="44"/>
          <w:highlight w:val="none"/>
        </w:rPr>
      </w:pPr>
    </w:p>
    <w:p>
      <w:pPr>
        <w:pStyle w:val="7"/>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山东大学第二医院心内设备一批采购</w:t>
      </w:r>
    </w:p>
    <w:p>
      <w:pPr>
        <w:pStyle w:val="7"/>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TCZX-HW-2022-029</w:t>
      </w:r>
    </w:p>
    <w:p>
      <w:pPr>
        <w:pStyle w:val="7"/>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7"/>
        <w:spacing w:after="0" w:line="700" w:lineRule="exact"/>
        <w:jc w:val="center"/>
        <w:rPr>
          <w:rFonts w:hint="eastAsia" w:ascii="宋体" w:hAnsi="宋体" w:eastAsia="宋体" w:cs="宋体"/>
          <w:color w:val="000000"/>
          <w:sz w:val="30"/>
          <w:szCs w:val="30"/>
          <w:highlight w:val="none"/>
        </w:rPr>
      </w:pPr>
    </w:p>
    <w:p>
      <w:pPr>
        <w:pStyle w:val="7"/>
        <w:spacing w:after="0" w:line="700" w:lineRule="exact"/>
        <w:jc w:val="both"/>
        <w:rPr>
          <w:rFonts w:hint="eastAsia" w:ascii="宋体" w:hAnsi="宋体" w:eastAsia="宋体" w:cs="宋体"/>
          <w:color w:val="000000"/>
          <w:sz w:val="30"/>
          <w:szCs w:val="30"/>
          <w:highlight w:val="none"/>
        </w:rPr>
      </w:pPr>
    </w:p>
    <w:p>
      <w:pPr>
        <w:pStyle w:val="7"/>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7"/>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7"/>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eastAsia" w:ascii="华文中宋" w:hAnsi="华文中宋" w:eastAsia="华文中宋" w:cs="华文中宋"/>
          <w:b w:val="0"/>
          <w:bCs/>
          <w:i w:val="0"/>
          <w:iCs w:val="0"/>
          <w:snapToGrid w:val="0"/>
          <w:spacing w:val="-2"/>
          <w:kern w:val="0"/>
          <w:sz w:val="32"/>
          <w:szCs w:val="32"/>
          <w:highlight w:val="none"/>
          <w:lang w:val="en-US" w:eastAsia="zh-CN"/>
        </w:rPr>
        <w:t>7</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7"/>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7"/>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7"/>
        <w:spacing w:after="0" w:line="360" w:lineRule="auto"/>
        <w:jc w:val="center"/>
        <w:rPr>
          <w:rFonts w:hint="eastAsia" w:ascii="宋体" w:hAnsi="宋体" w:eastAsia="宋体" w:cs="宋体"/>
          <w:highlight w:val="none"/>
        </w:rPr>
      </w:pP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- 56 -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- 58 -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- 78 -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3"/>
        <w:tabs>
          <w:tab w:val="right" w:leader="dot" w:pos="9266"/>
        </w:tabs>
        <w:spacing w:line="360" w:lineRule="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3"/>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3"/>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8"/>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山东大学第二医院心内设备一批采购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山东大学第二医院心内设备一批采购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0</w:t>
      </w:r>
      <w:r>
        <w:rPr>
          <w:rFonts w:hint="eastAsia" w:ascii="仿宋" w:hAnsi="仿宋" w:cs="仿宋"/>
          <w:bCs/>
          <w:sz w:val="28"/>
          <w:szCs w:val="28"/>
          <w:highlight w:val="none"/>
          <w:u w:val="single"/>
          <w:lang w:val="en-US" w:eastAsia="zh-CN"/>
        </w:rPr>
        <w:t>7</w:t>
      </w:r>
      <w:r>
        <w:rPr>
          <w:rFonts w:hint="eastAsia" w:ascii="仿宋" w:hAnsi="仿宋" w:eastAsia="仿宋" w:cs="仿宋"/>
          <w:bCs/>
          <w:sz w:val="28"/>
          <w:szCs w:val="28"/>
          <w:highlight w:val="none"/>
          <w:u w:val="single"/>
          <w:lang w:val="en-US" w:eastAsia="zh-CN"/>
        </w:rPr>
        <w:t>月</w:t>
      </w:r>
      <w:r>
        <w:rPr>
          <w:rFonts w:hint="eastAsia" w:ascii="仿宋" w:hAnsi="仿宋" w:cs="仿宋"/>
          <w:bCs/>
          <w:sz w:val="28"/>
          <w:szCs w:val="28"/>
          <w:highlight w:val="none"/>
          <w:u w:val="single"/>
          <w:lang w:val="en-US" w:eastAsia="zh-CN"/>
        </w:rPr>
        <w:t>19</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2"/>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TCZX-HW-2022-029</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山东大学第二医院心内设备一批采购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预算金额：7</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最高限价：7</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采购需求：山东大学第二医院根据需要需采购心内设备一批</w:t>
      </w:r>
      <w:r>
        <w:rPr>
          <w:rFonts w:hint="eastAsia" w:ascii="仿宋" w:hAnsi="仿宋" w:cs="仿宋"/>
          <w:sz w:val="28"/>
          <w:szCs w:val="28"/>
          <w:highlight w:val="none"/>
          <w:lang w:val="en-US" w:eastAsia="zh-CN"/>
        </w:rPr>
        <w:t>，包含超声波治疗仪1套，核心产品</w:t>
      </w:r>
      <w:r>
        <w:rPr>
          <w:rFonts w:hint="eastAsia" w:ascii="仿宋" w:hAnsi="仿宋" w:eastAsia="仿宋" w:cs="仿宋"/>
          <w:sz w:val="28"/>
          <w:szCs w:val="28"/>
          <w:highlight w:val="none"/>
          <w:lang w:val="en-US" w:eastAsia="zh-CN"/>
        </w:rPr>
        <w:t>；超滤装置1套</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使用科室</w:t>
      </w:r>
      <w:r>
        <w:rPr>
          <w:rFonts w:hint="eastAsia" w:ascii="仿宋" w:hAnsi="仿宋" w:cs="仿宋"/>
          <w:sz w:val="28"/>
          <w:szCs w:val="28"/>
          <w:highlight w:val="none"/>
          <w:lang w:val="en-US" w:eastAsia="zh-CN"/>
        </w:rPr>
        <w:t>心内</w:t>
      </w:r>
      <w:r>
        <w:rPr>
          <w:rFonts w:hint="eastAsia" w:ascii="仿宋" w:hAnsi="仿宋" w:eastAsia="仿宋" w:cs="仿宋"/>
          <w:sz w:val="28"/>
          <w:szCs w:val="28"/>
          <w:highlight w:val="none"/>
          <w:lang w:val="en-US" w:eastAsia="zh-CN"/>
        </w:rPr>
        <w:t>科，具体详见采购要求。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2"/>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pStyle w:val="2"/>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月0</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日至2022年0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月0</w:t>
      </w:r>
      <w:r>
        <w:rPr>
          <w:rFonts w:hint="eastAsia" w:ascii="仿宋" w:hAnsi="仿宋" w:cs="仿宋"/>
          <w:sz w:val="28"/>
          <w:szCs w:val="28"/>
          <w:highlight w:val="none"/>
          <w:lang w:val="en-US" w:eastAsia="zh-CN"/>
        </w:rPr>
        <w:t>8</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文件的期限内联系代理机构（联系人：邵经理0531-88933166/18954549093）明确所投项目名称及项目确认，供应商项目确认后请访问中国政府采购网下载电子版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2"/>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19</w:t>
      </w:r>
      <w:r>
        <w:rPr>
          <w:rFonts w:hint="eastAsia" w:ascii="仿宋" w:hAnsi="仿宋" w:eastAsia="仿宋" w:cs="仿宋"/>
          <w:sz w:val="28"/>
          <w:szCs w:val="28"/>
          <w:highlight w:val="none"/>
          <w:lang w:val="en-US" w:eastAsia="zh-CN"/>
        </w:rPr>
        <w:t>日09:00（北京时间）；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2"/>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2"/>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2"/>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2"/>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3"/>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2"/>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4028"/>
      <w:bookmarkStart w:id="13" w:name="_Toc30943"/>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00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0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TCZX-HW-2022-029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山东大学第二医院心内设备一批采购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7</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7</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eastAsia" w:ascii="仿宋" w:hAnsi="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w:t>
            </w:r>
            <w:r>
              <w:rPr>
                <w:rFonts w:hint="eastAsia" w:ascii="仿宋" w:hAnsi="仿宋" w:cs="仿宋"/>
                <w:sz w:val="28"/>
                <w:szCs w:val="28"/>
                <w:highlight w:val="none"/>
                <w:lang w:val="en-US" w:eastAsia="zh-CN"/>
              </w:rPr>
              <w:t>8</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壹</w:t>
            </w:r>
            <w:r>
              <w:rPr>
                <w:rFonts w:hint="eastAsia" w:ascii="仿宋" w:hAnsi="仿宋" w:eastAsia="仿宋" w:cs="仿宋"/>
                <w:sz w:val="28"/>
                <w:szCs w:val="28"/>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w:t>
            </w:r>
            <w:r>
              <w:rPr>
                <w:rFonts w:hint="eastAsia" w:ascii="仿宋" w:hAnsi="仿宋" w:cs="仿宋"/>
                <w:spacing w:val="0"/>
                <w:kern w:val="2"/>
                <w:sz w:val="28"/>
                <w:szCs w:val="28"/>
                <w:highlight w:val="none"/>
                <w:lang w:val="en-US" w:eastAsia="zh-CN" w:bidi="ar-SA"/>
              </w:rPr>
              <w:t>账</w:t>
            </w:r>
            <w:r>
              <w:rPr>
                <w:rFonts w:hint="eastAsia" w:ascii="仿宋" w:hAnsi="仿宋" w:eastAsia="仿宋" w:cs="仿宋"/>
                <w:sz w:val="28"/>
                <w:szCs w:val="28"/>
                <w:highlight w:val="none"/>
              </w:rPr>
              <w:t>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435"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近三年：2019年1月1日至今；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本项目核心产品为：超声波治疗仪。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不足 3000 元按 3000 元收取，由成交供应商向代理机构交纳</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43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05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435"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9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9"/>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2"/>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7782"/>
      <w:bookmarkStart w:id="16" w:name="_Toc16336"/>
      <w:r>
        <w:rPr>
          <w:rFonts w:hint="eastAsia" w:ascii="宋体" w:hAnsi="宋体" w:eastAsia="宋体" w:cs="宋体"/>
          <w:b w:val="0"/>
          <w:kern w:val="2"/>
          <w:sz w:val="44"/>
          <w:szCs w:val="44"/>
          <w:highlight w:val="none"/>
          <w:lang w:val="en-US" w:eastAsia="zh-CN"/>
        </w:rPr>
        <w:t>供应商须知正文</w:t>
      </w:r>
      <w:bookmarkEnd w:id="15"/>
      <w:bookmarkEnd w:id="16"/>
    </w:p>
    <w:p>
      <w:pPr>
        <w:pStyle w:val="4"/>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2250"/>
      <w:bookmarkStart w:id="18" w:name="_Toc9323"/>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w:t>
      </w:r>
      <w:r>
        <w:rPr>
          <w:rFonts w:hint="eastAsia" w:ascii="仿宋" w:hAnsi="仿宋" w:eastAsia="仿宋" w:cs="仿宋"/>
          <w:sz w:val="28"/>
          <w:szCs w:val="28"/>
          <w:highlight w:val="none"/>
          <w:lang w:val="en-US" w:eastAsia="zh-CN"/>
        </w:rPr>
        <w:t>不足 3000 元按 3000 元收取</w:t>
      </w:r>
      <w:r>
        <w:rPr>
          <w:rFonts w:hint="eastAsia" w:ascii="仿宋" w:hAnsi="仿宋" w:eastAsia="仿宋" w:cs="仿宋"/>
          <w:spacing w:val="0"/>
          <w:kern w:val="2"/>
          <w:sz w:val="28"/>
          <w:szCs w:val="28"/>
          <w:highlight w:val="none"/>
          <w:lang w:val="en-US" w:eastAsia="zh-CN" w:bidi="ar-SA"/>
        </w:rPr>
        <w:t>。</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5"/>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磋商小组有权作出不利于供应商的认定。</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5"/>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技术条款（*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5"/>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w:t>
      </w:r>
      <w:r>
        <w:rPr>
          <w:rFonts w:hint="eastAsia" w:ascii="仿宋" w:hAnsi="仿宋" w:cs="仿宋"/>
          <w:spacing w:val="0"/>
          <w:kern w:val="2"/>
          <w:sz w:val="28"/>
          <w:szCs w:val="28"/>
          <w:highlight w:val="none"/>
          <w:lang w:val="en-US" w:eastAsia="zh-CN" w:bidi="ar-SA"/>
        </w:rPr>
        <w:t>账</w:t>
      </w:r>
      <w:r>
        <w:rPr>
          <w:rFonts w:hint="eastAsia" w:ascii="仿宋" w:hAnsi="仿宋" w:eastAsia="仿宋" w:cs="仿宋"/>
          <w:spacing w:val="0"/>
          <w:kern w:val="2"/>
          <w:sz w:val="28"/>
          <w:szCs w:val="28"/>
          <w:highlight w:val="none"/>
          <w:lang w:val="en-US" w:eastAsia="zh-CN" w:bidi="ar-SA"/>
        </w:rPr>
        <w:t>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5"/>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%（工程项目为</w:t>
      </w:r>
      <w:r>
        <w:rPr>
          <w:rFonts w:hint="eastAsia" w:ascii="仿宋" w:hAnsi="仿宋" w:cs="仿宋"/>
          <w:spacing w:val="0"/>
          <w:kern w:val="2"/>
          <w:sz w:val="28"/>
          <w:szCs w:val="28"/>
          <w:highlight w:val="none"/>
          <w:lang w:val="en-US" w:eastAsia="zh-CN" w:bidi="ar-SA"/>
        </w:rPr>
        <w:t>5</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工程项目为2%）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25.5.4环保节能产品执行政府采购优惠政策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响应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其中，所报产品为政府强制采购产品的（《节能产品政府采购品目清单》中以“★”标注的产品品目）而未提供国家节能产品认证证书的，按无效报价处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8"/>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3"/>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2"/>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7"/>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7"/>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根据采购人授权直接确定成交供应商。</w:t>
      </w:r>
    </w:p>
    <w:p>
      <w:pPr>
        <w:pStyle w:val="2"/>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688"/>
      <w:bookmarkStart w:id="23" w:name="_Toc1750"/>
      <w:r>
        <w:rPr>
          <w:rFonts w:hint="eastAsia" w:ascii="Arial" w:hAnsi="Arial" w:eastAsia="黑体" w:cs="Times New Roman"/>
          <w:b w:val="0"/>
          <w:kern w:val="2"/>
          <w:sz w:val="36"/>
          <w:szCs w:val="28"/>
          <w:highlight w:val="none"/>
          <w:lang w:val="en-US" w:eastAsia="zh-CN"/>
        </w:rPr>
        <w:t>评审细则</w:t>
      </w:r>
      <w:bookmarkEnd w:id="22"/>
      <w:bookmarkEnd w:id="23"/>
    </w:p>
    <w:tbl>
      <w:tblPr>
        <w:tblStyle w:val="1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7"/>
        <w:gridCol w:w="960"/>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08"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08" w:type="dxa"/>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分；技术参数中每出现1条普通技术规格指标未实质性响应或负偏离的，扣0.</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960"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rPr>
              <w:t>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408"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w:t>
            </w:r>
            <w:r>
              <w:rPr>
                <w:rFonts w:hint="eastAsia" w:ascii="仿宋" w:hAnsi="仿宋" w:cs="仿宋"/>
                <w:sz w:val="28"/>
                <w:szCs w:val="28"/>
                <w:highlight w:val="none"/>
                <w:lang w:val="en-US" w:eastAsia="zh-CN"/>
              </w:rPr>
              <w:t>磋商小组</w:t>
            </w:r>
            <w:r>
              <w:rPr>
                <w:rFonts w:hint="eastAsia" w:ascii="仿宋" w:hAnsi="仿宋" w:eastAsia="仿宋" w:cs="仿宋"/>
                <w:sz w:val="28"/>
                <w:szCs w:val="28"/>
                <w:highlight w:val="none"/>
                <w:lang w:val="en-US" w:eastAsia="zh-CN"/>
              </w:rPr>
              <w:t>认可的实质性优惠条款，每提供一条得1分，最高得2分，无不得分。</w:t>
            </w:r>
          </w:p>
        </w:tc>
      </w:tr>
    </w:tbl>
    <w:p>
      <w:pPr>
        <w:pStyle w:val="19"/>
        <w:rPr>
          <w:rFonts w:hint="eastAsia"/>
          <w:highlight w:val="none"/>
          <w:lang w:val="en-US" w:eastAsia="zh-CN"/>
        </w:rPr>
      </w:pPr>
    </w:p>
    <w:p>
      <w:pPr>
        <w:pStyle w:val="2"/>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3782"/>
      <w:bookmarkStart w:id="25" w:name="_Toc21077"/>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284"/>
      <w:bookmarkStart w:id="27" w:name="_Toc855"/>
      <w:bookmarkStart w:id="28" w:name="_Toc7010"/>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价格可给予联合体3%（工程项目为2%）的价格扣除。如果联合体各方均为小型、微型企业的，联合体视同为小型、微型企业，但联合体各方均应按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19809"/>
      <w:bookmarkStart w:id="30" w:name="_Toc6941"/>
      <w:bookmarkStart w:id="31" w:name="_Toc14175"/>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25000"/>
      <w:bookmarkStart w:id="33" w:name="_Toc30230"/>
      <w:bookmarkStart w:id="34" w:name="_Toc1135"/>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5" w:name="_Toc15087"/>
      <w:bookmarkStart w:id="36" w:name="_Toc31996"/>
      <w:bookmarkStart w:id="37" w:name="_Toc9022"/>
      <w:r>
        <w:rPr>
          <w:rFonts w:hint="eastAsia" w:ascii="Calibri" w:hAnsi="Calibri" w:eastAsia="楷体" w:cs="Times New Roman"/>
          <w:b/>
          <w:kern w:val="2"/>
          <w:sz w:val="32"/>
          <w:szCs w:val="28"/>
          <w:highlight w:val="none"/>
        </w:rPr>
        <w:t>节能、环保产品</w:t>
      </w:r>
      <w:bookmarkEnd w:id="35"/>
      <w:bookmarkEnd w:id="36"/>
      <w:bookmarkEnd w:id="37"/>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8"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8"/>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4624"/>
        <w:gridCol w:w="126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3"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653"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5"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pacing w:val="0"/>
                <w:kern w:val="2"/>
                <w:sz w:val="28"/>
                <w:szCs w:val="28"/>
                <w:highlight w:val="none"/>
                <w:lang w:val="en-US" w:eastAsia="zh-CN" w:bidi="ar-SA"/>
              </w:rPr>
              <w:t>超滤装置</w:t>
            </w:r>
          </w:p>
        </w:tc>
        <w:tc>
          <w:tcPr>
            <w:tcW w:w="665" w:type="pct"/>
            <w:noWrap/>
            <w:vAlign w:val="center"/>
          </w:tcPr>
          <w:p>
            <w:pPr>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b/>
                <w:bCs/>
                <w:spacing w:val="0"/>
                <w:kern w:val="2"/>
                <w:sz w:val="28"/>
                <w:szCs w:val="28"/>
                <w:highlight w:val="none"/>
                <w:lang w:val="en-US" w:eastAsia="zh-CN" w:bidi="ar-SA"/>
              </w:rPr>
              <w:t>1套</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53"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5"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超声波治疗仪</w:t>
            </w:r>
          </w:p>
        </w:tc>
        <w:tc>
          <w:tcPr>
            <w:tcW w:w="665" w:type="pct"/>
            <w:noWrap/>
            <w:vAlign w:val="center"/>
          </w:tcPr>
          <w:p>
            <w:pPr>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b/>
                <w:bCs/>
                <w:spacing w:val="0"/>
                <w:kern w:val="2"/>
                <w:sz w:val="28"/>
                <w:szCs w:val="28"/>
                <w:highlight w:val="none"/>
                <w:lang w:val="en-US" w:eastAsia="zh-CN" w:bidi="ar-SA"/>
              </w:rPr>
              <w:t>1套</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r>
              <w:rPr>
                <w:rFonts w:hint="eastAsia" w:ascii="仿宋" w:hAnsi="仿宋" w:eastAsia="仿宋" w:cs="仿宋"/>
                <w:kern w:val="0"/>
                <w:sz w:val="28"/>
                <w:szCs w:val="28"/>
                <w:highlight w:val="none"/>
              </w:rPr>
              <w:t>核心产品</w:t>
            </w: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sz w:val="30"/>
          <w:szCs w:val="30"/>
          <w:highlight w:val="none"/>
          <w:lang w:eastAsia="zh-CN"/>
        </w:rPr>
      </w:pPr>
      <w:r>
        <w:rPr>
          <w:rFonts w:hint="eastAsia" w:ascii="仿宋" w:hAnsi="仿宋" w:eastAsia="仿宋" w:cs="仿宋"/>
          <w:b/>
          <w:bCs/>
          <w:color w:val="000000"/>
          <w:sz w:val="30"/>
          <w:szCs w:val="30"/>
          <w:highlight w:val="none"/>
          <w:lang w:val="en-US" w:eastAsia="zh-CN"/>
        </w:rPr>
        <w:t>二、采购设备</w:t>
      </w:r>
      <w:r>
        <w:rPr>
          <w:rFonts w:hint="eastAsia" w:ascii="仿宋" w:hAnsi="仿宋" w:eastAsia="仿宋" w:cs="仿宋"/>
          <w:b/>
          <w:bCs/>
          <w:color w:val="000000"/>
          <w:sz w:val="30"/>
          <w:szCs w:val="30"/>
          <w:highlight w:val="none"/>
        </w:rPr>
        <w:t>技术参数</w:t>
      </w:r>
      <w:r>
        <w:rPr>
          <w:rFonts w:hint="eastAsia" w:ascii="仿宋" w:hAnsi="仿宋" w:eastAsia="仿宋" w:cs="仿宋"/>
          <w:b/>
          <w:bCs/>
          <w:color w:val="0D0D0D"/>
          <w:sz w:val="30"/>
          <w:szCs w:val="30"/>
          <w:highlight w:val="none"/>
        </w:rPr>
        <w:t>要求：</w:t>
      </w:r>
    </w:p>
    <w:p>
      <w:pPr>
        <w:pStyle w:val="7"/>
        <w:spacing w:after="0" w:line="480" w:lineRule="exact"/>
        <w:ind w:firstLine="703" w:firstLineChars="250"/>
        <w:jc w:val="left"/>
        <w:rPr>
          <w:rFonts w:hint="default"/>
          <w:b/>
          <w:bCs w:val="0"/>
          <w:color w:val="auto"/>
          <w:sz w:val="28"/>
          <w:szCs w:val="28"/>
          <w:highlight w:val="none"/>
          <w:lang w:val="en-US" w:eastAsia="zh-CN"/>
        </w:rPr>
      </w:pPr>
      <w:r>
        <w:rPr>
          <w:rFonts w:hint="eastAsia" w:ascii="仿宋" w:hAnsi="仿宋" w:eastAsia="仿宋" w:cs="仿宋"/>
          <w:b/>
          <w:bCs/>
          <w:spacing w:val="0"/>
          <w:kern w:val="2"/>
          <w:sz w:val="28"/>
          <w:szCs w:val="28"/>
          <w:highlight w:val="none"/>
          <w:lang w:val="en-US" w:eastAsia="zh-CN" w:bidi="ar-SA"/>
        </w:rPr>
        <w:t>A</w:t>
      </w:r>
      <w:r>
        <w:rPr>
          <w:rFonts w:hint="eastAsia" w:ascii="仿宋" w:hAnsi="仿宋" w:cs="仿宋"/>
          <w:b/>
          <w:bCs/>
          <w:spacing w:val="0"/>
          <w:kern w:val="2"/>
          <w:sz w:val="28"/>
          <w:szCs w:val="28"/>
          <w:highlight w:val="none"/>
          <w:lang w:val="en-US" w:eastAsia="zh-CN" w:bidi="ar-SA"/>
        </w:rPr>
        <w:t>、</w:t>
      </w:r>
      <w:r>
        <w:rPr>
          <w:rFonts w:hint="eastAsia"/>
          <w:b/>
          <w:bCs w:val="0"/>
          <w:color w:val="auto"/>
          <w:sz w:val="28"/>
          <w:szCs w:val="28"/>
          <w:highlight w:val="none"/>
          <w:lang w:val="en-US" w:eastAsia="zh-CN"/>
        </w:rPr>
        <w:t>超滤装置1套</w:t>
      </w:r>
    </w:p>
    <w:p>
      <w:pPr>
        <w:spacing w:line="560" w:lineRule="exact"/>
        <w:ind w:firstLine="562"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设备</w:t>
      </w:r>
      <w:r>
        <w:rPr>
          <w:rFonts w:hint="eastAsia" w:ascii="仿宋" w:hAnsi="仿宋" w:eastAsia="仿宋" w:cs="仿宋"/>
          <w:b/>
          <w:color w:val="auto"/>
          <w:sz w:val="28"/>
          <w:szCs w:val="28"/>
          <w:highlight w:val="none"/>
        </w:rPr>
        <w:t>用途</w:t>
      </w:r>
    </w:p>
    <w:p>
      <w:pPr>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缓慢单纯超滤，重点</w:t>
      </w:r>
      <w:r>
        <w:rPr>
          <w:rFonts w:hint="eastAsia" w:ascii="仿宋" w:hAnsi="仿宋" w:eastAsia="仿宋" w:cs="仿宋"/>
          <w:color w:val="auto"/>
          <w:sz w:val="28"/>
          <w:szCs w:val="28"/>
          <w:highlight w:val="none"/>
        </w:rPr>
        <w:t>治疗心衰钠水潴留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用于</w:t>
      </w:r>
      <w:r>
        <w:rPr>
          <w:rFonts w:hint="eastAsia" w:ascii="仿宋" w:hAnsi="仿宋" w:eastAsia="仿宋" w:cs="仿宋"/>
          <w:color w:val="auto"/>
          <w:sz w:val="28"/>
          <w:szCs w:val="28"/>
          <w:highlight w:val="none"/>
        </w:rPr>
        <w:t>缓解呼吸困难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消除水肿</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改善心功能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逆转利尿剂抵抗、改善神经内分泌状态、改善血流动力学</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w:t>
      </w:r>
    </w:p>
    <w:p>
      <w:pPr>
        <w:numPr>
          <w:ilvl w:val="0"/>
          <w:numId w:val="10"/>
        </w:numPr>
        <w:spacing w:line="560" w:lineRule="exact"/>
        <w:ind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技术要求</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血泵速度0-50ml/min。</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超滤泵速度0～600ml/h，脱水精度±30ml/h，累计脱水量误差优于±200ml。</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血泵和超滤泵采用静音设计，机械部分泵头转子采用无噪音微型轴承滚轮。</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血泵和超滤泵控制部分采用空间矢量脉宽调制技术（svpwm），驱动混合式三相步进电机旋转，转速控制精度达到1/5000转。</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血泵和超滤泵运动控制均为独立cpu单元。</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电机旋转霍尔传感器监测，步进电机-闭环控制双重机制。</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超滤量和超滤速度实时监测，超滤速度偏离设定的速度时，报警提示。</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使用8F双腔管经中心静脉建立体外循环，或者用两个18G静脉留置针经外周浅放静脉建立体外循环。</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心衰用的一次性体外循环管路，管路+滤器总容积为65ml，冲洗管路用生理盐水≤150ml。</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治疗期间不影响电解质平衡和酸碱平衡，不需要频繁监测血钾，纳、氯和血气分析。</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漏血检测：环境光免疫光电检测技术，检测精度为1‰（1ml血+1000ml生理盐水）。</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有滤器前压检测单元，测定范围：-100mmHg～400mmHg。</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气泡检测：超声检测法，检测精度100μL。</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具备管路排气和气泡捕获功能。</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其他压力监测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3659"/>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压力检测</w:t>
            </w:r>
          </w:p>
        </w:tc>
        <w:tc>
          <w:tcPr>
            <w:tcW w:w="1928"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范围</w:t>
            </w:r>
          </w:p>
        </w:tc>
        <w:tc>
          <w:tcPr>
            <w:tcW w:w="1667"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动脉压</w:t>
            </w:r>
          </w:p>
        </w:tc>
        <w:tc>
          <w:tcPr>
            <w:tcW w:w="1928"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-400mmHg～100mmHg</w:t>
            </w:r>
          </w:p>
        </w:tc>
        <w:tc>
          <w:tcPr>
            <w:tcW w:w="1667"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±10mmHg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静脉压</w:t>
            </w:r>
          </w:p>
        </w:tc>
        <w:tc>
          <w:tcPr>
            <w:tcW w:w="1928"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-100mmHg～400mmHg</w:t>
            </w:r>
          </w:p>
        </w:tc>
        <w:tc>
          <w:tcPr>
            <w:tcW w:w="1667"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±10mmHg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超滤压</w:t>
            </w:r>
          </w:p>
        </w:tc>
        <w:tc>
          <w:tcPr>
            <w:tcW w:w="1928"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-400mmHg～100mmHg</w:t>
            </w:r>
          </w:p>
        </w:tc>
        <w:tc>
          <w:tcPr>
            <w:tcW w:w="1667" w:type="pct"/>
            <w:noWrap w:val="0"/>
            <w:vAlign w:val="top"/>
          </w:tcPr>
          <w:p>
            <w:pPr>
              <w:spacing w:before="100" w:beforeLines="0" w:beforeAutospacing="1" w:after="100" w:afterLines="0" w:afterAutospacing="1"/>
              <w:jc w:val="center"/>
              <w:rPr>
                <w:rFonts w:hint="eastAsia" w:ascii="宋体" w:hAnsi="宋体" w:cs="宋体"/>
                <w:sz w:val="28"/>
                <w:szCs w:val="28"/>
                <w:highlight w:val="none"/>
              </w:rPr>
            </w:pPr>
            <w:r>
              <w:rPr>
                <w:rFonts w:hint="eastAsia" w:ascii="宋体" w:hAnsi="宋体" w:cs="宋体"/>
                <w:sz w:val="28"/>
                <w:szCs w:val="28"/>
                <w:highlight w:val="none"/>
              </w:rPr>
              <w:t>±10mmHg</w:t>
            </w:r>
          </w:p>
        </w:tc>
      </w:tr>
    </w:tbl>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治疗现场保护功能：在正在进行治疗时，如发生意外断电、不可预测的事件等异常情况，设备可以自动保护现场，并在医护人员的干预下，恢复到当下治疗界面。</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具备开机自检功能及完善的报警功能。</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软件设计强制预冲功能，预冲不充分不允许进入治疗模式。</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软件设计强制称重传感器定标，误差增大时不允许进入治疗。</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≥10英寸触摸显示屏，具备中文引导式操作界面。</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2"/>
          <w:sz w:val="28"/>
          <w:szCs w:val="28"/>
          <w:highlight w:val="none"/>
          <w:lang w:val="en-US" w:eastAsia="zh-CN" w:bidi="ar-SA"/>
        </w:rPr>
        <w:t>耗材限价：一次性使用血液透析管路限价 680元；承诺过滤器为开放性耗材。耗材报价长期有效，且中标商必须承诺后期耗材的长期供应</w:t>
      </w:r>
      <w:r>
        <w:rPr>
          <w:rFonts w:hint="eastAsia" w:ascii="仿宋" w:hAnsi="仿宋" w:eastAsia="仿宋" w:cs="仿宋"/>
          <w:b w:val="0"/>
          <w:bCs/>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outlineLvl w:val="9"/>
        <w:rPr>
          <w:rFonts w:hint="eastAsia"/>
          <w:b/>
          <w:bCs w:val="0"/>
          <w:color w:val="auto"/>
          <w:sz w:val="28"/>
          <w:szCs w:val="28"/>
          <w:highlight w:val="none"/>
          <w:lang w:val="en-US" w:eastAsia="zh-CN"/>
        </w:rPr>
      </w:pPr>
      <w:r>
        <w:rPr>
          <w:rFonts w:hint="eastAsia"/>
          <w:b/>
          <w:bCs w:val="0"/>
          <w:color w:val="auto"/>
          <w:sz w:val="28"/>
          <w:szCs w:val="28"/>
          <w:highlight w:val="none"/>
          <w:lang w:val="en-US" w:eastAsia="zh-CN"/>
        </w:rPr>
        <w:t xml:space="preserve"> </w:t>
      </w:r>
    </w:p>
    <w:p>
      <w:pPr>
        <w:rPr>
          <w:rFonts w:hint="eastAsia"/>
          <w:b/>
          <w:bCs w:val="0"/>
          <w:color w:val="auto"/>
          <w:sz w:val="28"/>
          <w:szCs w:val="28"/>
          <w:highlight w:val="none"/>
          <w:lang w:val="en-US" w:eastAsia="zh-CN"/>
        </w:rPr>
      </w:pPr>
      <w:r>
        <w:rPr>
          <w:rFonts w:hint="eastAsia"/>
          <w:b/>
          <w:bCs w:val="0"/>
          <w:color w:val="auto"/>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outlineLvl w:val="9"/>
        <w:rPr>
          <w:rFonts w:hint="default"/>
          <w:b/>
          <w:bCs w:val="0"/>
          <w:color w:val="auto"/>
          <w:sz w:val="28"/>
          <w:szCs w:val="28"/>
          <w:highlight w:val="none"/>
          <w:lang w:val="en-US" w:eastAsia="zh-CN"/>
        </w:rPr>
      </w:pPr>
      <w:r>
        <w:rPr>
          <w:rFonts w:hint="eastAsia"/>
          <w:b/>
          <w:bCs w:val="0"/>
          <w:color w:val="auto"/>
          <w:sz w:val="28"/>
          <w:szCs w:val="28"/>
          <w:highlight w:val="none"/>
          <w:lang w:val="en-US" w:eastAsia="zh-CN"/>
        </w:rPr>
        <w:t>B、超声波治疗仪1套，核心产品</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超声频率： 840 KHz±5% （此频率治疗深度最深12--18厘米）</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脉冲调制波—其调制频率用于治疗为:</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a) 小脉冲（每秒钟５０次）</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b) 大脉冲（每分钟７５次、每分钟８５次、每分钟９５次、每分钟１０５次）。</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c) 每分钟次数由医师设置与患者心率同步。处方治疗频率按接近人体心率治疗。</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治疗处方：提供至少39个常用处方，1个医生自定义处方</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输出通道：双通道输出，可同时治疗两位病人。</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治疗头配置：组合式治疗头（2套）、心脏治疗头（2套）（双通治疗）</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治疗头类型：硅胶囊治疗头</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有效辐射面积：15cm2±6%（组合式治疗头）、15cm2±6%（心脏治疗头）</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探头数量：≥5个组合式治疗头、5个心脏治疗头</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心脏治疗头由至少5个输出单元组成，心脏治疗头模拟心脏结构专用于治疗心脏心血管疾病。</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超声波输出形式：脉冲调制波；</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最大声强:  ≤2W/cm2</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工作模式：循环扫描式工作（每个超声治疗探头工作2秒、3秒或5秒；间隔0.2秒后切换至下一个治疗头；工作时间可预置）</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具有治疗心血管疾病与脑颈血管疾病两种血管堵塞性疾病的治疗功能</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产品注册证治疗适应症为：用非介入疗法辅助治疗心脏血管堵塞性疾病。</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符合YY0505标准电磁兼容有关要求</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00" w:firstLineChars="0"/>
        <w:textAlignment w:val="auto"/>
        <w:outlineLvl w:val="9"/>
        <w:rPr>
          <w:rFonts w:hint="eastAsia"/>
          <w:sz w:val="28"/>
          <w:szCs w:val="28"/>
          <w:highlight w:val="none"/>
          <w:lang w:val="en-US" w:eastAsia="zh-CN"/>
        </w:rPr>
      </w:pPr>
      <w:r>
        <w:rPr>
          <w:rFonts w:hint="eastAsia" w:ascii="仿宋" w:hAnsi="仿宋" w:eastAsia="仿宋" w:cs="仿宋"/>
          <w:b w:val="0"/>
          <w:bCs/>
          <w:color w:val="auto"/>
          <w:kern w:val="2"/>
          <w:sz w:val="28"/>
          <w:szCs w:val="28"/>
          <w:highlight w:val="none"/>
          <w:lang w:val="en-US" w:eastAsia="zh-CN" w:bidi="ar-SA"/>
        </w:rPr>
        <w:t>软件功能：可预置治疗处方、治疗方案、治疗头工作模式。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cs="仿宋"/>
          <w:b/>
          <w:bCs/>
          <w:color w:val="0D0D0D"/>
          <w:sz w:val="30"/>
          <w:szCs w:val="30"/>
          <w:highlight w:val="none"/>
          <w:lang w:val="en-US" w:eastAsia="zh-CN"/>
        </w:rPr>
      </w:pPr>
      <w:r>
        <w:rPr>
          <w:rFonts w:hint="eastAsia" w:ascii="仿宋" w:hAnsi="仿宋" w:eastAsia="仿宋" w:cs="仿宋"/>
          <w:sz w:val="28"/>
          <w:szCs w:val="28"/>
          <w:highlight w:val="none"/>
          <w:lang w:val="en-US" w:eastAsia="zh-CN"/>
        </w:rPr>
        <w:t xml:space="preserve"> </w:t>
      </w: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7"/>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7"/>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7"/>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7"/>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7"/>
        <w:spacing w:after="0" w:line="480" w:lineRule="exact"/>
        <w:ind w:firstLine="700" w:firstLineChars="250"/>
        <w:jc w:val="left"/>
        <w:rPr>
          <w:rFonts w:hint="eastAsia" w:ascii="仿宋" w:hAnsi="仿宋" w:eastAsia="仿宋" w:cs="仿宋"/>
          <w:sz w:val="28"/>
          <w:szCs w:val="28"/>
          <w:highlight w:val="none"/>
        </w:rPr>
      </w:pPr>
    </w:p>
    <w:p>
      <w:pPr>
        <w:pStyle w:val="3"/>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9"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9"/>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19"/>
        <w:rPr>
          <w:rFonts w:hint="eastAsia" w:ascii="宋体" w:hAnsi="宋体" w:eastAsia="宋体" w:cs="宋体"/>
          <w:highlight w:val="none"/>
        </w:rPr>
      </w:pPr>
    </w:p>
    <w:p>
      <w:pPr>
        <w:pStyle w:val="7"/>
        <w:rPr>
          <w:rFonts w:hint="eastAsia" w:ascii="宋体" w:hAnsi="宋体" w:eastAsia="宋体" w:cs="宋体"/>
          <w:highlight w:val="none"/>
        </w:rPr>
      </w:pPr>
    </w:p>
    <w:p>
      <w:pPr>
        <w:rPr>
          <w:rFonts w:hint="eastAsia" w:ascii="宋体" w:hAnsi="宋体" w:eastAsia="宋体" w:cs="宋体"/>
          <w:highlight w:val="none"/>
        </w:rPr>
      </w:pPr>
    </w:p>
    <w:p>
      <w:pPr>
        <w:pStyle w:val="19"/>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0" w:name="_Toc14605"/>
      <w:bookmarkStart w:id="41" w:name="_Toc6202"/>
      <w:r>
        <w:rPr>
          <w:rFonts w:hint="eastAsia" w:ascii="Arial" w:hAnsi="Arial" w:eastAsia="黑体" w:cs="Times New Roman"/>
          <w:b w:val="0"/>
          <w:kern w:val="2"/>
          <w:sz w:val="36"/>
          <w:szCs w:val="28"/>
          <w:highlight w:val="none"/>
        </w:rPr>
        <w:t>一、合同文件</w:t>
      </w:r>
      <w:bookmarkEnd w:id="40"/>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2" w:name="_Toc22929"/>
      <w:bookmarkStart w:id="43" w:name="_Toc32520"/>
      <w:r>
        <w:rPr>
          <w:rFonts w:hint="eastAsia" w:ascii="Arial" w:hAnsi="Arial" w:eastAsia="黑体" w:cs="Times New Roman"/>
          <w:b w:val="0"/>
          <w:kern w:val="2"/>
          <w:sz w:val="36"/>
          <w:szCs w:val="28"/>
          <w:highlight w:val="none"/>
        </w:rPr>
        <w:t>二、合同的范围和条件</w:t>
      </w:r>
      <w:bookmarkEnd w:id="42"/>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4" w:name="_Toc25344"/>
      <w:bookmarkStart w:id="45" w:name="_Toc23763"/>
      <w:r>
        <w:rPr>
          <w:rFonts w:hint="eastAsia" w:ascii="Arial" w:hAnsi="Arial" w:eastAsia="黑体" w:cs="Times New Roman"/>
          <w:b w:val="0"/>
          <w:kern w:val="2"/>
          <w:sz w:val="36"/>
          <w:szCs w:val="28"/>
          <w:highlight w:val="none"/>
        </w:rPr>
        <w:t>三、货物、数量及规格</w:t>
      </w:r>
      <w:bookmarkEnd w:id="44"/>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6" w:name="_Toc8807"/>
      <w:bookmarkStart w:id="47" w:name="_Toc272"/>
      <w:r>
        <w:rPr>
          <w:rFonts w:hint="eastAsia" w:ascii="Arial" w:hAnsi="Arial" w:eastAsia="黑体" w:cs="Times New Roman"/>
          <w:b w:val="0"/>
          <w:kern w:val="2"/>
          <w:sz w:val="36"/>
          <w:szCs w:val="28"/>
          <w:highlight w:val="none"/>
        </w:rPr>
        <w:t>四、合同金额</w:t>
      </w:r>
      <w:bookmarkEnd w:id="46"/>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8" w:name="_Toc17889"/>
      <w:bookmarkStart w:id="49" w:name="_Toc13328"/>
      <w:r>
        <w:rPr>
          <w:rFonts w:hint="eastAsia" w:ascii="Arial" w:hAnsi="Arial" w:eastAsia="黑体" w:cs="Times New Roman"/>
          <w:b w:val="0"/>
          <w:kern w:val="2"/>
          <w:sz w:val="36"/>
          <w:szCs w:val="28"/>
          <w:highlight w:val="none"/>
        </w:rPr>
        <w:t>五、付款途径</w:t>
      </w:r>
      <w:bookmarkEnd w:id="48"/>
      <w:bookmarkEnd w:id="4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25500"/>
      <w:bookmarkStart w:id="51" w:name="_Toc9881"/>
      <w:r>
        <w:rPr>
          <w:rFonts w:hint="eastAsia" w:ascii="Arial" w:hAnsi="Arial" w:eastAsia="黑体" w:cs="Times New Roman"/>
          <w:b w:val="0"/>
          <w:kern w:val="2"/>
          <w:sz w:val="36"/>
          <w:szCs w:val="28"/>
          <w:highlight w:val="none"/>
        </w:rPr>
        <w:t>六、付款方式</w:t>
      </w:r>
      <w:bookmarkEnd w:id="50"/>
      <w:bookmarkEnd w:id="5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52" w:name="_Toc11362"/>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10832"/>
      <w:r>
        <w:rPr>
          <w:rFonts w:hint="eastAsia" w:ascii="Arial" w:hAnsi="Arial" w:eastAsia="黑体" w:cs="Times New Roman"/>
          <w:b w:val="0"/>
          <w:kern w:val="2"/>
          <w:sz w:val="36"/>
          <w:szCs w:val="28"/>
          <w:highlight w:val="none"/>
        </w:rPr>
        <w:t>七、交货日期、地点</w:t>
      </w:r>
      <w:bookmarkEnd w:id="52"/>
      <w:bookmarkEnd w:id="5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4" w:name="_Toc2358"/>
      <w:bookmarkStart w:id="55" w:name="_Toc18187"/>
      <w:r>
        <w:rPr>
          <w:rFonts w:hint="eastAsia" w:ascii="Arial" w:hAnsi="Arial" w:eastAsia="黑体" w:cs="Times New Roman"/>
          <w:b w:val="0"/>
          <w:kern w:val="2"/>
          <w:sz w:val="36"/>
          <w:szCs w:val="28"/>
          <w:highlight w:val="none"/>
        </w:rPr>
        <w:t>八、质量标准和验收</w:t>
      </w:r>
      <w:bookmarkEnd w:id="54"/>
      <w:bookmarkEnd w:id="5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6" w:name="_Toc23410"/>
      <w:bookmarkStart w:id="57" w:name="_Toc26222"/>
      <w:r>
        <w:rPr>
          <w:rFonts w:hint="eastAsia" w:ascii="Arial" w:hAnsi="Arial" w:eastAsia="黑体" w:cs="Times New Roman"/>
          <w:b w:val="0"/>
          <w:kern w:val="2"/>
          <w:sz w:val="36"/>
          <w:szCs w:val="28"/>
          <w:highlight w:val="none"/>
        </w:rPr>
        <w:t>九、履约保证金</w:t>
      </w:r>
      <w:bookmarkEnd w:id="56"/>
      <w:bookmarkEnd w:id="5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8" w:name="_Toc16424"/>
      <w:bookmarkStart w:id="59" w:name="_Toc8157"/>
      <w:r>
        <w:rPr>
          <w:rFonts w:hint="eastAsia" w:ascii="Arial" w:hAnsi="Arial" w:eastAsia="黑体" w:cs="Times New Roman"/>
          <w:b w:val="0"/>
          <w:kern w:val="2"/>
          <w:sz w:val="36"/>
          <w:szCs w:val="28"/>
          <w:highlight w:val="none"/>
        </w:rPr>
        <w:t>十、违约责任</w:t>
      </w:r>
      <w:bookmarkEnd w:id="58"/>
      <w:bookmarkEnd w:id="5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0" w:name="_Toc18228"/>
      <w:bookmarkStart w:id="61" w:name="_Toc15291"/>
      <w:r>
        <w:rPr>
          <w:rFonts w:hint="eastAsia" w:ascii="Arial" w:hAnsi="Arial" w:eastAsia="黑体" w:cs="Times New Roman"/>
          <w:b w:val="0"/>
          <w:kern w:val="2"/>
          <w:sz w:val="36"/>
          <w:szCs w:val="28"/>
          <w:highlight w:val="none"/>
        </w:rPr>
        <w:t>十一、争议解决</w:t>
      </w:r>
      <w:bookmarkEnd w:id="60"/>
      <w:bookmarkEnd w:id="6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2" w:name="_Toc31796"/>
      <w:bookmarkStart w:id="63" w:name="_Toc8912"/>
      <w:r>
        <w:rPr>
          <w:rFonts w:hint="eastAsia" w:ascii="Arial" w:hAnsi="Arial" w:eastAsia="黑体" w:cs="Times New Roman"/>
          <w:b w:val="0"/>
          <w:kern w:val="2"/>
          <w:sz w:val="36"/>
          <w:szCs w:val="28"/>
          <w:highlight w:val="none"/>
        </w:rPr>
        <w:t>十二、合同生效</w:t>
      </w:r>
      <w:bookmarkEnd w:id="62"/>
      <w:bookmarkEnd w:id="6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4" w:name="_Toc439"/>
      <w:bookmarkStart w:id="65" w:name="_Toc17395"/>
      <w:r>
        <w:rPr>
          <w:rFonts w:hint="eastAsia" w:ascii="Arial" w:hAnsi="Arial" w:eastAsia="黑体" w:cs="Times New Roman"/>
          <w:b w:val="0"/>
          <w:kern w:val="2"/>
          <w:sz w:val="36"/>
          <w:szCs w:val="28"/>
          <w:highlight w:val="none"/>
        </w:rPr>
        <w:t>十三、其他</w:t>
      </w:r>
      <w:bookmarkEnd w:id="64"/>
      <w:bookmarkEnd w:id="6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6" w:name="_Toc15058"/>
      <w:bookmarkStart w:id="67" w:name="_Toc2577"/>
      <w:r>
        <w:rPr>
          <w:rFonts w:hint="eastAsia" w:ascii="Arial" w:hAnsi="Arial" w:eastAsia="黑体" w:cs="Times New Roman"/>
          <w:b w:val="0"/>
          <w:kern w:val="2"/>
          <w:sz w:val="36"/>
          <w:szCs w:val="28"/>
          <w:highlight w:val="none"/>
        </w:rPr>
        <w:t>十四、合同保存</w:t>
      </w:r>
      <w:bookmarkEnd w:id="66"/>
      <w:bookmarkEnd w:id="6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3"/>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8"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8"/>
    </w:p>
    <w:p>
      <w:pPr>
        <w:pStyle w:val="2"/>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9" w:name="_Toc24896"/>
      <w:r>
        <w:rPr>
          <w:rFonts w:hint="eastAsia" w:ascii="Arial" w:hAnsi="Arial" w:eastAsia="黑体" w:cs="Times New Roman"/>
          <w:b w:val="0"/>
          <w:kern w:val="2"/>
          <w:sz w:val="32"/>
          <w:szCs w:val="32"/>
          <w:highlight w:val="none"/>
        </w:rPr>
        <w:t>附件一：报价函</w:t>
      </w:r>
      <w:bookmarkEnd w:id="69"/>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w:t>
      </w:r>
      <w:r>
        <w:rPr>
          <w:rFonts w:hint="eastAsia" w:ascii="仿宋" w:hAnsi="仿宋" w:cs="仿宋"/>
          <w:spacing w:val="0"/>
          <w:kern w:val="2"/>
          <w:sz w:val="28"/>
          <w:szCs w:val="28"/>
          <w:highlight w:val="none"/>
          <w:lang w:val="en-US" w:eastAsia="zh-CN" w:bidi="ar-SA"/>
        </w:rPr>
        <w:t>账</w:t>
      </w:r>
      <w:bookmarkStart w:id="102" w:name="_GoBack"/>
      <w:bookmarkEnd w:id="102"/>
      <w:r>
        <w:rPr>
          <w:rFonts w:hint="eastAsia" w:ascii="仿宋" w:hAnsi="仿宋" w:eastAsia="仿宋" w:cs="仿宋"/>
          <w:spacing w:val="0"/>
          <w:kern w:val="2"/>
          <w:sz w:val="28"/>
          <w:szCs w:val="28"/>
          <w:highlight w:val="none"/>
          <w:lang w:val="en-US" w:eastAsia="zh-CN" w:bidi="ar-SA"/>
        </w:rPr>
        <w:t>号：</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2"/>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70" w:name="_Toc24306"/>
      <w:bookmarkStart w:id="71" w:name="_Toc15950"/>
      <w:r>
        <w:rPr>
          <w:rFonts w:hint="eastAsia" w:ascii="Arial" w:hAnsi="Arial" w:eastAsia="黑体" w:cs="Times New Roman"/>
          <w:b w:val="0"/>
          <w:kern w:val="2"/>
          <w:sz w:val="32"/>
          <w:szCs w:val="32"/>
          <w:highlight w:val="none"/>
          <w:lang w:val="en-US" w:eastAsia="zh-CN"/>
        </w:rPr>
        <w:t>附件二：法定代表人身份证明</w:t>
      </w:r>
      <w:bookmarkEnd w:id="70"/>
      <w:bookmarkEnd w:id="71"/>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72" w:name="_Toc7468"/>
      <w:r>
        <w:rPr>
          <w:rFonts w:hint="eastAsia" w:ascii="Arial" w:hAnsi="Arial" w:eastAsia="黑体" w:cs="Times New Roman"/>
          <w:b w:val="0"/>
          <w:kern w:val="2"/>
          <w:sz w:val="32"/>
          <w:szCs w:val="32"/>
          <w:highlight w:val="none"/>
          <w:lang w:val="en-US" w:eastAsia="zh-CN" w:bidi="ar-SA"/>
        </w:rPr>
        <w:t>附件三：授权委托书</w:t>
      </w:r>
      <w:bookmarkEnd w:id="72"/>
    </w:p>
    <w:p>
      <w:pPr>
        <w:pStyle w:val="7"/>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2"/>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3" w:name="_Toc23170"/>
      <w:r>
        <w:rPr>
          <w:rFonts w:hint="eastAsia" w:ascii="Arial" w:hAnsi="Arial" w:eastAsia="黑体" w:cs="Times New Roman"/>
          <w:b w:val="0"/>
          <w:kern w:val="2"/>
          <w:sz w:val="32"/>
          <w:szCs w:val="32"/>
          <w:highlight w:val="none"/>
          <w:lang w:val="en-US" w:eastAsia="zh-CN" w:bidi="ar-SA"/>
        </w:rPr>
        <w:t>附件四：报价一览表</w:t>
      </w:r>
      <w:bookmarkEnd w:id="73"/>
    </w:p>
    <w:p>
      <w:pPr>
        <w:pStyle w:val="7"/>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货物名称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产地/品牌/型号（多种产品的仅提供核心产品品牌型号）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
                <w:color w:val="000000"/>
                <w:sz w:val="28"/>
                <w:szCs w:val="28"/>
                <w:highlight w:val="none"/>
                <w:u w:val="singl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2"/>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8355"/>
      <w:r>
        <w:rPr>
          <w:rFonts w:hint="eastAsia" w:ascii="Arial" w:hAnsi="Arial" w:eastAsia="黑体" w:cs="Times New Roman"/>
          <w:b w:val="0"/>
          <w:kern w:val="2"/>
          <w:sz w:val="32"/>
          <w:szCs w:val="32"/>
          <w:highlight w:val="none"/>
          <w:lang w:val="en-US" w:eastAsia="zh-CN" w:bidi="ar-SA"/>
        </w:rPr>
        <w:t>附件五：报价明细表</w:t>
      </w:r>
      <w:bookmarkEnd w:id="74"/>
    </w:p>
    <w:p>
      <w:pPr>
        <w:tabs>
          <w:tab w:val="left" w:pos="1785"/>
        </w:tabs>
        <w:spacing w:line="480" w:lineRule="exact"/>
        <w:rPr>
          <w:rFonts w:hint="eastAsia" w:ascii="仿宋" w:hAnsi="仿宋" w:eastAsia="仿宋" w:cs="仿宋"/>
          <w:color w:val="000000"/>
          <w:sz w:val="28"/>
          <w:szCs w:val="28"/>
          <w:highlight w:val="none"/>
        </w:rPr>
      </w:pPr>
      <w:bookmarkStart w:id="75" w:name="OLE_LINK3"/>
      <w:bookmarkStart w:id="76"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5"/>
    <w:bookmarkEnd w:id="76"/>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2"/>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24899"/>
      <w:r>
        <w:rPr>
          <w:rFonts w:hint="eastAsia" w:ascii="Arial" w:hAnsi="Arial" w:eastAsia="黑体" w:cs="Times New Roman"/>
          <w:b w:val="0"/>
          <w:kern w:val="2"/>
          <w:sz w:val="32"/>
          <w:szCs w:val="32"/>
          <w:highlight w:val="none"/>
          <w:lang w:val="en-US" w:eastAsia="zh-CN" w:bidi="ar-SA"/>
        </w:rPr>
        <w:t>附件六：技术规格响应/偏离表</w:t>
      </w:r>
      <w:bookmarkEnd w:id="77"/>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6"/>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2"/>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8" w:name="_Toc32268"/>
      <w:r>
        <w:rPr>
          <w:rFonts w:hint="eastAsia" w:ascii="Arial" w:hAnsi="Arial" w:eastAsia="黑体" w:cs="Times New Roman"/>
          <w:b w:val="0"/>
          <w:kern w:val="2"/>
          <w:sz w:val="32"/>
          <w:szCs w:val="32"/>
          <w:highlight w:val="none"/>
          <w:lang w:val="en-US" w:eastAsia="zh-CN" w:bidi="ar-SA"/>
        </w:rPr>
        <w:t>附件七:商务条款响应/偏离表</w:t>
      </w:r>
      <w:bookmarkEnd w:id="78"/>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6"/>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2"/>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9" w:name="_Toc1189"/>
      <w:r>
        <w:rPr>
          <w:rFonts w:hint="eastAsia" w:ascii="Arial" w:hAnsi="Arial" w:eastAsia="黑体" w:cs="Times New Roman"/>
          <w:b w:val="0"/>
          <w:kern w:val="2"/>
          <w:sz w:val="32"/>
          <w:szCs w:val="32"/>
          <w:highlight w:val="none"/>
          <w:lang w:val="en-US" w:eastAsia="zh-CN" w:bidi="ar-SA"/>
        </w:rPr>
        <w:t>附件八：产品性能描述一览表</w:t>
      </w:r>
      <w:bookmarkEnd w:id="79"/>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2"/>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0"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80"/>
    </w:p>
    <w:p>
      <w:pPr>
        <w:pStyle w:val="2"/>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1" w:name="_Toc13571"/>
      <w:r>
        <w:rPr>
          <w:rFonts w:hint="eastAsia" w:ascii="Arial" w:hAnsi="Arial" w:eastAsia="黑体" w:cs="Times New Roman"/>
          <w:b w:val="0"/>
          <w:kern w:val="2"/>
          <w:sz w:val="36"/>
          <w:szCs w:val="28"/>
          <w:highlight w:val="none"/>
          <w:lang w:val="en-US" w:eastAsia="zh-CN" w:bidi="ar-SA"/>
        </w:rPr>
        <w:t>（格式自定）</w:t>
      </w:r>
      <w:bookmarkEnd w:id="81"/>
    </w:p>
    <w:p>
      <w:pPr>
        <w:pStyle w:val="2"/>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2"/>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2"/>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2"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82"/>
    </w:p>
    <w:p>
      <w:pPr>
        <w:pStyle w:val="2"/>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3" w:name="_Toc29714"/>
      <w:r>
        <w:rPr>
          <w:rFonts w:hint="eastAsia" w:ascii="Arial" w:hAnsi="Arial" w:eastAsia="黑体" w:cs="Times New Roman"/>
          <w:b w:val="0"/>
          <w:kern w:val="2"/>
          <w:sz w:val="36"/>
          <w:szCs w:val="28"/>
          <w:highlight w:val="none"/>
          <w:lang w:val="en-US" w:eastAsia="zh-CN" w:bidi="ar-SA"/>
        </w:rPr>
        <w:t>（格式自定）</w:t>
      </w:r>
      <w:bookmarkEnd w:id="83"/>
    </w:p>
    <w:p>
      <w:pPr>
        <w:pStyle w:val="2"/>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4"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4"/>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2" w:hRule="exact"/>
        </w:trPr>
        <w:tc>
          <w:tcPr>
            <w:tcW w:w="9570" w:type="dxa"/>
            <w:noWrap w:val="0"/>
            <w:vAlign w:val="top"/>
          </w:tcPr>
          <w:p>
            <w:pPr>
              <w:numPr>
                <w:ilvl w:val="0"/>
                <w:numId w:val="13"/>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3"/>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5" w:name="_Toc29643"/>
      <w:r>
        <w:rPr>
          <w:rFonts w:hint="eastAsia" w:ascii="Arial" w:hAnsi="Arial" w:eastAsia="黑体" w:cs="Times New Roman"/>
          <w:b w:val="0"/>
          <w:kern w:val="2"/>
          <w:sz w:val="32"/>
          <w:szCs w:val="32"/>
          <w:highlight w:val="none"/>
          <w:lang w:val="en-US" w:eastAsia="zh-CN" w:bidi="ar-SA"/>
        </w:rPr>
        <w:t>附件十二：证明文件格式（参考）</w:t>
      </w:r>
      <w:bookmarkEnd w:id="85"/>
    </w:p>
    <w:p>
      <w:pPr>
        <w:pStyle w:val="13"/>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w:t>
      </w:r>
      <w:r>
        <w:rPr>
          <w:rFonts w:hint="eastAsia" w:ascii="仿宋" w:hAnsi="仿宋" w:cs="仿宋"/>
          <w:b w:val="0"/>
          <w:kern w:val="2"/>
          <w:sz w:val="28"/>
          <w:szCs w:val="28"/>
          <w:highlight w:val="none"/>
          <w:lang w:val="en-US" w:eastAsia="zh-CN" w:bidi="ar-SA"/>
        </w:rPr>
        <w:t>9</w:t>
      </w:r>
      <w:r>
        <w:rPr>
          <w:rFonts w:hint="eastAsia" w:ascii="仿宋" w:hAnsi="仿宋" w:eastAsia="仿宋" w:cs="仿宋"/>
          <w:b w:val="0"/>
          <w:kern w:val="2"/>
          <w:sz w:val="28"/>
          <w:szCs w:val="28"/>
          <w:highlight w:val="none"/>
          <w:lang w:val="en-US" w:eastAsia="zh-CN" w:bidi="ar-SA"/>
        </w:rPr>
        <w:t>）供应商符合法律、行政法规规定的其它要求。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6" w:name="_Toc23872"/>
      <w:bookmarkStart w:id="87"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8" w:name="_Toc5286"/>
      <w:bookmarkStart w:id="89" w:name="_Toc11401"/>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8"/>
      <w:bookmarkEnd w:id="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90"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90"/>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各应文件配备履行本合同所需设备及人员，如违反上述承诺，本公司将按照政府采购法有关规定接受处罚。</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 xml:space="preserve">                                                          。</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注：供应商应对其所声明内容的真实性负责。如供应商所声明内容不真实，则应承担相应的法律责任。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1"/>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1"/>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注：（1）从业人员、营业收入、资产总额填报上一年度数据，无上一年度数据的新成立企业可不填报。</w:t>
      </w:r>
    </w:p>
    <w:p>
      <w:pPr>
        <w:spacing w:line="360" w:lineRule="auto"/>
        <w:ind w:firstLine="1120" w:firstLineChars="400"/>
        <w:jc w:val="center"/>
        <w:rPr>
          <w:rFonts w:hint="eastAsia" w:ascii="Calibri" w:hAnsi="Calibri" w:eastAsia="楷体" w:cs="Times New Roman"/>
          <w:b/>
          <w:kern w:val="2"/>
          <w:sz w:val="32"/>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r>
        <w:rPr>
          <w:rFonts w:hint="eastAsia" w:ascii="宋体" w:hAnsi="宋体" w:eastAsia="宋体" w:cs="宋体"/>
          <w:spacing w:val="0"/>
          <w:kern w:val="2"/>
          <w:sz w:val="24"/>
          <w:szCs w:val="20"/>
          <w:highlight w:val="none"/>
          <w:lang w:val="en-US" w:eastAsia="zh-CN" w:bidi="ar-SA"/>
        </w:rPr>
        <w:br w:type="page"/>
      </w:r>
      <w:bookmarkStart w:id="91" w:name="_Toc492372156"/>
      <w:bookmarkStart w:id="92" w:name="_Toc499831025"/>
      <w:bookmarkStart w:id="93" w:name="_Toc499827580"/>
      <w:r>
        <w:rPr>
          <w:rFonts w:hint="eastAsia" w:ascii="Calibri" w:hAnsi="Calibri" w:eastAsia="楷体" w:cs="Times New Roman"/>
          <w:b/>
          <w:kern w:val="2"/>
          <w:sz w:val="32"/>
          <w:szCs w:val="28"/>
          <w:highlight w:val="none"/>
          <w:lang w:val="en-US" w:eastAsia="zh-CN" w:bidi="ar-SA"/>
        </w:rPr>
        <w:t xml:space="preserve">格式6  </w:t>
      </w:r>
      <w:bookmarkEnd w:id="91"/>
      <w:r>
        <w:rPr>
          <w:rFonts w:hint="eastAsia" w:ascii="Calibri" w:hAnsi="Calibri" w:eastAsia="楷体" w:cs="Times New Roman"/>
          <w:b/>
          <w:kern w:val="2"/>
          <w:sz w:val="32"/>
          <w:szCs w:val="28"/>
          <w:highlight w:val="none"/>
          <w:lang w:val="en-US" w:eastAsia="zh-CN" w:bidi="ar-SA"/>
        </w:rPr>
        <w:t>残疾人福利性单位声明函</w:t>
      </w:r>
      <w:bookmarkEnd w:id="92"/>
      <w:bookmarkEnd w:id="93"/>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4"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4"/>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5" w:name="_Toc514675542"/>
      <w:bookmarkStart w:id="96" w:name="_Toc514684734"/>
      <w:bookmarkStart w:id="97" w:name="_Toc13572220"/>
      <w:r>
        <w:rPr>
          <w:rFonts w:hint="eastAsia" w:ascii="仿宋" w:hAnsi="仿宋" w:eastAsia="仿宋" w:cs="仿宋"/>
          <w:color w:val="000000"/>
          <w:sz w:val="24"/>
          <w:highlight w:val="none"/>
        </w:rPr>
        <w:t>日   期：</w:t>
      </w:r>
      <w:bookmarkEnd w:id="95"/>
      <w:bookmarkEnd w:id="96"/>
      <w:bookmarkEnd w:id="97"/>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8" w:name="_Toc13572221"/>
      <w:bookmarkStart w:id="99" w:name="_Toc514684735"/>
      <w:bookmarkStart w:id="100" w:name="_Toc514675543"/>
      <w:r>
        <w:rPr>
          <w:rFonts w:hint="eastAsia" w:ascii="仿宋" w:hAnsi="仿宋" w:eastAsia="仿宋" w:cs="仿宋"/>
          <w:b/>
          <w:sz w:val="28"/>
          <w:szCs w:val="28"/>
          <w:highlight w:val="none"/>
        </w:rPr>
        <w:t>符合政府采购优惠政策的证明材料</w:t>
      </w:r>
      <w:bookmarkEnd w:id="98"/>
      <w:bookmarkEnd w:id="99"/>
      <w:bookmarkEnd w:id="100"/>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8"/>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8"/>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8"/>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8"/>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8"/>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8"/>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8"/>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8"/>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101" w:name="_Toc19905"/>
      <w:r>
        <w:rPr>
          <w:rFonts w:hint="eastAsia" w:ascii="Arial" w:hAnsi="Arial" w:eastAsia="黑体" w:cs="Times New Roman"/>
          <w:b w:val="0"/>
          <w:kern w:val="2"/>
          <w:sz w:val="32"/>
          <w:szCs w:val="32"/>
          <w:highlight w:val="none"/>
          <w:lang w:val="en-US" w:eastAsia="zh-CN" w:bidi="ar-SA"/>
        </w:rPr>
        <w:t>附件十四：密封袋封面格式</w:t>
      </w:r>
      <w:bookmarkEnd w:id="101"/>
    </w:p>
    <w:p>
      <w:pPr>
        <w:pStyle w:val="8"/>
        <w:spacing w:line="480" w:lineRule="exact"/>
        <w:ind w:left="0" w:leftChars="0" w:firstLine="0" w:firstLineChars="0"/>
        <w:rPr>
          <w:rFonts w:hint="eastAsia" w:ascii="仿宋" w:hAnsi="仿宋" w:eastAsia="仿宋" w:cs="仿宋"/>
          <w:color w:val="000000"/>
          <w:highlight w:val="none"/>
        </w:rPr>
      </w:pPr>
    </w:p>
    <w:p>
      <w:pPr>
        <w:pStyle w:val="8"/>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8"/>
              <w:spacing w:line="480" w:lineRule="exact"/>
              <w:ind w:left="0" w:leftChars="0" w:firstLine="0" w:firstLineChars="0"/>
              <w:jc w:val="left"/>
              <w:rPr>
                <w:rFonts w:hint="eastAsia" w:ascii="仿宋" w:hAnsi="仿宋" w:eastAsia="仿宋" w:cs="仿宋"/>
                <w:color w:val="000000"/>
                <w:kern w:val="2"/>
                <w:szCs w:val="24"/>
                <w:highlight w:val="none"/>
              </w:rPr>
            </w:pPr>
          </w:p>
          <w:p>
            <w:pPr>
              <w:pStyle w:val="8"/>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8"/>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8"/>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8"/>
              <w:spacing w:line="480" w:lineRule="exact"/>
              <w:ind w:left="0" w:leftChars="0" w:firstLine="0" w:firstLineChars="0"/>
              <w:jc w:val="left"/>
              <w:rPr>
                <w:rFonts w:hint="eastAsia" w:ascii="仿宋" w:hAnsi="仿宋" w:eastAsia="仿宋" w:cs="仿宋"/>
                <w:color w:val="000000"/>
                <w:kern w:val="2"/>
                <w:szCs w:val="24"/>
                <w:highlight w:val="none"/>
              </w:rPr>
            </w:pPr>
          </w:p>
          <w:p>
            <w:pPr>
              <w:pStyle w:val="8"/>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8"/>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8"/>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8"/>
        <w:spacing w:line="480" w:lineRule="exact"/>
        <w:ind w:left="1747" w:firstLine="470"/>
        <w:rPr>
          <w:rFonts w:hint="eastAsia" w:ascii="仿宋" w:hAnsi="仿宋" w:eastAsia="仿宋" w:cs="仿宋"/>
          <w:color w:val="000000"/>
          <w:highlight w:val="none"/>
        </w:rPr>
      </w:pPr>
    </w:p>
    <w:tbl>
      <w:tblPr>
        <w:tblStyle w:val="1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0" w:hRule="atLeast"/>
        </w:trPr>
        <w:tc>
          <w:tcPr>
            <w:tcW w:w="4285" w:type="dxa"/>
            <w:noWrap w:val="0"/>
            <w:vAlign w:val="top"/>
          </w:tcPr>
          <w:p>
            <w:pPr>
              <w:pStyle w:val="8"/>
              <w:spacing w:line="480" w:lineRule="exact"/>
              <w:ind w:left="0" w:leftChars="0" w:firstLine="0" w:firstLineChars="0"/>
              <w:rPr>
                <w:rFonts w:hint="eastAsia" w:ascii="仿宋" w:hAnsi="仿宋" w:eastAsia="仿宋" w:cs="仿宋"/>
                <w:b/>
                <w:color w:val="000000"/>
                <w:kern w:val="2"/>
                <w:sz w:val="30"/>
                <w:szCs w:val="24"/>
                <w:highlight w:val="none"/>
              </w:rPr>
            </w:pPr>
          </w:p>
          <w:p>
            <w:pPr>
              <w:pStyle w:val="8"/>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8"/>
              <w:spacing w:line="480" w:lineRule="exact"/>
              <w:ind w:left="0" w:leftChars="0" w:firstLine="0" w:firstLineChars="0"/>
              <w:rPr>
                <w:rFonts w:hint="eastAsia" w:ascii="仿宋" w:hAnsi="仿宋" w:eastAsia="仿宋" w:cs="仿宋"/>
                <w:color w:val="000000"/>
                <w:kern w:val="2"/>
                <w:szCs w:val="24"/>
                <w:highlight w:val="none"/>
              </w:rPr>
            </w:pP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8"/>
              <w:spacing w:line="480" w:lineRule="exact"/>
              <w:ind w:left="0" w:leftChars="0" w:firstLine="0" w:firstLineChars="0"/>
              <w:jc w:val="left"/>
              <w:rPr>
                <w:rFonts w:hint="eastAsia" w:ascii="仿宋" w:hAnsi="仿宋" w:eastAsia="仿宋" w:cs="仿宋"/>
                <w:color w:val="000000"/>
                <w:kern w:val="2"/>
                <w:szCs w:val="24"/>
                <w:highlight w:val="none"/>
              </w:rPr>
            </w:pPr>
          </w:p>
          <w:p>
            <w:pPr>
              <w:pStyle w:val="8"/>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8"/>
              <w:spacing w:line="480" w:lineRule="exact"/>
              <w:ind w:left="0" w:leftChars="0" w:firstLine="0" w:firstLineChars="0"/>
              <w:rPr>
                <w:rFonts w:hint="eastAsia" w:ascii="仿宋" w:hAnsi="仿宋" w:eastAsia="仿宋" w:cs="仿宋"/>
                <w:b/>
                <w:kern w:val="2"/>
                <w:sz w:val="32"/>
                <w:szCs w:val="32"/>
                <w:highlight w:val="none"/>
              </w:rPr>
            </w:pPr>
          </w:p>
          <w:p>
            <w:pPr>
              <w:pStyle w:val="8"/>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8"/>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8"/>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8"/>
        <w:spacing w:line="480" w:lineRule="exact"/>
        <w:ind w:left="1747" w:firstLine="470"/>
        <w:rPr>
          <w:rFonts w:hint="eastAsia" w:ascii="仿宋" w:hAnsi="仿宋" w:eastAsia="仿宋" w:cs="仿宋"/>
          <w:color w:val="000000"/>
          <w:highlight w:val="none"/>
        </w:rPr>
      </w:pPr>
    </w:p>
    <w:p>
      <w:pPr>
        <w:pStyle w:val="8"/>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8"/>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3"/>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5"/>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2"/>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2"/>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2"/>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2"/>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2"/>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2"/>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2"/>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2"/>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2"/>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2"/>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2"/>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2"/>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2"/>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2"/>
              <w:jc w:val="center"/>
              <w:rPr>
                <w:rFonts w:hint="eastAsia" w:ascii="仿宋" w:hAnsi="仿宋" w:eastAsia="仿宋" w:cs="仿宋"/>
                <w:szCs w:val="32"/>
                <w:highlight w:val="none"/>
              </w:rPr>
            </w:pPr>
          </w:p>
        </w:tc>
        <w:tc>
          <w:tcPr>
            <w:tcW w:w="1167" w:type="dxa"/>
            <w:vMerge w:val="continue"/>
            <w:noWrap w:val="0"/>
            <w:vAlign w:val="center"/>
          </w:tcPr>
          <w:p>
            <w:pPr>
              <w:pStyle w:val="22"/>
              <w:jc w:val="center"/>
              <w:rPr>
                <w:rFonts w:hint="eastAsia" w:ascii="仿宋" w:hAnsi="仿宋" w:eastAsia="仿宋" w:cs="仿宋"/>
                <w:szCs w:val="32"/>
                <w:highlight w:val="none"/>
              </w:rPr>
            </w:pP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2"/>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2"/>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2"/>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2"/>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2"/>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2"/>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2"/>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3"/>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3"/>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3"/>
        <w:rPr>
          <w:rFonts w:hint="eastAsia" w:ascii="仿宋" w:hAnsi="仿宋" w:eastAsia="仿宋" w:cs="仿宋"/>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8"/>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p>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Fonts w:hint="eastAsia"/>
      </w:rPr>
      <w:t>２１</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D2BC5717"/>
    <w:multiLevelType w:val="singleLevel"/>
    <w:tmpl w:val="D2BC5717"/>
    <w:lvl w:ilvl="0" w:tentative="0">
      <w:start w:val="1"/>
      <w:numFmt w:val="decimal"/>
      <w:suff w:val="nothing"/>
      <w:lvlText w:val="%1．"/>
      <w:lvlJc w:val="left"/>
      <w:pPr>
        <w:ind w:left="0" w:firstLine="400"/>
      </w:pPr>
      <w:rPr>
        <w:rFonts w:hint="default"/>
      </w:rPr>
    </w:lvl>
  </w:abstractNum>
  <w:abstractNum w:abstractNumId="4">
    <w:nsid w:val="09FD4165"/>
    <w:multiLevelType w:val="singleLevel"/>
    <w:tmpl w:val="09FD4165"/>
    <w:lvl w:ilvl="0" w:tentative="0">
      <w:start w:val="1"/>
      <w:numFmt w:val="decimal"/>
      <w:suff w:val="nothing"/>
      <w:lvlText w:val="（%1）"/>
      <w:lvlJc w:val="left"/>
    </w:lvl>
  </w:abstractNum>
  <w:abstractNum w:abstractNumId="5">
    <w:nsid w:val="1198D91C"/>
    <w:multiLevelType w:val="singleLevel"/>
    <w:tmpl w:val="1198D91C"/>
    <w:lvl w:ilvl="0" w:tentative="0">
      <w:start w:val="1"/>
      <w:numFmt w:val="decimal"/>
      <w:lvlText w:val="%1."/>
      <w:lvlJc w:val="left"/>
      <w:pPr>
        <w:ind w:left="425" w:hanging="425"/>
      </w:pPr>
      <w:rPr>
        <w:rFonts w:hint="default"/>
      </w:rPr>
    </w:lvl>
  </w:abstractNum>
  <w:abstractNum w:abstractNumId="6">
    <w:nsid w:val="1CAE17B4"/>
    <w:multiLevelType w:val="singleLevel"/>
    <w:tmpl w:val="1CAE17B4"/>
    <w:lvl w:ilvl="0" w:tentative="0">
      <w:start w:val="1"/>
      <w:numFmt w:val="decimal"/>
      <w:lvlText w:val="%1."/>
      <w:lvlJc w:val="left"/>
      <w:pPr>
        <w:ind w:left="425" w:hanging="425"/>
      </w:pPr>
      <w:rPr>
        <w:rFonts w:hint="default"/>
      </w:rPr>
    </w:lvl>
  </w:abstractNum>
  <w:abstractNum w:abstractNumId="7">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8">
    <w:nsid w:val="35456A6F"/>
    <w:multiLevelType w:val="singleLevel"/>
    <w:tmpl w:val="35456A6F"/>
    <w:lvl w:ilvl="0" w:tentative="0">
      <w:start w:val="3"/>
      <w:numFmt w:val="chineseCounting"/>
      <w:suff w:val="space"/>
      <w:lvlText w:val="第%1章"/>
      <w:lvlJc w:val="left"/>
      <w:rPr>
        <w:rFonts w:hint="eastAsia"/>
      </w:rPr>
    </w:lvl>
  </w:abstractNum>
  <w:abstractNum w:abstractNumId="9">
    <w:nsid w:val="3E3D6081"/>
    <w:multiLevelType w:val="singleLevel"/>
    <w:tmpl w:val="3E3D6081"/>
    <w:lvl w:ilvl="0" w:tentative="0">
      <w:start w:val="1"/>
      <w:numFmt w:val="decimal"/>
      <w:suff w:val="nothing"/>
      <w:lvlText w:val="（%1）"/>
      <w:lvlJc w:val="left"/>
    </w:lvl>
  </w:abstractNum>
  <w:abstractNum w:abstractNumId="10">
    <w:nsid w:val="48117AEE"/>
    <w:multiLevelType w:val="singleLevel"/>
    <w:tmpl w:val="48117AEE"/>
    <w:lvl w:ilvl="0" w:tentative="0">
      <w:start w:val="1"/>
      <w:numFmt w:val="chineseCounting"/>
      <w:suff w:val="nothing"/>
      <w:lvlText w:val="（%1）"/>
      <w:lvlJc w:val="left"/>
      <w:rPr>
        <w:rFonts w:hint="eastAsia"/>
      </w:rPr>
    </w:lvl>
  </w:abstractNum>
  <w:abstractNum w:abstractNumId="11">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66AF610A"/>
    <w:multiLevelType w:val="singleLevel"/>
    <w:tmpl w:val="66AF610A"/>
    <w:lvl w:ilvl="0" w:tentative="0">
      <w:start w:val="2"/>
      <w:numFmt w:val="chineseCounting"/>
      <w:suff w:val="nothing"/>
      <w:lvlText w:val="%1、"/>
      <w:lvlJc w:val="left"/>
      <w:rPr>
        <w:rFonts w:hint="eastAsia"/>
      </w:rPr>
    </w:lvl>
  </w:abstractNum>
  <w:abstractNum w:abstractNumId="13">
    <w:nsid w:val="7979F3D3"/>
    <w:multiLevelType w:val="singleLevel"/>
    <w:tmpl w:val="7979F3D3"/>
    <w:lvl w:ilvl="0" w:tentative="0">
      <w:start w:val="1"/>
      <w:numFmt w:val="decimal"/>
      <w:suff w:val="nothing"/>
      <w:lvlText w:val="%1．"/>
      <w:lvlJc w:val="left"/>
      <w:pPr>
        <w:ind w:left="0" w:firstLine="400"/>
      </w:pPr>
      <w:rPr>
        <w:rFonts w:hint="default"/>
      </w:rPr>
    </w:lvl>
  </w:abstractNum>
  <w:num w:numId="1">
    <w:abstractNumId w:val="2"/>
  </w:num>
  <w:num w:numId="2">
    <w:abstractNumId w:val="6"/>
  </w:num>
  <w:num w:numId="3">
    <w:abstractNumId w:val="9"/>
  </w:num>
  <w:num w:numId="4">
    <w:abstractNumId w:val="0"/>
  </w:num>
  <w:num w:numId="5">
    <w:abstractNumId w:val="8"/>
  </w:num>
  <w:num w:numId="6">
    <w:abstractNumId w:val="7"/>
  </w:num>
  <w:num w:numId="7">
    <w:abstractNumId w:val="1"/>
  </w:num>
  <w:num w:numId="8">
    <w:abstractNumId w:val="10"/>
  </w:num>
  <w:num w:numId="9">
    <w:abstractNumId w:val="5"/>
  </w:num>
  <w:num w:numId="10">
    <w:abstractNumId w:val="12"/>
  </w:num>
  <w:num w:numId="11">
    <w:abstractNumId w:val="13"/>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349C5A22"/>
    <w:rsid w:val="020F0755"/>
    <w:rsid w:val="02F1515D"/>
    <w:rsid w:val="13916571"/>
    <w:rsid w:val="13924D57"/>
    <w:rsid w:val="140A7B16"/>
    <w:rsid w:val="1E1F6FD4"/>
    <w:rsid w:val="1E6E5015"/>
    <w:rsid w:val="2F992837"/>
    <w:rsid w:val="31B6678B"/>
    <w:rsid w:val="349C5A22"/>
    <w:rsid w:val="3FBD42D5"/>
    <w:rsid w:val="428624F7"/>
    <w:rsid w:val="45EB4B20"/>
    <w:rsid w:val="4A4C19D0"/>
    <w:rsid w:val="4A9E093D"/>
    <w:rsid w:val="4DC33ECE"/>
    <w:rsid w:val="532D0977"/>
    <w:rsid w:val="60606C05"/>
    <w:rsid w:val="636733E2"/>
    <w:rsid w:val="6949611D"/>
    <w:rsid w:val="6ABB2ECD"/>
    <w:rsid w:val="6BA6430D"/>
    <w:rsid w:val="6F6272F1"/>
    <w:rsid w:val="77DF6225"/>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2">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qFormat/>
    <w:uiPriority w:val="99"/>
    <w:pPr>
      <w:keepNext/>
      <w:keepLines/>
      <w:spacing w:before="260" w:after="260" w:line="416" w:lineRule="auto"/>
      <w:outlineLvl w:val="2"/>
    </w:pPr>
    <w:rPr>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List 3"/>
    <w:basedOn w:val="1"/>
    <w:qFormat/>
    <w:uiPriority w:val="99"/>
    <w:pPr>
      <w:ind w:left="100" w:leftChars="400" w:hanging="200" w:hangingChars="200"/>
    </w:p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Body Text"/>
    <w:basedOn w:val="1"/>
    <w:next w:val="1"/>
    <w:qFormat/>
    <w:uiPriority w:val="99"/>
    <w:pPr>
      <w:spacing w:after="120"/>
    </w:pPr>
    <w:rPr>
      <w:sz w:val="24"/>
      <w:szCs w:val="20"/>
    </w:rPr>
  </w:style>
  <w:style w:type="paragraph" w:styleId="8">
    <w:name w:val="Body Text Indent"/>
    <w:basedOn w:val="1"/>
    <w:qFormat/>
    <w:uiPriority w:val="99"/>
    <w:pPr>
      <w:spacing w:line="500" w:lineRule="exact"/>
      <w:ind w:left="1588" w:leftChars="832" w:firstLine="433" w:firstLineChars="196"/>
    </w:pPr>
    <w:rPr>
      <w:kern w:val="0"/>
      <w:sz w:val="24"/>
      <w:szCs w:val="20"/>
    </w:rPr>
  </w:style>
  <w:style w:type="paragraph" w:styleId="9">
    <w:name w:val="List 2"/>
    <w:basedOn w:val="1"/>
    <w:qFormat/>
    <w:uiPriority w:val="99"/>
    <w:pPr>
      <w:ind w:left="100" w:leftChars="200" w:hanging="200" w:hangingChars="200"/>
    </w:pPr>
  </w:style>
  <w:style w:type="paragraph" w:styleId="10">
    <w:name w:val="toc 3"/>
    <w:basedOn w:val="1"/>
    <w:next w:val="1"/>
    <w:unhideWhenUsed/>
    <w:qFormat/>
    <w:uiPriority w:val="39"/>
    <w:pPr>
      <w:ind w:left="840" w:leftChars="4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style>
  <w:style w:type="paragraph" w:styleId="14">
    <w:name w:val="toc 2"/>
    <w:basedOn w:val="1"/>
    <w:next w:val="1"/>
    <w:qFormat/>
    <w:uiPriority w:val="39"/>
    <w:pPr>
      <w:ind w:left="200" w:left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99"/>
    <w:rPr>
      <w:rFonts w:cs="Times New Roman"/>
    </w:rPr>
  </w:style>
  <w:style w:type="paragraph" w:customStyle="1" w:styleId="19">
    <w:name w:val="表格文字"/>
    <w:basedOn w:val="1"/>
    <w:next w:val="7"/>
    <w:qFormat/>
    <w:uiPriority w:val="99"/>
    <w:pPr>
      <w:spacing w:before="25" w:after="25"/>
      <w:jc w:val="left"/>
    </w:pPr>
    <w:rPr>
      <w:bCs/>
      <w:spacing w:val="10"/>
      <w:kern w:val="0"/>
      <w:sz w:val="24"/>
    </w:rPr>
  </w:style>
  <w:style w:type="paragraph" w:customStyle="1" w:styleId="20">
    <w:name w:val="样式29"/>
    <w:basedOn w:val="21"/>
    <w:qFormat/>
    <w:uiPriority w:val="99"/>
    <w:rPr>
      <w:rFonts w:eastAsia="楷体_GB2312"/>
    </w:rPr>
  </w:style>
  <w:style w:type="paragraph" w:customStyle="1" w:styleId="21">
    <w:name w:val="样式9 Char"/>
    <w:basedOn w:val="1"/>
    <w:qFormat/>
    <w:uiPriority w:val="99"/>
    <w:pPr>
      <w:widowControl/>
      <w:spacing w:line="440" w:lineRule="exact"/>
      <w:ind w:firstLine="200" w:firstLineChars="200"/>
      <w:jc w:val="left"/>
    </w:pPr>
    <w:rPr>
      <w:spacing w:val="6"/>
      <w:sz w:val="24"/>
      <w:szCs w:val="20"/>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34571</Words>
  <Characters>37208</Characters>
  <Lines>0</Lines>
  <Paragraphs>0</Paragraphs>
  <TotalTime>0</TotalTime>
  <ScaleCrop>false</ScaleCrop>
  <LinksUpToDate>false</LinksUpToDate>
  <CharactersWithSpaces>38386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2022-07-01T00:28:28Z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C34E96D608A945FCA4D11C667B0FCE0A</vt:lpwstr>
  </property>
</Properties>
</file>