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0" w:line="700" w:lineRule="exact"/>
        <w:jc w:val="center"/>
        <w:rPr>
          <w:rFonts w:hint="eastAsia" w:ascii="宋体" w:hAnsi="宋体" w:eastAsia="宋体" w:cs="宋体"/>
          <w:color w:val="000000"/>
          <w:sz w:val="30"/>
          <w:szCs w:val="30"/>
          <w:highlight w:val="none"/>
        </w:rPr>
      </w:pPr>
    </w:p>
    <w:p>
      <w:pPr>
        <w:pStyle w:val="8"/>
        <w:spacing w:before="290" w:beforeLines="100" w:after="0"/>
        <w:jc w:val="center"/>
        <w:rPr>
          <w:rFonts w:hint="eastAsia" w:ascii="宋体" w:hAnsi="宋体" w:eastAsia="宋体" w:cs="宋体"/>
          <w:b/>
          <w:color w:val="000000"/>
          <w:spacing w:val="20"/>
          <w:sz w:val="44"/>
          <w:szCs w:val="44"/>
          <w:highlight w:val="none"/>
        </w:rPr>
      </w:pPr>
    </w:p>
    <w:p>
      <w:pPr>
        <w:pStyle w:val="8"/>
        <w:spacing w:before="290" w:beforeLines="100" w:after="0"/>
        <w:jc w:val="center"/>
        <w:rPr>
          <w:rFonts w:hint="eastAsia" w:ascii="华文中宋" w:hAnsi="华文中宋" w:eastAsia="华文中宋" w:cs="华文中宋"/>
          <w:spacing w:val="11"/>
          <w:kern w:val="2"/>
          <w:sz w:val="40"/>
          <w:szCs w:val="40"/>
          <w:highlight w:val="none"/>
          <w:lang w:val="en-US" w:eastAsia="zh-CN" w:bidi="ar-SA"/>
        </w:rPr>
      </w:pPr>
      <w:r>
        <w:rPr>
          <w:rFonts w:hint="eastAsia" w:ascii="华文中宋" w:hAnsi="华文中宋" w:eastAsia="华文中宋" w:cs="华文中宋"/>
          <w:spacing w:val="11"/>
          <w:kern w:val="2"/>
          <w:sz w:val="40"/>
          <w:szCs w:val="40"/>
          <w:highlight w:val="none"/>
          <w:lang w:val="en-US" w:eastAsia="zh-CN" w:bidi="ar-SA"/>
        </w:rPr>
        <w:t>山东大学第二医院产科设备一批采购</w:t>
      </w:r>
    </w:p>
    <w:p>
      <w:pPr>
        <w:pStyle w:val="8"/>
        <w:spacing w:after="0" w:line="700" w:lineRule="exact"/>
        <w:jc w:val="center"/>
        <w:rPr>
          <w:rFonts w:hint="eastAsia" w:ascii="宋体" w:hAnsi="宋体" w:eastAsia="宋体" w:cs="宋体"/>
          <w:color w:val="000000"/>
          <w:sz w:val="30"/>
          <w:szCs w:val="30"/>
          <w:highlight w:val="none"/>
        </w:rPr>
      </w:pPr>
    </w:p>
    <w:p>
      <w:pPr>
        <w:jc w:val="center"/>
        <w:rPr>
          <w:rFonts w:hint="eastAsia" w:ascii="华文中宋" w:hAnsi="华文中宋" w:eastAsia="华文中宋" w:cs="华文中宋"/>
          <w:sz w:val="72"/>
          <w:szCs w:val="72"/>
          <w:highlight w:val="none"/>
          <w:lang w:val="en-US" w:eastAsia="zh-CN"/>
        </w:rPr>
      </w:pPr>
      <w:r>
        <w:rPr>
          <w:rFonts w:hint="eastAsia" w:ascii="华文中宋" w:hAnsi="华文中宋" w:eastAsia="华文中宋" w:cs="华文中宋"/>
          <w:sz w:val="72"/>
          <w:szCs w:val="72"/>
          <w:highlight w:val="none"/>
          <w:lang w:val="en-US" w:eastAsia="zh-CN"/>
        </w:rPr>
        <w:t>竞 争 性 磋 商 文 件</w:t>
      </w:r>
    </w:p>
    <w:p>
      <w:pPr>
        <w:jc w:val="center"/>
        <w:rPr>
          <w:rFonts w:hint="default" w:ascii="华文中宋" w:hAnsi="华文中宋" w:eastAsia="华文中宋" w:cs="华文中宋"/>
          <w:sz w:val="28"/>
          <w:szCs w:val="28"/>
          <w:highlight w:val="none"/>
          <w:lang w:val="en-US"/>
        </w:rPr>
      </w:pPr>
      <w:r>
        <w:rPr>
          <w:rFonts w:hint="eastAsia" w:ascii="华文中宋" w:hAnsi="华文中宋" w:eastAsia="华文中宋" w:cs="华文中宋"/>
          <w:sz w:val="28"/>
          <w:szCs w:val="28"/>
          <w:highlight w:val="none"/>
        </w:rPr>
        <w:t>项目编号：</w:t>
      </w:r>
      <w:r>
        <w:rPr>
          <w:rFonts w:hint="eastAsia" w:ascii="华文中宋" w:hAnsi="华文中宋" w:eastAsia="华文中宋" w:cs="华文中宋"/>
          <w:sz w:val="28"/>
          <w:szCs w:val="28"/>
          <w:highlight w:val="none"/>
          <w:lang w:val="en-US" w:eastAsia="zh-CN"/>
        </w:rPr>
        <w:t>TCZX-HW-2022-028</w:t>
      </w:r>
    </w:p>
    <w:p>
      <w:pPr>
        <w:pStyle w:val="8"/>
        <w:rPr>
          <w:rFonts w:hint="eastAsia" w:ascii="宋体" w:hAnsi="宋体" w:eastAsia="宋体" w:cs="宋体"/>
          <w:highlight w:val="none"/>
        </w:rPr>
      </w:pPr>
    </w:p>
    <w:p>
      <w:pPr>
        <w:spacing w:line="360" w:lineRule="auto"/>
        <w:jc w:val="center"/>
        <w:rPr>
          <w:rFonts w:hint="eastAsia" w:ascii="宋体" w:hAnsi="宋体" w:eastAsia="宋体" w:cs="宋体"/>
          <w:b/>
          <w:color w:val="000000"/>
          <w:sz w:val="56"/>
          <w:highlight w:val="none"/>
        </w:rPr>
      </w:pPr>
    </w:p>
    <w:p>
      <w:pPr>
        <w:spacing w:line="360" w:lineRule="auto"/>
        <w:jc w:val="cente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drawing>
          <wp:inline distT="0" distB="0" distL="114300" distR="114300">
            <wp:extent cx="1800225" cy="1800225"/>
            <wp:effectExtent l="0" t="0" r="3175" b="31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10"/>
                    <a:stretch>
                      <a:fillRect/>
                    </a:stretch>
                  </pic:blipFill>
                  <pic:spPr>
                    <a:xfrm>
                      <a:off x="0" y="0"/>
                      <a:ext cx="1800225" cy="1800225"/>
                    </a:xfrm>
                    <a:prstGeom prst="rect">
                      <a:avLst/>
                    </a:prstGeom>
                    <a:noFill/>
                    <a:ln>
                      <a:noFill/>
                    </a:ln>
                  </pic:spPr>
                </pic:pic>
              </a:graphicData>
            </a:graphic>
          </wp:inline>
        </w:drawing>
      </w:r>
    </w:p>
    <w:p>
      <w:pPr>
        <w:pStyle w:val="8"/>
        <w:spacing w:after="0" w:line="700" w:lineRule="exact"/>
        <w:jc w:val="center"/>
        <w:rPr>
          <w:rFonts w:hint="eastAsia" w:ascii="宋体" w:hAnsi="宋体" w:eastAsia="宋体" w:cs="宋体"/>
          <w:color w:val="000000"/>
          <w:sz w:val="30"/>
          <w:szCs w:val="30"/>
          <w:highlight w:val="none"/>
        </w:rPr>
      </w:pPr>
    </w:p>
    <w:p>
      <w:pPr>
        <w:pStyle w:val="8"/>
        <w:spacing w:after="0" w:line="700" w:lineRule="exact"/>
        <w:jc w:val="both"/>
        <w:rPr>
          <w:rFonts w:hint="eastAsia" w:ascii="宋体" w:hAnsi="宋体" w:eastAsia="宋体" w:cs="宋体"/>
          <w:color w:val="000000"/>
          <w:sz w:val="30"/>
          <w:szCs w:val="30"/>
          <w:highlight w:val="none"/>
        </w:rPr>
      </w:pPr>
    </w:p>
    <w:p>
      <w:pPr>
        <w:pStyle w:val="8"/>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 购 人：山东大学第二医院</w:t>
      </w:r>
    </w:p>
    <w:p>
      <w:pPr>
        <w:pStyle w:val="8"/>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采购代理：同诚工程咨询集团股份有限公司</w:t>
      </w:r>
    </w:p>
    <w:p>
      <w:pPr>
        <w:pStyle w:val="8"/>
        <w:spacing w:after="0" w:line="700" w:lineRule="exact"/>
        <w:ind w:firstLine="1896" w:firstLineChars="600"/>
        <w:jc w:val="both"/>
        <w:rPr>
          <w:rFonts w:hint="eastAsia" w:ascii="华文中宋" w:hAnsi="华文中宋" w:eastAsia="华文中宋" w:cs="华文中宋"/>
          <w:b w:val="0"/>
          <w:bCs/>
          <w:i w:val="0"/>
          <w:iCs w:val="0"/>
          <w:snapToGrid w:val="0"/>
          <w:spacing w:val="-2"/>
          <w:kern w:val="0"/>
          <w:sz w:val="32"/>
          <w:szCs w:val="32"/>
          <w:highlight w:val="none"/>
          <w:lang w:eastAsia="zh-CN"/>
        </w:rPr>
      </w:pPr>
      <w:r>
        <w:rPr>
          <w:rFonts w:hint="eastAsia" w:ascii="华文中宋" w:hAnsi="华文中宋" w:eastAsia="华文中宋" w:cs="华文中宋"/>
          <w:b w:val="0"/>
          <w:bCs/>
          <w:i w:val="0"/>
          <w:iCs w:val="0"/>
          <w:snapToGrid w:val="0"/>
          <w:spacing w:val="-2"/>
          <w:kern w:val="0"/>
          <w:sz w:val="32"/>
          <w:szCs w:val="32"/>
          <w:highlight w:val="none"/>
          <w:lang w:eastAsia="zh-CN"/>
        </w:rPr>
        <w:t>日    期：20</w:t>
      </w:r>
      <w:r>
        <w:rPr>
          <w:rFonts w:hint="eastAsia" w:ascii="华文中宋" w:hAnsi="华文中宋" w:eastAsia="华文中宋" w:cs="华文中宋"/>
          <w:b w:val="0"/>
          <w:bCs/>
          <w:i w:val="0"/>
          <w:iCs w:val="0"/>
          <w:snapToGrid w:val="0"/>
          <w:spacing w:val="-2"/>
          <w:kern w:val="0"/>
          <w:sz w:val="32"/>
          <w:szCs w:val="32"/>
          <w:highlight w:val="none"/>
          <w:lang w:val="en-US" w:eastAsia="zh-CN"/>
        </w:rPr>
        <w:t>22</w:t>
      </w:r>
      <w:r>
        <w:rPr>
          <w:rFonts w:hint="eastAsia" w:ascii="华文中宋" w:hAnsi="华文中宋" w:eastAsia="华文中宋" w:cs="华文中宋"/>
          <w:b w:val="0"/>
          <w:bCs/>
          <w:i w:val="0"/>
          <w:iCs w:val="0"/>
          <w:snapToGrid w:val="0"/>
          <w:spacing w:val="-2"/>
          <w:kern w:val="0"/>
          <w:sz w:val="32"/>
          <w:szCs w:val="32"/>
          <w:highlight w:val="none"/>
          <w:lang w:eastAsia="zh-CN"/>
        </w:rPr>
        <w:t>年</w:t>
      </w:r>
      <w:r>
        <w:rPr>
          <w:rFonts w:hint="eastAsia" w:ascii="华文中宋" w:hAnsi="华文中宋" w:eastAsia="华文中宋" w:cs="华文中宋"/>
          <w:b w:val="0"/>
          <w:bCs/>
          <w:i w:val="0"/>
          <w:iCs w:val="0"/>
          <w:snapToGrid w:val="0"/>
          <w:spacing w:val="-2"/>
          <w:kern w:val="0"/>
          <w:sz w:val="32"/>
          <w:szCs w:val="32"/>
          <w:highlight w:val="none"/>
          <w:lang w:val="en-US" w:eastAsia="zh-CN"/>
        </w:rPr>
        <w:t>7</w:t>
      </w:r>
      <w:r>
        <w:rPr>
          <w:rFonts w:hint="eastAsia" w:ascii="华文中宋" w:hAnsi="华文中宋" w:eastAsia="华文中宋" w:cs="华文中宋"/>
          <w:b w:val="0"/>
          <w:bCs/>
          <w:i w:val="0"/>
          <w:iCs w:val="0"/>
          <w:snapToGrid w:val="0"/>
          <w:spacing w:val="-2"/>
          <w:kern w:val="0"/>
          <w:sz w:val="32"/>
          <w:szCs w:val="32"/>
          <w:highlight w:val="none"/>
          <w:lang w:eastAsia="zh-CN"/>
        </w:rPr>
        <w:t>月</w:t>
      </w:r>
    </w:p>
    <w:p>
      <w:pPr>
        <w:pStyle w:val="8"/>
        <w:spacing w:after="0" w:line="360" w:lineRule="auto"/>
        <w:jc w:val="both"/>
        <w:rPr>
          <w:rFonts w:hint="eastAsia" w:ascii="华文中宋" w:hAnsi="华文中宋" w:eastAsia="华文中宋" w:cs="华文中宋"/>
          <w:b w:val="0"/>
          <w:bCs/>
          <w:i w:val="0"/>
          <w:iCs w:val="0"/>
          <w:color w:val="000000"/>
          <w:sz w:val="32"/>
          <w:szCs w:val="32"/>
          <w:highlight w:val="none"/>
        </w:rPr>
        <w:sectPr>
          <w:headerReference r:id="rId3" w:type="first"/>
          <w:footerReference r:id="rId6" w:type="first"/>
          <w:footerReference r:id="rId4" w:type="default"/>
          <w:footerReference r:id="rId5" w:type="even"/>
          <w:pgSz w:w="11907" w:h="16840"/>
          <w:pgMar w:top="1304" w:right="1213" w:bottom="1157" w:left="1418" w:header="851" w:footer="851" w:gutter="0"/>
          <w:pgNumType w:fmt="numberInDash" w:start="0"/>
          <w:cols w:space="720" w:num="1"/>
          <w:titlePg/>
          <w:docGrid w:type="lines" w:linePitch="290" w:charSpace="-3931"/>
        </w:sectPr>
      </w:pPr>
    </w:p>
    <w:p>
      <w:pPr>
        <w:pStyle w:val="8"/>
        <w:spacing w:after="0" w:line="360" w:lineRule="auto"/>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目 录</w:t>
      </w:r>
    </w:p>
    <w:p>
      <w:pPr>
        <w:pStyle w:val="8"/>
        <w:spacing w:after="0" w:line="360" w:lineRule="auto"/>
        <w:jc w:val="center"/>
        <w:rPr>
          <w:rFonts w:hint="eastAsia" w:ascii="宋体" w:hAnsi="宋体" w:eastAsia="宋体" w:cs="宋体"/>
          <w:highlight w:val="none"/>
        </w:rPr>
      </w:pPr>
    </w:p>
    <w:p>
      <w:pPr>
        <w:pStyle w:val="2"/>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TOC \o "1-3" \h \z \u </w:instrText>
      </w:r>
      <w:r>
        <w:rPr>
          <w:rFonts w:hint="eastAsia" w:ascii="仿宋" w:hAnsi="仿宋" w:eastAsia="仿宋" w:cs="仿宋"/>
          <w:sz w:val="28"/>
          <w:szCs w:val="28"/>
          <w:highlight w:val="none"/>
        </w:rPr>
        <w:fldChar w:fldCharType="separate"/>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_Toc661 </w:instrText>
      </w:r>
      <w:r>
        <w:rPr>
          <w:rFonts w:hint="eastAsia" w:ascii="仿宋" w:hAnsi="仿宋" w:eastAsia="仿宋" w:cs="仿宋"/>
          <w:szCs w:val="28"/>
          <w:highlight w:val="none"/>
        </w:rPr>
        <w:fldChar w:fldCharType="separate"/>
      </w:r>
      <w:r>
        <w:rPr>
          <w:rFonts w:hint="eastAsia" w:ascii="仿宋" w:hAnsi="仿宋" w:eastAsia="仿宋" w:cs="仿宋"/>
          <w:szCs w:val="36"/>
          <w:highlight w:val="none"/>
        </w:rPr>
        <w:t>第一章  竞争性磋商公告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_Toc661 \h </w:instrText>
      </w:r>
      <w:r>
        <w:rPr>
          <w:rFonts w:hint="eastAsia" w:ascii="仿宋" w:hAnsi="仿宋" w:eastAsia="仿宋" w:cs="仿宋"/>
          <w:highlight w:val="none"/>
        </w:rPr>
        <w:fldChar w:fldCharType="separate"/>
      </w:r>
      <w:r>
        <w:rPr>
          <w:rFonts w:hint="eastAsia" w:ascii="仿宋" w:hAnsi="仿宋" w:eastAsia="仿宋" w:cs="仿宋"/>
          <w:highlight w:val="none"/>
        </w:rPr>
        <w:t>- 3 -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2"/>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_Toc4256 </w:instrText>
      </w:r>
      <w:r>
        <w:rPr>
          <w:rFonts w:hint="eastAsia" w:ascii="仿宋" w:hAnsi="仿宋" w:eastAsia="仿宋" w:cs="仿宋"/>
          <w:szCs w:val="28"/>
          <w:highlight w:val="none"/>
        </w:rPr>
        <w:fldChar w:fldCharType="separate"/>
      </w:r>
      <w:r>
        <w:rPr>
          <w:rFonts w:hint="eastAsia" w:ascii="仿宋" w:hAnsi="仿宋" w:eastAsia="仿宋" w:cs="仿宋"/>
          <w:kern w:val="44"/>
          <w:szCs w:val="24"/>
          <w:highlight w:val="none"/>
          <w:lang w:val="en-US" w:eastAsia="zh-CN" w:bidi="ar-SA"/>
        </w:rPr>
        <w:t xml:space="preserve">第二章  </w:t>
      </w:r>
      <w:r>
        <w:rPr>
          <w:rFonts w:hint="eastAsia" w:ascii="仿宋" w:hAnsi="仿宋" w:cs="仿宋"/>
          <w:highlight w:val="none"/>
          <w:lang w:val="en-US" w:eastAsia="zh-CN"/>
        </w:rPr>
        <w:t>供应商</w:t>
      </w:r>
      <w:r>
        <w:rPr>
          <w:rFonts w:hint="eastAsia" w:ascii="仿宋" w:hAnsi="仿宋" w:eastAsia="仿宋" w:cs="仿宋"/>
          <w:highlight w:val="none"/>
        </w:rPr>
        <w:t>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_Toc4256 \h </w:instrText>
      </w:r>
      <w:r>
        <w:rPr>
          <w:rFonts w:hint="eastAsia" w:ascii="仿宋" w:hAnsi="仿宋" w:eastAsia="仿宋" w:cs="仿宋"/>
          <w:highlight w:val="none"/>
        </w:rPr>
        <w:fldChar w:fldCharType="separate"/>
      </w:r>
      <w:r>
        <w:rPr>
          <w:rFonts w:hint="eastAsia" w:ascii="仿宋" w:hAnsi="仿宋" w:eastAsia="仿宋" w:cs="仿宋"/>
          <w:highlight w:val="none"/>
        </w:rPr>
        <w:t>- 7 -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_Toc4028 </w:instrText>
      </w:r>
      <w:r>
        <w:rPr>
          <w:rFonts w:hint="eastAsia" w:ascii="仿宋" w:hAnsi="仿宋" w:eastAsia="仿宋" w:cs="仿宋"/>
          <w:szCs w:val="28"/>
          <w:highlight w:val="none"/>
        </w:rPr>
        <w:fldChar w:fldCharType="separate"/>
      </w:r>
      <w:r>
        <w:rPr>
          <w:rFonts w:hint="eastAsia" w:ascii="仿宋" w:hAnsi="仿宋" w:eastAsia="仿宋" w:cs="仿宋"/>
          <w:bCs/>
          <w:szCs w:val="44"/>
          <w:highlight w:val="none"/>
        </w:rPr>
        <w:t>供应商须知前附表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_Toc4028 \h </w:instrText>
      </w:r>
      <w:r>
        <w:rPr>
          <w:rFonts w:hint="eastAsia" w:ascii="仿宋" w:hAnsi="仿宋" w:eastAsia="仿宋" w:cs="仿宋"/>
          <w:highlight w:val="none"/>
        </w:rPr>
        <w:fldChar w:fldCharType="separate"/>
      </w:r>
      <w:r>
        <w:rPr>
          <w:rFonts w:hint="eastAsia" w:ascii="仿宋" w:hAnsi="仿宋" w:eastAsia="仿宋" w:cs="仿宋"/>
          <w:highlight w:val="none"/>
        </w:rPr>
        <w:t>- 7 -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_Toc16336 </w:instrText>
      </w:r>
      <w:r>
        <w:rPr>
          <w:rFonts w:hint="eastAsia" w:ascii="仿宋" w:hAnsi="仿宋" w:eastAsia="仿宋" w:cs="仿宋"/>
          <w:szCs w:val="28"/>
          <w:highlight w:val="none"/>
        </w:rPr>
        <w:fldChar w:fldCharType="separate"/>
      </w:r>
      <w:r>
        <w:rPr>
          <w:rFonts w:hint="eastAsia" w:ascii="仿宋" w:hAnsi="仿宋" w:eastAsia="仿宋" w:cs="仿宋"/>
          <w:kern w:val="2"/>
          <w:szCs w:val="44"/>
          <w:highlight w:val="none"/>
          <w:lang w:val="en-US" w:eastAsia="zh-CN"/>
        </w:rPr>
        <w:t>供应商须知正文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_Toc16336 \h </w:instrText>
      </w:r>
      <w:r>
        <w:rPr>
          <w:rFonts w:hint="eastAsia" w:ascii="仿宋" w:hAnsi="仿宋" w:eastAsia="仿宋" w:cs="仿宋"/>
          <w:highlight w:val="none"/>
        </w:rPr>
        <w:fldChar w:fldCharType="separate"/>
      </w:r>
      <w:r>
        <w:rPr>
          <w:rFonts w:hint="eastAsia" w:ascii="仿宋" w:hAnsi="仿宋" w:eastAsia="仿宋" w:cs="仿宋"/>
          <w:highlight w:val="none"/>
        </w:rPr>
        <w:t>- 18 -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2"/>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_Toc9692 </w:instrText>
      </w:r>
      <w:r>
        <w:rPr>
          <w:rFonts w:hint="eastAsia" w:ascii="仿宋" w:hAnsi="仿宋" w:eastAsia="仿宋" w:cs="仿宋"/>
          <w:szCs w:val="28"/>
          <w:highlight w:val="none"/>
        </w:rPr>
        <w:fldChar w:fldCharType="separate"/>
      </w:r>
      <w:r>
        <w:rPr>
          <w:rFonts w:hint="eastAsia" w:ascii="仿宋" w:hAnsi="仿宋" w:eastAsia="仿宋" w:cs="仿宋"/>
          <w:szCs w:val="44"/>
          <w:highlight w:val="none"/>
          <w:lang w:val="en-US" w:eastAsia="zh-CN"/>
        </w:rPr>
        <w:t>第三章 评分办法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_Toc9692 \h </w:instrText>
      </w:r>
      <w:r>
        <w:rPr>
          <w:rFonts w:hint="eastAsia" w:ascii="仿宋" w:hAnsi="仿宋" w:eastAsia="仿宋" w:cs="仿宋"/>
          <w:highlight w:val="none"/>
        </w:rPr>
        <w:fldChar w:fldCharType="separate"/>
      </w:r>
      <w:r>
        <w:rPr>
          <w:rFonts w:hint="eastAsia" w:ascii="仿宋" w:hAnsi="仿宋" w:eastAsia="仿宋" w:cs="仿宋"/>
          <w:highlight w:val="none"/>
        </w:rPr>
        <w:t>- 45 -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_Toc26963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一、 评审方法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_Toc26963 \h </w:instrText>
      </w:r>
      <w:r>
        <w:rPr>
          <w:rFonts w:hint="eastAsia" w:ascii="仿宋" w:hAnsi="仿宋" w:eastAsia="仿宋" w:cs="仿宋"/>
          <w:highlight w:val="none"/>
        </w:rPr>
        <w:fldChar w:fldCharType="separate"/>
      </w:r>
      <w:r>
        <w:rPr>
          <w:rFonts w:hint="eastAsia" w:ascii="仿宋" w:hAnsi="仿宋" w:eastAsia="仿宋" w:cs="仿宋"/>
          <w:highlight w:val="none"/>
        </w:rPr>
        <w:t>- 45 -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_Toc1750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二、 评审细则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_Toc1750 \h </w:instrText>
      </w:r>
      <w:r>
        <w:rPr>
          <w:rFonts w:hint="eastAsia" w:ascii="仿宋" w:hAnsi="仿宋" w:eastAsia="仿宋" w:cs="仿宋"/>
          <w:highlight w:val="none"/>
        </w:rPr>
        <w:fldChar w:fldCharType="separate"/>
      </w:r>
      <w:r>
        <w:rPr>
          <w:rFonts w:hint="eastAsia" w:ascii="仿宋" w:hAnsi="仿宋" w:eastAsia="仿宋" w:cs="仿宋"/>
          <w:highlight w:val="none"/>
        </w:rPr>
        <w:t>- 45 -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_Toc3782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rPr>
        <w:t>三、 评审执行的政府采购政策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_Toc3782 \h </w:instrText>
      </w:r>
      <w:r>
        <w:rPr>
          <w:rFonts w:hint="eastAsia" w:ascii="仿宋" w:hAnsi="仿宋" w:eastAsia="仿宋" w:cs="仿宋"/>
          <w:highlight w:val="none"/>
        </w:rPr>
        <w:fldChar w:fldCharType="separate"/>
      </w:r>
      <w:r>
        <w:rPr>
          <w:rFonts w:hint="eastAsia" w:ascii="仿宋" w:hAnsi="仿宋" w:eastAsia="仿宋" w:cs="仿宋"/>
          <w:highlight w:val="none"/>
        </w:rPr>
        <w:t>- 47 -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2"/>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_Toc19711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四</w:t>
      </w:r>
      <w:r>
        <w:rPr>
          <w:rFonts w:hint="eastAsia" w:ascii="仿宋" w:hAnsi="仿宋" w:eastAsia="仿宋" w:cs="仿宋"/>
          <w:szCs w:val="24"/>
          <w:highlight w:val="none"/>
        </w:rPr>
        <w:t>章  采购要求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_Toc19711 \h </w:instrText>
      </w:r>
      <w:r>
        <w:rPr>
          <w:rFonts w:hint="eastAsia" w:ascii="仿宋" w:hAnsi="仿宋" w:eastAsia="仿宋" w:cs="仿宋"/>
          <w:highlight w:val="none"/>
        </w:rPr>
        <w:fldChar w:fldCharType="separate"/>
      </w:r>
      <w:r>
        <w:rPr>
          <w:rFonts w:hint="eastAsia" w:ascii="仿宋" w:hAnsi="仿宋" w:eastAsia="仿宋" w:cs="仿宋"/>
          <w:highlight w:val="none"/>
        </w:rPr>
        <w:t>- 49 -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2"/>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_Toc27110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章  合同格式</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_Toc27110 \h </w:instrText>
      </w:r>
      <w:r>
        <w:rPr>
          <w:rFonts w:hint="eastAsia" w:ascii="仿宋" w:hAnsi="仿宋" w:eastAsia="仿宋" w:cs="仿宋"/>
          <w:highlight w:val="none"/>
        </w:rPr>
        <w:fldChar w:fldCharType="separate"/>
      </w:r>
      <w:r>
        <w:rPr>
          <w:rFonts w:hint="eastAsia" w:ascii="仿宋" w:hAnsi="仿宋" w:eastAsia="仿宋" w:cs="仿宋"/>
          <w:highlight w:val="none"/>
        </w:rPr>
        <w:t>- 55 -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2"/>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_Toc16241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第</w:t>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章  附件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_Toc16241 \h </w:instrText>
      </w:r>
      <w:r>
        <w:rPr>
          <w:rFonts w:hint="eastAsia" w:ascii="仿宋" w:hAnsi="仿宋" w:eastAsia="仿宋" w:cs="仿宋"/>
          <w:highlight w:val="none"/>
        </w:rPr>
        <w:fldChar w:fldCharType="separate"/>
      </w:r>
      <w:r>
        <w:rPr>
          <w:rFonts w:hint="eastAsia" w:ascii="仿宋" w:hAnsi="仿宋" w:eastAsia="仿宋" w:cs="仿宋"/>
          <w:highlight w:val="none"/>
        </w:rPr>
        <w:t>- 59 -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rPr>
        <w:t>附件一：报价函</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_Toc24896 \h </w:instrText>
      </w:r>
      <w:r>
        <w:rPr>
          <w:rFonts w:hint="eastAsia" w:ascii="仿宋" w:hAnsi="仿宋" w:eastAsia="仿宋" w:cs="仿宋"/>
          <w:highlight w:val="none"/>
        </w:rPr>
        <w:fldChar w:fldCharType="separate"/>
      </w:r>
      <w:r>
        <w:rPr>
          <w:rFonts w:hint="eastAsia" w:ascii="仿宋" w:hAnsi="仿宋" w:eastAsia="仿宋" w:cs="仿宋"/>
          <w:highlight w:val="none"/>
        </w:rPr>
        <w:t>- 59 -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_Toc24306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rPr>
        <w:t>附件二：法定代表人身份证明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_Toc24306 \h </w:instrText>
      </w:r>
      <w:r>
        <w:rPr>
          <w:rFonts w:hint="eastAsia" w:ascii="仿宋" w:hAnsi="仿宋" w:eastAsia="仿宋" w:cs="仿宋"/>
          <w:highlight w:val="none"/>
        </w:rPr>
        <w:fldChar w:fldCharType="separate"/>
      </w:r>
      <w:r>
        <w:rPr>
          <w:rFonts w:hint="eastAsia" w:ascii="仿宋" w:hAnsi="仿宋" w:eastAsia="仿宋" w:cs="仿宋"/>
          <w:highlight w:val="none"/>
        </w:rPr>
        <w:t>- 60 -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_Toc7468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附件三：授权委托书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_Toc7468 \h </w:instrText>
      </w:r>
      <w:r>
        <w:rPr>
          <w:rFonts w:hint="eastAsia" w:ascii="仿宋" w:hAnsi="仿宋" w:eastAsia="仿宋" w:cs="仿宋"/>
          <w:highlight w:val="none"/>
        </w:rPr>
        <w:fldChar w:fldCharType="separate"/>
      </w:r>
      <w:r>
        <w:rPr>
          <w:rFonts w:hint="eastAsia" w:ascii="仿宋" w:hAnsi="仿宋" w:eastAsia="仿宋" w:cs="仿宋"/>
          <w:highlight w:val="none"/>
        </w:rPr>
        <w:t>- 61 -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_Toc23170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附件四：报价一览表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_Toc23170 \h </w:instrText>
      </w:r>
      <w:r>
        <w:rPr>
          <w:rFonts w:hint="eastAsia" w:ascii="仿宋" w:hAnsi="仿宋" w:eastAsia="仿宋" w:cs="仿宋"/>
          <w:highlight w:val="none"/>
        </w:rPr>
        <w:fldChar w:fldCharType="separate"/>
      </w:r>
      <w:r>
        <w:rPr>
          <w:rFonts w:hint="eastAsia" w:ascii="仿宋" w:hAnsi="仿宋" w:eastAsia="仿宋" w:cs="仿宋"/>
          <w:highlight w:val="none"/>
        </w:rPr>
        <w:t>- 62 -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_Toc8355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附件五：报价明细表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_Toc8355 \h </w:instrText>
      </w:r>
      <w:r>
        <w:rPr>
          <w:rFonts w:hint="eastAsia" w:ascii="仿宋" w:hAnsi="仿宋" w:eastAsia="仿宋" w:cs="仿宋"/>
          <w:highlight w:val="none"/>
        </w:rPr>
        <w:fldChar w:fldCharType="separate"/>
      </w:r>
      <w:r>
        <w:rPr>
          <w:rFonts w:hint="eastAsia" w:ascii="仿宋" w:hAnsi="仿宋" w:eastAsia="仿宋" w:cs="仿宋"/>
          <w:highlight w:val="none"/>
        </w:rPr>
        <w:t>- 63 -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_Toc24899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附件六：技术规格响应/偏离表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_Toc24899 \h </w:instrText>
      </w:r>
      <w:r>
        <w:rPr>
          <w:rFonts w:hint="eastAsia" w:ascii="仿宋" w:hAnsi="仿宋" w:eastAsia="仿宋" w:cs="仿宋"/>
          <w:highlight w:val="none"/>
        </w:rPr>
        <w:fldChar w:fldCharType="separate"/>
      </w:r>
      <w:r>
        <w:rPr>
          <w:rFonts w:hint="eastAsia" w:ascii="仿宋" w:hAnsi="仿宋" w:eastAsia="仿宋" w:cs="仿宋"/>
          <w:highlight w:val="none"/>
        </w:rPr>
        <w:t>- 64 -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_Toc32268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附件七:商务条款响应/偏离表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_Toc32268 \h </w:instrText>
      </w:r>
      <w:r>
        <w:rPr>
          <w:rFonts w:hint="eastAsia" w:ascii="仿宋" w:hAnsi="仿宋" w:eastAsia="仿宋" w:cs="仿宋"/>
          <w:highlight w:val="none"/>
        </w:rPr>
        <w:fldChar w:fldCharType="separate"/>
      </w:r>
      <w:r>
        <w:rPr>
          <w:rFonts w:hint="eastAsia" w:ascii="仿宋" w:hAnsi="仿宋" w:eastAsia="仿宋" w:cs="仿宋"/>
          <w:highlight w:val="none"/>
        </w:rPr>
        <w:t>- 65 -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_Toc1189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附件八：产品性能描述一览表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_Toc1189 \h </w:instrText>
      </w:r>
      <w:r>
        <w:rPr>
          <w:rFonts w:hint="eastAsia" w:ascii="仿宋" w:hAnsi="仿宋" w:eastAsia="仿宋" w:cs="仿宋"/>
          <w:highlight w:val="none"/>
        </w:rPr>
        <w:fldChar w:fldCharType="separate"/>
      </w:r>
      <w:r>
        <w:rPr>
          <w:rFonts w:hint="eastAsia" w:ascii="仿宋" w:hAnsi="仿宋" w:eastAsia="仿宋" w:cs="仿宋"/>
          <w:highlight w:val="none"/>
        </w:rPr>
        <w:t>- 66 -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_Toc12078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附件九：质保期外备品备件、易损件、专用工具报价表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_Toc12078 \h </w:instrText>
      </w:r>
      <w:r>
        <w:rPr>
          <w:rFonts w:hint="eastAsia" w:ascii="仿宋" w:hAnsi="仿宋" w:eastAsia="仿宋" w:cs="仿宋"/>
          <w:highlight w:val="none"/>
        </w:rPr>
        <w:fldChar w:fldCharType="separate"/>
      </w:r>
      <w:r>
        <w:rPr>
          <w:rFonts w:hint="eastAsia" w:ascii="仿宋" w:hAnsi="仿宋" w:eastAsia="仿宋" w:cs="仿宋"/>
          <w:highlight w:val="none"/>
        </w:rPr>
        <w:t>- 67 -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_Toc13571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_Toc13571 \h </w:instrText>
      </w:r>
      <w:r>
        <w:rPr>
          <w:rFonts w:hint="eastAsia" w:ascii="仿宋" w:hAnsi="仿宋" w:eastAsia="仿宋" w:cs="仿宋"/>
          <w:highlight w:val="none"/>
        </w:rPr>
        <w:fldChar w:fldCharType="separate"/>
      </w:r>
      <w:r>
        <w:rPr>
          <w:rFonts w:hint="eastAsia" w:ascii="仿宋" w:hAnsi="仿宋" w:eastAsia="仿宋" w:cs="仿宋"/>
          <w:highlight w:val="none"/>
        </w:rPr>
        <w:t>- 67 -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_Toc4580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附件十：与所报设备配套耗材、试剂的价格表（如果有）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_Toc4580 \h </w:instrText>
      </w:r>
      <w:r>
        <w:rPr>
          <w:rFonts w:hint="eastAsia" w:ascii="仿宋" w:hAnsi="仿宋" w:eastAsia="仿宋" w:cs="仿宋"/>
          <w:highlight w:val="none"/>
        </w:rPr>
        <w:fldChar w:fldCharType="separate"/>
      </w:r>
      <w:r>
        <w:rPr>
          <w:rFonts w:hint="eastAsia" w:ascii="仿宋" w:hAnsi="仿宋" w:eastAsia="仿宋" w:cs="仿宋"/>
          <w:highlight w:val="none"/>
        </w:rPr>
        <w:t>- 67 -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_Toc29714 </w:instrText>
      </w:r>
      <w:r>
        <w:rPr>
          <w:rFonts w:hint="eastAsia" w:ascii="仿宋" w:hAnsi="仿宋" w:eastAsia="仿宋" w:cs="仿宋"/>
          <w:szCs w:val="28"/>
          <w:highlight w:val="none"/>
        </w:rPr>
        <w:fldChar w:fldCharType="separate"/>
      </w:r>
      <w:r>
        <w:rPr>
          <w:rFonts w:hint="eastAsia" w:ascii="仿宋" w:hAnsi="仿宋" w:eastAsia="仿宋" w:cs="仿宋"/>
          <w:kern w:val="2"/>
          <w:szCs w:val="28"/>
          <w:highlight w:val="none"/>
          <w:lang w:val="en-US" w:eastAsia="zh-CN" w:bidi="ar-SA"/>
        </w:rPr>
        <w:t>（格式自定）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_Toc29714 \h </w:instrText>
      </w:r>
      <w:r>
        <w:rPr>
          <w:rFonts w:hint="eastAsia" w:ascii="仿宋" w:hAnsi="仿宋" w:eastAsia="仿宋" w:cs="仿宋"/>
          <w:highlight w:val="none"/>
        </w:rPr>
        <w:fldChar w:fldCharType="separate"/>
      </w:r>
      <w:r>
        <w:rPr>
          <w:rFonts w:hint="eastAsia" w:ascii="仿宋" w:hAnsi="仿宋" w:eastAsia="仿宋" w:cs="仿宋"/>
          <w:highlight w:val="none"/>
        </w:rPr>
        <w:t>- 67 -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_Toc22346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附件十一：维保方案及维保费用报价表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_Toc22346 \h </w:instrText>
      </w:r>
      <w:r>
        <w:rPr>
          <w:rFonts w:hint="eastAsia" w:ascii="仿宋" w:hAnsi="仿宋" w:eastAsia="仿宋" w:cs="仿宋"/>
          <w:highlight w:val="none"/>
        </w:rPr>
        <w:fldChar w:fldCharType="separate"/>
      </w:r>
      <w:r>
        <w:rPr>
          <w:rFonts w:hint="eastAsia" w:ascii="仿宋" w:hAnsi="仿宋" w:eastAsia="仿宋" w:cs="仿宋"/>
          <w:highlight w:val="none"/>
        </w:rPr>
        <w:t>- 68 -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_Toc29643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附件十二：证明文件格式（参考）</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_Toc29643 \h </w:instrText>
      </w:r>
      <w:r>
        <w:rPr>
          <w:rFonts w:hint="eastAsia" w:ascii="仿宋" w:hAnsi="仿宋" w:eastAsia="仿宋" w:cs="仿宋"/>
          <w:highlight w:val="none"/>
        </w:rPr>
        <w:fldChar w:fldCharType="separate"/>
      </w:r>
      <w:r>
        <w:rPr>
          <w:rFonts w:hint="eastAsia" w:ascii="仿宋" w:hAnsi="仿宋" w:eastAsia="仿宋" w:cs="仿宋"/>
          <w:highlight w:val="none"/>
        </w:rPr>
        <w:t>- 69 -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rFonts w:hint="eastAsia" w:ascii="仿宋" w:hAnsi="仿宋" w:eastAsia="仿宋" w:cs="仿宋"/>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_Toc24955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附件十三：符合政府采购优惠政策产品明细及报价表（如果有）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_Toc24955 \h </w:instrText>
      </w:r>
      <w:r>
        <w:rPr>
          <w:rFonts w:hint="eastAsia" w:ascii="仿宋" w:hAnsi="仿宋" w:eastAsia="仿宋" w:cs="仿宋"/>
          <w:highlight w:val="none"/>
        </w:rPr>
        <w:fldChar w:fldCharType="separate"/>
      </w:r>
      <w:r>
        <w:rPr>
          <w:rFonts w:hint="eastAsia" w:ascii="仿宋" w:hAnsi="仿宋" w:eastAsia="仿宋" w:cs="仿宋"/>
          <w:highlight w:val="none"/>
        </w:rPr>
        <w:t>- 78 -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14"/>
        <w:keepNext w:val="0"/>
        <w:keepLines w:val="0"/>
        <w:pageBreakBefore w:val="0"/>
        <w:widowControl w:val="0"/>
        <w:tabs>
          <w:tab w:val="right" w:leader="dot" w:pos="9276"/>
        </w:tabs>
        <w:kinsoku/>
        <w:wordWrap/>
        <w:overflowPunct/>
        <w:topLinePunct w:val="0"/>
        <w:autoSpaceDE/>
        <w:autoSpaceDN/>
        <w:bidi w:val="0"/>
        <w:adjustRightInd/>
        <w:snapToGrid/>
        <w:spacing w:line="440" w:lineRule="exact"/>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_Toc19905 </w:instrText>
      </w:r>
      <w:r>
        <w:rPr>
          <w:rFonts w:hint="eastAsia" w:ascii="仿宋" w:hAnsi="仿宋" w:eastAsia="仿宋" w:cs="仿宋"/>
          <w:szCs w:val="28"/>
          <w:highlight w:val="none"/>
        </w:rPr>
        <w:fldChar w:fldCharType="separate"/>
      </w:r>
      <w:r>
        <w:rPr>
          <w:rFonts w:hint="eastAsia" w:ascii="仿宋" w:hAnsi="仿宋" w:eastAsia="仿宋" w:cs="仿宋"/>
          <w:kern w:val="2"/>
          <w:szCs w:val="32"/>
          <w:highlight w:val="none"/>
          <w:lang w:val="en-US" w:eastAsia="zh-CN" w:bidi="ar-SA"/>
        </w:rPr>
        <w:t>附件十四：密封袋封面格式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_Toc19905 \h </w:instrText>
      </w:r>
      <w:r>
        <w:rPr>
          <w:rFonts w:hint="eastAsia" w:ascii="仿宋" w:hAnsi="仿宋" w:eastAsia="仿宋" w:cs="仿宋"/>
          <w:highlight w:val="none"/>
        </w:rPr>
        <w:fldChar w:fldCharType="separate"/>
      </w:r>
      <w:r>
        <w:rPr>
          <w:rFonts w:hint="eastAsia" w:ascii="仿宋" w:hAnsi="仿宋" w:eastAsia="仿宋" w:cs="仿宋"/>
          <w:highlight w:val="none"/>
        </w:rPr>
        <w:t>- 82 -</w:t>
      </w:r>
      <w:r>
        <w:rPr>
          <w:rFonts w:hint="eastAsia" w:ascii="仿宋" w:hAnsi="仿宋" w:eastAsia="仿宋" w:cs="仿宋"/>
          <w:highlight w:val="none"/>
        </w:rPr>
        <w:fldChar w:fldCharType="end"/>
      </w:r>
      <w:r>
        <w:rPr>
          <w:rFonts w:hint="eastAsia" w:ascii="仿宋" w:hAnsi="仿宋" w:eastAsia="仿宋" w:cs="仿宋"/>
          <w:szCs w:val="28"/>
          <w:highlight w:val="none"/>
        </w:rPr>
        <w:fldChar w:fldCharType="end"/>
      </w:r>
    </w:p>
    <w:p>
      <w:pPr>
        <w:pStyle w:val="2"/>
        <w:keepNext w:val="0"/>
        <w:keepLines w:val="0"/>
        <w:pageBreakBefore w:val="0"/>
        <w:widowControl w:val="0"/>
        <w:tabs>
          <w:tab w:val="right" w:leader="dot" w:pos="9266"/>
        </w:tabs>
        <w:kinsoku/>
        <w:wordWrap/>
        <w:overflowPunct/>
        <w:topLinePunct w:val="0"/>
        <w:autoSpaceDE/>
        <w:autoSpaceDN/>
        <w:bidi w:val="0"/>
        <w:adjustRightInd/>
        <w:snapToGrid/>
        <w:spacing w:line="440" w:lineRule="exact"/>
        <w:textAlignment w:val="auto"/>
        <w:rPr>
          <w:rFonts w:hint="eastAsia" w:ascii="宋体" w:hAnsi="宋体" w:eastAsia="宋体" w:cs="宋体"/>
          <w:highlight w:val="none"/>
        </w:rPr>
      </w:pPr>
      <w:r>
        <w:rPr>
          <w:rFonts w:hint="eastAsia" w:ascii="仿宋" w:hAnsi="仿宋" w:eastAsia="仿宋" w:cs="仿宋"/>
          <w:szCs w:val="28"/>
          <w:highlight w:val="none"/>
        </w:rPr>
        <w:fldChar w:fldCharType="end"/>
      </w:r>
    </w:p>
    <w:p>
      <w:pPr>
        <w:pStyle w:val="3"/>
        <w:spacing w:before="0" w:after="0" w:line="580" w:lineRule="exact"/>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bookmarkStart w:id="0" w:name="_Toc459225415"/>
    </w:p>
    <w:p>
      <w:pPr>
        <w:pStyle w:val="3"/>
        <w:spacing w:before="0" w:after="0" w:line="580" w:lineRule="exact"/>
        <w:jc w:val="center"/>
        <w:rPr>
          <w:rFonts w:hint="eastAsia" w:ascii="宋体" w:hAnsi="宋体" w:eastAsia="宋体" w:cs="宋体"/>
          <w:sz w:val="36"/>
          <w:szCs w:val="36"/>
          <w:highlight w:val="none"/>
        </w:rPr>
      </w:pPr>
      <w:bookmarkStart w:id="1" w:name="_Toc661"/>
      <w:r>
        <w:rPr>
          <w:rFonts w:hint="eastAsia" w:ascii="宋体" w:hAnsi="宋体" w:eastAsia="宋体" w:cs="宋体"/>
          <w:sz w:val="36"/>
          <w:szCs w:val="36"/>
          <w:highlight w:val="none"/>
        </w:rPr>
        <w:t>第一章  竞争性磋商公告</w:t>
      </w:r>
      <w:bookmarkEnd w:id="0"/>
      <w:bookmarkEnd w:id="1"/>
    </w:p>
    <w:p>
      <w:pPr>
        <w:pStyle w:val="9"/>
        <w:keepNext w:val="0"/>
        <w:keepLines w:val="0"/>
        <w:pageBreakBefore w:val="0"/>
        <w:widowControl w:val="0"/>
        <w:tabs>
          <w:tab w:val="left" w:pos="0"/>
        </w:tabs>
        <w:kinsoku/>
        <w:wordWrap/>
        <w:overflowPunct/>
        <w:topLinePunct w:val="0"/>
        <w:autoSpaceDE/>
        <w:autoSpaceDN/>
        <w:bidi w:val="0"/>
        <w:adjustRightInd w:val="0"/>
        <w:snapToGrid w:val="0"/>
        <w:spacing w:before="291" w:beforeLines="100" w:line="360" w:lineRule="auto"/>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lang w:val="en-US" w:eastAsia="zh-CN"/>
        </w:rPr>
        <w:t>山东大学第二医院产科设备一批</w:t>
      </w:r>
      <w:r>
        <w:rPr>
          <w:rFonts w:hint="eastAsia" w:ascii="宋体" w:hAnsi="宋体" w:eastAsia="宋体" w:cs="宋体"/>
          <w:b/>
          <w:color w:val="000000"/>
          <w:sz w:val="24"/>
          <w:szCs w:val="24"/>
          <w:highlight w:val="none"/>
          <w:lang w:eastAsia="zh-CN"/>
        </w:rPr>
        <w:t>采购</w:t>
      </w:r>
      <w:r>
        <w:rPr>
          <w:rFonts w:hint="eastAsia" w:ascii="宋体" w:hAnsi="宋体" w:eastAsia="宋体" w:cs="宋体"/>
          <w:b/>
          <w:color w:val="000000"/>
          <w:sz w:val="24"/>
          <w:szCs w:val="24"/>
          <w:highlight w:val="none"/>
        </w:rPr>
        <w:t>竞争性磋商公告</w:t>
      </w:r>
    </w:p>
    <w:p>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24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eastAsia="zh-CN"/>
        </w:rPr>
        <w:t>山东大学第二医院</w:t>
      </w:r>
      <w:r>
        <w:rPr>
          <w:rFonts w:hint="eastAsia" w:ascii="仿宋" w:hAnsi="仿宋" w:eastAsia="仿宋" w:cs="仿宋"/>
          <w:sz w:val="28"/>
          <w:szCs w:val="28"/>
          <w:highlight w:val="none"/>
          <w:u w:val="single"/>
          <w:lang w:val="en-US" w:eastAsia="zh-CN"/>
        </w:rPr>
        <w:t>产科设备一批</w:t>
      </w:r>
      <w:r>
        <w:rPr>
          <w:rFonts w:hint="eastAsia" w:ascii="仿宋" w:hAnsi="仿宋" w:eastAsia="仿宋" w:cs="仿宋"/>
          <w:sz w:val="28"/>
          <w:szCs w:val="28"/>
          <w:highlight w:val="none"/>
          <w:u w:val="single"/>
          <w:lang w:eastAsia="zh-CN"/>
        </w:rPr>
        <w:t>采购</w:t>
      </w:r>
      <w:r>
        <w:rPr>
          <w:rFonts w:hint="eastAsia" w:ascii="仿宋" w:hAnsi="仿宋" w:eastAsia="仿宋" w:cs="仿宋"/>
          <w:sz w:val="28"/>
          <w:szCs w:val="28"/>
          <w:highlight w:val="none"/>
        </w:rPr>
        <w:t>项目的潜在供应商应在</w:t>
      </w:r>
      <w:r>
        <w:rPr>
          <w:rFonts w:hint="eastAsia" w:ascii="仿宋" w:hAnsi="仿宋" w:eastAsia="仿宋" w:cs="仿宋"/>
          <w:sz w:val="28"/>
          <w:szCs w:val="28"/>
          <w:highlight w:val="none"/>
          <w:u w:val="single"/>
          <w:lang w:val="en-US" w:eastAsia="zh-CN"/>
        </w:rPr>
        <w:t>同诚工程咨询集团股份有限公司会议室（济南市历城区万科海右府8-102）/线上（电子邮件）</w:t>
      </w:r>
      <w:r>
        <w:rPr>
          <w:rFonts w:hint="eastAsia" w:ascii="仿宋" w:hAnsi="仿宋" w:eastAsia="仿宋" w:cs="仿宋"/>
          <w:sz w:val="28"/>
          <w:szCs w:val="28"/>
          <w:highlight w:val="none"/>
        </w:rPr>
        <w:t>获取磋商文件，并于</w:t>
      </w:r>
      <w:r>
        <w:rPr>
          <w:rFonts w:hint="eastAsia" w:ascii="仿宋" w:hAnsi="仿宋" w:eastAsia="仿宋" w:cs="仿宋"/>
          <w:sz w:val="28"/>
          <w:szCs w:val="28"/>
          <w:highlight w:val="none"/>
          <w:u w:val="single"/>
        </w:rPr>
        <w:t xml:space="preserve"> </w:t>
      </w:r>
      <w:r>
        <w:rPr>
          <w:rFonts w:hint="eastAsia" w:ascii="仿宋" w:hAnsi="仿宋" w:eastAsia="仿宋" w:cs="仿宋"/>
          <w:kern w:val="0"/>
          <w:sz w:val="28"/>
          <w:szCs w:val="28"/>
          <w:highlight w:val="none"/>
          <w:u w:val="single"/>
        </w:rPr>
        <w:t>202</w:t>
      </w:r>
      <w:r>
        <w:rPr>
          <w:rFonts w:hint="eastAsia" w:ascii="仿宋" w:hAnsi="仿宋" w:eastAsia="仿宋" w:cs="仿宋"/>
          <w:kern w:val="0"/>
          <w:sz w:val="28"/>
          <w:szCs w:val="28"/>
          <w:highlight w:val="none"/>
          <w:u w:val="single"/>
          <w:lang w:val="en-US" w:eastAsia="zh-CN"/>
        </w:rPr>
        <w:t>2</w:t>
      </w:r>
      <w:r>
        <w:rPr>
          <w:rFonts w:hint="eastAsia" w:ascii="仿宋" w:hAnsi="仿宋" w:eastAsia="仿宋" w:cs="仿宋"/>
          <w:bCs/>
          <w:sz w:val="28"/>
          <w:szCs w:val="28"/>
          <w:highlight w:val="none"/>
          <w:u w:val="single"/>
        </w:rPr>
        <w:t>年</w:t>
      </w:r>
      <w:r>
        <w:rPr>
          <w:rFonts w:hint="eastAsia" w:ascii="仿宋" w:hAnsi="仿宋" w:eastAsia="仿宋" w:cs="仿宋"/>
          <w:bCs/>
          <w:sz w:val="28"/>
          <w:szCs w:val="28"/>
          <w:highlight w:val="none"/>
          <w:u w:val="single"/>
          <w:lang w:val="en-US" w:eastAsia="zh-CN"/>
        </w:rPr>
        <w:t>0</w:t>
      </w:r>
      <w:r>
        <w:rPr>
          <w:rFonts w:hint="eastAsia" w:ascii="仿宋" w:hAnsi="仿宋" w:cs="仿宋"/>
          <w:bCs/>
          <w:sz w:val="28"/>
          <w:szCs w:val="28"/>
          <w:highlight w:val="none"/>
          <w:u w:val="single"/>
          <w:lang w:val="en-US" w:eastAsia="zh-CN"/>
        </w:rPr>
        <w:t>7</w:t>
      </w:r>
      <w:r>
        <w:rPr>
          <w:rFonts w:hint="eastAsia" w:ascii="仿宋" w:hAnsi="仿宋" w:eastAsia="仿宋" w:cs="仿宋"/>
          <w:bCs/>
          <w:sz w:val="28"/>
          <w:szCs w:val="28"/>
          <w:highlight w:val="none"/>
          <w:u w:val="single"/>
          <w:lang w:val="en-US" w:eastAsia="zh-CN"/>
        </w:rPr>
        <w:t>月</w:t>
      </w:r>
      <w:r>
        <w:rPr>
          <w:rFonts w:hint="eastAsia" w:ascii="仿宋" w:hAnsi="仿宋" w:cs="仿宋"/>
          <w:bCs/>
          <w:sz w:val="28"/>
          <w:szCs w:val="28"/>
          <w:highlight w:val="none"/>
          <w:u w:val="single"/>
          <w:lang w:val="en-US" w:eastAsia="zh-CN"/>
        </w:rPr>
        <w:t>19</w:t>
      </w:r>
      <w:r>
        <w:rPr>
          <w:rFonts w:hint="eastAsia" w:ascii="仿宋" w:hAnsi="仿宋" w:eastAsia="仿宋" w:cs="仿宋"/>
          <w:bCs/>
          <w:sz w:val="28"/>
          <w:szCs w:val="28"/>
          <w:highlight w:val="none"/>
          <w:u w:val="single"/>
          <w:lang w:val="en-US" w:eastAsia="zh-CN"/>
        </w:rPr>
        <w:t>日</w:t>
      </w:r>
      <w:r>
        <w:rPr>
          <w:rFonts w:hint="eastAsia" w:ascii="仿宋" w:hAnsi="仿宋" w:eastAsia="仿宋" w:cs="仿宋"/>
          <w:bCs/>
          <w:sz w:val="28"/>
          <w:szCs w:val="28"/>
          <w:highlight w:val="none"/>
          <w:u w:val="single"/>
        </w:rPr>
        <w:t xml:space="preserve"> </w:t>
      </w:r>
      <w:r>
        <w:rPr>
          <w:rFonts w:hint="eastAsia" w:ascii="仿宋" w:hAnsi="仿宋" w:eastAsia="仿宋" w:cs="仿宋"/>
          <w:kern w:val="0"/>
          <w:sz w:val="28"/>
          <w:szCs w:val="28"/>
          <w:highlight w:val="none"/>
          <w:u w:val="single"/>
          <w:lang w:val="en-US" w:eastAsia="zh-CN"/>
        </w:rPr>
        <w:t>09</w:t>
      </w:r>
      <w:r>
        <w:rPr>
          <w:rFonts w:hint="eastAsia" w:ascii="仿宋" w:hAnsi="仿宋" w:eastAsia="仿宋" w:cs="仿宋"/>
          <w:kern w:val="0"/>
          <w:sz w:val="28"/>
          <w:szCs w:val="28"/>
          <w:highlight w:val="none"/>
          <w:u w:val="single"/>
        </w:rPr>
        <w:t xml:space="preserve"> </w:t>
      </w:r>
      <w:r>
        <w:rPr>
          <w:rFonts w:hint="eastAsia" w:ascii="仿宋" w:hAnsi="仿宋" w:eastAsia="仿宋" w:cs="仿宋"/>
          <w:bCs/>
          <w:sz w:val="28"/>
          <w:szCs w:val="28"/>
          <w:highlight w:val="none"/>
          <w:u w:val="single"/>
        </w:rPr>
        <w:t xml:space="preserve">点 </w:t>
      </w:r>
      <w:r>
        <w:rPr>
          <w:rFonts w:hint="eastAsia" w:ascii="仿宋" w:hAnsi="仿宋" w:eastAsia="仿宋" w:cs="仿宋"/>
          <w:kern w:val="0"/>
          <w:sz w:val="28"/>
          <w:szCs w:val="28"/>
          <w:highlight w:val="none"/>
          <w:u w:val="single"/>
        </w:rPr>
        <w:t>00</w:t>
      </w:r>
      <w:r>
        <w:rPr>
          <w:rFonts w:hint="eastAsia" w:ascii="仿宋" w:hAnsi="仿宋" w:eastAsia="仿宋" w:cs="仿宋"/>
          <w:bCs/>
          <w:sz w:val="28"/>
          <w:szCs w:val="28"/>
          <w:highlight w:val="none"/>
          <w:u w:val="single"/>
        </w:rPr>
        <w:t xml:space="preserve"> 分</w:t>
      </w:r>
      <w:r>
        <w:rPr>
          <w:rFonts w:hint="eastAsia" w:ascii="仿宋" w:hAnsi="仿宋" w:eastAsia="仿宋" w:cs="仿宋"/>
          <w:bCs/>
          <w:sz w:val="28"/>
          <w:szCs w:val="28"/>
          <w:highlight w:val="none"/>
        </w:rPr>
        <w:t>（北京时间）前提交首次响应文件</w:t>
      </w:r>
      <w:r>
        <w:rPr>
          <w:rFonts w:hint="eastAsia" w:ascii="仿宋" w:hAnsi="仿宋" w:eastAsia="仿宋" w:cs="仿宋"/>
          <w:sz w:val="28"/>
          <w:szCs w:val="28"/>
          <w:highlight w:val="none"/>
        </w:rPr>
        <w:t>。</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2" w:name="_Toc800"/>
      <w:r>
        <w:rPr>
          <w:rFonts w:hint="eastAsia" w:ascii="Arial" w:hAnsi="Arial" w:eastAsia="黑体" w:cs="Times New Roman"/>
          <w:b w:val="0"/>
          <w:kern w:val="2"/>
          <w:sz w:val="36"/>
          <w:szCs w:val="28"/>
          <w:highlight w:val="none"/>
        </w:rPr>
        <w:t>一、项目基本情况：</w:t>
      </w:r>
      <w:bookmarkEnd w:id="2"/>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项目编号：TCZX-HW-2022-02</w:t>
      </w:r>
      <w:r>
        <w:rPr>
          <w:rFonts w:hint="eastAsia" w:ascii="仿宋" w:hAnsi="仿宋" w:cs="仿宋"/>
          <w:sz w:val="28"/>
          <w:szCs w:val="28"/>
          <w:highlight w:val="none"/>
          <w:lang w:val="en-US" w:eastAsia="zh-CN"/>
        </w:rPr>
        <w:t>8</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项目名称：山东大学第二医院产科设备一批采购</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采购方式：竞争性磋商</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预算金额：</w:t>
      </w:r>
      <w:r>
        <w:rPr>
          <w:rFonts w:hint="eastAsia" w:ascii="仿宋" w:hAnsi="仿宋" w:cs="仿宋"/>
          <w:sz w:val="28"/>
          <w:szCs w:val="28"/>
          <w:highlight w:val="none"/>
          <w:lang w:val="en-US" w:eastAsia="zh-CN"/>
        </w:rPr>
        <w:t>35</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最高限价：</w:t>
      </w:r>
      <w:r>
        <w:rPr>
          <w:rFonts w:hint="eastAsia" w:ascii="仿宋" w:hAnsi="仿宋" w:cs="仿宋"/>
          <w:sz w:val="28"/>
          <w:szCs w:val="28"/>
          <w:highlight w:val="none"/>
          <w:lang w:val="en-US" w:eastAsia="zh-CN"/>
        </w:rPr>
        <w:t>35</w:t>
      </w:r>
      <w:r>
        <w:rPr>
          <w:rFonts w:hint="eastAsia" w:ascii="仿宋" w:hAnsi="仿宋" w:eastAsia="仿宋" w:cs="仿宋"/>
          <w:sz w:val="28"/>
          <w:szCs w:val="28"/>
          <w:highlight w:val="none"/>
          <w:lang w:val="en-US" w:eastAsia="zh-CN"/>
        </w:rPr>
        <w:t>.00万元</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采购需求：山东大学第二医院根据需要需采购个体营养监测分析仪1</w:t>
      </w:r>
      <w:r>
        <w:rPr>
          <w:rFonts w:hint="eastAsia" w:ascii="仿宋" w:hAnsi="仿宋" w:cs="仿宋"/>
          <w:sz w:val="28"/>
          <w:szCs w:val="28"/>
          <w:highlight w:val="none"/>
          <w:lang w:val="en-US" w:eastAsia="zh-CN"/>
        </w:rPr>
        <w:t>套</w:t>
      </w:r>
      <w:r>
        <w:rPr>
          <w:rFonts w:hint="eastAsia" w:ascii="仿宋" w:hAnsi="仿宋" w:eastAsia="仿宋" w:cs="仿宋"/>
          <w:sz w:val="28"/>
          <w:szCs w:val="28"/>
          <w:highlight w:val="none"/>
          <w:lang w:val="en-US" w:eastAsia="zh-CN"/>
        </w:rPr>
        <w:t>，核心产品；超声骨密度仪</w:t>
      </w:r>
      <w:r>
        <w:rPr>
          <w:rFonts w:hint="eastAsia" w:ascii="仿宋" w:hAnsi="仿宋" w:cs="仿宋"/>
          <w:sz w:val="28"/>
          <w:szCs w:val="28"/>
          <w:highlight w:val="none"/>
          <w:lang w:val="en-US" w:eastAsia="zh-CN"/>
        </w:rPr>
        <w:t>1套</w:t>
      </w:r>
      <w:r>
        <w:rPr>
          <w:rFonts w:hint="eastAsia" w:ascii="仿宋" w:hAnsi="仿宋" w:eastAsia="仿宋" w:cs="仿宋"/>
          <w:sz w:val="28"/>
          <w:szCs w:val="28"/>
          <w:highlight w:val="none"/>
          <w:lang w:val="en-US" w:eastAsia="zh-CN"/>
        </w:rPr>
        <w:t>；使用科室</w:t>
      </w:r>
      <w:r>
        <w:rPr>
          <w:rFonts w:hint="eastAsia" w:ascii="仿宋" w:hAnsi="仿宋" w:cs="仿宋"/>
          <w:sz w:val="28"/>
          <w:szCs w:val="28"/>
          <w:highlight w:val="none"/>
          <w:lang w:val="en-US" w:eastAsia="zh-CN"/>
        </w:rPr>
        <w:t>产</w:t>
      </w:r>
      <w:r>
        <w:rPr>
          <w:rFonts w:hint="eastAsia" w:ascii="仿宋" w:hAnsi="仿宋" w:eastAsia="仿宋" w:cs="仿宋"/>
          <w:sz w:val="28"/>
          <w:szCs w:val="28"/>
          <w:highlight w:val="none"/>
          <w:lang w:val="en-US" w:eastAsia="zh-CN"/>
        </w:rPr>
        <w:t>科，具体详见采购要求。</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标包划分：1个包</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合同履行期限（质保期）：≥3年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本项目不接受联合体报价。</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3" w:name="_Toc18476"/>
      <w:r>
        <w:rPr>
          <w:rFonts w:hint="eastAsia" w:ascii="Arial" w:hAnsi="Arial" w:eastAsia="黑体" w:cs="Times New Roman"/>
          <w:b w:val="0"/>
          <w:kern w:val="2"/>
          <w:sz w:val="36"/>
          <w:szCs w:val="28"/>
          <w:highlight w:val="none"/>
        </w:rPr>
        <w:t>二、申请人的资格要求：</w:t>
      </w:r>
      <w:bookmarkEnd w:id="3"/>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1、满足《中华人民共和国政府采购法》第二十二条规定；</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2、落实政府采购政策需满足的资格要求：本项目不属于专门面向中小企业、监狱企业、残疾人福利性单位采购的项目；</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3、本项目的特定资格要求：</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在“信用中国”（www.creditchina.gov.cn）、中国政府采购网（www.ccgp.gov.cn）等网站中被列入失信被执行人、重大税收违法案件当事人名单、政府采购严重违法失信行为记录名单的供应商，不得参加本次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（2）单位负责人为同一人或者存在直接控股、管理关系的不同供应商，不得参加同一合同项下（同一包号）的政府采购活动；</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有效的医疗器械经营许可证（其中从事第二类医疗器械经营的提供相关备案凭证）或医疗器械生产许可证，所投产品具有有效的医疗器械注册证或医疗器械备案凭证（其中一类医疗器械提供相关备案证明）；</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4" w:name="_Toc17076"/>
      <w:r>
        <w:rPr>
          <w:rFonts w:hint="eastAsia" w:ascii="Arial" w:hAnsi="Arial" w:eastAsia="黑体" w:cs="Times New Roman"/>
          <w:b w:val="0"/>
          <w:kern w:val="2"/>
          <w:sz w:val="36"/>
          <w:szCs w:val="28"/>
          <w:highlight w:val="none"/>
        </w:rPr>
        <w:t>三、获取磋商文件：</w:t>
      </w:r>
      <w:bookmarkEnd w:id="4"/>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时间：2022年0</w:t>
      </w:r>
      <w:r>
        <w:rPr>
          <w:rFonts w:hint="eastAsia" w:ascii="仿宋" w:hAnsi="仿宋" w:cs="仿宋"/>
          <w:sz w:val="28"/>
          <w:szCs w:val="28"/>
          <w:highlight w:val="none"/>
          <w:lang w:val="en-US" w:eastAsia="zh-CN"/>
        </w:rPr>
        <w:t>7</w:t>
      </w:r>
      <w:r>
        <w:rPr>
          <w:rFonts w:hint="eastAsia" w:ascii="仿宋" w:hAnsi="仿宋" w:eastAsia="仿宋" w:cs="仿宋"/>
          <w:sz w:val="28"/>
          <w:szCs w:val="28"/>
          <w:highlight w:val="none"/>
          <w:lang w:val="en-US" w:eastAsia="zh-CN"/>
        </w:rPr>
        <w:t>月0</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日至2022年0</w:t>
      </w:r>
      <w:r>
        <w:rPr>
          <w:rFonts w:hint="eastAsia" w:ascii="仿宋" w:hAnsi="仿宋" w:cs="仿宋"/>
          <w:sz w:val="28"/>
          <w:szCs w:val="28"/>
          <w:highlight w:val="none"/>
          <w:lang w:val="en-US" w:eastAsia="zh-CN"/>
        </w:rPr>
        <w:t>7</w:t>
      </w:r>
      <w:r>
        <w:rPr>
          <w:rFonts w:hint="eastAsia" w:ascii="仿宋" w:hAnsi="仿宋" w:eastAsia="仿宋" w:cs="仿宋"/>
          <w:sz w:val="28"/>
          <w:szCs w:val="28"/>
          <w:highlight w:val="none"/>
          <w:lang w:val="en-US" w:eastAsia="zh-CN"/>
        </w:rPr>
        <w:t>月0</w:t>
      </w:r>
      <w:r>
        <w:rPr>
          <w:rFonts w:hint="eastAsia" w:ascii="仿宋" w:hAnsi="仿宋" w:cs="仿宋"/>
          <w:sz w:val="28"/>
          <w:szCs w:val="28"/>
          <w:highlight w:val="none"/>
          <w:lang w:val="en-US" w:eastAsia="zh-CN"/>
        </w:rPr>
        <w:t>8</w:t>
      </w:r>
      <w:r>
        <w:rPr>
          <w:rFonts w:hint="eastAsia" w:ascii="仿宋" w:hAnsi="仿宋" w:eastAsia="仿宋" w:cs="仿宋"/>
          <w:sz w:val="28"/>
          <w:szCs w:val="28"/>
          <w:highlight w:val="none"/>
          <w:lang w:val="en-US" w:eastAsia="zh-CN"/>
        </w:rPr>
        <w:t>日，每天上午9:00至12:00，下午1</w:t>
      </w:r>
      <w:r>
        <w:rPr>
          <w:rFonts w:hint="eastAsia" w:ascii="仿宋" w:hAnsi="仿宋" w:cs="仿宋"/>
          <w:sz w:val="28"/>
          <w:szCs w:val="28"/>
          <w:highlight w:val="none"/>
          <w:lang w:val="en-US" w:eastAsia="zh-CN"/>
        </w:rPr>
        <w:t>2</w:t>
      </w:r>
      <w:r>
        <w:rPr>
          <w:rFonts w:hint="eastAsia" w:ascii="仿宋" w:hAnsi="仿宋" w:eastAsia="仿宋" w:cs="仿宋"/>
          <w:sz w:val="28"/>
          <w:szCs w:val="28"/>
          <w:highlight w:val="none"/>
          <w:lang w:val="en-US" w:eastAsia="zh-CN"/>
        </w:rPr>
        <w:t>:00至17:00（北京时间，法定节假日除外）；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地点：同诚工程咨询集团股份有限公司（济南市历城区万科海右府8号102），疫情期间</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文件采用邮寄方式，不需现场领取。</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方式：凡有意参加本次采购的供应商须在获取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文件的期限内联系代理机构（联系人：邵经理0531-88933166/18954549093）明确所投项目名称及项目确认，供应商项目确认后请访问中国政府采购网下载电子版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将以下材料发送至sdthgczx2022@163.com（邮件主题格式：项目名称+供应商名称）：（1）企业法人营业执照副本扫描件；（2）法定代表人证明或法定代表人授权委托书及相应本人身份证扫描件；（3）与本项目相关事宜联系人、联系电话；（4）</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文件费汇款凭证。</w:t>
      </w:r>
    </w:p>
    <w:p>
      <w:pPr>
        <w:ind w:firstLine="560" w:firstLineChars="200"/>
        <w:rPr>
          <w:rFonts w:hint="eastAsia"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文件售价：300元/本，邮寄另付邮费50元（售后不退）。缴纳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文件工本费账户信息：开户名称：同诚工程咨询集团股份有限公司济南分公司；开户银行：威海市商业银行股份有限公司济南燕山支行；行  号：313451000125，账  号：817972201421003546；汇款须注明：项目简称+单位简称。</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本项目实行资格后审，获取</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文件成功不代表资格后审的通过。</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注：本采购项目的变更、修改、澄清、补遗内容及对项目的暂停、延期通知等情况均在“中国政府采购网”发布。潜在供应商自行查阅网站信息，未按要求查阅者自行承担相应后果。</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5" w:name="_Toc23812"/>
      <w:r>
        <w:rPr>
          <w:rFonts w:hint="eastAsia" w:ascii="Arial" w:hAnsi="Arial" w:eastAsia="黑体" w:cs="Times New Roman"/>
          <w:b w:val="0"/>
          <w:kern w:val="2"/>
          <w:sz w:val="36"/>
          <w:szCs w:val="28"/>
          <w:highlight w:val="none"/>
        </w:rPr>
        <w:t>四、提交首次响应文件截止时间、报价时间和地点：</w:t>
      </w:r>
      <w:bookmarkEnd w:id="5"/>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时间：2022 年0</w:t>
      </w:r>
      <w:r>
        <w:rPr>
          <w:rFonts w:hint="eastAsia" w:ascii="仿宋" w:hAnsi="仿宋" w:cs="仿宋"/>
          <w:sz w:val="28"/>
          <w:szCs w:val="28"/>
          <w:highlight w:val="none"/>
          <w:lang w:val="en-US" w:eastAsia="zh-CN"/>
        </w:rPr>
        <w:t>7</w:t>
      </w:r>
      <w:r>
        <w:rPr>
          <w:rFonts w:hint="eastAsia" w:ascii="仿宋" w:hAnsi="仿宋" w:eastAsia="仿宋" w:cs="仿宋"/>
          <w:sz w:val="28"/>
          <w:szCs w:val="28"/>
          <w:highlight w:val="none"/>
          <w:lang w:val="en-US" w:eastAsia="zh-CN"/>
        </w:rPr>
        <w:t>月</w:t>
      </w:r>
      <w:r>
        <w:rPr>
          <w:rFonts w:hint="eastAsia" w:ascii="仿宋" w:hAnsi="仿宋" w:cs="仿宋"/>
          <w:sz w:val="28"/>
          <w:szCs w:val="28"/>
          <w:highlight w:val="none"/>
          <w:lang w:val="en-US" w:eastAsia="zh-CN"/>
        </w:rPr>
        <w:t>19</w:t>
      </w:r>
      <w:r>
        <w:rPr>
          <w:rFonts w:hint="eastAsia" w:ascii="仿宋" w:hAnsi="仿宋" w:eastAsia="仿宋" w:cs="仿宋"/>
          <w:sz w:val="28"/>
          <w:szCs w:val="28"/>
          <w:highlight w:val="none"/>
          <w:lang w:val="en-US" w:eastAsia="zh-CN"/>
        </w:rPr>
        <w:t>日09:00（北京时间）；</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地点：山东大学第二医院文会学堂一楼会议室（地址：济南市天桥区北园大街247号）；</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逾期送达的或者未送达指定地点的响应文件，采购人不予受理。</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6" w:name="_Toc31626"/>
      <w:r>
        <w:rPr>
          <w:rFonts w:hint="eastAsia" w:ascii="Arial" w:hAnsi="Arial" w:eastAsia="黑体" w:cs="Times New Roman"/>
          <w:b w:val="0"/>
          <w:kern w:val="2"/>
          <w:sz w:val="36"/>
          <w:szCs w:val="28"/>
          <w:highlight w:val="none"/>
        </w:rPr>
        <w:t>五、公告期限：</w:t>
      </w:r>
      <w:bookmarkEnd w:id="6"/>
    </w:p>
    <w:p>
      <w:pPr>
        <w:pStyle w:val="4"/>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firstLine="560" w:firstLineChars="200"/>
        <w:textAlignment w:val="auto"/>
        <w:rPr>
          <w:rFonts w:hint="eastAsia" w:ascii="仿宋" w:hAnsi="仿宋" w:eastAsia="仿宋" w:cs="仿宋"/>
          <w:b w:val="0"/>
          <w:kern w:val="2"/>
          <w:sz w:val="28"/>
          <w:szCs w:val="28"/>
          <w:highlight w:val="none"/>
          <w:lang w:val="en-US" w:eastAsia="zh-CN" w:bidi="ar-SA"/>
        </w:rPr>
      </w:pPr>
      <w:bookmarkStart w:id="7" w:name="_Toc30218"/>
      <w:r>
        <w:rPr>
          <w:rFonts w:hint="eastAsia" w:ascii="仿宋" w:hAnsi="仿宋" w:eastAsia="仿宋" w:cs="仿宋"/>
          <w:b w:val="0"/>
          <w:kern w:val="2"/>
          <w:sz w:val="28"/>
          <w:szCs w:val="28"/>
          <w:highlight w:val="none"/>
          <w:lang w:val="en-US" w:eastAsia="zh-CN" w:bidi="ar-SA"/>
        </w:rPr>
        <w:t>自本公告发布之日起3个工作日。</w:t>
      </w:r>
      <w:bookmarkEnd w:id="7"/>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rPr>
      </w:pPr>
      <w:bookmarkStart w:id="8" w:name="_Toc26884"/>
      <w:r>
        <w:rPr>
          <w:rFonts w:hint="eastAsia" w:ascii="Arial" w:hAnsi="Arial" w:eastAsia="黑体" w:cs="Times New Roman"/>
          <w:b w:val="0"/>
          <w:kern w:val="2"/>
          <w:sz w:val="36"/>
          <w:szCs w:val="28"/>
          <w:highlight w:val="none"/>
        </w:rPr>
        <w:t>六、其他补充事宜：</w:t>
      </w:r>
      <w:bookmarkEnd w:id="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1、采购项目需要落实的政府采购政策：中小微型企业政府采购政策；监狱企业政府采购政策；促进残疾人就业政府采购政策；节能、环保产品政府采购政策，详见</w:t>
      </w:r>
      <w:r>
        <w:rPr>
          <w:rFonts w:hint="eastAsia" w:ascii="仿宋" w:hAnsi="仿宋" w:cs="仿宋"/>
          <w:sz w:val="28"/>
          <w:szCs w:val="28"/>
          <w:highlight w:val="none"/>
          <w:lang w:val="en-US" w:eastAsia="zh-CN"/>
        </w:rPr>
        <w:t>磋商</w:t>
      </w:r>
      <w:r>
        <w:rPr>
          <w:rFonts w:hint="eastAsia" w:ascii="仿宋" w:hAnsi="仿宋" w:eastAsia="仿宋" w:cs="仿宋"/>
          <w:b w:val="0"/>
          <w:kern w:val="2"/>
          <w:sz w:val="28"/>
          <w:szCs w:val="28"/>
          <w:highlight w:val="none"/>
          <w:lang w:val="en-US" w:eastAsia="zh-CN" w:bidi="ar-SA"/>
        </w:rPr>
        <w:t>文件。</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2、供应商必须整包，不可分拆报价。</w:t>
      </w:r>
    </w:p>
    <w:p>
      <w:pPr>
        <w:pStyle w:val="4"/>
        <w:keepNext w:val="0"/>
        <w:keepLines w:val="0"/>
        <w:numPr>
          <w:ilvl w:val="0"/>
          <w:numId w:val="0"/>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9" w:name="_Toc31379"/>
      <w:r>
        <w:rPr>
          <w:rFonts w:hint="eastAsia" w:ascii="Arial" w:hAnsi="Arial" w:eastAsia="黑体" w:cs="Times New Roman"/>
          <w:b w:val="0"/>
          <w:kern w:val="2"/>
          <w:sz w:val="36"/>
          <w:szCs w:val="28"/>
          <w:highlight w:val="none"/>
          <w:lang w:val="en-US" w:eastAsia="zh-CN"/>
        </w:rPr>
        <w:t>七、对本次采购提出询问，请按以下方式联系：</w:t>
      </w:r>
      <w:bookmarkEnd w:id="9"/>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1、采购人信息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 称：山东大学第二医院</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地址：济南市天桥区北园大街247号</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联系方式：0531-85875076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2、采购代理机构信息</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名称：同诚工程咨询集团股份有限公司</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地址：济南市历城区万科海右府8-102</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联系方式：0531-88933166</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3.项目联系方式</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联系人：邵经理</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电  话：0531-88933166</w:t>
      </w:r>
    </w:p>
    <w:p>
      <w:pPr>
        <w:pStyle w:val="3"/>
        <w:numPr>
          <w:ilvl w:val="0"/>
          <w:numId w:val="0"/>
        </w:numPr>
        <w:spacing w:after="312"/>
        <w:jc w:val="center"/>
        <w:rPr>
          <w:rFonts w:hint="eastAsia" w:ascii="宋体" w:hAnsi="宋体" w:eastAsia="宋体" w:cs="宋体"/>
          <w:highlight w:val="none"/>
        </w:rPr>
      </w:pPr>
      <w:r>
        <w:rPr>
          <w:rFonts w:hint="eastAsia" w:ascii="宋体" w:hAnsi="宋体" w:eastAsia="宋体" w:cs="宋体"/>
          <w:highlight w:val="none"/>
        </w:rPr>
        <w:br w:type="page"/>
      </w:r>
      <w:bookmarkStart w:id="10" w:name="_Toc4256"/>
      <w:r>
        <w:rPr>
          <w:rFonts w:hint="eastAsia" w:ascii="Calibri" w:hAnsi="Calibri" w:eastAsia="宋体" w:cs="Times New Roman"/>
          <w:b/>
          <w:kern w:val="44"/>
          <w:sz w:val="44"/>
          <w:szCs w:val="24"/>
          <w:highlight w:val="none"/>
          <w:lang w:val="en-US" w:eastAsia="zh-CN" w:bidi="ar-SA"/>
        </w:rPr>
        <w:t xml:space="preserve">第二章  </w:t>
      </w:r>
      <w:bookmarkStart w:id="11" w:name="_Toc23894"/>
      <w:r>
        <w:rPr>
          <w:rFonts w:hint="eastAsia" w:ascii="宋体" w:hAnsi="宋体" w:eastAsia="宋体" w:cs="宋体"/>
          <w:highlight w:val="none"/>
          <w:lang w:val="en-US" w:eastAsia="zh-CN"/>
        </w:rPr>
        <w:t>供应商</w:t>
      </w:r>
      <w:r>
        <w:rPr>
          <w:rFonts w:hint="eastAsia" w:ascii="宋体" w:hAnsi="宋体" w:eastAsia="宋体" w:cs="宋体"/>
          <w:highlight w:val="none"/>
        </w:rPr>
        <w:t>须知</w:t>
      </w:r>
      <w:bookmarkEnd w:id="10"/>
      <w:bookmarkEnd w:id="11"/>
    </w:p>
    <w:p>
      <w:pPr>
        <w:pStyle w:val="4"/>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宋体" w:cs="宋体"/>
          <w:b/>
          <w:bCs/>
          <w:sz w:val="44"/>
          <w:szCs w:val="44"/>
          <w:highlight w:val="none"/>
        </w:rPr>
      </w:pPr>
      <w:bookmarkStart w:id="12" w:name="_Toc30943"/>
      <w:bookmarkStart w:id="13" w:name="_Toc4028"/>
      <w:r>
        <w:rPr>
          <w:rFonts w:hint="eastAsia" w:ascii="宋体" w:hAnsi="宋体" w:eastAsia="宋体" w:cs="宋体"/>
          <w:b/>
          <w:bCs/>
          <w:sz w:val="44"/>
          <w:szCs w:val="44"/>
          <w:highlight w:val="none"/>
        </w:rPr>
        <w:t>供应商须知前附表</w:t>
      </w:r>
      <w:bookmarkEnd w:id="12"/>
      <w:bookmarkEnd w:id="1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本表是对“供应商须知”正文的具体补充和修改，如有不一致，以“前附表”为准。</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183"/>
        <w:gridCol w:w="6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50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内容</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项目信息</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TCZX-HW-2022-</w:t>
            </w:r>
            <w:r>
              <w:rPr>
                <w:rFonts w:hint="eastAsia" w:ascii="仿宋" w:hAnsi="仿宋" w:eastAsia="仿宋" w:cs="仿宋"/>
                <w:sz w:val="28"/>
                <w:szCs w:val="28"/>
                <w:highlight w:val="none"/>
                <w:lang w:val="en-US" w:eastAsia="zh-CN"/>
              </w:rPr>
              <w:t>02</w:t>
            </w:r>
            <w:r>
              <w:rPr>
                <w:rFonts w:hint="eastAsia" w:ascii="仿宋" w:hAnsi="仿宋" w:cs="仿宋"/>
                <w:sz w:val="28"/>
                <w:szCs w:val="28"/>
                <w:highlight w:val="none"/>
                <w:lang w:val="en-US" w:eastAsia="zh-CN"/>
              </w:rPr>
              <w:t>8</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山东大学第二医院</w:t>
            </w:r>
            <w:r>
              <w:rPr>
                <w:rFonts w:hint="eastAsia" w:ascii="仿宋" w:hAnsi="仿宋" w:eastAsia="仿宋" w:cs="仿宋"/>
                <w:sz w:val="28"/>
                <w:szCs w:val="28"/>
                <w:highlight w:val="none"/>
                <w:lang w:val="en-US" w:eastAsia="zh-CN"/>
              </w:rPr>
              <w:t>产科设备一批</w:t>
            </w:r>
            <w:r>
              <w:rPr>
                <w:rFonts w:hint="eastAsia" w:ascii="仿宋" w:hAnsi="仿宋" w:eastAsia="仿宋" w:cs="仿宋"/>
                <w:sz w:val="28"/>
                <w:szCs w:val="28"/>
                <w:highlight w:val="none"/>
                <w:lang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名称：山东大学第二医院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地址：济南市天桥区北园大街247号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代理机构</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名称：同诚工程咨询集团股份有限公司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地址：济南市历城区万科海右府8号楼102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邵</w:t>
            </w:r>
            <w:r>
              <w:rPr>
                <w:rFonts w:hint="eastAsia" w:ascii="仿宋" w:hAnsi="仿宋" w:eastAsia="仿宋" w:cs="仿宋"/>
                <w:sz w:val="28"/>
                <w:szCs w:val="28"/>
                <w:highlight w:val="none"/>
              </w:rPr>
              <w:t>经理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与采购预算</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资金来源：自筹资金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cs="仿宋"/>
                <w:sz w:val="28"/>
                <w:szCs w:val="28"/>
                <w:highlight w:val="none"/>
                <w:lang w:val="en-US" w:eastAsia="zh-CN"/>
              </w:rPr>
              <w:t>35</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最高限价：</w:t>
            </w:r>
            <w:r>
              <w:rPr>
                <w:rFonts w:hint="eastAsia" w:ascii="仿宋" w:hAnsi="仿宋" w:cs="仿宋"/>
                <w:sz w:val="28"/>
                <w:szCs w:val="28"/>
                <w:highlight w:val="none"/>
                <w:lang w:val="en-US" w:eastAsia="zh-CN"/>
              </w:rPr>
              <w:t>35</w:t>
            </w:r>
            <w:r>
              <w:rPr>
                <w:rFonts w:hint="eastAsia" w:ascii="仿宋" w:hAnsi="仿宋" w:eastAsia="仿宋" w:cs="仿宋"/>
                <w:sz w:val="28"/>
                <w:szCs w:val="28"/>
                <w:highlight w:val="none"/>
              </w:rPr>
              <w:t>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磋商</w:t>
            </w:r>
            <w:r>
              <w:rPr>
                <w:rFonts w:hint="eastAsia" w:ascii="仿宋" w:hAnsi="仿宋" w:eastAsia="仿宋" w:cs="仿宋"/>
                <w:b/>
                <w:bCs/>
                <w:sz w:val="28"/>
                <w:szCs w:val="28"/>
                <w:highlight w:val="none"/>
              </w:rPr>
              <w:t>报价超过预算金额或最高限价的，按无效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供应商应提供的资格证明材料</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供应商资格要求：详见第一章</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供应商应提供能够证明符合资格条件的下列材料：（1）供应商须具有独立承担民事责任的能力，向采购人提供服务的法人、其他组织或自然人，须提供相关证明材料，其中：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年度资信证明（若资信证明注明复印件无效，需提交原件）。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截止日前）供应商在经营活动中没有重大违法记录，其中：</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（7）单位负责人为同一人或者存在直接控股、管理关系的不同供应商，不得参加同一包的报价或者未划分包的同一采购项目的报价，供应商须提供书面声明。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有效的医疗器械经营许可证复印件（其中从事第二类医疗器械经营的提供相关备案凭证复印件）或医疗器械生产许可证复印件，所投产品具有有效的医疗器械注册证复印件或医疗器械备案凭证复印件（其中一类医疗器械提供相关备案证明复印件）；</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9</w:t>
            </w:r>
            <w:r>
              <w:rPr>
                <w:rFonts w:hint="eastAsia" w:ascii="仿宋" w:hAnsi="仿宋" w:eastAsia="仿宋" w:cs="仿宋"/>
                <w:sz w:val="28"/>
                <w:szCs w:val="28"/>
                <w:highlight w:val="none"/>
              </w:rPr>
              <w:t>）供应商符合法律、行政法规规定的其它要求。</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本项目实行资格后审，资格审查未通过，不进入下一步评审。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宋体" w:hAnsi="宋体" w:eastAsia="宋体" w:cs="宋体"/>
                <w:sz w:val="24"/>
                <w:szCs w:val="24"/>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对</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文件的疑问</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提交疑问时间：截止时间2022年</w:t>
            </w:r>
            <w:r>
              <w:rPr>
                <w:rFonts w:hint="eastAsia" w:ascii="仿宋" w:hAnsi="仿宋" w:eastAsia="仿宋" w:cs="仿宋"/>
                <w:sz w:val="28"/>
                <w:szCs w:val="28"/>
                <w:highlight w:val="none"/>
                <w:lang w:val="en-US" w:eastAsia="zh-CN"/>
              </w:rPr>
              <w:t>0</w:t>
            </w:r>
            <w:r>
              <w:rPr>
                <w:rFonts w:hint="eastAsia" w:ascii="仿宋" w:hAnsi="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w:t>
            </w:r>
            <w:r>
              <w:rPr>
                <w:rFonts w:hint="eastAsia" w:ascii="仿宋" w:hAnsi="仿宋" w:cs="仿宋"/>
                <w:sz w:val="28"/>
                <w:szCs w:val="28"/>
                <w:highlight w:val="none"/>
                <w:lang w:val="en-US" w:eastAsia="zh-CN"/>
              </w:rPr>
              <w:t>8</w:t>
            </w:r>
            <w:r>
              <w:rPr>
                <w:rFonts w:hint="eastAsia" w:ascii="仿宋" w:hAnsi="仿宋" w:eastAsia="仿宋" w:cs="仿宋"/>
                <w:sz w:val="28"/>
                <w:szCs w:val="28"/>
                <w:highlight w:val="none"/>
              </w:rPr>
              <w:t>日上午11:00前。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提交疑问方式：发电子邮件至 sdthgczx2022@163.com（word文档及加盖公章的扫描件各一份），并致电0531-88933166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文件澄清</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澄清和修改文件发送时间（如有）</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截止时间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天前；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澄清和修改文件发送方式：发送电子版至各供应商预留的电子邮箱。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文件份数</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份，其中正本1份和副本</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份；电子版</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文件1份（U盘，可编辑word版本和PDF版本各一份）；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电子版内容应包含</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文件的全部商务、报价、技术内容及技术资料，其中有英文资料的还应提供中、英文对照文本。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一览表一式3份单独密封。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装订方式：纸质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文件应正反双面打印，每册采用胶装方式装订，装订应牢固、不易拆散和换页，不得采用活页装订；每册厚度不得超过4.5cm,如超过需分册装订；在封装背脊处打印项目名称；为节约成本，</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文件密封和标记</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文件正本、副本、电子版及</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一览表密封，并在封套明显处注明以下内容：</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项目编号、项目名称、包号；</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正本或副本或电子版或</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供应商名称（加盖公章）、地址、电话；</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每一密封件在封口处注明“于__年__月__日__时__分之前不准启封”字样。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注：单包所有副本密封在一个包封内即可。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文件的签署</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函、</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一览表以及</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文件格式要求中注明需盖章的资料均应按要求签署。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5000</w:t>
            </w:r>
            <w:r>
              <w:rPr>
                <w:rFonts w:hint="eastAsia" w:ascii="仿宋" w:hAnsi="仿宋" w:eastAsia="仿宋" w:cs="仿宋"/>
                <w:sz w:val="28"/>
                <w:szCs w:val="28"/>
                <w:highlight w:val="none"/>
              </w:rPr>
              <w:t>.00元整(大写：</w:t>
            </w:r>
            <w:r>
              <w:rPr>
                <w:rFonts w:hint="eastAsia" w:ascii="仿宋" w:hAnsi="仿宋" w:cs="仿宋"/>
                <w:sz w:val="28"/>
                <w:szCs w:val="28"/>
                <w:highlight w:val="none"/>
                <w:lang w:val="en-US" w:eastAsia="zh-CN"/>
              </w:rPr>
              <w:t>伍仟</w:t>
            </w:r>
            <w:r>
              <w:rPr>
                <w:rFonts w:hint="eastAsia" w:ascii="仿宋" w:hAnsi="仿宋" w:eastAsia="仿宋" w:cs="仿宋"/>
                <w:sz w:val="28"/>
                <w:szCs w:val="28"/>
                <w:highlight w:val="none"/>
              </w:rPr>
              <w:t>元整）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保证金缴纳形式：网银转账或电汇，银行保函或第三方担保。</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开户银行及账号如下：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开户名：同诚工程咨询集团股份有限公司济南分公司</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开户行：威海市商业银行股份有限公司济南燕山支行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行  号：313451000125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  号：817972201421003546</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请在交易附言内填写：单位简称+项目简称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保证金以电汇或网银形式提交的必须从供应商的账户转出，并在提交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文件截止时间前到达指定账户。其他形式提交的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保证金须在提交</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文件截止时间前到达指定账户，供应商应充分考虑银行信息交换时间，由此带来的</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保证金不能按时到</w:t>
            </w:r>
            <w:r>
              <w:rPr>
                <w:rFonts w:hint="eastAsia" w:ascii="仿宋" w:hAnsi="仿宋" w:cs="仿宋"/>
                <w:sz w:val="28"/>
                <w:szCs w:val="28"/>
                <w:highlight w:val="none"/>
                <w:lang w:val="en-US" w:eastAsia="zh-CN"/>
              </w:rPr>
              <w:t>账</w:t>
            </w:r>
            <w:r>
              <w:rPr>
                <w:rFonts w:hint="eastAsia" w:ascii="仿宋" w:hAnsi="仿宋" w:eastAsia="仿宋" w:cs="仿宋"/>
                <w:sz w:val="28"/>
                <w:szCs w:val="28"/>
                <w:highlight w:val="none"/>
              </w:rPr>
              <w:t>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有效期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自</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文件递交地点：详见竞争性磋商公告。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注：疫情期间如无法进入递交地点，我方将根据具体情况另行通知。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时间：同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文件递交截止时间；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磋商会议</w:t>
            </w:r>
            <w:r>
              <w:rPr>
                <w:rFonts w:hint="eastAsia" w:ascii="仿宋" w:hAnsi="仿宋" w:eastAsia="仿宋" w:cs="仿宋"/>
                <w:sz w:val="28"/>
                <w:szCs w:val="28"/>
                <w:highlight w:val="none"/>
              </w:rPr>
              <w:t>地点：同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证明材料</w:t>
            </w:r>
          </w:p>
        </w:tc>
        <w:tc>
          <w:tcPr>
            <w:tcW w:w="3338" w:type="pct"/>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执行政府采购优惠政策的有效的证明材料：</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①《中小企业声明函》；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②省级以上监狱管理局、戒毒管理局（含新疆生产建设兵团）出具的属于监狱企业的证明文件；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③《残疾人福利性单位声明函》；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④《国家节能产品认证证书》、《中国环境标志产品认证证书》。</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评分办法涉及的业绩合同、信誉或荣誉证书、获奖证书等证明材料（详见评分办法）。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注：上述证件复印件必须附在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年份要求</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近三年：2019年1月1日至今；</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如成立时间较短的供应商，可提供成立至今的相关证明材料。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核心产品</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本项目核心产品为：</w:t>
            </w:r>
            <w:r>
              <w:rPr>
                <w:rFonts w:hint="eastAsia" w:ascii="仿宋" w:hAnsi="仿宋" w:eastAsia="仿宋" w:cs="仿宋"/>
                <w:sz w:val="28"/>
                <w:szCs w:val="28"/>
                <w:highlight w:val="none"/>
                <w:lang w:eastAsia="zh-CN"/>
              </w:rPr>
              <w:t>超声骨密度仪</w:t>
            </w:r>
            <w:r>
              <w:rPr>
                <w:rFonts w:hint="eastAsia" w:ascii="仿宋" w:hAnsi="仿宋" w:cs="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交货期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供应商自报最快交货（交付）时间。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质量保证期</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cs="仿宋"/>
                <w:sz w:val="28"/>
                <w:szCs w:val="28"/>
                <w:highlight w:val="none"/>
                <w:lang w:val="en-US" w:eastAsia="zh-CN"/>
              </w:rPr>
              <w:t>3</w:t>
            </w:r>
            <w:r>
              <w:rPr>
                <w:rFonts w:hint="eastAsia" w:ascii="仿宋" w:hAnsi="仿宋" w:eastAsia="仿宋" w:cs="仿宋"/>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货物经双方验收合格签字确认交付入库后，甲方收到发票且财务入账三个月内，支付合同总金额90%，余款作为质量保证金，自财务入账之日起满12个月后，无质量问题，付总金额的10%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组成</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根据本项目的特点组</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，其成员由有关评审专家和采购人代表等</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人或以上单数组成，其中评审技术专家不得少于成员总数的三分之二。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方法</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本次评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采用综合评分法，</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成员根据第三章“评分办法”进行打分，按照得分由高到低顺序对各供应商进行排序，提出书面评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报告并直接确定第一名为成交供应商。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是否授权</w:t>
            </w:r>
            <w:r>
              <w:rPr>
                <w:rFonts w:hint="eastAsia" w:ascii="仿宋" w:hAnsi="仿宋" w:eastAsia="仿宋" w:cs="仿宋"/>
                <w:sz w:val="28"/>
                <w:szCs w:val="28"/>
                <w:highlight w:val="none"/>
                <w:lang w:val="en-US" w:eastAsia="zh-CN"/>
              </w:rPr>
              <w:t>磋商小组</w:t>
            </w:r>
            <w:r>
              <w:rPr>
                <w:rFonts w:hint="eastAsia" w:ascii="仿宋" w:hAnsi="仿宋" w:eastAsia="仿宋" w:cs="仿宋"/>
                <w:sz w:val="28"/>
                <w:szCs w:val="28"/>
                <w:highlight w:val="none"/>
              </w:rPr>
              <w:t>确定成交供应商</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相关费用</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服务费按国家发展改革委员会办公厅发改办[2003]857号文、国家发展计划委员会计价格[2002]1980号文件规定的“货物类”收费标准下浮40%计取，</w:t>
            </w:r>
            <w:r>
              <w:rPr>
                <w:rFonts w:hint="eastAsia" w:ascii="仿宋" w:hAnsi="仿宋" w:eastAsia="仿宋" w:cs="仿宋"/>
                <w:sz w:val="28"/>
                <w:szCs w:val="28"/>
                <w:highlight w:val="none"/>
                <w:lang w:val="en-US" w:eastAsia="zh-CN"/>
              </w:rPr>
              <w:t>不足 3000 元按 3000 元收取，由成交供应商向代理机构交纳</w:t>
            </w:r>
            <w:r>
              <w:rPr>
                <w:rFonts w:hint="eastAsia" w:ascii="仿宋" w:hAnsi="仿宋" w:eastAsia="仿宋" w:cs="仿宋"/>
                <w:sz w:val="28"/>
                <w:szCs w:val="28"/>
                <w:highlight w:val="none"/>
              </w:rPr>
              <w:t>。供应商报价时应考虑上述费用，但不得单列。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进口产品</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cs="仿宋"/>
                <w:sz w:val="28"/>
                <w:szCs w:val="28"/>
                <w:highlight w:val="none"/>
                <w:lang w:val="en-US" w:eastAsia="zh-CN"/>
              </w:rPr>
              <w:t>无</w:t>
            </w:r>
            <w:r>
              <w:rPr>
                <w:rFonts w:hint="eastAsia" w:ascii="仿宋" w:hAnsi="仿宋" w:eastAsia="仿宋" w:cs="仿宋"/>
                <w:sz w:val="28"/>
                <w:szCs w:val="28"/>
                <w:highlight w:val="none"/>
              </w:rPr>
              <w:t>，详见第四章产品清单。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52"/>
            </w:r>
            <w:r>
              <w:rPr>
                <w:rFonts w:hint="eastAsia" w:ascii="仿宋" w:hAnsi="仿宋" w:eastAsia="仿宋" w:cs="仿宋"/>
                <w:sz w:val="28"/>
                <w:szCs w:val="28"/>
                <w:highlight w:val="none"/>
              </w:rPr>
              <w:t>不需要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sym w:font="Wingdings 2" w:char="00A3"/>
            </w:r>
            <w:r>
              <w:rPr>
                <w:rFonts w:hint="eastAsia" w:ascii="仿宋" w:hAnsi="仿宋" w:eastAsia="仿宋" w:cs="仿宋"/>
                <w:sz w:val="28"/>
                <w:szCs w:val="28"/>
                <w:highlight w:val="none"/>
              </w:rPr>
              <w:t>需要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金额：</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金额的__%</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形式：现金（电汇）、银行保函、专业担保机构出具的保函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退还时间：通过履约验收后一周内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是否统一踏勘现场</w:t>
            </w:r>
          </w:p>
        </w:tc>
        <w:tc>
          <w:tcPr>
            <w:tcW w:w="3338"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本项目不统一踏勘现场，供应商可自行踏勘现场。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1151"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c>
          <w:tcPr>
            <w:tcW w:w="3338" w:type="pct"/>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文件标有“★”号条款要求的内容是实质性要求，不允许有负偏离，否则，该</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文件有可能因未响应</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文件规定的实质性要求而被否决；</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文件标有“*”号条款要求的内容是关键技术参数,不允许有负偏离，否则，做</w:t>
            </w:r>
            <w:r>
              <w:rPr>
                <w:rFonts w:hint="eastAsia" w:ascii="仿宋" w:hAnsi="仿宋" w:eastAsia="仿宋" w:cs="仿宋"/>
                <w:sz w:val="28"/>
                <w:szCs w:val="28"/>
                <w:highlight w:val="none"/>
                <w:lang w:val="en-US" w:eastAsia="zh-CN"/>
              </w:rPr>
              <w:t>无效报价</w:t>
            </w:r>
            <w:r>
              <w:rPr>
                <w:rFonts w:hint="eastAsia" w:ascii="仿宋" w:hAnsi="仿宋" w:eastAsia="仿宋" w:cs="仿宋"/>
                <w:sz w:val="28"/>
                <w:szCs w:val="28"/>
                <w:highlight w:val="none"/>
              </w:rPr>
              <w:t>处理；</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文件标有“#”号条款要求的内容是重要技术参数,不做</w:t>
            </w:r>
            <w:r>
              <w:rPr>
                <w:rFonts w:hint="eastAsia" w:ascii="仿宋" w:hAnsi="仿宋" w:eastAsia="仿宋" w:cs="仿宋"/>
                <w:sz w:val="28"/>
                <w:szCs w:val="28"/>
                <w:highlight w:val="none"/>
                <w:lang w:val="en-US" w:eastAsia="zh-CN"/>
              </w:rPr>
              <w:t>无效报价处理</w:t>
            </w:r>
            <w:r>
              <w:rPr>
                <w:rFonts w:hint="eastAsia" w:ascii="仿宋" w:hAnsi="仿宋" w:eastAsia="仿宋" w:cs="仿宋"/>
                <w:sz w:val="28"/>
                <w:szCs w:val="28"/>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文件各章节中，有加粗的文字，表示是重要的内容，应引起供应商的注意。</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采购人认为具备相关条件的，将在签订合同时对中小企业在资金支付期限、预付款比例等方面提供明确的优惠措施。</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425" w:leftChars="0" w:hanging="425" w:firstLineChars="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9" w:type="pct"/>
            <w:noWrap w:val="0"/>
            <w:vAlign w:val="center"/>
          </w:tcPr>
          <w:p>
            <w:pPr>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425" w:leftChars="0" w:hanging="425" w:firstLineChars="0"/>
              <w:jc w:val="center"/>
              <w:textAlignment w:val="auto"/>
              <w:rPr>
                <w:rFonts w:hint="eastAsia" w:ascii="仿宋" w:hAnsi="仿宋" w:eastAsia="仿宋" w:cs="仿宋"/>
                <w:sz w:val="28"/>
                <w:szCs w:val="28"/>
                <w:highlight w:val="none"/>
              </w:rPr>
            </w:pPr>
          </w:p>
        </w:tc>
        <w:tc>
          <w:tcPr>
            <w:tcW w:w="449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供应商应派熟知本项目的人员出席磋商会议，在评审过程中磋商小组可能会要求供应商代表进行澄清、说明或补正。</w:t>
            </w:r>
          </w:p>
        </w:tc>
      </w:tr>
    </w:tbl>
    <w:p>
      <w:pPr>
        <w:pStyle w:val="10"/>
        <w:spacing w:line="480" w:lineRule="exact"/>
        <w:ind w:left="0" w:leftChars="0" w:firstLine="0" w:firstLineChars="0"/>
        <w:jc w:val="both"/>
        <w:outlineLvl w:val="9"/>
        <w:rPr>
          <w:rFonts w:hint="eastAsia" w:ascii="仿宋" w:hAnsi="仿宋" w:eastAsia="仿宋" w:cs="仿宋"/>
          <w:color w:val="000000"/>
          <w:sz w:val="28"/>
          <w:szCs w:val="28"/>
          <w:highlight w:val="none"/>
        </w:rPr>
      </w:pPr>
    </w:p>
    <w:p>
      <w:pPr>
        <w:pStyle w:val="4"/>
        <w:spacing w:before="156" w:after="156"/>
        <w:jc w:val="center"/>
        <w:rPr>
          <w:rFonts w:hint="eastAsia" w:ascii="宋体" w:hAnsi="宋体" w:eastAsia="宋体" w:cs="宋体"/>
          <w:b w:val="0"/>
          <w:color w:val="000000"/>
          <w:spacing w:val="6"/>
          <w:kern w:val="0"/>
          <w:sz w:val="32"/>
          <w:szCs w:val="20"/>
          <w:highlight w:val="none"/>
          <w:lang w:val="en-US" w:eastAsia="zh-CN" w:bidi="ar-SA"/>
        </w:rPr>
      </w:pPr>
      <w:bookmarkStart w:id="14" w:name="_Toc491931128"/>
      <w:r>
        <w:rPr>
          <w:rFonts w:hint="eastAsia" w:ascii="宋体" w:hAnsi="宋体" w:eastAsia="宋体" w:cs="宋体"/>
          <w:sz w:val="28"/>
          <w:szCs w:val="28"/>
          <w:highlight w:val="none"/>
        </w:rPr>
        <w:br w:type="page"/>
      </w:r>
      <w:bookmarkStart w:id="15" w:name="_Toc16336"/>
      <w:bookmarkStart w:id="16" w:name="_Toc17782"/>
      <w:r>
        <w:rPr>
          <w:rFonts w:hint="eastAsia" w:ascii="宋体" w:hAnsi="宋体" w:eastAsia="宋体" w:cs="宋体"/>
          <w:b w:val="0"/>
          <w:kern w:val="2"/>
          <w:sz w:val="44"/>
          <w:szCs w:val="44"/>
          <w:highlight w:val="none"/>
          <w:lang w:val="en-US" w:eastAsia="zh-CN"/>
        </w:rPr>
        <w:t>供应商须知正文</w:t>
      </w:r>
      <w:bookmarkEnd w:id="15"/>
      <w:bookmarkEnd w:id="16"/>
    </w:p>
    <w:p>
      <w:pPr>
        <w:pStyle w:val="5"/>
        <w:keepNext w:val="0"/>
        <w:keepLines w:val="0"/>
        <w:numPr>
          <w:ilvl w:val="0"/>
          <w:numId w:val="0"/>
        </w:numPr>
        <w:spacing w:before="0" w:beforeLines="50" w:after="0" w:afterLines="50" w:line="240" w:lineRule="auto"/>
        <w:rPr>
          <w:rFonts w:hint="eastAsia" w:ascii="黑体" w:hAnsi="黑体" w:eastAsia="黑体" w:cs="黑体"/>
          <w:b w:val="0"/>
          <w:bCs/>
          <w:kern w:val="2"/>
          <w:sz w:val="36"/>
          <w:szCs w:val="36"/>
          <w:highlight w:val="none"/>
        </w:rPr>
      </w:pPr>
      <w:bookmarkStart w:id="17" w:name="_Toc2250"/>
      <w:bookmarkStart w:id="18" w:name="_Toc9323"/>
      <w:r>
        <w:rPr>
          <w:rFonts w:hint="eastAsia" w:ascii="黑体" w:hAnsi="黑体" w:eastAsia="黑体" w:cs="黑体"/>
          <w:b w:val="0"/>
          <w:bCs/>
          <w:kern w:val="2"/>
          <w:sz w:val="36"/>
          <w:szCs w:val="36"/>
          <w:highlight w:val="none"/>
        </w:rPr>
        <w:t>一、</w:t>
      </w:r>
      <w:r>
        <w:rPr>
          <w:rFonts w:hint="eastAsia" w:ascii="楷体" w:hAnsi="楷体" w:eastAsia="楷体" w:cs="楷体"/>
          <w:b/>
          <w:bCs/>
          <w:kern w:val="2"/>
          <w:sz w:val="32"/>
          <w:szCs w:val="32"/>
          <w:highlight w:val="none"/>
          <w:lang w:val="en-US" w:eastAsia="zh-CN" w:bidi="ar-SA"/>
        </w:rPr>
        <w:t>说明</w:t>
      </w:r>
      <w:bookmarkEnd w:id="14"/>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  采购人</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pacing w:val="0"/>
          <w:kern w:val="2"/>
          <w:sz w:val="28"/>
          <w:szCs w:val="28"/>
          <w:highlight w:val="none"/>
          <w:lang w:val="en-US" w:eastAsia="zh-CN" w:bidi="ar-SA"/>
        </w:rPr>
        <w:t>系指山东大学第二医院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  采购代理</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系指同诚工程咨询集团股份有限公司</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3.  合格供应商</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3.1具备本竞争性磋商公告规定的供应商资格要求；</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3.1.1具有独立承担民事责任的能力；</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3.1.2具有良好的商业信誉和健全的财务会计制度；</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3.1.3具有履行合同所必需的设备和专业技术能力；</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3.1.4有依法缴纳税收和社会保障资金的良好纪录；</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3.1.5参加本次采购活动前三年内，未列入失信被执行人、重大税收违法案件当事人名单、政府采购严重违法失信行为记录名单及没有重大违法记录；</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3.1.6单位负责人为同一人或者存在直接控股、管理关系的不同供应商，不得参加同一合同项下的采购活动；</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3.1.7为采购项目提供整体设计、规范编制或者项目管理、监理、检测等服务的供应商，不得再参加该采购项目的其他采购活动（单一来源采购项目除外）；</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3.1.8法律、行政法规规定的其他条件。</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3.2提供的资格资质证明文件均真实有效；</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3.3向采购代理进行项目确认；</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3.4在以往的采购活动中没有违法、违规、违纪、违约行为；</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3.5遵守《中华人民共和国政府采购法》及实施条例、《政府采购竞争性磋商采购方式管理暂行办法》、其他有关的中国法律、法规和规定；</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 本项目不接受联合体报价。</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4.  货物定义</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4.1 “采购货物”指本磋商文件中所述产品及相关服务。</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4.2  进口产品是指通过中国海关报关验放进入中国境内且产自关境外的产品。若磋商文件中写明允许采购进口产品的，供应商所报产品为进口产品的应保证所报产品可履行合法报通关手续进入中国关境内；若磋商文件中未写明允许采购进口产品的，如供应商所报产品为进口产品</w:t>
      </w:r>
      <w:r>
        <w:rPr>
          <w:rFonts w:hint="eastAsia" w:ascii="仿宋" w:hAnsi="仿宋" w:eastAsia="仿宋" w:cs="仿宋"/>
          <w:b w:val="0"/>
          <w:bCs w:val="0"/>
          <w:spacing w:val="0"/>
          <w:kern w:val="2"/>
          <w:sz w:val="28"/>
          <w:szCs w:val="28"/>
          <w:highlight w:val="none"/>
          <w:lang w:val="en-US" w:eastAsia="zh-CN" w:bidi="ar-SA"/>
        </w:rPr>
        <w:t>，其报价将被认定为报价无效。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5.  报价费用</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5.1无论报价过程的实施或结果如何，供应商均应承担与响应文件制作和报价相关的所有费用。采购人和采购代理在任何情况下都不担负这些费用。</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5.2代理服务费：采购人与成交供应商签订合同后5日内，由成交供应商根据原国家计划委员会颁发的《招标代理服务收费管理暂行办法》（计价格[2002]1980号文件）和“国家发展和改革委员会办公厅《关于招标代理服务收费有关问题的通知》（发改办价格【2003】857号）”文件规定货物标准的60%向采购代理机构交纳代理服务费</w:t>
      </w:r>
      <w:r>
        <w:rPr>
          <w:rFonts w:hint="eastAsia" w:ascii="仿宋" w:hAnsi="仿宋" w:cs="仿宋"/>
          <w:spacing w:val="0"/>
          <w:kern w:val="2"/>
          <w:sz w:val="28"/>
          <w:szCs w:val="28"/>
          <w:highlight w:val="none"/>
          <w:lang w:val="en-US" w:eastAsia="zh-CN" w:bidi="ar-SA"/>
        </w:rPr>
        <w:t>，</w:t>
      </w:r>
      <w:r>
        <w:rPr>
          <w:rFonts w:hint="eastAsia" w:ascii="仿宋" w:hAnsi="仿宋" w:eastAsia="仿宋" w:cs="仿宋"/>
          <w:sz w:val="28"/>
          <w:szCs w:val="28"/>
          <w:highlight w:val="none"/>
          <w:lang w:val="en-US" w:eastAsia="zh-CN"/>
        </w:rPr>
        <w:t>不足 3000 元按 3000 元收取</w:t>
      </w:r>
      <w:r>
        <w:rPr>
          <w:rFonts w:hint="eastAsia" w:ascii="仿宋" w:hAnsi="仿宋" w:eastAsia="仿宋" w:cs="仿宋"/>
          <w:spacing w:val="0"/>
          <w:kern w:val="2"/>
          <w:sz w:val="28"/>
          <w:szCs w:val="28"/>
          <w:highlight w:val="none"/>
          <w:lang w:val="en-US" w:eastAsia="zh-CN" w:bidi="ar-SA"/>
        </w:rPr>
        <w:t>。</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二、磋商文件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6.  磋商文件构成</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本磋商文件共分六部分，内容如下：</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第一章  竞争性磋商公告</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第二章  供应商须知</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default"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第三章  评分办法</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第四章  采购要求</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第五章  合同条款及格式</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第六章  </w:t>
      </w:r>
      <w:r>
        <w:rPr>
          <w:rFonts w:hint="eastAsia" w:ascii="仿宋" w:hAnsi="仿宋" w:eastAsia="仿宋" w:cs="仿宋"/>
          <w:kern w:val="2"/>
          <w:sz w:val="28"/>
          <w:szCs w:val="28"/>
          <w:highlight w:val="none"/>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7.  磋商文件澄清和修改</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7.1任何已依法获取磋商文件（进行项目确认是依法获取磋商文件的必要环节）的潜在供应商，认为磋商文件存在歧视性条款或不合理要求等需要澄清的问题，均可要求对磋商文件进行澄清。要求澄清的潜在供应商，按前附表规定的时间、地点以书面形式（包括信函或传真）一次性全部提出，并通知到采购代理。采购代理在认为必要时，将不标明查询来源的书面答复按前附表规定的方式发布。补充文件将作为磋商文件的组成部分，对所有供应商均具有约束力。</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7.2 在报价截止时间5日前任何时候，采购代理无论出于何种原因，均可用补充文件的形式对磋商文件进行澄清和修改。该澄清和修改作为磋商文件的组成部分对所有供应商具有约束力，该补充文件将在“中国政府采购网”发布，潜在供应商自行查阅网站信息，未按要求查阅者自行承担相应后果。</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7.3 潜在供应商未在前附表规定时间内提出质疑的，视为无需要澄清的问题，逾期任何问题不作答复。</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7.4  如果澄清、补遗文件发出的时间距报价截止时间不足5日，且澄清、补遗的内容可能影响响应文件的制作，相应延长提交首次响应文件的截止时间和日期，并将此变更发布在“中国政府采购网”。在这种情况下，采购代理和供应商受报价截止期制约的所有权利和义务均相应延长至新的截止日期。</w:t>
      </w:r>
    </w:p>
    <w:p>
      <w:pPr>
        <w:pStyle w:val="6"/>
        <w:keepNext w:val="0"/>
        <w:keepLines w:val="0"/>
        <w:pageBreakBefore w:val="0"/>
        <w:widowControl w:val="0"/>
        <w:tabs>
          <w:tab w:val="left" w:pos="1146"/>
        </w:tabs>
        <w:kinsoku/>
        <w:wordWrap/>
        <w:overflowPunct/>
        <w:topLinePunct w:val="0"/>
        <w:autoSpaceDE/>
        <w:autoSpaceDN/>
        <w:bidi w:val="0"/>
        <w:adjustRightInd/>
        <w:snapToGrid w:val="0"/>
        <w:spacing w:line="360" w:lineRule="auto"/>
        <w:ind w:left="260" w:leftChars="93"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spacing w:val="0"/>
          <w:kern w:val="2"/>
          <w:sz w:val="28"/>
          <w:szCs w:val="28"/>
          <w:highlight w:val="none"/>
          <w:lang w:val="en-US" w:eastAsia="zh-CN" w:bidi="ar-SA"/>
        </w:rPr>
        <w:t>7.5澄清、补遗一经发布即生效，无需回复，未按要求查阅者自行承担相应后果。采购代理不因此承担任何责任，有关的采购活动可以继续有效地进行。</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三、响应文件编制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8.  报价语言及计量单位</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8.1 供应商提交的响应文件以及供应商与采购代理就有关报价的所有来往函电均应使用中文简体字。</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8.2 供应商所提供的技术文件和资料，包括图纸中的说明，应使用中文简体字。</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8.3 原版为外文的证书类文件，以及由外国人做出的本人签名、外国公司的名称或外国印章等可以是外文，但采购代理可以要求供应商提供翻译文件，必要时可以要求提供附有公证书的翻译文件。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8.4 除磋商文件的技术规格中另有规定外，响应文件中所使用的计量单位应使用中华人民共和国法定计量单位。</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8.5 对违反上述规定情形的，磋商小组有权要求其限期提供加盖公章的翻译文件或取消其报价资格。</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9.  响应文件构成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highlight w:val="none"/>
        </w:rPr>
      </w:pPr>
      <w:r>
        <w:rPr>
          <w:rFonts w:hint="eastAsia" w:ascii="宋体" w:hAnsi="宋体" w:eastAsia="宋体" w:cs="宋体"/>
          <w:b/>
          <w:color w:val="000000"/>
          <w:highlight w:val="none"/>
        </w:rPr>
        <w:t>响应文件由商务文件、技术文件、资格证明文件三部分组成。</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供应商应按磋商文件的要求编写响应文件，提交证明其有资格进行报价和有能力履行合同的文件。响应文件包括以下内容，并按下列顺序编制，以方便评审。</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9.1商务文件：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（1）报价函；</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（2）法定代表人身份证明；</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（3）法定代表人授权委托书；</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（4）报价一览表；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（6）报价明细表；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（7）符合政府采购优惠政策产品明细及报价表；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（8）售后服务；</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  对货物负责维修、维护，定期回访；</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  提供及时、迅速、优质服务的承诺，迅速快捷地提供货物的备品备件，保证采购人能够及时买到货物所需的备品备件和易损件；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  提供成交货物齐全的资料（必须包括中文的使用说明、安装手册、维修手册、专用工具和相应质检手续证明文件）；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  设备出现故障后，在接到用户通知后，多长时间响应，多长时间到达现场，多长时间排除故障；</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  供应商对提供的所有货物，明确质量保证期。质量保证期内，除人为因素损坏外，全部免费维修；</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f  质量保证期内、外的维修、维护内容及服务方式、范围和收费等情况（附件十）。</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（9）质保期外备品备件、易损件、专用工具报价表；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（10）与所报设备配套耗材、试剂的价格表；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（11）商务条款响应/偏离表；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（12）其他。</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9.2技术文件：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（1）货物主要技术指标和性能的详细说明，包括技术白皮书、技术支持资料等无法在线提供的资料（供应商修改、遮掩、涂改原始证明材料或提供虚假翻译本谋取成交的，采购人可上报主管部门）；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（2）货物配置明细表；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（3）产品性能描述一览表；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安装调试方案（包括但不限于：对安装有特殊要求的设备，应以书面形式提出安装场地环境要求，例如：设备对安装场地的要求、电源、地线、温度、湿度、静电、防尘、防辐射等，将设备安装并调试好，达到说明书技术指标的要求，根据现场实际情况合理安排工期进度等内容）；</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（5）服务质量保证措施；</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（6）培训方案（列出详细培训计划，培训时间与地点、培训人数、培训费用（包括差旅费）、培训内容、培训次数，及时提供相关领域新技术与新信息，终生提供相关技术咨询等）；</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（7）紧急故障处理预案；</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（8）拟投入的售中及售后服务人员表；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（9）技术规格响应/偏离表（附件五）。</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（10）供应商认为需说明的其他内容。</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综合认定。磋商文件中未提供格式，供应商可自拟格式。</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9.3资格、资质证明部分：</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9.3.1资格证明文件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按《政府采购法实施条例》第十七条的规定，应提供的基本资格条件证明材料，详见供应商须知前附表第5条。</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9.3.2符合政府采购政策的证明文件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1）所投产品制造商为符合政策要求的小型和微型企业的，须提供《中小企业声明函》。允许联合体参与或允许大中型企业向一家或者多家小微企业分包的，须提供《中小企业声明函》及产品明细表；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所投产品制造商为符合政策要求的为监狱企业的，须提供省级以上监狱管理局、戒毒管理局（含新疆生产建设兵团）出具的属于监狱企业的证明文件。允许联合体参与或允许供应商向一家或者多家监狱企业分包的，须提供省级以上监狱管理局、戒毒管理局（含新疆生产建设兵团）出具的属于监狱企业的证明文件及产品明细表（如果有）；</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为符合政策要求的残疾人福利性单位的，提供本单位制造的产品（由本单位承担工程/提供服务），或者提供其他残疾人福利性单位制造的产品（不包括使用非残疾人福利性单位注册商标的产品）时需提供“残疾人福利性单位声明函。允许联合体参与或允许供应商向一家或者多家残疾人福利性单位分包的，需提供“残疾人福利性单位声明函及产品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4）节能、环境标志产品证明文件复印件（如果有）；</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5）政府强制采购节能产品明细表。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9.3.3其它证明文件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1）近三年所投产品的业绩一览表及合同复印件；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2）评分细则中加分项的复印件；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3）有关的质量体系、安全等认证证书（如果有）；</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4）供应商认为需要提交的其他文件。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备注：9.3.2-9.3.3项内容请供应商认真填写，如无请填写无。</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9.3.4供应商认为需要提交的其他相关证明文件。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9.4响应文件应按上述目录顺序、内容逐一列出，如内容不全，由</w:t>
      </w:r>
      <w:r>
        <w:rPr>
          <w:rFonts w:hint="eastAsia" w:ascii="仿宋" w:hAnsi="仿宋" w:cs="仿宋"/>
          <w:spacing w:val="0"/>
          <w:kern w:val="2"/>
          <w:sz w:val="28"/>
          <w:szCs w:val="28"/>
          <w:highlight w:val="none"/>
          <w:lang w:val="en-US" w:eastAsia="zh-CN" w:bidi="ar-SA"/>
        </w:rPr>
        <w:t>磋商小组</w:t>
      </w:r>
      <w:r>
        <w:rPr>
          <w:rFonts w:hint="eastAsia" w:ascii="仿宋" w:hAnsi="仿宋" w:eastAsia="仿宋" w:cs="仿宋"/>
          <w:spacing w:val="0"/>
          <w:kern w:val="2"/>
          <w:sz w:val="28"/>
          <w:szCs w:val="28"/>
          <w:highlight w:val="none"/>
          <w:lang w:val="en-US" w:eastAsia="zh-CN" w:bidi="ar-SA"/>
        </w:rPr>
        <w:t>综合认定。</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文件中未提供格式，供应商可自拟格式。</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供应商可将上述三个部分按上述顺序胶装装订在一起，并在首页编制连续页码。因未按上述顺序装订或响应文件未胶装散页导致无法评审等，由此造成的评审问题由供应商自行承担责任。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10.  报价</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Cs/>
          <w:color w:val="000000"/>
          <w:sz w:val="28"/>
          <w:szCs w:val="28"/>
          <w:highlight w:val="none"/>
        </w:rPr>
        <w:t>10.1</w:t>
      </w:r>
      <w:r>
        <w:rPr>
          <w:rFonts w:hint="eastAsia" w:ascii="仿宋" w:hAnsi="仿宋" w:eastAsia="仿宋" w:cs="仿宋"/>
          <w:b/>
          <w:bCs/>
          <w:spacing w:val="0"/>
          <w:kern w:val="2"/>
          <w:sz w:val="28"/>
          <w:szCs w:val="28"/>
          <w:highlight w:val="none"/>
          <w:lang w:val="en-US" w:eastAsia="zh-CN" w:bidi="ar-SA"/>
        </w:rPr>
        <w:t>本次报价采用多轮报价，币种为人民币。</w:t>
      </w:r>
      <w:r>
        <w:rPr>
          <w:rFonts w:hint="eastAsia" w:ascii="仿宋" w:hAnsi="仿宋" w:eastAsia="仿宋" w:cs="仿宋"/>
          <w:spacing w:val="0"/>
          <w:kern w:val="2"/>
          <w:sz w:val="28"/>
          <w:szCs w:val="28"/>
          <w:highlight w:val="none"/>
          <w:lang w:val="en-US" w:eastAsia="zh-CN" w:bidi="ar-SA"/>
        </w:rPr>
        <w:t>报价应报出运至项目现场并安装调试后价格，含主件(包括软件)、标准附件、备品备件、专用工具、内陆运输费、相关保险费、伴随服务费、装卸费、保管费、疫情防护费、外贸相关费用（进口货物提供）、安装调试费、检测费、培训费、售后服务等内容的所有税、费（以上相关费用在报价明细表中单列，包含在本次报价中）。报价应包括达到采购人使用要求的全部费用。供应商应充分考虑采购条件，不得在成交后无故增加任何费用。</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10.2供应商应填写报价一览表及报价明细表。供应商对报价若有说明应在报价一览表备注处注明。</w:t>
      </w:r>
      <w:r>
        <w:rPr>
          <w:rFonts w:hint="eastAsia" w:ascii="仿宋" w:hAnsi="仿宋" w:eastAsia="仿宋" w:cs="仿宋"/>
          <w:b/>
          <w:bCs/>
          <w:spacing w:val="0"/>
          <w:kern w:val="2"/>
          <w:sz w:val="28"/>
          <w:szCs w:val="28"/>
          <w:highlight w:val="none"/>
          <w:lang w:val="en-US" w:eastAsia="zh-CN" w:bidi="ar-SA"/>
        </w:rPr>
        <w:t>采购人不接受可选择的报价方案和价格。任何有选择的或可调整的报价方案和价格将被视为非响应性报价而被拒绝。</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10.3 最终报价（即合同价）在合同执行过程中是固定不变的，不得以任何理由予以变更。</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10.4 供应商应报出所能承受得了的最低的合理价格。</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10.5供应商应保证所报出的最终价格，在排除各种差异因素后，不超出自己的正常国内市场价格，并且保证价格不应高于对其他情况相似购买者的出价。</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10.6供应商在响应文件上详细写明产品的系列、名称和型号、产品性能、各项技术指标、品牌产地、质量等级、供货时间、售后服务、出厂合格证、备案证、出厂检测报告等，以及达不到检测和质量要求应负的责任。</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10.7响应文件应对产品质量、供货时间、售后服务做出明确的承诺，以及达不到承诺的相关条款要求应负的责任和义务。</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10.8对于进口产品，供应商应充分理解采购要求，并确保设备合法进口。本次采购由成交供应商办理相关进关手续并承担相关费用，否则采购人有权取消其成交资格。进口产品在交货时要向采购人出具进口产品报关单、税单、原产地证明、进字号注册证等进口证明材料。</w:t>
      </w:r>
    </w:p>
    <w:p>
      <w:pPr>
        <w:pStyle w:val="6"/>
        <w:tabs>
          <w:tab w:val="left" w:pos="1146"/>
        </w:tabs>
        <w:spacing w:line="480" w:lineRule="exact"/>
        <w:ind w:left="260" w:leftChars="93" w:firstLine="980" w:firstLineChars="35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10.9对原产于美国的产品，进口时在正常的科创免税之外，中国政府加征的特殊关税由成交供应商承担。</w:t>
      </w:r>
    </w:p>
    <w:p>
      <w:pPr>
        <w:pStyle w:val="6"/>
        <w:tabs>
          <w:tab w:val="left" w:pos="1146"/>
        </w:tabs>
        <w:spacing w:line="480" w:lineRule="exact"/>
        <w:ind w:left="260" w:leftChars="93" w:firstLine="980" w:firstLineChars="35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10.10对于进口产品，供应商自行承担在外贸代理业务过程中，因汇率波动导致的费用变化风险。</w:t>
      </w:r>
    </w:p>
    <w:p>
      <w:pPr>
        <w:pStyle w:val="6"/>
        <w:tabs>
          <w:tab w:val="left" w:pos="1146"/>
        </w:tabs>
        <w:spacing w:line="480" w:lineRule="exact"/>
        <w:ind w:left="260" w:leftChars="93" w:firstLine="980" w:firstLineChars="35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10.11供应商的多轮报价均不得高于采购预算，否则其响应文件按无效响应文件处理。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11.  响应文件装订与编写</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11.1供应商必须将响应文件中的有关文件按上述顺序排列装订成册（胶装），在首页编制“响应文件目录”、编写连续页码，并在封装背脊处打印项目名称。</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11.2 供应商应准备三份响应文件，一份正本和二份副本。在每一份响应文件上要注明“正本”或“副本”字样。供应商应保证响应文件正本与副本的内容严格一致，如果正本与副本不一致，以正本为准；响应文件中的报价一览表与响应文件中明细表内容不一致的，以报价一览表为准。</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11.3 响应文件正本和副本用A4幅面的纸张正反双面打印。</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11.4 响应文件应严格按照磋商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11.5供应商须如实响应磋商文件要求，在响应文件中如实提供其技术指标。供应商不得复制粘贴磋商文件中的技术及商务条款响应一览表中的参数及要求作为其响应文件的响应情况，否则，磋商小组有权作出不利于供应商的认定。</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11.6供应商应在响应文件正本中提供设备主要技术指标、规格和性能、技术参数值的详细说明，并提供技术白皮书或技术支持资料或其他证明材料等无法在线提供的资料作为佐证，副本可采用正本的复印件。</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11.7响应文件中所报产品技术参数描述与产品制造商的产品宣传彩页或制造商官方网站公布的资料不一致的或因制造商官方网站更新产品资料滞后造成不一致的，应当在“技术条款响应一览表”备注栏中做出说明，并提供证明材料。</w:t>
      </w:r>
    </w:p>
    <w:p>
      <w:pPr>
        <w:pStyle w:val="6"/>
        <w:keepNext w:val="0"/>
        <w:keepLines w:val="0"/>
        <w:pageBreakBefore w:val="0"/>
        <w:widowControl w:val="0"/>
        <w:tabs>
          <w:tab w:val="left" w:pos="382"/>
        </w:tabs>
        <w:kinsoku/>
        <w:wordWrap/>
        <w:overflowPunct/>
        <w:topLinePunct w:val="0"/>
        <w:autoSpaceDE/>
        <w:autoSpaceDN/>
        <w:bidi w:val="0"/>
        <w:adjustRightInd/>
        <w:snapToGrid/>
        <w:spacing w:line="360" w:lineRule="auto"/>
        <w:ind w:left="64" w:leftChars="23" w:firstLine="560" w:firstLineChars="200"/>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Cs/>
          <w:color w:val="000000"/>
          <w:sz w:val="28"/>
          <w:szCs w:val="28"/>
          <w:highlight w:val="none"/>
        </w:rPr>
        <w:t>11.8</w:t>
      </w:r>
      <w:r>
        <w:rPr>
          <w:rFonts w:hint="eastAsia" w:ascii="仿宋" w:hAnsi="仿宋" w:eastAsia="仿宋" w:cs="仿宋"/>
          <w:b/>
          <w:bCs/>
          <w:spacing w:val="0"/>
          <w:kern w:val="2"/>
          <w:sz w:val="28"/>
          <w:szCs w:val="28"/>
          <w:highlight w:val="none"/>
          <w:lang w:val="en-US" w:eastAsia="zh-CN" w:bidi="ar-SA"/>
        </w:rPr>
        <w:t>关键技术条款（*条款为重要技术条款）需提供技术白皮书或技术支持资料或其他证明材料等无法在线提供的资料作为佐证，否则该条款视为“实质不响应”或“负偏离”（在响应文件的技术规格响应/偏离表的说明中写明该资料在响应文件中的页码）。</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11.9为合理节约评审成本，提倡诚实信用的报价行为，特别要求供应商应本着诚信精神，在本次响应文件的“技术规格响应/偏离表”、“商务条款响应/偏离表”中，均以审慎的态度明确、清楚地披露各项响应情况；供应商须对照磋商文件技术规格、参数（或商务条款）与要求，逐条说明报价货物与服务是否做出了实质性响应。</w:t>
      </w:r>
    </w:p>
    <w:p>
      <w:pPr>
        <w:pStyle w:val="6"/>
        <w:keepNext w:val="0"/>
        <w:keepLines w:val="0"/>
        <w:pageBreakBefore w:val="0"/>
        <w:widowControl w:val="0"/>
        <w:tabs>
          <w:tab w:val="left" w:pos="1146"/>
        </w:tabs>
        <w:kinsoku/>
        <w:wordWrap/>
        <w:overflowPunct/>
        <w:topLinePunct w:val="0"/>
        <w:autoSpaceDE/>
        <w:autoSpaceDN/>
        <w:bidi w:val="0"/>
        <w:adjustRightInd/>
        <w:snapToGrid/>
        <w:spacing w:line="360" w:lineRule="auto"/>
        <w:ind w:left="260" w:leftChars="93"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11.10因响应文件字迹潦草、模糊或表达不清所引起的不利后果由供应商承担。</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12.  响应文件签署</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bCs/>
          <w:spacing w:val="0"/>
          <w:kern w:val="2"/>
          <w:sz w:val="28"/>
          <w:szCs w:val="28"/>
          <w:highlight w:val="none"/>
          <w:lang w:val="en-US" w:eastAsia="zh-CN" w:bidi="ar-SA"/>
        </w:rPr>
        <w:t>12.1法定代表人或授权代理人必须按磋商文件格式的要求在响应文件规定签字、盖章的地方签字、盖供应商单位公章，不得使用其它形式如带有“专用章”等字样的印章，否则报价将被视为无效。如供应商对响应文件进行了修改，则须由供应商的法定代表人或授权代理人在修改处签字或加盖公章。</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12.2 任何行间插字、涂改和增删，必须由供应商的法定代表人或授权代理人签字或盖章或加盖公章后才有效，授权代理人签字或盖章的需在响应文件中提供法人授权委托书，否则签字或盖章无效。</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13.  响应文件密封和标记</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13.1 供应商应将响应文件密封送达，并在封面明显处注明以下内容（密封件格式见附件十四）：</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项目编号、项目名称</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供应商名称（加盖公章）、地址、邮编、电话、传真</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13.2 每一密封文件在封口处加盖供应商公章或授权代表签字，并注明“于2022年  月  日  时之前不准启封”字样。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13.3 如果供应商未按上述要求对响应文件密封及加写标记，采购人有权予以拒绝接受。</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14.  磋商保证金</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14.1供应商应提交前附表规定数额的磋商保证金，磋商保证金是响应文件的一个组成部分。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14.2磋商保证金采用的形式按前附表规定的形式缴纳。</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14.3 未按前述各款要求提交磋商保证金的报价被视为无效报价。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14.4 磋商保证金采用电汇方式退还。若交款单位与供应商名称不一致，退款时，磋商保证金退至供应商</w:t>
      </w:r>
      <w:r>
        <w:rPr>
          <w:rFonts w:hint="eastAsia" w:ascii="仿宋" w:hAnsi="仿宋" w:cs="仿宋"/>
          <w:spacing w:val="0"/>
          <w:kern w:val="2"/>
          <w:sz w:val="28"/>
          <w:szCs w:val="28"/>
          <w:highlight w:val="none"/>
          <w:lang w:val="en-US" w:eastAsia="zh-CN" w:bidi="ar-SA"/>
        </w:rPr>
        <w:t>账</w:t>
      </w:r>
      <w:r>
        <w:rPr>
          <w:rFonts w:hint="eastAsia" w:ascii="仿宋" w:hAnsi="仿宋" w:eastAsia="仿宋" w:cs="仿宋"/>
          <w:spacing w:val="0"/>
          <w:kern w:val="2"/>
          <w:sz w:val="28"/>
          <w:szCs w:val="28"/>
          <w:highlight w:val="none"/>
          <w:lang w:val="en-US" w:eastAsia="zh-CN" w:bidi="ar-SA"/>
        </w:rPr>
        <w:t>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14.5未成交供应商的磋商保证金，在成交通知书发出后5个工作日内退还（因供应商自身原因导致无法及时退还的除外）。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14.6成交供应商的磋商保证金在签订合同后5个工作日内予以退还（因供应商自身原因导致无法及时退还的除外）。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15.  报价有效期</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b/>
          <w:bCs/>
          <w:sz w:val="28"/>
          <w:szCs w:val="28"/>
          <w:highlight w:val="none"/>
        </w:rPr>
        <w:t>★</w:t>
      </w:r>
      <w:r>
        <w:rPr>
          <w:rFonts w:hint="eastAsia" w:ascii="仿宋" w:hAnsi="仿宋" w:eastAsia="仿宋" w:cs="仿宋"/>
          <w:b w:val="0"/>
          <w:bCs w:val="0"/>
          <w:spacing w:val="0"/>
          <w:kern w:val="2"/>
          <w:sz w:val="28"/>
          <w:szCs w:val="28"/>
          <w:highlight w:val="none"/>
          <w:lang w:val="en-US" w:eastAsia="zh-CN" w:bidi="ar-SA"/>
        </w:rPr>
        <w:t>15.1 自提交首次响应文件截止之日起，报价有效期为90日。响应文件的有效期比本须知规定的有效期短的报价将被拒绝。</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15.2 特殊情况下，在报价有效期满之前，采购代理可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16. 响应文件提交时间和地点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16.1 供应商代表必须在提交首次响应文件截止时间前将响应文件送达指定地点。如因磋商文件的修改推迟提交首次响应文件截止日期的，则按采购代理另行通知规定的时间提交。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16.2 采购代理将拒绝接收提交首次响应文件截止时间后送达的响应文件。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17.  响应文件签收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17.1 采购代理于提交首次响应文件截止时间前接收合格的响应文件，供应商同时签字确认。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17.2 响应文件须采用纸质形式，以电报、传真、电子邮件等形式提交的报价不予接受。</w:t>
      </w:r>
    </w:p>
    <w:p>
      <w:pPr>
        <w:pStyle w:val="6"/>
        <w:tabs>
          <w:tab w:val="left" w:pos="1146"/>
        </w:tabs>
        <w:spacing w:line="480" w:lineRule="exact"/>
        <w:ind w:left="260" w:leftChars="93" w:firstLine="980" w:firstLineChars="350"/>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17.3 对供应商提交的响应文件在报价截止时间后不予退还。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18.  响应文件修改与撤回</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18.1 供应商在磋商文件要求提交首次响应文件的截止时间前，可以补充、修改或者撤回已提交的响应文件，并书面形式通知采购代理。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18.2 供应商对响应文件的补充、修改或撤回通知应按本须知规定编制、密封、标记和提交。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18.3 撤回报价的要求应以书面形式提出，由供应商法定代表人或授权代理人签署，并在提交首次响应文件截止时间前送达采购代理。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18.4 报价有效期内不得撤回响应文件，磋商会议后撤回报价的行为将被记录在案，其磋商保证金不予退还。</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18.5通过给所有供应商发通知，采购代理可以延长提交首次响应文件的截止时间。采购代理与供应商以前在报价截止期方面的全部权利、责任和义务，将适用于延长后新的截止期。</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五、报价与评审</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19.  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19.1采购人按照磋商文件规定的时间、地点报价。磋商会议由采购代理主持，邀请供应商参加。</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19.2供应商法定代表人或其授权代理人应持法人资格证明及本人身份证或法人授权委托书及本人身份证等证件的原件参加磋商会议，并签名报到，否则视为自动放弃报价资格。</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19.3主持人按下列程序进行报价：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（1）宣读会场纪律；</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（2）公布在提交首次响应文件截止时间前提交响应文件的供应商名称；</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（3）在采购人监督部门的监督下，由供应商或其推选的代表检查响应文件的密封情况并予以签字确认；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（4）磋商会议结束，供应商退场。</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19.4供应商授权代表对磋商会议程序有疑义，以及认为采购人、采购代理相关工作人员有需要回避的情形的，应当场提出询问或者回避申请。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注：疫情期间如供应商无法进入磋商会议地点的，我方将根据疫情的情况，另行通知。</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★19.5响应文件有下列情况之一者，采购人不予受理。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响应文件未按规定标志、密封；</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未在密封处加盖供应商公章或法定代表人或授权代表签字或盖章；</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提交首次响应文件截止时间以后送达的响应文件。</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20. 组建磋商小组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采购人将根据本项目的特点组建磋商小组，其成员由采购人代表及评审专家3人及以上单数组成，其中评审专家不得少于成员总数的三分之二。磋商小组负责对响应文件进行审查、澄清、直接确定成交供应商。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21. 评审原则</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21.1 客观性原则：磋商小组将严格按照磋商文件的要求，对供应商的响应文件进行认真评审；磋商小组对响应文件的评审仅依据响应文件本身，而不依据响应文件以外的任何因素。</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21.2 统一性原则：磋商小组将按照统一的评审原则和评审方法，用同一标准进行评审。</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21.3 独立性原则：评审工作在磋商小组内部独立进行，不受外界任何因素的干扰和影响。磋商小组成员对出具的意见承担个人责任。</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21.4 保密性原则：采购代理应当采取必要的措施，保证评审在严格保密的情况下进行。</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21.5 综合性原则：磋商小组将综合分析、评审供应商的各项指标，而不以单项指标的优劣评定出成交供应商。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22.  初步评审</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22.1响应文件的初审分为资格审查和符合性检查。资格审查由</w:t>
      </w:r>
      <w:r>
        <w:rPr>
          <w:rFonts w:hint="eastAsia" w:ascii="仿宋" w:hAnsi="仿宋" w:cs="仿宋"/>
          <w:spacing w:val="0"/>
          <w:kern w:val="2"/>
          <w:sz w:val="28"/>
          <w:szCs w:val="28"/>
          <w:highlight w:val="none"/>
          <w:lang w:val="en-US" w:eastAsia="zh-CN" w:bidi="ar-SA"/>
        </w:rPr>
        <w:t>采购</w:t>
      </w:r>
      <w:r>
        <w:rPr>
          <w:rFonts w:hint="eastAsia" w:ascii="仿宋" w:hAnsi="仿宋" w:eastAsia="仿宋" w:cs="仿宋"/>
          <w:spacing w:val="0"/>
          <w:kern w:val="2"/>
          <w:sz w:val="28"/>
          <w:szCs w:val="28"/>
          <w:highlight w:val="none"/>
          <w:lang w:val="en-US" w:eastAsia="zh-CN" w:bidi="ar-SA"/>
        </w:rPr>
        <w:t>人及代理机构在磋商会议后依法对供应商进行审查，依据法律、法规和磋商文件的规定，对响应文件中的资格证明进行审查，以确定供应商是否具备报价资格。符合性检查由磋商小组依据磋商文件的规定，从响应文件的有效性、完整性和对磋商文件的响应程度进行审查，以确定是否对磋商文件的实质性要求作出响应。</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★22.2响应文件出现下列情况之一的，由磋商小组在资格审查后按无效报价处理：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（1）不具备国家或磋商文件中规定资格要求的；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（2）资格证明文件不齐全或无效的。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响应文件出现下列情况之一的，由磋商小组在符合性检查后按无效报价处理：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无单位盖章并无法定代表人或法定代表人授权的委托代理人签字或盖章的；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未按规定格式填写，内容不全或者关键内容字迹模糊，无法辨认的。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供应商提交两份或多份内容不同的响应文件，且未声明哪一个有效，按磋商文件规定提交备选报价方案的除外；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磋商小组认定供应商有围标、串通报价情形。</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★22.3在综合评审之前，磋商小组要审查每份响应文件是否实质上响应了磋商文件的要求。</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（1）实质性响应的报价是指报价符合磋商文件的所有条款、条件和规格且没有重大偏离或保留。</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（2）重大偏离不允许在报价后修正，但磋商小组将允许修正报价中不构成重大偏离的地方，这些修正不会对其他实质上响应磋商文件要求的供应商的竞争地位产生不公正的影响。</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（3）如出现下列情形之一的，视为对磋商文件没有做出实质性响应，按照无效报价处理。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1）在规定的递交首次响应文件截止时间之后递交响应文件的；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2）未按采购文件规定要求签署、盖章的；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3）未按规定交纳磋商保证金的；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4）采购文件未明确说明允许投报进口产品，而投报了进口产品的；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5）所报产品为政府强制采购节能产品的（《节能产品政府采购品目清单》中以“★”标注的产品品目）而未提供国家节能产品认证证书的；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6）在首次响应文件中，未响应标注有“★”的条款；</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7）首轮报价、再次报价、最后报价中的任一轮报价超过采购预算或最高限价的；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8）以他人名义报价或者在响应文件中提供虚假材料的；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9）法律法规和采购文件规定的其他情形。</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磋商小组成员会根据磋商文件规定，详细审阅各供应商提交的响应文件，逐项列出响应文件的全部偏差。偏差分为重大偏差和细微偏差。</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重大偏差包括以下内容：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A、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B、不满足技术要求中的带*号条款；</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C、不满足采购人的付款方式；</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D、响应文件附有采购人不能接受的条件；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E、不符合磋商文件中规定的其他实质性要求。</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磋商小组将拒绝被确定为非实质性响应的响应文件，供应商不能通过修正或撤销响应文件中的不符之处而使其报价成为实质性响应的报价。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22.4 初步审查中，对明显的文字和计算错误按下述原则处理：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（1）如果正本与副本或电子文档不一致，以正本为准；响应文件中的报价一览表与响应文件中明细表内容不一致的，以报价一览表为准。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（2）如果以文字表示的数据与数字表示的有差别，以文字为准。如果大写金额和小写金额不一致的，以大写金额为准；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（3）单价金额小数点有明显错位的，应以总价为准，并修改单价。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（4）总价金额与按单价汇总金额不一致的，以单价金额计算结果为准。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（5）调整后的数据对供应商具有约束力，供应商不同意以上修正，其报价将被拒绝。</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23. 响应文件的澄清</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23.1为有助于对响应文件进行审查，磋商小组有权向供应商询问。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23.2 供应商对澄清的答复以书面材料为准，但不得对报价内容进行实质性修改。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23.3 澄清的内容须以书面形式确认，并构成响应文件的组成部分。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23.4 磋商小组不接受供应商主动提出的澄清。</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23.5磋商小组通过上述评审，确定通过初步评审的合格供应商名单，只有通过初步评审的供应商，才能进行最终报价并进入综合评审。合格供应商不足3家的，不继续评审。</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23.6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24.磋商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24.1 磋商小组所有成员集中与通过初步评审的各单一供应商分别进行磋商，并给予所有合格供应商平等的磋商机会。</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24.2 在磋商过程中，磋商小组可以根据磋商文件和磋商情况实质性变动采购需求中的技术、服务要求以及合同草案条款，但不得变动磋商文件中的其他内容。实质性变动的内容，须经采购人代表确认。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24.3 对磋商文件作出的实质性变动是磋商文件的有效组成部分，磋商小组应当及时以书面形式同时通知所有参加磋商的供应商。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24.4 供应商应当按照磋商文件的变动情况和磋商小组的要求重新提交响应文件，并由其法定代表人或授权代表签字。</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24.5 竞争性磋商项目有再次报价的机会。磋商结束后，磋商小组应当要求所有实质性响应的供应商在规定时间内提交最后报价。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24.6 最后报价是供应商响应文件的有效组成部分，最后报价应由供应商法定代表人或其授权代表签字确认。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24.7 已提交响应文件的供应商，在提交最后报价之前，可以根据磋商情况退出磋商。退出磋商应以书面方式提交，并由供应商的法定代表人或其授权代表签字确认。退出磋商的供应商的磋商保证金予以退还。</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25.  综合评审</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25.1 磋商小组将根据磋商文件确定的评审标准和方法作进一步的比较和评价。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25.2评审方法：本项目采用综合评分法，磋商小组将对供应商的报价、技术条款响应性、安装调试方案、服务质量保证措施、培训方案、紧急故障处理预案、售后服务、业绩等综合评分，按得分高低确定成交供应商。磋商小组确定排名第一的供应商为成交供应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25.3使用综合评分法的采购项目，提供相同品牌产品且通过资格审查、符合性审查的不同供应商参加同一合同项下报价的，按一家供应商计算，评审后得分最高的同品牌供应商获得成交供应商推荐资格；评审得分相同的，磋商小组依次按照报价得分高、技术条款响应性得分高、售后服务得分高进行排序，确定排名在前的一个供应商获得成交供应商推荐资格，其他同品牌供应商不作为成交候选供应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25.4如本项目采购内容包括多种产品，即非单一产品采购项目，应在采购清单中注明核心产品，多家供应商提供的核心产品品牌相同的，按前款规定处理。如未标注核心产品的，按产品价格权重高的确认。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25.5政府采购政策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25.5.1中小企业优惠办法</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25.5.1.1根据《财政部工业和信息化部关于印发&lt;政府采购促进中小企业发展管理办法&gt;的通知》(财库〔2020〕46号)</w:t>
      </w:r>
      <w:r>
        <w:rPr>
          <w:rFonts w:hint="eastAsia" w:ascii="仿宋" w:hAnsi="仿宋" w:cs="仿宋"/>
          <w:spacing w:val="0"/>
          <w:kern w:val="2"/>
          <w:sz w:val="28"/>
          <w:szCs w:val="28"/>
          <w:highlight w:val="none"/>
          <w:lang w:val="en-US" w:eastAsia="zh-CN" w:bidi="ar-SA"/>
        </w:rPr>
        <w:t>、</w:t>
      </w:r>
      <w:r>
        <w:rPr>
          <w:rFonts w:hint="eastAsia" w:ascii="仿宋" w:hAnsi="仿宋" w:eastAsia="仿宋" w:cs="仿宋"/>
          <w:spacing w:val="0"/>
          <w:kern w:val="2"/>
          <w:sz w:val="28"/>
          <w:szCs w:val="28"/>
          <w:highlight w:val="none"/>
          <w:lang w:val="en-US" w:eastAsia="zh-CN" w:bidi="ar-SA"/>
        </w:rPr>
        <w:t>《国务院关于印发扎实稳住经济一揽子政策措施的通知》（国发〔2022〕12号）文件的规定，对符合本办法规定的小微企业报价给予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%（工程项目为</w:t>
      </w:r>
      <w:r>
        <w:rPr>
          <w:rFonts w:hint="eastAsia" w:ascii="仿宋" w:hAnsi="仿宋" w:cs="仿宋"/>
          <w:spacing w:val="0"/>
          <w:kern w:val="2"/>
          <w:sz w:val="28"/>
          <w:szCs w:val="28"/>
          <w:highlight w:val="none"/>
          <w:lang w:val="en-US" w:eastAsia="zh-CN" w:bidi="ar-SA"/>
        </w:rPr>
        <w:t>5</w:t>
      </w:r>
      <w:r>
        <w:rPr>
          <w:rFonts w:hint="eastAsia" w:ascii="仿宋" w:hAnsi="仿宋" w:eastAsia="仿宋" w:cs="仿宋"/>
          <w:spacing w:val="0"/>
          <w:kern w:val="2"/>
          <w:sz w:val="28"/>
          <w:szCs w:val="28"/>
          <w:highlight w:val="none"/>
          <w:lang w:val="en-US" w:eastAsia="zh-CN" w:bidi="ar-SA"/>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3%（工程项目为2%）的扣除，用扣除后的价格参加评审。具体扣除比例见</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文件评</w:t>
      </w:r>
      <w:r>
        <w:rPr>
          <w:rFonts w:hint="eastAsia" w:ascii="仿宋" w:hAnsi="仿宋" w:cs="仿宋"/>
          <w:spacing w:val="0"/>
          <w:kern w:val="2"/>
          <w:sz w:val="28"/>
          <w:szCs w:val="28"/>
          <w:highlight w:val="none"/>
          <w:lang w:val="en-US" w:eastAsia="zh-CN" w:bidi="ar-SA"/>
        </w:rPr>
        <w:t>审</w:t>
      </w:r>
      <w:r>
        <w:rPr>
          <w:rFonts w:hint="eastAsia" w:ascii="仿宋" w:hAnsi="仿宋" w:eastAsia="仿宋" w:cs="仿宋"/>
          <w:spacing w:val="0"/>
          <w:kern w:val="2"/>
          <w:sz w:val="28"/>
          <w:szCs w:val="28"/>
          <w:highlight w:val="none"/>
          <w:lang w:val="en-US" w:eastAsia="zh-CN" w:bidi="ar-SA"/>
        </w:rPr>
        <w:t>办法。</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25.5.1.2根据《财政部工业和信息化部关于印发&lt;政府采购促进中小企业发展管理办法&gt;的通知》(财库〔2020〕46号)文件的规定，上述小微企业应为依据中小企业划分标准确定的小型企业和微型企业，但与大企业的负责人为同一人，或者与大企业存在直接控股、管理关系的除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25.5.1.3供应商提供的货物、工程或者服务符合下列情形，享受上述小微企业价格扣除的优惠政策：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（1）在货物采购项目中，货物由小微企业制造，即货物由小微企业生产且使用该小微企业商号或者注册商标；</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（2）在工程采购项目中，工程由小微企业承建，即工程施工单位为小微企业；</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（3）在服务采购项目中，服务由小微企业承接，即提供服务的人员为小微企业依照《中华人民共和国劳动合同法》订立劳动合同的从业人员。</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25.5.1.4依据《财政部工业和信息化部关于印发&lt;政府采购促进中小企业发展管理办法&gt;的通知》(财库〔2020〕46号)规定，中型、小型和微型企业响应的须提供《中小企业声明函》（格式见附件）并对声明函的真实性负责；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pacing w:val="0"/>
          <w:kern w:val="2"/>
          <w:sz w:val="28"/>
          <w:szCs w:val="28"/>
          <w:highlight w:val="none"/>
          <w:lang w:val="en-US" w:eastAsia="zh-CN" w:bidi="ar-SA"/>
        </w:rPr>
        <w:t>文件要求提供《中小企业声明函》。</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25.5.1.5在货物采购项目中，供应商提供的货物既有小微企业制造货物，也有大中型企业制造的，不享受本办法规定的小微企业价格优惠政策。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25.5.1.6以联合体形式参加政府采购活动，联合体各方均为中小企业的，联合体视同中小企业。其中，联合体各方均为小微企业的，联合体视同小微企业。组成联合体或者接受分包的小微企业与联合体内其他企业、分包企业之间存在直接控股、管理关系的，不享受价格扣除优惠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25.5.1.7成交供应商享受本办法规定的中小企业扶持政策的，采购人、采购代理机构应当随成交结果公开成交供应商的《中小企业声明函》。供应商提供声明函内容不实的，属于提供虚假材料谋取成交，依照《中华人民共和国政府采购法》等国家有关规定追究相应责任。</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25.5.2政府采购支持监狱企业发展的政策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（1）根据《财政部司法部&lt;关于政府采购支持监狱企业发展有关问题的通知》（财库[2017]141号）文件规定，对监狱企业生产的产品价格或提供服务的价格给予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%的价格扣除，用扣除后的价格参与评审；监狱企业属于小型、微型企业的，不重复享受政策。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（2）参加政府采购活动的监狱企业应当在响应文件中提供监狱企业证明复印件，否则不予认定。监狱企业证明须由省级或以上监狱管理局、戒毒管理局（含新疆生产建设兵团）出具。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25.5.3促进残疾人就业政府采购政策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（1）依据《三部门联合发布关于促进残疾人就业政府采购政策的通知》(财库〔2017〕141号)文件规定，残疾人福利性单位视同小型、微型企业，对残疾人福利性单位的报价给予</w:t>
      </w:r>
      <w:r>
        <w:rPr>
          <w:rFonts w:hint="eastAsia" w:ascii="仿宋" w:hAnsi="仿宋" w:cs="仿宋"/>
          <w:spacing w:val="0"/>
          <w:kern w:val="2"/>
          <w:sz w:val="28"/>
          <w:szCs w:val="28"/>
          <w:highlight w:val="none"/>
          <w:lang w:val="en-US" w:eastAsia="zh-CN" w:bidi="ar-SA"/>
        </w:rPr>
        <w:t>10</w:t>
      </w:r>
      <w:r>
        <w:rPr>
          <w:rFonts w:hint="eastAsia" w:ascii="仿宋" w:hAnsi="仿宋" w:eastAsia="仿宋" w:cs="仿宋"/>
          <w:spacing w:val="0"/>
          <w:kern w:val="2"/>
          <w:sz w:val="28"/>
          <w:szCs w:val="28"/>
          <w:highlight w:val="none"/>
          <w:lang w:val="en-US" w:eastAsia="zh-CN" w:bidi="ar-SA"/>
        </w:rPr>
        <w:t>%的扣除，用扣除后的评审价格参与价格得分的计算及评审，具体扣除比例见磋商文件评审办法；残疾人福利性单位属于小型、微型企业的，不重复享受政策。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残疾人福利性单位评审价格的计算：残疾人福利性单位的评审价格=供应商报价×（1—扣除比例）；供应商属于享受政府采购支持政策的“残疾人福利性单位”的，只需提供《残疾人福利性单位声明函》，并对声明的真实性负责。成交供应商为残疾人福利性单位的，采购代理机构将随成交结果同时公告其《残疾人福利性单位声明函》，接受社会监督。</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（3）供应商提供的《残疾人福利性单位声明函》与事实不符的，依照《政府采购法》第七十七条第一款的规定追究法律责任。</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25.5.4环保节能产品执行政府采购优惠政策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所报设备（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号）内的环保、节能产品的，应在响应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可能会导致所投报的节能环保产品因无法认定而不给予政府采购政策优惠。★其中，所报产品为政府强制采购产品的（《节能产品政府采购品目清单》中以“★”标注的产品品目）而未提供国家节能产品认证证书的，按无效报价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25.5.5执行政府采购政策对报价进行扣除后的评审价格仅用于评审过程的报价得分计算或评审价格的比较，不作为最终的成交价格。</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★25.6 无论在评审过程中或其他任何时侯发现下列情形之一的，报价将被拒绝，若成交，则无效。采购代理有权依法追究供应商的法律责任。</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提供虚假材料谋取成交的；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采取不正当手段诋毁、排挤其他供应商的；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恶意串通报价的；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 其他任何有企图影响采购结果公正性的活动。</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经初审合格的响应文件，磋商小组将根据磋商文件确定的评审方法做进一步评定。</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26.  评审过程保密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磋商会议之后，直到签订合同止，凡是属于审查、澄清、评价和比较报价的有关资料以及综合排序等情况，均不得向供应商或者其他与评审无关的人员透露。</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27.  供应商瑕疵滞后的处理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27.1 无论基于何种原因，各项本应作拒绝处理的情形即便未被及时发现而使该供应商进入初审、综合评审或其它后续程序，包括已经签订合同的情形，一旦在任何时间被发现存在上述情形，则采购代理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27.2 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六、合同签订</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28.  成交通知</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28.1成交公告将在发布竞争性磋商公告的网站发布。在公告成交结果的同时，采购人或者采购代理机构应当向成交供应商发出成交通知书；对未通过资格审查的供应商，应当告知其未通过的原因；采用综合评分法评审的，还应当告知未成交供应商本人的评审得分与排序。</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28.2成交通知书是合同的一个组成部分。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28.3成交通知书发出后，采购人改变成交结果，或者成交供应商放弃成交项目的，应当依法承担法律责任。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29.  签订合同</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29.1 成交通知书发出之日起30日内，按照采购确定的事项签订合同。</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29.2 磋商文件、成交供应商的响应文件以及评审过程中的有关澄清、说明或者补正文件均为合同的组成部分。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29.4不按约定签订或履行合同，给对方造成损失的，应承担赔偿责任。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30.  履约保证金(本项目不适用)</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30.1本次采购项目的履约保证金为成交总金额的 %，合同签订后7日内缴纳。</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30.2履约保证金自货物交付验收合格之日15个工作日内退还。</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七、处罚、质疑</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31.  处罚</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发生下列情况之一，供应商的磋商保证金或履约保证金不予退还，并被列入不良行为记录名单，供应商今后参与同类采购项目的机会可能会受到影响：</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 报价后在报价有效期内，供应商撤回其报价；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 成交供应商未按本磋商文件规定签订采购合同；</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 成交供应商无正当理由拒绝与采购人订立采购合同的；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4)成交供应商与采购人订立背离合同实质性内容的其它协议；</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 成交供应商将成交项目转让给他人，或者在响应文件中未说明，且未经采购人同意，将成交项目分包给他人的；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 成交供应商不按要求提交履约保证金的；</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spacing w:val="0"/>
          <w:kern w:val="2"/>
          <w:sz w:val="24"/>
          <w:szCs w:val="20"/>
          <w:highlight w:val="none"/>
          <w:lang w:val="en-US" w:eastAsia="zh-CN" w:bidi="ar-SA"/>
        </w:rPr>
      </w:pPr>
      <w:r>
        <w:rPr>
          <w:rFonts w:hint="eastAsia" w:ascii="仿宋" w:hAnsi="仿宋" w:eastAsia="仿宋" w:cs="仿宋"/>
          <w:spacing w:val="0"/>
          <w:kern w:val="2"/>
          <w:sz w:val="28"/>
          <w:szCs w:val="28"/>
          <w:highlight w:val="none"/>
          <w:lang w:val="en-US" w:eastAsia="zh-CN" w:bidi="ar-SA"/>
        </w:rPr>
        <w:t>7) 成交供应商未按磋商文件规定和合同约定履行义务的行为。</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32.   质疑</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32.1 供应商对采购活动事项有疑问的，可以向采购人或采购代理提出询问，采购人或采购代理将依法作出答复，但答复的内容不涉及商业秘密；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32.2供应商认为磋商文件、磋商过程和成交结果使自己的合法权益受到损害的，可以在《中华人民共和国政府采购法》及实施条例规定的时间内以书面形式向采购代理提出质疑，超过期限不予受理。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32.3质疑文件应包括以下主要内容，并按照“谁主张、谁举证”的原则，附上相关证明材料。否则，采购代理人不予受理：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（1）供应商的姓名或者名称、地址、邮编、联系人及联系电话；</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（2）质疑项目的名称、编号、包号；</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（3）具体、明确的质疑事项和与质疑事项相关的请求；</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（4）事实依据；</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（5）必要的法律依据（具体条款）；</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（6）提出质疑的日期。</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32.4供应商不得虚假质疑和恶意质疑，并对质疑内容的真实性承担责任。供应商或者其他利害关系人通过捏造事实、伪造证明材料等方式提出异议或投诉，阻碍采购活动正常进行的，属于严重不良行为，采购代理将提请财政监督部门列入不良行为记录名单，并依法予以处罚。</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32.5 根据中华人民共和国财政部令94号令第十条的规定，供应商需在法定质疑期内一次性提出针对本采购程序环节的质疑。</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32.6以联合体形式参加政府采购活动的，其投诉应当由组成联合体的所有供应商共同提出。</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32.7采购人或采购代理机构在收到供应商的书面质疑后将及时组织调查核实，在7个工作日内作出答复，并以书面或在网站公告形式通知质疑供应商和其他有关供应商，答复的内容不涉及商业秘密。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32.8质疑供应商对采购代理机构的答复不满意，或采购代理机构未在规定的时间内作出答复的，可以在答复期满后15个工作日内向财政监督部门投诉。</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32.9对于成交结果的质疑，以公布成交结果的日期为准，超过期限不予受理。</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八、保密</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33.  保密</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33.1供应商对所领取的有关文件及资料负有保密的义务，因供应商原因造成资料泄密，供应商承担相应责任。</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33.2在国家机关调查、审查、审计时以及其他符合国家法律的情形下，采购代理机构无须事先征求供应商同意而可以披露关于采购过程、合同文本、签署情况的资料、供应商名称及地址、响应文件的有关信息以及补充条款等内容。</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九、专利权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34. 专利权</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提供的所有产品应保证用户免受第三方主张的任何权利的义务。“第三方主张的权利”包括产品的所有权、知识产权、债权、担保物权、用益物权等权利。由此而引起的法律纠纷及费用，供应商须全部承担。</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十、解释权</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35.  解释权</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本磋商文件的最终解释权归采购代理，当对一个问题有多种解释时以采购代理的书面解释为准。磋商文件未做须知明示，而又有相关法律、法规规定的，采购代理对此所做解释以相关的法律、法规规定为依据。</w:t>
      </w:r>
    </w:p>
    <w:p>
      <w:pPr>
        <w:spacing w:before="0" w:after="0" w:line="560" w:lineRule="exact"/>
        <w:outlineLvl w:val="9"/>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十一、其他</w:t>
      </w: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36.  其他</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36.1供应商所报产品技术参数（或使用功能）必须满足采购人要求。</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36.2 采购人不保证低价成交。</w:t>
      </w:r>
    </w:p>
    <w:p>
      <w:pPr>
        <w:pStyle w:val="9"/>
        <w:tabs>
          <w:tab w:val="left" w:pos="0"/>
        </w:tabs>
        <w:spacing w:line="480" w:lineRule="exact"/>
        <w:ind w:left="0" w:leftChars="0" w:firstLine="0" w:firstLineChars="0"/>
        <w:rPr>
          <w:rFonts w:hint="eastAsia" w:ascii="宋体" w:hAnsi="宋体" w:eastAsia="宋体" w:cs="宋体"/>
          <w:bCs/>
          <w:color w:val="000000"/>
          <w:highlight w:val="none"/>
        </w:rPr>
      </w:pPr>
      <w:r>
        <w:rPr>
          <w:rFonts w:hint="eastAsia" w:ascii="宋体" w:hAnsi="宋体" w:eastAsia="宋体" w:cs="宋体"/>
          <w:bCs/>
          <w:color w:val="000000"/>
          <w:highlight w:val="none"/>
        </w:rPr>
        <w:br w:type="page"/>
      </w:r>
    </w:p>
    <w:p>
      <w:pPr>
        <w:pStyle w:val="3"/>
        <w:numPr>
          <w:ilvl w:val="0"/>
          <w:numId w:val="5"/>
        </w:numPr>
        <w:spacing w:before="0" w:after="0" w:line="580" w:lineRule="exact"/>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rPr>
        <w:t xml:space="preserve"> </w:t>
      </w:r>
      <w:bookmarkStart w:id="19" w:name="_Toc9692"/>
      <w:r>
        <w:rPr>
          <w:rFonts w:hint="eastAsia" w:ascii="宋体" w:hAnsi="宋体" w:eastAsia="宋体" w:cs="宋体"/>
          <w:sz w:val="44"/>
          <w:szCs w:val="44"/>
          <w:highlight w:val="none"/>
          <w:lang w:val="en-US" w:eastAsia="zh-CN"/>
        </w:rPr>
        <w:t>评分办法</w:t>
      </w:r>
      <w:bookmarkEnd w:id="19"/>
    </w:p>
    <w:p>
      <w:pPr>
        <w:pStyle w:val="4"/>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0" w:name="_Toc26963"/>
      <w:bookmarkStart w:id="21" w:name="_Toc19687"/>
      <w:r>
        <w:rPr>
          <w:rFonts w:hint="eastAsia" w:ascii="Arial" w:hAnsi="Arial" w:eastAsia="黑体" w:cs="Times New Roman"/>
          <w:b w:val="0"/>
          <w:kern w:val="2"/>
          <w:sz w:val="36"/>
          <w:szCs w:val="28"/>
          <w:highlight w:val="none"/>
          <w:lang w:val="en-US" w:eastAsia="zh-CN"/>
        </w:rPr>
        <w:t>评审方法</w:t>
      </w:r>
      <w:bookmarkEnd w:id="20"/>
      <w:bookmarkEnd w:id="21"/>
    </w:p>
    <w:p>
      <w:pPr>
        <w:pStyle w:val="8"/>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1.1 本项目评审方法采用综合评分法。磋商小组将依据各供应商响应文件，对其商务、技术、价格、服务等各项因素进行评价并按评分细则进行打分。每一供应商的最终得分为所有磋商小组成员评分的算术平均值。</w:t>
      </w:r>
    </w:p>
    <w:p>
      <w:pPr>
        <w:pStyle w:val="8"/>
        <w:spacing w:after="0" w:line="480" w:lineRule="auto"/>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1.2 磋商小组按各供应商最终得分由高到低顺序排列。得分相同的，按最后报价由低到高顺序排列。得分且最后报价均相同的，按技术指标优劣顺序排列，按采购文件规定的成交候选供应商家数推荐成交候选供应商并根据采购人授权直接确定成交供应商。</w:t>
      </w:r>
    </w:p>
    <w:p>
      <w:pPr>
        <w:pStyle w:val="4"/>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2" w:name="_Toc1750"/>
      <w:bookmarkStart w:id="23" w:name="_Toc17688"/>
      <w:r>
        <w:rPr>
          <w:rFonts w:hint="eastAsia" w:ascii="Arial" w:hAnsi="Arial" w:eastAsia="黑体" w:cs="Times New Roman"/>
          <w:b w:val="0"/>
          <w:kern w:val="2"/>
          <w:sz w:val="36"/>
          <w:szCs w:val="28"/>
          <w:highlight w:val="none"/>
          <w:lang w:val="en-US" w:eastAsia="zh-CN"/>
        </w:rPr>
        <w:t>评审细则</w:t>
      </w:r>
      <w:bookmarkEnd w:id="22"/>
      <w:bookmarkEnd w:id="23"/>
    </w:p>
    <w:tbl>
      <w:tblPr>
        <w:tblStyle w:val="16"/>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417"/>
        <w:gridCol w:w="960"/>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853"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417"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评分项目</w:t>
            </w:r>
          </w:p>
        </w:tc>
        <w:tc>
          <w:tcPr>
            <w:tcW w:w="960"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分值</w:t>
            </w:r>
          </w:p>
        </w:tc>
        <w:tc>
          <w:tcPr>
            <w:tcW w:w="5408"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报价部分</w:t>
            </w:r>
          </w:p>
        </w:tc>
        <w:tc>
          <w:tcPr>
            <w:tcW w:w="960"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30分</w:t>
            </w:r>
          </w:p>
        </w:tc>
        <w:tc>
          <w:tcPr>
            <w:tcW w:w="5408" w:type="dxa"/>
            <w:noWrap w:val="0"/>
            <w:vAlign w:val="center"/>
          </w:tcPr>
          <w:p>
            <w:pPr>
              <w:snapToGrid w:val="0"/>
              <w:spacing w:line="300" w:lineRule="auto"/>
              <w:rPr>
                <w:rFonts w:ascii="仿宋" w:hAnsi="仿宋" w:eastAsia="仿宋" w:cs="仿宋"/>
                <w:sz w:val="28"/>
                <w:szCs w:val="28"/>
                <w:highlight w:val="none"/>
              </w:rPr>
            </w:pPr>
            <w:r>
              <w:rPr>
                <w:rFonts w:hint="eastAsia" w:ascii="仿宋" w:hAnsi="仿宋" w:eastAsia="仿宋" w:cs="仿宋"/>
                <w:sz w:val="28"/>
                <w:szCs w:val="28"/>
                <w:highlight w:val="none"/>
              </w:rPr>
              <w:t>价格分采用低价优先法计算，即满足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文件要求且</w:t>
            </w:r>
            <w:r>
              <w:rPr>
                <w:rFonts w:hint="eastAsia" w:ascii="仿宋" w:hAnsi="仿宋" w:cs="仿宋"/>
                <w:sz w:val="28"/>
                <w:szCs w:val="28"/>
                <w:highlight w:val="none"/>
                <w:lang w:val="en-US" w:eastAsia="zh-CN"/>
              </w:rPr>
              <w:t>报价</w:t>
            </w:r>
            <w:r>
              <w:rPr>
                <w:rFonts w:hint="eastAsia" w:ascii="仿宋" w:hAnsi="仿宋" w:eastAsia="仿宋" w:cs="仿宋"/>
                <w:sz w:val="28"/>
                <w:szCs w:val="28"/>
                <w:highlight w:val="none"/>
              </w:rPr>
              <w:t>最低的</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报价为评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基准价，其价格分为满分。其他供应商的价格分统一按照下列公式计算：报价得分=（评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基准值/</w:t>
            </w:r>
            <w:r>
              <w:rPr>
                <w:rFonts w:hint="eastAsia" w:ascii="仿宋" w:hAnsi="仿宋" w:cs="仿宋"/>
                <w:sz w:val="28"/>
                <w:szCs w:val="28"/>
                <w:highlight w:val="none"/>
                <w:lang w:val="en-US" w:eastAsia="zh-CN"/>
              </w:rPr>
              <w:t>最终</w:t>
            </w:r>
            <w:r>
              <w:rPr>
                <w:rFonts w:hint="eastAsia" w:ascii="仿宋" w:hAnsi="仿宋" w:eastAsia="仿宋" w:cs="仿宋"/>
                <w:sz w:val="28"/>
                <w:szCs w:val="28"/>
                <w:highlight w:val="none"/>
              </w:rPr>
              <w:t>报价）×报价权重（30%）×100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技术条款</w:t>
            </w: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响应情况</w:t>
            </w:r>
          </w:p>
        </w:tc>
        <w:tc>
          <w:tcPr>
            <w:tcW w:w="960" w:type="dxa"/>
            <w:noWrap w:val="0"/>
            <w:vAlign w:val="center"/>
          </w:tcPr>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rPr>
              <w:t>分</w:t>
            </w:r>
          </w:p>
        </w:tc>
        <w:tc>
          <w:tcPr>
            <w:tcW w:w="5408" w:type="dxa"/>
            <w:noWrap w:val="0"/>
            <w:vAlign w:val="center"/>
          </w:tcPr>
          <w:p>
            <w:pPr>
              <w:snapToGrid w:val="0"/>
              <w:spacing w:line="30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对</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文件进行技术条款响应性评审：技术参数中标记“</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为重要技术参数，</w:t>
            </w:r>
            <w:r>
              <w:rPr>
                <w:rFonts w:hint="eastAsia" w:ascii="仿宋" w:hAnsi="仿宋" w:eastAsia="仿宋" w:cs="仿宋"/>
                <w:sz w:val="28"/>
                <w:szCs w:val="28"/>
                <w:highlight w:val="none"/>
              </w:rPr>
              <w:t>每出现1条未实质性响应或负偏离的，扣</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分；技术参数中每出现1条普通技术规格指标未实质性响应或负偏离的，扣0.</w:t>
            </w:r>
            <w:r>
              <w:rPr>
                <w:rFonts w:hint="eastAsia" w:ascii="仿宋" w:hAnsi="仿宋" w:cs="仿宋"/>
                <w:sz w:val="28"/>
                <w:szCs w:val="28"/>
                <w:highlight w:val="none"/>
                <w:lang w:val="en-US" w:eastAsia="zh-CN"/>
              </w:rPr>
              <w:t>9</w:t>
            </w:r>
            <w:r>
              <w:rPr>
                <w:rFonts w:hint="eastAsia" w:ascii="仿宋" w:hAnsi="仿宋" w:eastAsia="仿宋" w:cs="仿宋"/>
                <w:sz w:val="28"/>
                <w:szCs w:val="28"/>
                <w:highlight w:val="none"/>
              </w:rPr>
              <w:t>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安装调试方案</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6分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安装调试方案进行评审，方案描述清晰、详细、设备到货时间具体、进度计划满足项目要求、疫情防护及难点问题考虑周详、保障措施健全、有针对性，得6分，每出现一处瑕疵或缺欠，扣1.5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按期交货</w:t>
            </w:r>
          </w:p>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的保证措施</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由评委根据供应商提供的按期交货的保证措施情况进行评审，描述清晰、详细、保证措施完善，得5分；</w:t>
            </w:r>
            <w:r>
              <w:rPr>
                <w:rFonts w:hint="eastAsia" w:ascii="仿宋" w:hAnsi="仿宋" w:eastAsia="仿宋" w:cs="仿宋"/>
                <w:sz w:val="28"/>
                <w:szCs w:val="28"/>
                <w:highlight w:val="none"/>
              </w:rPr>
              <w:t>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培训方案</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5分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文件中提供的培训方案进行评审，培训方案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计划</w:t>
            </w:r>
            <w:r>
              <w:rPr>
                <w:rFonts w:hint="eastAsia" w:ascii="仿宋" w:hAnsi="仿宋" w:eastAsia="仿宋" w:cs="仿宋"/>
                <w:sz w:val="28"/>
                <w:szCs w:val="28"/>
                <w:highlight w:val="none"/>
              </w:rPr>
              <w:t>描述清晰、</w:t>
            </w:r>
            <w:r>
              <w:rPr>
                <w:rFonts w:hint="eastAsia" w:ascii="仿宋" w:hAnsi="仿宋" w:eastAsia="仿宋" w:cs="仿宋"/>
                <w:sz w:val="28"/>
                <w:szCs w:val="28"/>
                <w:highlight w:val="none"/>
                <w:lang w:val="en-US" w:eastAsia="zh-CN"/>
              </w:rPr>
              <w:t>目标明确</w:t>
            </w:r>
            <w:r>
              <w:rPr>
                <w:rFonts w:hint="eastAsia" w:ascii="仿宋" w:hAnsi="仿宋" w:eastAsia="仿宋" w:cs="仿宋"/>
                <w:sz w:val="28"/>
                <w:szCs w:val="28"/>
                <w:highlight w:val="none"/>
              </w:rPr>
              <w:t>、可使操作人员能够独立操作并掌握基本的技能、培训方式多样化、培训内容翔实、完善，得5分，每出现一处瑕疵或缺欠，扣1分，若此条缺项不得分。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紧急故障处理预案</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文件中提供的紧急故障处理预案进行评审，综合考虑设备在使用当中可能会出现的各种故障情况及应对措施，内容完整全面、紧急故障处理措施健全、有针对性，得</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售后服务</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根据</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的售后服务方案进行评审，维修服务人员配备合理，有明确的岗位职责划分，符合售后服务的需求，具有对维修响应时间、处理办法及解决问题的服务方案，保证设备出现故障能够及时响应、快速恢复正常使用，定期回访设置合理，得</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分，每出现一处瑕疵或缺欠，扣</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w:t>
            </w:r>
          </w:p>
        </w:tc>
        <w:tc>
          <w:tcPr>
            <w:tcW w:w="960" w:type="dxa"/>
            <w:noWrap w:val="0"/>
            <w:vAlign w:val="center"/>
          </w:tcPr>
          <w:p>
            <w:pPr>
              <w:snapToGrid w:val="0"/>
              <w:spacing w:line="30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质保期在满足</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lang w:val="en-US" w:eastAsia="zh-CN"/>
              </w:rPr>
              <w:t>文件最低要求情况下，质保每增加一年的2分，本项最多得4分；（提供原厂质保函，否则不得分）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3分</w:t>
            </w:r>
          </w:p>
        </w:tc>
        <w:tc>
          <w:tcPr>
            <w:tcW w:w="5408" w:type="dxa"/>
            <w:noWrap w:val="0"/>
            <w:vAlign w:val="center"/>
          </w:tcPr>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近三年（2019年</w:t>
            </w:r>
            <w:r>
              <w:rPr>
                <w:rFonts w:hint="eastAsia" w:ascii="仿宋" w:hAnsi="仿宋" w:cs="仿宋"/>
                <w:sz w:val="28"/>
                <w:szCs w:val="28"/>
                <w:highlight w:val="none"/>
                <w:lang w:val="en-US" w:eastAsia="zh-CN"/>
              </w:rPr>
              <w:t>7</w:t>
            </w:r>
            <w:r>
              <w:rPr>
                <w:rFonts w:hint="eastAsia" w:ascii="仿宋" w:hAnsi="仿宋" w:eastAsia="仿宋" w:cs="仿宋"/>
                <w:sz w:val="28"/>
                <w:szCs w:val="28"/>
                <w:highlight w:val="none"/>
              </w:rPr>
              <w:t>月1日至今）所投产品（多种产品采购以核心产品为准）的业绩，每个项目得1分，最多得3分，没有业绩</w:t>
            </w:r>
            <w:r>
              <w:rPr>
                <w:rFonts w:hint="eastAsia" w:ascii="仿宋" w:hAnsi="仿宋" w:eastAsia="仿宋" w:cs="仿宋"/>
                <w:sz w:val="28"/>
                <w:szCs w:val="28"/>
                <w:highlight w:val="none"/>
                <w:lang w:val="en-US" w:eastAsia="zh-CN"/>
              </w:rPr>
              <w:t>此项</w:t>
            </w:r>
            <w:r>
              <w:rPr>
                <w:rFonts w:hint="eastAsia" w:ascii="仿宋" w:hAnsi="仿宋" w:eastAsia="仿宋" w:cs="仿宋"/>
                <w:sz w:val="28"/>
                <w:szCs w:val="28"/>
                <w:highlight w:val="none"/>
              </w:rPr>
              <w:t>不得分。(合同以签订时间为准)</w:t>
            </w:r>
          </w:p>
          <w:p>
            <w:pPr>
              <w:snapToGrid w:val="0"/>
              <w:spacing w:line="30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注：在</w:t>
            </w:r>
            <w:r>
              <w:rPr>
                <w:rFonts w:hint="eastAsia" w:ascii="仿宋" w:hAnsi="仿宋" w:cs="仿宋"/>
                <w:sz w:val="28"/>
                <w:szCs w:val="28"/>
                <w:highlight w:val="none"/>
                <w:lang w:val="en-US" w:eastAsia="zh-CN"/>
              </w:rPr>
              <w:t>响应</w:t>
            </w:r>
            <w:r>
              <w:rPr>
                <w:rFonts w:hint="eastAsia" w:ascii="仿宋" w:hAnsi="仿宋" w:eastAsia="仿宋" w:cs="仿宋"/>
                <w:sz w:val="28"/>
                <w:szCs w:val="28"/>
                <w:highlight w:val="none"/>
              </w:rPr>
              <w:t>文件中提供合同复印件,含报价产品明细页、签字或盖章页，</w:t>
            </w:r>
            <w:r>
              <w:rPr>
                <w:rFonts w:hint="eastAsia" w:ascii="仿宋" w:hAnsi="仿宋" w:eastAsia="仿宋" w:cs="仿宋"/>
                <w:sz w:val="28"/>
                <w:szCs w:val="28"/>
                <w:highlight w:val="none"/>
                <w:lang w:val="en-US" w:eastAsia="zh-CN"/>
              </w:rPr>
              <w:t>未提供或</w:t>
            </w:r>
            <w:r>
              <w:rPr>
                <w:rFonts w:hint="eastAsia" w:ascii="仿宋" w:hAnsi="仿宋" w:eastAsia="仿宋" w:cs="仿宋"/>
                <w:sz w:val="28"/>
                <w:szCs w:val="28"/>
                <w:highlight w:val="none"/>
              </w:rPr>
              <w:t>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3" w:type="dxa"/>
            <w:noWrap w:val="0"/>
            <w:vAlign w:val="center"/>
          </w:tcPr>
          <w:p>
            <w:pPr>
              <w:numPr>
                <w:ilvl w:val="0"/>
                <w:numId w:val="7"/>
              </w:numPr>
              <w:snapToGrid w:val="0"/>
              <w:spacing w:line="300" w:lineRule="auto"/>
              <w:jc w:val="right"/>
              <w:rPr>
                <w:rFonts w:ascii="仿宋" w:hAnsi="仿宋" w:eastAsia="仿宋" w:cs="仿宋"/>
                <w:sz w:val="28"/>
                <w:szCs w:val="28"/>
                <w:highlight w:val="none"/>
              </w:rPr>
            </w:pPr>
          </w:p>
        </w:tc>
        <w:tc>
          <w:tcPr>
            <w:tcW w:w="1417"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优惠条款</w:t>
            </w:r>
          </w:p>
        </w:tc>
        <w:tc>
          <w:tcPr>
            <w:tcW w:w="960"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2分</w:t>
            </w:r>
          </w:p>
        </w:tc>
        <w:tc>
          <w:tcPr>
            <w:tcW w:w="5408" w:type="dxa"/>
            <w:noWrap w:val="0"/>
            <w:vAlign w:val="center"/>
          </w:tcPr>
          <w:p>
            <w:pPr>
              <w:snapToGrid w:val="0"/>
              <w:spacing w:line="30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由</w:t>
            </w:r>
            <w:r>
              <w:rPr>
                <w:rFonts w:hint="eastAsia" w:ascii="仿宋" w:hAnsi="仿宋" w:cs="仿宋"/>
                <w:sz w:val="28"/>
                <w:szCs w:val="28"/>
                <w:highlight w:val="none"/>
                <w:lang w:val="en-US" w:eastAsia="zh-CN"/>
              </w:rPr>
              <w:t>磋商小组</w:t>
            </w:r>
            <w:r>
              <w:rPr>
                <w:rFonts w:hint="eastAsia" w:ascii="仿宋" w:hAnsi="仿宋" w:eastAsia="仿宋" w:cs="仿宋"/>
                <w:sz w:val="28"/>
                <w:szCs w:val="28"/>
                <w:highlight w:val="none"/>
                <w:lang w:val="en-US" w:eastAsia="zh-CN"/>
              </w:rPr>
              <w:t>认可的实质性优惠条款，每提供一条得1分，最高得2分，无不得分。</w:t>
            </w:r>
          </w:p>
        </w:tc>
      </w:tr>
    </w:tbl>
    <w:p>
      <w:pPr>
        <w:pStyle w:val="19"/>
        <w:rPr>
          <w:rFonts w:hint="eastAsia"/>
          <w:highlight w:val="none"/>
          <w:lang w:val="en-US" w:eastAsia="zh-CN"/>
        </w:rPr>
      </w:pPr>
    </w:p>
    <w:p>
      <w:pPr>
        <w:pStyle w:val="4"/>
        <w:keepNext w:val="0"/>
        <w:keepLines w:val="0"/>
        <w:numPr>
          <w:ilvl w:val="0"/>
          <w:numId w:val="6"/>
        </w:numPr>
        <w:spacing w:before="156" w:beforeLines="50" w:after="156" w:afterLines="50" w:line="240" w:lineRule="auto"/>
        <w:rPr>
          <w:rFonts w:hint="eastAsia" w:ascii="Arial" w:hAnsi="Arial" w:eastAsia="黑体" w:cs="Times New Roman"/>
          <w:b w:val="0"/>
          <w:kern w:val="2"/>
          <w:sz w:val="36"/>
          <w:szCs w:val="28"/>
          <w:highlight w:val="none"/>
          <w:lang w:val="en-US" w:eastAsia="zh-CN"/>
        </w:rPr>
      </w:pPr>
      <w:bookmarkStart w:id="24" w:name="_Toc3782"/>
      <w:bookmarkStart w:id="25" w:name="_Toc21077"/>
      <w:r>
        <w:rPr>
          <w:rFonts w:hint="eastAsia" w:ascii="Arial" w:hAnsi="Arial" w:eastAsia="黑体" w:cs="Times New Roman"/>
          <w:b w:val="0"/>
          <w:kern w:val="2"/>
          <w:sz w:val="36"/>
          <w:szCs w:val="28"/>
          <w:highlight w:val="none"/>
          <w:lang w:val="en-US" w:eastAsia="zh-CN"/>
        </w:rPr>
        <w:t>评审执行的政府采购政策</w:t>
      </w:r>
      <w:bookmarkEnd w:id="24"/>
      <w:bookmarkEnd w:id="25"/>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6" w:name="_Toc7284"/>
      <w:bookmarkStart w:id="27" w:name="_Toc7010"/>
      <w:bookmarkStart w:id="28" w:name="_Toc855"/>
      <w:r>
        <w:rPr>
          <w:rFonts w:hint="eastAsia" w:ascii="Calibri" w:hAnsi="Calibri" w:eastAsia="楷体" w:cs="Times New Roman"/>
          <w:b/>
          <w:kern w:val="2"/>
          <w:sz w:val="32"/>
          <w:szCs w:val="28"/>
          <w:highlight w:val="none"/>
        </w:rPr>
        <w:t>中小微型企业政府采购政策</w:t>
      </w:r>
      <w:bookmarkEnd w:id="26"/>
      <w:bookmarkEnd w:id="27"/>
      <w:bookmarkEnd w:id="28"/>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1、为了发挥政府采购的政策功能，促进符合国家经济和社会发展政策目标，产品、服务、信誉较好的中小企业发展，按照《政府采购促进中小企业发展管理办法》</w:t>
      </w:r>
      <w:r>
        <w:rPr>
          <w:rFonts w:hint="eastAsia" w:ascii="仿宋" w:hAnsi="仿宋" w:cs="仿宋"/>
          <w:sz w:val="28"/>
          <w:szCs w:val="28"/>
          <w:highlight w:val="none"/>
          <w:lang w:eastAsia="zh-CN"/>
        </w:rPr>
        <w:t>、</w:t>
      </w:r>
      <w:r>
        <w:rPr>
          <w:rFonts w:hint="eastAsia" w:ascii="仿宋" w:hAnsi="仿宋" w:eastAsia="仿宋" w:cs="仿宋"/>
          <w:sz w:val="28"/>
          <w:szCs w:val="28"/>
          <w:highlight w:val="none"/>
        </w:rPr>
        <w:t>《国务院关于印发扎实稳住经济一揽子政策措施的通知》（国发〔2022〕12号）文件的规定，对符合规定的小型和微型企业的价格给予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%的扣除，用扣除后的价格参与评审。评审价格仅为评定价格，不作为最终的成交价格。</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2、接受大中型企业与小微企业组成联合体或者允许大中型企业向一家或者多家小微企业分包的采购项目，对于联合协议或者分包意向协议约定小微企业的合同份额占到合同总金额30%以上的，则在评审过程中评</w:t>
      </w:r>
      <w:r>
        <w:rPr>
          <w:rFonts w:hint="eastAsia" w:ascii="仿宋" w:hAnsi="仿宋" w:cs="仿宋"/>
          <w:sz w:val="28"/>
          <w:szCs w:val="28"/>
          <w:highlight w:val="none"/>
          <w:lang w:val="en-US" w:eastAsia="zh-CN"/>
        </w:rPr>
        <w:t>审</w:t>
      </w:r>
      <w:r>
        <w:rPr>
          <w:rFonts w:hint="eastAsia" w:ascii="仿宋" w:hAnsi="仿宋" w:eastAsia="仿宋" w:cs="仿宋"/>
          <w:sz w:val="28"/>
          <w:szCs w:val="28"/>
          <w:highlight w:val="none"/>
        </w:rPr>
        <w:t>价格可给予联合体3%（工程项目为2%）的价格扣除。如果联合体各方均为小型、微型企业的，联合体视同为小型、微型企业，但联合体各方均应按</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文件要求提供中小企业声明函。</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sz w:val="24"/>
          <w:szCs w:val="24"/>
          <w:highlight w:val="none"/>
        </w:rPr>
      </w:pPr>
      <w:r>
        <w:rPr>
          <w:rFonts w:hint="eastAsia" w:ascii="仿宋" w:hAnsi="仿宋" w:eastAsia="仿宋" w:cs="仿宋"/>
          <w:sz w:val="28"/>
          <w:szCs w:val="28"/>
          <w:highlight w:val="none"/>
        </w:rPr>
        <w:t>3、评审价格的计算：评审价格=</w:t>
      </w:r>
      <w:r>
        <w:rPr>
          <w:rFonts w:hint="eastAsia" w:ascii="仿宋" w:hAnsi="仿宋" w:eastAsia="仿宋" w:cs="仿宋"/>
          <w:sz w:val="28"/>
          <w:szCs w:val="28"/>
          <w:highlight w:val="none"/>
          <w:lang w:val="en-US" w:eastAsia="zh-CN"/>
        </w:rPr>
        <w:t>最终</w:t>
      </w:r>
      <w:r>
        <w:rPr>
          <w:rFonts w:hint="eastAsia" w:ascii="仿宋" w:hAnsi="仿宋" w:eastAsia="仿宋" w:cs="仿宋"/>
          <w:sz w:val="28"/>
          <w:szCs w:val="28"/>
          <w:highlight w:val="none"/>
        </w:rPr>
        <w:t>报价×（1-扣除幅度）。</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29" w:name="_Toc19809"/>
      <w:bookmarkStart w:id="30" w:name="_Toc6941"/>
      <w:bookmarkStart w:id="31" w:name="_Toc14175"/>
      <w:r>
        <w:rPr>
          <w:rFonts w:hint="eastAsia" w:ascii="Calibri" w:hAnsi="Calibri" w:eastAsia="楷体" w:cs="Times New Roman"/>
          <w:b/>
          <w:kern w:val="2"/>
          <w:sz w:val="32"/>
          <w:szCs w:val="28"/>
          <w:highlight w:val="none"/>
        </w:rPr>
        <w:t>监狱企业政府采购政策</w:t>
      </w:r>
      <w:bookmarkEnd w:id="29"/>
      <w:bookmarkEnd w:id="30"/>
      <w:bookmarkEnd w:id="31"/>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对监狱企业的价格给予[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%×（监狱企业产品合计报价/总报价）]的扣除，用扣除后的价格参与评审；参加政府采购活动的监狱企业应当在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文件中提供监狱企业证明，否则不予认定。</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32" w:name="_Toc25000"/>
      <w:bookmarkStart w:id="33" w:name="_Toc1135"/>
      <w:bookmarkStart w:id="34" w:name="_Toc30230"/>
      <w:r>
        <w:rPr>
          <w:rFonts w:hint="eastAsia" w:ascii="Calibri" w:hAnsi="Calibri" w:eastAsia="楷体" w:cs="Times New Roman"/>
          <w:b/>
          <w:kern w:val="2"/>
          <w:sz w:val="32"/>
          <w:szCs w:val="28"/>
          <w:highlight w:val="none"/>
        </w:rPr>
        <w:t>残疾人福利性单位政府采购政策</w:t>
      </w:r>
      <w:bookmarkEnd w:id="32"/>
      <w:bookmarkEnd w:id="33"/>
      <w:bookmarkEnd w:id="34"/>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对残疾人福利性单位的价格给予[</w:t>
      </w:r>
      <w:r>
        <w:rPr>
          <w:rFonts w:hint="eastAsia" w:ascii="仿宋" w:hAnsi="仿宋" w:cs="仿宋"/>
          <w:sz w:val="28"/>
          <w:szCs w:val="28"/>
          <w:highlight w:val="none"/>
          <w:lang w:val="en-US" w:eastAsia="zh-CN"/>
        </w:rPr>
        <w:t>10</w:t>
      </w:r>
      <w:r>
        <w:rPr>
          <w:rFonts w:hint="eastAsia" w:ascii="仿宋" w:hAnsi="仿宋" w:eastAsia="仿宋" w:cs="仿宋"/>
          <w:sz w:val="28"/>
          <w:szCs w:val="28"/>
          <w:highlight w:val="none"/>
        </w:rPr>
        <w:t>%×（残疾人福利性单位产品合计报价/总报价）]的扣除，用扣除后的价格参与评审。符合条件的残疾人福利性单位在参加政府采购活动时，应当提供财库〔2017〕141号规定的《残疾人福利性单位声明函》，并对声明的真实性负责。未提供的，评审时不享受残疾人福利性单位政府采购政策。</w:t>
      </w:r>
    </w:p>
    <w:p>
      <w:pPr>
        <w:keepNext w:val="0"/>
        <w:keepLines w:val="0"/>
        <w:numPr>
          <w:ilvl w:val="0"/>
          <w:numId w:val="8"/>
        </w:numPr>
        <w:snapToGrid w:val="0"/>
        <w:spacing w:before="0" w:after="0" w:line="360" w:lineRule="auto"/>
        <w:ind w:firstLine="643" w:firstLineChars="200"/>
        <w:outlineLvl w:val="9"/>
        <w:rPr>
          <w:rFonts w:hint="eastAsia" w:ascii="Calibri" w:hAnsi="Calibri" w:eastAsia="楷体" w:cs="Times New Roman"/>
          <w:b/>
          <w:kern w:val="2"/>
          <w:sz w:val="32"/>
          <w:szCs w:val="28"/>
          <w:highlight w:val="none"/>
        </w:rPr>
      </w:pPr>
      <w:bookmarkStart w:id="35" w:name="_Toc31996"/>
      <w:bookmarkStart w:id="36" w:name="_Toc15087"/>
      <w:bookmarkStart w:id="37" w:name="_Toc9022"/>
      <w:r>
        <w:rPr>
          <w:rFonts w:hint="eastAsia" w:ascii="Calibri" w:hAnsi="Calibri" w:eastAsia="楷体" w:cs="Times New Roman"/>
          <w:b/>
          <w:kern w:val="2"/>
          <w:sz w:val="32"/>
          <w:szCs w:val="28"/>
          <w:highlight w:val="none"/>
        </w:rPr>
        <w:t>节能、环保产品</w:t>
      </w:r>
      <w:bookmarkEnd w:id="35"/>
      <w:bookmarkEnd w:id="36"/>
      <w:bookmarkEnd w:id="37"/>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如供应商提供的产品属于《环境标志产品政府采购品目清单》（《财政部生态环境部关于印发环境标志产品政府采购品目清单的通知》（财库〔2019〕18号））、《节能产品政府采购品目清单》（财政部发展改革委《关于印发节能产品政府采购品目清单的通知》（财库〔2019〕19 号）范围的环保、节能产品，应在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附经市场监管总局公布的认证机构出具的有效附国家节能产品认证证书或中国环境标志产品认证证书，并在报价表中注明。其中，所报产品为政府强制采购产品的（《节能产品政府采购品目清单》中以“★”标注的产品品目）而未提供国家节能产品认证证书的，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w:t>
      </w:r>
    </w:p>
    <w:p>
      <w:pPr>
        <w:pStyle w:val="3"/>
        <w:spacing w:before="0" w:after="0" w:line="580" w:lineRule="exact"/>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38" w:name="_Toc19711"/>
      <w:r>
        <w:rPr>
          <w:rFonts w:hint="eastAsia" w:ascii="仿宋" w:hAnsi="仿宋" w:eastAsia="仿宋" w:cs="仿宋"/>
          <w:b/>
          <w:szCs w:val="24"/>
          <w:highlight w:val="none"/>
        </w:rPr>
        <w:t>第</w:t>
      </w:r>
      <w:r>
        <w:rPr>
          <w:rFonts w:hint="eastAsia" w:ascii="仿宋" w:hAnsi="仿宋" w:eastAsia="仿宋" w:cs="仿宋"/>
          <w:b/>
          <w:szCs w:val="24"/>
          <w:highlight w:val="none"/>
          <w:lang w:val="en-US" w:eastAsia="zh-CN"/>
        </w:rPr>
        <w:t>四</w:t>
      </w:r>
      <w:r>
        <w:rPr>
          <w:rFonts w:hint="eastAsia" w:ascii="仿宋" w:hAnsi="仿宋" w:eastAsia="仿宋" w:cs="仿宋"/>
          <w:b/>
          <w:szCs w:val="24"/>
          <w:highlight w:val="none"/>
        </w:rPr>
        <w:t>章  采购要求</w:t>
      </w:r>
      <w:bookmarkEnd w:id="38"/>
    </w:p>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一、</w:t>
      </w:r>
      <w:r>
        <w:rPr>
          <w:rFonts w:hint="eastAsia" w:ascii="仿宋" w:hAnsi="仿宋" w:cs="仿宋"/>
          <w:b/>
          <w:bCs/>
          <w:color w:val="000000"/>
          <w:sz w:val="30"/>
          <w:szCs w:val="30"/>
          <w:highlight w:val="none"/>
          <w:lang w:val="en-US" w:eastAsia="zh-CN"/>
        </w:rPr>
        <w:t>采购</w:t>
      </w:r>
      <w:r>
        <w:rPr>
          <w:rFonts w:hint="eastAsia" w:ascii="仿宋" w:hAnsi="仿宋" w:eastAsia="仿宋" w:cs="仿宋"/>
          <w:b/>
          <w:bCs/>
          <w:color w:val="000000"/>
          <w:sz w:val="30"/>
          <w:szCs w:val="30"/>
          <w:highlight w:val="none"/>
        </w:rPr>
        <w:t>项目内容、数量：</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4623"/>
        <w:gridCol w:w="1263"/>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53"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序</w:t>
            </w:r>
            <w:r>
              <w:rPr>
                <w:rFonts w:hint="eastAsia" w:ascii="仿宋" w:hAnsi="仿宋" w:eastAsia="仿宋" w:cs="仿宋"/>
                <w:color w:val="000000"/>
                <w:sz w:val="28"/>
                <w:szCs w:val="28"/>
                <w:highlight w:val="none"/>
              </w:rPr>
              <w:t>号</w:t>
            </w:r>
          </w:p>
        </w:tc>
        <w:tc>
          <w:tcPr>
            <w:tcW w:w="2434"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采购内容</w:t>
            </w:r>
          </w:p>
        </w:tc>
        <w:tc>
          <w:tcPr>
            <w:tcW w:w="665"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1246" w:type="pct"/>
            <w:noWrap/>
            <w:vAlign w:val="center"/>
          </w:tcPr>
          <w:p>
            <w:pPr>
              <w:pStyle w:val="20"/>
              <w:spacing w:line="24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53" w:type="pct"/>
            <w:noWrap/>
            <w:vAlign w:val="center"/>
          </w:tcPr>
          <w:p>
            <w:pPr>
              <w:numPr>
                <w:ilvl w:val="0"/>
                <w:numId w:val="9"/>
              </w:numPr>
              <w:spacing w:line="360" w:lineRule="auto"/>
              <w:jc w:val="center"/>
              <w:rPr>
                <w:rFonts w:hint="eastAsia" w:ascii="仿宋" w:hAnsi="仿宋" w:eastAsia="仿宋" w:cs="仿宋"/>
                <w:color w:val="000000"/>
                <w:sz w:val="28"/>
                <w:szCs w:val="28"/>
                <w:highlight w:val="none"/>
              </w:rPr>
            </w:pPr>
          </w:p>
        </w:tc>
        <w:tc>
          <w:tcPr>
            <w:tcW w:w="2434" w:type="pct"/>
            <w:noWrap/>
            <w:vAlign w:val="center"/>
          </w:tcPr>
          <w:p>
            <w:pPr>
              <w:spacing w:line="240" w:lineRule="auto"/>
              <w:jc w:val="left"/>
              <w:rPr>
                <w:rFonts w:hint="eastAsia" w:ascii="仿宋" w:hAnsi="仿宋" w:eastAsia="仿宋" w:cs="仿宋"/>
                <w:sz w:val="28"/>
                <w:szCs w:val="28"/>
                <w:highlight w:val="none"/>
              </w:rPr>
            </w:pPr>
            <w:r>
              <w:rPr>
                <w:rFonts w:hint="eastAsia" w:ascii="仿宋" w:hAnsi="仿宋" w:eastAsia="仿宋" w:cs="仿宋"/>
                <w:b/>
                <w:bCs/>
                <w:sz w:val="28"/>
                <w:szCs w:val="28"/>
                <w:highlight w:val="none"/>
                <w:lang w:eastAsia="zh-CN"/>
              </w:rPr>
              <w:t>个体营养监测分析仪</w:t>
            </w:r>
          </w:p>
        </w:tc>
        <w:tc>
          <w:tcPr>
            <w:tcW w:w="665" w:type="pct"/>
            <w:noWrap/>
            <w:vAlign w:val="center"/>
          </w:tcPr>
          <w:p>
            <w:pPr>
              <w:spacing w:line="240" w:lineRule="auto"/>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w:t>
            </w:r>
            <w:r>
              <w:rPr>
                <w:rFonts w:hint="eastAsia" w:ascii="仿宋" w:hAnsi="仿宋" w:cs="仿宋"/>
                <w:sz w:val="28"/>
                <w:szCs w:val="28"/>
                <w:highlight w:val="none"/>
                <w:lang w:val="en-US" w:eastAsia="zh-CN"/>
              </w:rPr>
              <w:t>套</w:t>
            </w:r>
          </w:p>
        </w:tc>
        <w:tc>
          <w:tcPr>
            <w:tcW w:w="1246" w:type="pct"/>
            <w:noWrap/>
            <w:vAlign w:val="center"/>
          </w:tcPr>
          <w:p>
            <w:pPr>
              <w:spacing w:line="24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53" w:type="pct"/>
            <w:noWrap/>
            <w:vAlign w:val="center"/>
          </w:tcPr>
          <w:p>
            <w:pPr>
              <w:numPr>
                <w:ilvl w:val="0"/>
                <w:numId w:val="9"/>
              </w:numPr>
              <w:spacing w:line="360" w:lineRule="auto"/>
              <w:jc w:val="center"/>
              <w:rPr>
                <w:rFonts w:hint="eastAsia" w:ascii="仿宋" w:hAnsi="仿宋" w:eastAsia="仿宋" w:cs="仿宋"/>
                <w:color w:val="000000"/>
                <w:sz w:val="28"/>
                <w:szCs w:val="28"/>
                <w:highlight w:val="none"/>
              </w:rPr>
            </w:pPr>
          </w:p>
        </w:tc>
        <w:tc>
          <w:tcPr>
            <w:tcW w:w="2434" w:type="pct"/>
            <w:noWrap/>
            <w:vAlign w:val="center"/>
          </w:tcPr>
          <w:p>
            <w:pPr>
              <w:spacing w:line="240" w:lineRule="auto"/>
              <w:jc w:val="left"/>
              <w:rPr>
                <w:rFonts w:hint="eastAsia" w:ascii="仿宋" w:hAnsi="仿宋" w:eastAsia="仿宋" w:cs="仿宋"/>
                <w:sz w:val="28"/>
                <w:szCs w:val="28"/>
                <w:highlight w:val="none"/>
              </w:rPr>
            </w:pPr>
            <w:r>
              <w:rPr>
                <w:rFonts w:hint="eastAsia" w:ascii="仿宋" w:hAnsi="仿宋" w:eastAsia="仿宋" w:cs="仿宋"/>
                <w:b/>
                <w:bCs/>
                <w:sz w:val="28"/>
                <w:szCs w:val="28"/>
                <w:highlight w:val="none"/>
                <w:lang w:eastAsia="zh-CN"/>
              </w:rPr>
              <w:t>超声骨密度仪</w:t>
            </w:r>
          </w:p>
        </w:tc>
        <w:tc>
          <w:tcPr>
            <w:tcW w:w="665" w:type="pct"/>
            <w:noWrap/>
            <w:vAlign w:val="center"/>
          </w:tcPr>
          <w:p>
            <w:pPr>
              <w:spacing w:line="240" w:lineRule="auto"/>
              <w:jc w:val="center"/>
              <w:rPr>
                <w:rFonts w:hint="default" w:ascii="仿宋" w:hAnsi="仿宋" w:eastAsia="仿宋" w:cs="仿宋"/>
                <w:sz w:val="28"/>
                <w:szCs w:val="28"/>
                <w:highlight w:val="none"/>
                <w:lang w:val="en-US" w:eastAsia="zh-CN"/>
              </w:rPr>
            </w:pPr>
            <w:r>
              <w:rPr>
                <w:rFonts w:hint="eastAsia" w:ascii="仿宋" w:hAnsi="仿宋" w:cs="仿宋"/>
                <w:sz w:val="28"/>
                <w:szCs w:val="28"/>
                <w:highlight w:val="none"/>
                <w:lang w:val="en-US" w:eastAsia="zh-CN"/>
              </w:rPr>
              <w:t>1套</w:t>
            </w:r>
          </w:p>
        </w:tc>
        <w:tc>
          <w:tcPr>
            <w:tcW w:w="1246" w:type="pct"/>
            <w:noWrap/>
            <w:vAlign w:val="center"/>
          </w:tcPr>
          <w:p>
            <w:pPr>
              <w:spacing w:line="240" w:lineRule="auto"/>
              <w:jc w:val="center"/>
              <w:rPr>
                <w:rFonts w:hint="eastAsia" w:ascii="仿宋" w:hAnsi="仿宋" w:eastAsia="仿宋" w:cs="仿宋"/>
                <w:color w:val="000000"/>
                <w:sz w:val="28"/>
                <w:szCs w:val="28"/>
                <w:highlight w:val="none"/>
              </w:rPr>
            </w:pPr>
            <w:r>
              <w:rPr>
                <w:rFonts w:hint="eastAsia" w:ascii="仿宋" w:hAnsi="仿宋" w:eastAsia="仿宋" w:cs="仿宋"/>
                <w:kern w:val="0"/>
                <w:sz w:val="28"/>
                <w:szCs w:val="28"/>
                <w:highlight w:val="none"/>
              </w:rPr>
              <w:t>核心产品</w:t>
            </w:r>
          </w:p>
        </w:tc>
      </w:tr>
    </w:tbl>
    <w:p>
      <w:pPr>
        <w:spacing w:line="480" w:lineRule="exact"/>
        <w:rPr>
          <w:rFonts w:hint="eastAsia" w:ascii="仿宋" w:hAnsi="仿宋" w:eastAsia="仿宋" w:cs="仿宋"/>
          <w:b/>
          <w:bCs/>
          <w:color w:val="000000"/>
          <w:sz w:val="30"/>
          <w:szCs w:val="30"/>
          <w:highlight w:val="none"/>
          <w:lang w:val="en-US" w:eastAsia="zh-CN"/>
        </w:rPr>
      </w:pPr>
    </w:p>
    <w:p>
      <w:pPr>
        <w:spacing w:line="480" w:lineRule="exact"/>
        <w:rPr>
          <w:rFonts w:hint="eastAsia" w:ascii="仿宋" w:hAnsi="仿宋" w:eastAsia="仿宋" w:cs="仿宋"/>
          <w:b/>
          <w:sz w:val="30"/>
          <w:szCs w:val="30"/>
          <w:highlight w:val="none"/>
          <w:lang w:eastAsia="zh-CN"/>
        </w:rPr>
      </w:pPr>
      <w:r>
        <w:rPr>
          <w:rFonts w:hint="eastAsia" w:ascii="仿宋" w:hAnsi="仿宋" w:eastAsia="仿宋" w:cs="仿宋"/>
          <w:b/>
          <w:bCs/>
          <w:color w:val="000000"/>
          <w:sz w:val="30"/>
          <w:szCs w:val="30"/>
          <w:highlight w:val="none"/>
          <w:lang w:val="en-US" w:eastAsia="zh-CN"/>
        </w:rPr>
        <w:t>二、采购设备</w:t>
      </w:r>
      <w:r>
        <w:rPr>
          <w:rFonts w:hint="eastAsia" w:ascii="仿宋" w:hAnsi="仿宋" w:eastAsia="仿宋" w:cs="仿宋"/>
          <w:b/>
          <w:bCs/>
          <w:color w:val="000000"/>
          <w:sz w:val="30"/>
          <w:szCs w:val="30"/>
          <w:highlight w:val="none"/>
        </w:rPr>
        <w:t>技术参数</w:t>
      </w:r>
      <w:r>
        <w:rPr>
          <w:rFonts w:hint="eastAsia" w:ascii="仿宋" w:hAnsi="仿宋" w:eastAsia="仿宋" w:cs="仿宋"/>
          <w:b/>
          <w:bCs/>
          <w:color w:val="0D0D0D"/>
          <w:sz w:val="30"/>
          <w:szCs w:val="30"/>
          <w:highlight w:val="none"/>
        </w:rPr>
        <w:t>要求：</w:t>
      </w:r>
    </w:p>
    <w:p>
      <w:pPr>
        <w:pStyle w:val="8"/>
        <w:spacing w:after="0" w:line="480" w:lineRule="exact"/>
        <w:ind w:firstLine="703" w:firstLineChars="250"/>
        <w:jc w:val="left"/>
        <w:rPr>
          <w:rFonts w:hint="eastAsia" w:ascii="仿宋" w:hAnsi="仿宋" w:eastAsia="仿宋" w:cs="仿宋"/>
          <w:b/>
          <w:bCs/>
          <w:spacing w:val="0"/>
          <w:kern w:val="2"/>
          <w:sz w:val="28"/>
          <w:szCs w:val="28"/>
          <w:highlight w:val="none"/>
          <w:lang w:val="en-US" w:eastAsia="zh-CN" w:bidi="ar-SA"/>
        </w:rPr>
      </w:pPr>
      <w:r>
        <w:rPr>
          <w:rFonts w:hint="eastAsia" w:ascii="仿宋" w:hAnsi="仿宋" w:eastAsia="仿宋" w:cs="仿宋"/>
          <w:b/>
          <w:bCs/>
          <w:spacing w:val="0"/>
          <w:kern w:val="2"/>
          <w:sz w:val="28"/>
          <w:szCs w:val="28"/>
          <w:highlight w:val="none"/>
          <w:lang w:val="en-US" w:eastAsia="zh-CN" w:bidi="ar-SA"/>
        </w:rPr>
        <w:t>A、个体营养监测分析仪</w:t>
      </w:r>
      <w:r>
        <w:rPr>
          <w:rFonts w:hint="eastAsia" w:ascii="仿宋" w:hAnsi="仿宋" w:cs="仿宋"/>
          <w:b/>
          <w:bCs/>
          <w:spacing w:val="0"/>
          <w:kern w:val="2"/>
          <w:sz w:val="28"/>
          <w:szCs w:val="28"/>
          <w:highlight w:val="none"/>
          <w:lang w:val="en-US" w:eastAsia="zh-CN" w:bidi="ar-SA"/>
        </w:rPr>
        <w:t>1套</w:t>
      </w:r>
    </w:p>
    <w:p>
      <w:pPr>
        <w:pStyle w:val="8"/>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（一）主要技术参数及性能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1.储存能力≥100 万条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 应用生物阻抗检测方法，八点接触式，电极 多频段测量： 1kHz 、 5kHz 、 50kHz 、250kHz 、 500kHz 、 1000kHz ；（误差范围± 5% ， 需提供产品检验报告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3、提供孕期体成分检测及能量代谢分析，可检测孕期体成分≥26 种，非孕期体成分≥43 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 阻抗值测量范围 ：10～1200Ω,测量误差范围±10%（需提供产品检验报告）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5.具备脚电极加热功能，避免温度过低给被检测者带来的不适感。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6.设备屏幕：触摸电容屏≥17 英寸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7.扫码建档：扫码枪扫描二维码的方式关联患者基本信息,等档案的建立；同时可手动建档，并支持档案查询。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8.孕期/非孕期膳食摄入调查：食物库包含菜品库菜品库≥20000 项数据，营养补充剂数据库≥150 条，支持回顾法、频次法、智能扫码膳食调查 3 种调查方式。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9．孕期/非孕期运动调查：支持≥100 运动种类调查，支持快速、详细、智能扫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码调查。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10. 妇女日常保健、更年期健康管理、围产保健、孕期风险评估等营养干预项目：针对围绝经期女性、备孕期、孕期、哺乳期、产后女性的营养状况进行指导，针对≥11 种疾病与≥8 种主诉调查结果，智能出具个性化营养指导方案。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11、手动、扫码两种方式进行孕期生活方式调查。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12.孕期/产后心理评估：对检测者进行孕期压力评估和产后抑郁评估，并智能出具改善建议。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13.膳食评价：包含膳食 6 餐次能量供能比分析评价，营养素摄入情况分析评价≥24 种；膳食食物种类摄入评价≥10 种，同时提供相关指标的推荐摄入量、参考范围及评价结果。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14.个性化智能营养方案：结合检测者的营养摄入、疾病状况、体成分情况等基本信息的调查结果，智能推荐个性化标准化的 1 日/3 日/7 日个性化的带量食谱营养方案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15.智能个性化运动指导及减重方案：基于调查者的所处不同时期智能出具个性化运动原则，结合检测者的身体状况，智能出具减重方案和运动指导。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16. 手掌估量指导：膳食营养报告饮食建议中包含易操作、易执行的手掌估量指导。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17. 实验室生化指标：支持血压（收缩压、舒张压）、空腹血糖、餐后一小时血糖、餐后二小时血糖等生化指标的录入。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18.五色妊娠风险评估管理：结合五色评估结果对应等级，出具相对应的评估结果及指导。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19.体重管理及控制目标：按照预先选择的国际/国内 2 种体重增长标准，依据孕前 BMI，结合检测者的所处孕周个性化的出具孕期体重增长范围曲线，孕期体重增长建议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20.营养大师|孕妇版分为用户端与医生端。可通过高精度扫码枪，扫描电子二维码进行数据采集（膳食记录数据、运动记录数据、实验室数据记录），并对数据调查结果进行分析与预警。对接微信小程序，实现检测者家中膳食、运动方式、实验室检查、血糖、血压、体重的记录与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21.含工作站（主机（CPU i5 / 8G 内存/1T 硬盘；显示器：≥21.5 英寸；无线路由器，报告打印设备）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cs="仿宋"/>
          <w:b w:val="0"/>
          <w:bCs w:val="0"/>
          <w:sz w:val="28"/>
          <w:szCs w:val="28"/>
          <w:highlight w:val="none"/>
          <w:lang w:val="en-US" w:eastAsia="zh-CN"/>
        </w:rPr>
        <w:t>（</w:t>
      </w:r>
      <w:r>
        <w:rPr>
          <w:rFonts w:hint="eastAsia" w:ascii="仿宋" w:hAnsi="仿宋" w:eastAsia="仿宋" w:cs="仿宋"/>
          <w:b w:val="0"/>
          <w:bCs w:val="0"/>
          <w:sz w:val="28"/>
          <w:szCs w:val="28"/>
          <w:highlight w:val="none"/>
          <w:lang w:val="en-US" w:eastAsia="zh-CN"/>
        </w:rPr>
        <w:t>二</w:t>
      </w:r>
      <w:r>
        <w:rPr>
          <w:rFonts w:hint="eastAsia" w:ascii="仿宋" w:hAnsi="仿宋" w:cs="仿宋"/>
          <w:b w:val="0"/>
          <w:bCs w:val="0"/>
          <w:sz w:val="28"/>
          <w:szCs w:val="28"/>
          <w:highlight w:val="none"/>
          <w:lang w:val="en-US" w:eastAsia="zh-CN"/>
        </w:rPr>
        <w:t>）</w:t>
      </w:r>
      <w:r>
        <w:rPr>
          <w:rFonts w:hint="eastAsia" w:ascii="仿宋" w:hAnsi="仿宋" w:eastAsia="仿宋" w:cs="仿宋"/>
          <w:b w:val="0"/>
          <w:bCs w:val="0"/>
          <w:sz w:val="28"/>
          <w:szCs w:val="28"/>
          <w:highlight w:val="none"/>
          <w:lang w:val="en-US" w:eastAsia="zh-CN"/>
        </w:rPr>
        <w:t>、配置要求（包含但不限于）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 营养定量分析软件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 营养定量分析系统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 体成分分析系统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 膳食调查数据库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5 运动调查数据库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6 显示屏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7 加热系统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8 防水操作面板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9 无线鼠标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10 自动称重系统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11 食物模型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12 数据统计分析系统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13 高精度扫码枪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14 显示器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15 路由器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16 中心节点服务器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17 卷尺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highlight w:val="none"/>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562" w:firstLineChars="200"/>
        <w:textAlignment w:val="auto"/>
        <w:rPr>
          <w:rFonts w:hint="eastAsia" w:ascii="仿宋" w:hAnsi="仿宋" w:cs="仿宋"/>
          <w:b/>
          <w:bCs/>
          <w:sz w:val="28"/>
          <w:szCs w:val="28"/>
          <w:highlight w:val="none"/>
          <w:lang w:val="en-US" w:eastAsia="zh-CN"/>
        </w:rPr>
      </w:pPr>
      <w:r>
        <w:rPr>
          <w:rFonts w:hint="eastAsia" w:ascii="仿宋" w:hAnsi="仿宋" w:eastAsia="仿宋" w:cs="仿宋"/>
          <w:b/>
          <w:bCs/>
          <w:sz w:val="28"/>
          <w:szCs w:val="28"/>
          <w:highlight w:val="none"/>
          <w:lang w:val="en-US" w:eastAsia="zh-CN"/>
        </w:rPr>
        <w:t>超声骨密度仪 1套</w:t>
      </w:r>
      <w:r>
        <w:rPr>
          <w:rFonts w:hint="eastAsia" w:ascii="仿宋" w:hAnsi="仿宋" w:cs="仿宋"/>
          <w:b/>
          <w:bCs/>
          <w:sz w:val="28"/>
          <w:szCs w:val="28"/>
          <w:highlight w:val="none"/>
          <w:lang w:val="en-US" w:eastAsia="zh-CN"/>
        </w:rPr>
        <w:t>，核心产品</w:t>
      </w:r>
    </w:p>
    <w:p>
      <w:pPr>
        <w:pStyle w:val="8"/>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（一）主要技术参数及性能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1. 全干式，检查流程全自动简约一体化；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2. 采用四晶片多阵列双发射和双接收技术；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3．桡骨+胫骨标准双部位测量；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4．CM+CR（婴幼儿）双探头设计，真正有效实现全年龄段覆盖，专业解决婴幼儿采集信号难及数据不准确等问题；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5．宽频分段聚焦探头：中心频率1.25MHz，最低发射工作频率0.80MHz，宽频覆盖灵敏度高，胖瘦人婴幼儿均轻松测量；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6. 定量测量骨声速(SOS)范围：2500-4800m/s，测量精度误差≤0.15%，变异系数CV≤0.4%，实测CV≤0.1%；</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7． 覆盖全年龄段人群测量（0-100岁），包括幼儿/儿童（0-20岁）/成人（20-100岁），全自动专业软件分析和报告；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8. 儿童软件可播放动画视频，吸引儿童注意力，在助于儿童测量；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9. 单点测量：&lt;2秒；单元测量：&lt;25秒；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10. 亚洲人种(中国)正常参考值对比数据库（曲线模板）及统计功能，中、英文软件可选；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11. 计算参数齐全：T值，Z值，骨质量指数（BQI），骨骼的生理统计评估年龄（骨龄PAB），预期发生骨质疏松的年龄（EOA），相对骨折风险（RRF）等；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12. 配备儿童身高、体重、骨密度测量模板跟踪报告，可纵向观察个体化生长发育状况，指导保健计划实施；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13. SQV聚乙树脂标准体模（带温度指示条）校准检验及温度校准软件；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14. 完善的病例数据库管理系统，自动记录、查询、分类、备份、预约等，彩色打印测量结果；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15. 预留多插孔端口设计，可选配拓展跟骨测量模块和指骨测量模块；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16. 配置豪华版台车，内嵌式测量组件及计算机工作站（含报告打印设备），构成一体化台车式机（非外置采集盒组合台车）；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17. 骨密度软件具有国家版权局著作版权证书；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（二）、配置清单（包含但不限于）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1.一体台车式主机（测量组件内置） 1台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2.测量系统（成人+儿童）       1套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3.内嵌式计算机系统    1套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4.超声CM探头（桡骨+胫骨通用） 1个</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5.液晶显示器 1台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6.报告打印设备 1台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7.鼠标 1个</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8.体模 1个</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9.手枕 1个</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10.测量辅助小套件 1套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11.GND接地线 1根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cs="仿宋"/>
          <w:b w:val="0"/>
          <w:bCs w:val="0"/>
          <w:color w:val="0D0D0D"/>
          <w:sz w:val="28"/>
          <w:szCs w:val="28"/>
          <w:highlight w:val="none"/>
          <w:lang w:val="en-US" w:eastAsia="zh-CN"/>
        </w:rPr>
      </w:pPr>
      <w:r>
        <w:rPr>
          <w:rFonts w:hint="eastAsia" w:ascii="仿宋" w:hAnsi="仿宋" w:cs="仿宋"/>
          <w:b w:val="0"/>
          <w:bCs w:val="0"/>
          <w:color w:val="0D0D0D"/>
          <w:sz w:val="28"/>
          <w:szCs w:val="28"/>
          <w:highlight w:val="none"/>
          <w:lang w:val="en-US" w:eastAsia="zh-CN"/>
        </w:rPr>
        <w:t>12.电源接线板 1个</w:t>
      </w:r>
    </w:p>
    <w:p>
      <w:pPr>
        <w:spacing w:line="440" w:lineRule="exact"/>
        <w:rPr>
          <w:rFonts w:hint="eastAsia" w:ascii="仿宋" w:hAnsi="仿宋" w:cs="仿宋"/>
          <w:b/>
          <w:bCs/>
          <w:color w:val="0D0D0D"/>
          <w:sz w:val="30"/>
          <w:szCs w:val="30"/>
          <w:highlight w:val="none"/>
          <w:lang w:val="en-US" w:eastAsia="zh-CN"/>
        </w:rPr>
      </w:pPr>
    </w:p>
    <w:p>
      <w:pPr>
        <w:spacing w:line="440" w:lineRule="exact"/>
        <w:rPr>
          <w:rFonts w:hint="default" w:ascii="仿宋" w:hAnsi="仿宋" w:eastAsia="仿宋" w:cs="仿宋"/>
          <w:b/>
          <w:bCs/>
          <w:color w:val="0D0D0D"/>
          <w:sz w:val="30"/>
          <w:szCs w:val="30"/>
          <w:highlight w:val="none"/>
          <w:lang w:val="en-US" w:eastAsia="zh-CN"/>
        </w:rPr>
      </w:pPr>
      <w:r>
        <w:rPr>
          <w:rFonts w:hint="eastAsia" w:ascii="仿宋" w:hAnsi="仿宋" w:cs="仿宋"/>
          <w:b/>
          <w:bCs/>
          <w:color w:val="0D0D0D"/>
          <w:sz w:val="30"/>
          <w:szCs w:val="30"/>
          <w:highlight w:val="none"/>
          <w:lang w:val="en-US" w:eastAsia="zh-CN"/>
        </w:rPr>
        <w:t>三</w:t>
      </w:r>
      <w:r>
        <w:rPr>
          <w:rFonts w:hint="eastAsia" w:ascii="仿宋" w:hAnsi="仿宋" w:eastAsia="仿宋" w:cs="仿宋"/>
          <w:b/>
          <w:bCs/>
          <w:color w:val="0D0D0D"/>
          <w:sz w:val="30"/>
          <w:szCs w:val="30"/>
          <w:highlight w:val="none"/>
          <w:lang w:val="en-US" w:eastAsia="zh-CN"/>
        </w:rPr>
        <w:t>、其他说明</w:t>
      </w:r>
    </w:p>
    <w:p>
      <w:pPr>
        <w:pStyle w:val="8"/>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1、供应商所报包中的货物必须整包响应，不可分拆报价，若有自己不生产的部分，供应商可以作为代理商代理其它制造商报价。</w:t>
      </w:r>
    </w:p>
    <w:p>
      <w:pPr>
        <w:pStyle w:val="8"/>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2、技术规格要求</w:t>
      </w:r>
    </w:p>
    <w:p>
      <w:pPr>
        <w:pStyle w:val="8"/>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2.1供应商应按磋商文件中的技术规格及要求进行准确报价。本技术规格所提出的要求是对本次预采购货物及伴随服务的基本技术要求，并未涉及所有技术细节，也未充分引述有关标准、规范的全部条款。供应商应保证其提供的货物及伴随服务除了满足本技术规格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供应商应及时向采购人提出，以取得采购人的确认，如果供应商没有提出，则在成交后采购人仍有权在合同价格不变的前提下要求成交供应商按中国国家标准的有关强制性规定执行）。</w:t>
      </w:r>
    </w:p>
    <w:p>
      <w:pPr>
        <w:pStyle w:val="8"/>
        <w:spacing w:after="0" w:line="480" w:lineRule="exact"/>
        <w:ind w:firstLine="700" w:firstLineChars="250"/>
        <w:jc w:val="left"/>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2.2本技术规格中提及的工艺、材料、设备的标准以及参照品牌或型号（若有时）仅起说明作用，并没有任何限制性。供应商在报价中可以选用替代工艺、材料、标准、品牌或型号，但这些替代要实质上满足、等同或优于本技术规格的要求。</w:t>
      </w:r>
    </w:p>
    <w:p>
      <w:pPr>
        <w:pStyle w:val="8"/>
        <w:spacing w:after="0" w:line="480" w:lineRule="exact"/>
        <w:ind w:firstLine="700" w:firstLineChars="250"/>
        <w:jc w:val="left"/>
        <w:rPr>
          <w:rFonts w:hint="eastAsia" w:ascii="仿宋" w:hAnsi="仿宋" w:eastAsia="仿宋" w:cs="仿宋"/>
          <w:sz w:val="28"/>
          <w:szCs w:val="28"/>
          <w:highlight w:val="none"/>
        </w:rPr>
      </w:pPr>
    </w:p>
    <w:p>
      <w:pPr>
        <w:pStyle w:val="3"/>
        <w:spacing w:before="0" w:after="0" w:line="580" w:lineRule="exact"/>
        <w:jc w:val="center"/>
        <w:rPr>
          <w:rFonts w:hint="default" w:ascii="宋体" w:hAnsi="宋体" w:eastAsia="宋体" w:cs="宋体"/>
          <w:sz w:val="36"/>
          <w:szCs w:val="36"/>
          <w:highlight w:val="none"/>
          <w:lang w:val="en-US" w:eastAsia="zh-CN"/>
        </w:rPr>
      </w:pPr>
      <w:r>
        <w:rPr>
          <w:rFonts w:hint="eastAsia" w:ascii="宋体" w:hAnsi="宋体" w:eastAsia="宋体" w:cs="宋体"/>
          <w:sz w:val="36"/>
          <w:szCs w:val="36"/>
          <w:highlight w:val="none"/>
        </w:rPr>
        <w:br w:type="page"/>
      </w:r>
      <w:bookmarkStart w:id="39" w:name="_Toc27110"/>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五</w:t>
      </w:r>
      <w:r>
        <w:rPr>
          <w:rFonts w:hint="eastAsia" w:ascii="Calibri" w:hAnsi="Calibri" w:eastAsia="宋体" w:cs="Times New Roman"/>
          <w:b/>
          <w:szCs w:val="24"/>
          <w:highlight w:val="none"/>
        </w:rPr>
        <w:t>章  合同格式</w:t>
      </w:r>
      <w:r>
        <w:rPr>
          <w:rFonts w:hint="eastAsia" w:ascii="Calibri" w:hAnsi="Calibri" w:eastAsia="宋体" w:cs="Times New Roman"/>
          <w:b/>
          <w:szCs w:val="24"/>
          <w:highlight w:val="none"/>
          <w:lang w:eastAsia="zh-CN"/>
        </w:rPr>
        <w:t>（</w:t>
      </w:r>
      <w:r>
        <w:rPr>
          <w:rFonts w:hint="eastAsia" w:ascii="Calibri" w:hAnsi="Calibri" w:eastAsia="宋体" w:cs="Times New Roman"/>
          <w:b/>
          <w:szCs w:val="24"/>
          <w:highlight w:val="none"/>
          <w:lang w:val="en-US" w:eastAsia="zh-CN"/>
        </w:rPr>
        <w:t>参考）</w:t>
      </w:r>
      <w:bookmarkEnd w:id="39"/>
    </w:p>
    <w:p>
      <w:pPr>
        <w:ind w:right="-123" w:rightChars="-44"/>
        <w:jc w:val="center"/>
        <w:rPr>
          <w:rFonts w:hint="eastAsia" w:ascii="华文中宋" w:hAnsi="华文中宋" w:eastAsia="华文中宋" w:cs="华文中宋"/>
          <w:sz w:val="28"/>
          <w:szCs w:val="28"/>
          <w:highlight w:val="none"/>
        </w:rPr>
      </w:pPr>
      <w:r>
        <w:rPr>
          <w:rFonts w:hint="eastAsia" w:ascii="华文中宋" w:hAnsi="华文中宋" w:eastAsia="华文中宋" w:cs="华文中宋"/>
          <w:sz w:val="28"/>
          <w:szCs w:val="28"/>
          <w:highlight w:val="none"/>
        </w:rPr>
        <w:t>合同编号：</w:t>
      </w:r>
    </w:p>
    <w:p>
      <w:pPr>
        <w:ind w:right="2800" w:rightChars="1000"/>
        <w:jc w:val="right"/>
        <w:rPr>
          <w:rFonts w:hint="eastAsia" w:ascii="宋体" w:hAnsi="宋体" w:eastAsia="宋体" w:cs="宋体"/>
          <w:sz w:val="28"/>
          <w:szCs w:val="28"/>
          <w:highlight w:val="none"/>
        </w:rPr>
      </w:pPr>
    </w:p>
    <w:p>
      <w:pPr>
        <w:ind w:right="2800" w:rightChars="1000"/>
        <w:jc w:val="right"/>
        <w:rPr>
          <w:rFonts w:hint="eastAsia" w:ascii="宋体" w:hAnsi="宋体" w:eastAsia="宋体" w:cs="宋体"/>
          <w:sz w:val="28"/>
          <w:szCs w:val="28"/>
          <w:highlight w:val="none"/>
        </w:rPr>
      </w:pPr>
    </w:p>
    <w:p>
      <w:pPr>
        <w:jc w:val="center"/>
        <w:rPr>
          <w:rFonts w:hint="eastAsia" w:ascii="华文中宋" w:hAnsi="华文中宋" w:eastAsia="华文中宋" w:cs="华文中宋"/>
          <w:spacing w:val="0"/>
          <w:w w:val="100"/>
          <w:kern w:val="0"/>
          <w:sz w:val="64"/>
          <w:szCs w:val="64"/>
          <w:highlight w:val="none"/>
          <w:fitText w:val="4480" w:id="291841352"/>
        </w:rPr>
      </w:pPr>
      <w:r>
        <w:rPr>
          <w:rFonts w:hint="eastAsia" w:ascii="华文中宋" w:hAnsi="华文中宋" w:eastAsia="华文中宋" w:cs="华文中宋"/>
          <w:spacing w:val="64"/>
          <w:w w:val="100"/>
          <w:kern w:val="0"/>
          <w:sz w:val="64"/>
          <w:szCs w:val="64"/>
          <w:highlight w:val="none"/>
          <w:fitText w:val="4480" w:id="1176980068"/>
        </w:rPr>
        <w:t>政府采购合</w:t>
      </w:r>
      <w:r>
        <w:rPr>
          <w:rFonts w:hint="eastAsia" w:ascii="华文中宋" w:hAnsi="华文中宋" w:eastAsia="华文中宋" w:cs="华文中宋"/>
          <w:spacing w:val="0"/>
          <w:w w:val="100"/>
          <w:kern w:val="0"/>
          <w:sz w:val="64"/>
          <w:szCs w:val="64"/>
          <w:highlight w:val="none"/>
          <w:fitText w:val="4480" w:id="1176980068"/>
        </w:rPr>
        <w:t>同</w:t>
      </w: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560" w:firstLineChars="200"/>
        <w:rPr>
          <w:rFonts w:hint="eastAsia" w:ascii="宋体" w:hAnsi="宋体" w:eastAsia="宋体" w:cs="宋体"/>
          <w:sz w:val="28"/>
          <w:szCs w:val="28"/>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项目名称：</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采购编号：</w:t>
      </w: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宋体" w:hAnsi="宋体" w:eastAsia="宋体" w:cs="宋体"/>
          <w:sz w:val="32"/>
          <w:szCs w:val="32"/>
          <w:highlight w:val="none"/>
        </w:rPr>
      </w:pP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甲方：</w:t>
      </w:r>
    </w:p>
    <w:p>
      <w:pPr>
        <w:ind w:firstLine="640" w:firstLineChars="200"/>
        <w:rPr>
          <w:rFonts w:hint="eastAsia" w:ascii="华文中宋" w:hAnsi="华文中宋" w:eastAsia="华文中宋" w:cs="华文中宋"/>
          <w:sz w:val="32"/>
          <w:szCs w:val="32"/>
          <w:highlight w:val="none"/>
        </w:rPr>
      </w:pPr>
      <w:r>
        <w:rPr>
          <w:rFonts w:hint="eastAsia" w:ascii="华文中宋" w:hAnsi="华文中宋" w:eastAsia="华文中宋" w:cs="华文中宋"/>
          <w:sz w:val="32"/>
          <w:szCs w:val="32"/>
          <w:highlight w:val="none"/>
        </w:rPr>
        <w:t>乙方：</w:t>
      </w:r>
    </w:p>
    <w:p>
      <w:pPr>
        <w:rPr>
          <w:rFonts w:hint="eastAsia" w:ascii="宋体" w:hAnsi="宋体" w:eastAsia="宋体" w:cs="宋体"/>
          <w:highlight w:val="none"/>
        </w:rPr>
      </w:pPr>
    </w:p>
    <w:p>
      <w:pPr>
        <w:pStyle w:val="19"/>
        <w:rPr>
          <w:rFonts w:hint="eastAsia" w:ascii="宋体" w:hAnsi="宋体" w:eastAsia="宋体" w:cs="宋体"/>
          <w:highlight w:val="none"/>
        </w:rPr>
      </w:pPr>
    </w:p>
    <w:p>
      <w:pPr>
        <w:pStyle w:val="8"/>
        <w:rPr>
          <w:rFonts w:hint="eastAsia" w:ascii="宋体" w:hAnsi="宋体" w:eastAsia="宋体" w:cs="宋体"/>
          <w:highlight w:val="none"/>
        </w:rPr>
      </w:pPr>
    </w:p>
    <w:p>
      <w:pPr>
        <w:rPr>
          <w:rFonts w:hint="eastAsia" w:ascii="宋体" w:hAnsi="宋体" w:eastAsia="宋体" w:cs="宋体"/>
          <w:highlight w:val="none"/>
        </w:rPr>
      </w:pPr>
    </w:p>
    <w:p>
      <w:pPr>
        <w:pStyle w:val="19"/>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____________________（甲方）所需_______________________(货物名称)经同诚工程咨询集团股份有限公司以__________________（采购编号）</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文件在国内以</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方式进行采购。经</w:t>
      </w:r>
      <w:r>
        <w:rPr>
          <w:rFonts w:hint="eastAsia" w:ascii="仿宋" w:hAnsi="仿宋" w:cs="仿宋"/>
          <w:sz w:val="28"/>
          <w:szCs w:val="28"/>
          <w:highlight w:val="none"/>
          <w:lang w:eastAsia="zh-CN"/>
        </w:rPr>
        <w:t>磋商小组</w:t>
      </w:r>
      <w:r>
        <w:rPr>
          <w:rFonts w:hint="eastAsia" w:ascii="仿宋" w:hAnsi="仿宋" w:eastAsia="仿宋" w:cs="仿宋"/>
          <w:sz w:val="28"/>
          <w:szCs w:val="28"/>
          <w:highlight w:val="none"/>
        </w:rPr>
        <w:t>确______________（乙方）为</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人。甲、乙双方根据《中华人民共和国政府采购法》、《中华人民共和国民法典》和其他法律、法规的规定，并按照公正、平等、自愿、诚实信用的原则，同意按照以下条款和条件，签署本合同。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0" w:name="_Toc6202"/>
      <w:bookmarkStart w:id="41" w:name="_Toc14605"/>
      <w:r>
        <w:rPr>
          <w:rFonts w:hint="eastAsia" w:ascii="Arial" w:hAnsi="Arial" w:eastAsia="黑体" w:cs="Times New Roman"/>
          <w:b w:val="0"/>
          <w:kern w:val="2"/>
          <w:sz w:val="36"/>
          <w:szCs w:val="28"/>
          <w:highlight w:val="none"/>
        </w:rPr>
        <w:t>一、合同文件</w:t>
      </w:r>
      <w:bookmarkEnd w:id="40"/>
      <w:bookmarkEnd w:id="4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本合同所附下列文件是构成本合同不可分割的部分：</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（三）合同格式及合同条款</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人在评</w:t>
      </w:r>
      <w:r>
        <w:rPr>
          <w:rFonts w:hint="eastAsia" w:ascii="仿宋" w:hAnsi="仿宋" w:eastAsia="仿宋" w:cs="仿宋"/>
          <w:sz w:val="28"/>
          <w:szCs w:val="28"/>
          <w:highlight w:val="none"/>
          <w:lang w:val="en-US" w:eastAsia="zh-CN"/>
        </w:rPr>
        <w:t>审</w:t>
      </w:r>
      <w:r>
        <w:rPr>
          <w:rFonts w:hint="eastAsia" w:ascii="仿宋" w:hAnsi="仿宋" w:eastAsia="仿宋" w:cs="仿宋"/>
          <w:sz w:val="28"/>
          <w:szCs w:val="28"/>
          <w:highlight w:val="none"/>
        </w:rPr>
        <w:t>过程中做出的有关澄清、说明或者补正文件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（六）本合同附件（合同补充条款或说明）</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2" w:name="_Toc32520"/>
      <w:bookmarkStart w:id="43" w:name="_Toc22929"/>
      <w:r>
        <w:rPr>
          <w:rFonts w:hint="eastAsia" w:ascii="Arial" w:hAnsi="Arial" w:eastAsia="黑体" w:cs="Times New Roman"/>
          <w:b w:val="0"/>
          <w:kern w:val="2"/>
          <w:sz w:val="36"/>
          <w:szCs w:val="28"/>
          <w:highlight w:val="none"/>
        </w:rPr>
        <w:t>二、合同的范围和条件</w:t>
      </w:r>
      <w:bookmarkEnd w:id="42"/>
      <w:bookmarkEnd w:id="4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本合同的范围和条件应与上述合同文件的规定相一致。</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4" w:name="_Toc25344"/>
      <w:bookmarkStart w:id="45" w:name="_Toc23763"/>
      <w:r>
        <w:rPr>
          <w:rFonts w:hint="eastAsia" w:ascii="Arial" w:hAnsi="Arial" w:eastAsia="黑体" w:cs="Times New Roman"/>
          <w:b w:val="0"/>
          <w:kern w:val="2"/>
          <w:sz w:val="36"/>
          <w:szCs w:val="28"/>
          <w:highlight w:val="none"/>
        </w:rPr>
        <w:t>三、货物、数量及规格</w:t>
      </w:r>
      <w:bookmarkEnd w:id="44"/>
      <w:bookmarkEnd w:id="4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本合同所提供的货物、数量及规格详见合同货物清单（附件一）（同</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文件中报价明细表，下同）。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6" w:name="_Toc8807"/>
      <w:bookmarkStart w:id="47" w:name="_Toc272"/>
      <w:r>
        <w:rPr>
          <w:rFonts w:hint="eastAsia" w:ascii="Arial" w:hAnsi="Arial" w:eastAsia="黑体" w:cs="Times New Roman"/>
          <w:b w:val="0"/>
          <w:kern w:val="2"/>
          <w:sz w:val="36"/>
          <w:szCs w:val="28"/>
          <w:highlight w:val="none"/>
        </w:rPr>
        <w:t>四、合同金额</w:t>
      </w:r>
      <w:bookmarkEnd w:id="46"/>
      <w:bookmarkEnd w:id="4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根据上述合同文件要求，合同金额为人民币______________元，大写：________________________。（分项价格详见合同货物清单，详见附件一）。</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乙方开户单位：</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账号：</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48" w:name="_Toc13328"/>
      <w:bookmarkStart w:id="49" w:name="_Toc17889"/>
      <w:r>
        <w:rPr>
          <w:rFonts w:hint="eastAsia" w:ascii="Arial" w:hAnsi="Arial" w:eastAsia="黑体" w:cs="Times New Roman"/>
          <w:b w:val="0"/>
          <w:kern w:val="2"/>
          <w:sz w:val="36"/>
          <w:szCs w:val="28"/>
          <w:highlight w:val="none"/>
        </w:rPr>
        <w:t>五、付款途径</w:t>
      </w:r>
      <w:bookmarkEnd w:id="48"/>
      <w:bookmarkEnd w:id="4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□国库集中支付（预算内资金：人民币_______元，预算外资金：人民币_______元）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□甲方支付（人民币元，大写：）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□国库（预算内资金：人民币_______元，预算外资金：人民币_______元）与甲方（人民币_______元）共同支付</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0" w:name="_Toc9881"/>
      <w:bookmarkStart w:id="51" w:name="_Toc25500"/>
      <w:r>
        <w:rPr>
          <w:rFonts w:hint="eastAsia" w:ascii="Arial" w:hAnsi="Arial" w:eastAsia="黑体" w:cs="Times New Roman"/>
          <w:b w:val="0"/>
          <w:kern w:val="2"/>
          <w:sz w:val="36"/>
          <w:szCs w:val="28"/>
          <w:highlight w:val="none"/>
        </w:rPr>
        <w:t>六、付款方式</w:t>
      </w:r>
      <w:bookmarkEnd w:id="50"/>
      <w:bookmarkEnd w:id="5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lang w:eastAsia="zh-CN"/>
        </w:rPr>
      </w:pPr>
      <w:bookmarkStart w:id="52" w:name="_Toc11362"/>
      <w:r>
        <w:rPr>
          <w:rFonts w:hint="eastAsia" w:ascii="仿宋" w:hAnsi="仿宋" w:eastAsia="仿宋" w:cs="仿宋"/>
          <w:sz w:val="28"/>
          <w:szCs w:val="28"/>
          <w:highlight w:val="none"/>
        </w:rPr>
        <w:t xml:space="preserve">货物经双方验收合格签字确认交付入库后，甲方收到发票且财务入账三个月内，支付合同总金额90%，余款作为质量保证金，自财务入账之日起满12个月后，无质量问题，付总金额的10% </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3" w:name="_Toc10832"/>
      <w:r>
        <w:rPr>
          <w:rFonts w:hint="eastAsia" w:ascii="Arial" w:hAnsi="Arial" w:eastAsia="黑体" w:cs="Times New Roman"/>
          <w:b w:val="0"/>
          <w:kern w:val="2"/>
          <w:sz w:val="36"/>
          <w:szCs w:val="28"/>
          <w:highlight w:val="none"/>
        </w:rPr>
        <w:t>七、交货日期、地点</w:t>
      </w:r>
      <w:bookmarkEnd w:id="52"/>
      <w:bookmarkEnd w:id="5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1、交货日期：合同生效之日起日内交货。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2、交货地点：_________________________。</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4" w:name="_Toc2358"/>
      <w:bookmarkStart w:id="55" w:name="_Toc18187"/>
      <w:r>
        <w:rPr>
          <w:rFonts w:hint="eastAsia" w:ascii="Arial" w:hAnsi="Arial" w:eastAsia="黑体" w:cs="Times New Roman"/>
          <w:b w:val="0"/>
          <w:kern w:val="2"/>
          <w:sz w:val="36"/>
          <w:szCs w:val="28"/>
          <w:highlight w:val="none"/>
        </w:rPr>
        <w:t>八、质量标准和验收</w:t>
      </w:r>
      <w:bookmarkEnd w:id="54"/>
      <w:bookmarkEnd w:id="5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1、乙方应保证提供的合同货物是货物生产厂商原造的，全新、未使用过的， 是用一流的工艺和优质材料制造而成的，并完全符合本项目</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文件规定的质量、性能和规格的要求；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2、乙方提供的合同货物应通过货物制造厂商的出厂检验，并提供质量合格证书；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3、货物到达指定地点后，甲乙双方联合组织验收，必要时可邀请第三方机构或专业人员协助组织。</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6" w:name="_Toc26222"/>
      <w:bookmarkStart w:id="57" w:name="_Toc23410"/>
      <w:r>
        <w:rPr>
          <w:rFonts w:hint="eastAsia" w:ascii="Arial" w:hAnsi="Arial" w:eastAsia="黑体" w:cs="Times New Roman"/>
          <w:b w:val="0"/>
          <w:kern w:val="2"/>
          <w:sz w:val="36"/>
          <w:szCs w:val="28"/>
          <w:highlight w:val="none"/>
        </w:rPr>
        <w:t>九、履约保证金</w:t>
      </w:r>
      <w:bookmarkEnd w:id="56"/>
      <w:bookmarkEnd w:id="5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乙方在收到《</w:t>
      </w:r>
      <w:r>
        <w:rPr>
          <w:rFonts w:hint="eastAsia" w:ascii="仿宋" w:hAnsi="仿宋" w:cs="仿宋"/>
          <w:sz w:val="28"/>
          <w:szCs w:val="28"/>
          <w:highlight w:val="none"/>
          <w:lang w:val="en-US" w:eastAsia="zh-CN"/>
        </w:rPr>
        <w:t>成交</w:t>
      </w:r>
      <w:r>
        <w:rPr>
          <w:rFonts w:hint="eastAsia" w:ascii="仿宋" w:hAnsi="仿宋" w:eastAsia="仿宋" w:cs="仿宋"/>
          <w:sz w:val="28"/>
          <w:szCs w:val="28"/>
          <w:highlight w:val="none"/>
        </w:rPr>
        <w:t>通知书》后，应按照</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文件的规定，向甲方提交履约保证金。</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58" w:name="_Toc8157"/>
      <w:bookmarkStart w:id="59" w:name="_Toc16424"/>
      <w:r>
        <w:rPr>
          <w:rFonts w:hint="eastAsia" w:ascii="Arial" w:hAnsi="Arial" w:eastAsia="黑体" w:cs="Times New Roman"/>
          <w:b w:val="0"/>
          <w:kern w:val="2"/>
          <w:sz w:val="36"/>
          <w:szCs w:val="28"/>
          <w:highlight w:val="none"/>
        </w:rPr>
        <w:t>十、违约责任</w:t>
      </w:r>
      <w:bookmarkEnd w:id="58"/>
      <w:bookmarkEnd w:id="59"/>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1、合同一方违约，违约方向对方支付违约金，违约金额为 。乙方违约，直接从质保金中扣除；甲方违约，从采购款项中扣除。</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2、给对方造成的实际损失高于违约金的，对高出违约金的部分应予以赔偿。</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3、乙方迟延履行合同、不完全履行合同或提供的服务不符合</w:t>
      </w:r>
      <w:r>
        <w:rPr>
          <w:rFonts w:hint="eastAsia" w:ascii="仿宋" w:hAnsi="仿宋" w:cs="仿宋"/>
          <w:sz w:val="28"/>
          <w:szCs w:val="28"/>
          <w:highlight w:val="none"/>
          <w:lang w:val="en-US" w:eastAsia="zh-CN"/>
        </w:rPr>
        <w:t>磋商</w:t>
      </w:r>
      <w:r>
        <w:rPr>
          <w:rFonts w:hint="eastAsia" w:ascii="仿宋" w:hAnsi="仿宋" w:eastAsia="仿宋" w:cs="仿宋"/>
          <w:sz w:val="28"/>
          <w:szCs w:val="28"/>
          <w:highlight w:val="none"/>
        </w:rPr>
        <w:t>文件的要求，除支付违约金外，仍应实际履行合同或重新提供符合要求的服务。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4、其它未尽事宜，以《中华人民共和国民法典》规定为准。</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0" w:name="_Toc15291"/>
      <w:bookmarkStart w:id="61" w:name="_Toc18228"/>
      <w:r>
        <w:rPr>
          <w:rFonts w:hint="eastAsia" w:ascii="Arial" w:hAnsi="Arial" w:eastAsia="黑体" w:cs="Times New Roman"/>
          <w:b w:val="0"/>
          <w:kern w:val="2"/>
          <w:sz w:val="36"/>
          <w:szCs w:val="28"/>
          <w:highlight w:val="none"/>
        </w:rPr>
        <w:t>十一、争议解决</w:t>
      </w:r>
      <w:bookmarkEnd w:id="60"/>
      <w:bookmarkEnd w:id="61"/>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合同双方应通过友好协商解决因解释﹑执行本合同所发生的和本合同有关的一切争议。如果经协商不能达成协议，双方约定采用下列第种方式解决：</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1、向仲裁委员会提起仲裁；</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2、向法院提起诉讼。</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2" w:name="_Toc8912"/>
      <w:bookmarkStart w:id="63" w:name="_Toc31796"/>
      <w:r>
        <w:rPr>
          <w:rFonts w:hint="eastAsia" w:ascii="Arial" w:hAnsi="Arial" w:eastAsia="黑体" w:cs="Times New Roman"/>
          <w:b w:val="0"/>
          <w:kern w:val="2"/>
          <w:sz w:val="36"/>
          <w:szCs w:val="28"/>
          <w:highlight w:val="none"/>
        </w:rPr>
        <w:t>十二、合同生效</w:t>
      </w:r>
      <w:bookmarkEnd w:id="62"/>
      <w:bookmarkEnd w:id="63"/>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本合同经甲乙双方签字盖章后生效。</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textAlignment w:val="auto"/>
        <w:outlineLvl w:val="9"/>
        <w:rPr>
          <w:rFonts w:hint="eastAsia" w:ascii="Arial" w:hAnsi="Arial" w:eastAsia="黑体" w:cs="Times New Roman"/>
          <w:b w:val="0"/>
          <w:kern w:val="2"/>
          <w:sz w:val="36"/>
          <w:szCs w:val="28"/>
          <w:highlight w:val="none"/>
        </w:rPr>
      </w:pPr>
      <w:bookmarkStart w:id="64" w:name="_Toc439"/>
      <w:bookmarkStart w:id="65" w:name="_Toc17395"/>
      <w:r>
        <w:rPr>
          <w:rFonts w:hint="eastAsia" w:ascii="Arial" w:hAnsi="Arial" w:eastAsia="黑体" w:cs="Times New Roman"/>
          <w:b w:val="0"/>
          <w:kern w:val="2"/>
          <w:sz w:val="36"/>
          <w:szCs w:val="28"/>
          <w:highlight w:val="none"/>
        </w:rPr>
        <w:t>十三、其他</w:t>
      </w:r>
      <w:bookmarkEnd w:id="64"/>
      <w:bookmarkEnd w:id="65"/>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依据《关于印发&lt;政府采购促进中小企业发展管理办法&gt;的通知》（财库〔2020〕46号）的规定享受扶持政策获得政府采购合同的，小微企业不得将合同分包给大中型企业，中型企业不得将合同分包给大型企业。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val="0"/>
        <w:spacing w:before="156" w:after="156" w:line="480" w:lineRule="exact"/>
        <w:textAlignment w:val="auto"/>
        <w:outlineLvl w:val="9"/>
        <w:rPr>
          <w:rFonts w:hint="eastAsia" w:ascii="Arial" w:hAnsi="Arial" w:eastAsia="黑体" w:cs="Times New Roman"/>
          <w:b w:val="0"/>
          <w:kern w:val="2"/>
          <w:sz w:val="36"/>
          <w:szCs w:val="28"/>
          <w:highlight w:val="none"/>
        </w:rPr>
      </w:pPr>
      <w:bookmarkStart w:id="66" w:name="_Toc2577"/>
      <w:bookmarkStart w:id="67" w:name="_Toc15058"/>
      <w:r>
        <w:rPr>
          <w:rFonts w:hint="eastAsia" w:ascii="Arial" w:hAnsi="Arial" w:eastAsia="黑体" w:cs="Times New Roman"/>
          <w:b w:val="0"/>
          <w:kern w:val="2"/>
          <w:sz w:val="36"/>
          <w:szCs w:val="28"/>
          <w:highlight w:val="none"/>
        </w:rPr>
        <w:t>十四、合同保存</w:t>
      </w:r>
      <w:bookmarkEnd w:id="66"/>
      <w:bookmarkEnd w:id="67"/>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份，同诚工程咨询集团股份有限公司</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份。</w:t>
      </w:r>
    </w:p>
    <w:tbl>
      <w:tblPr>
        <w:tblStyle w:val="1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677780574"/>
              </w:rPr>
              <w:t>授权代表</w:t>
            </w:r>
            <w:r>
              <w:rPr>
                <w:rFonts w:hint="eastAsia" w:ascii="仿宋" w:hAnsi="仿宋" w:eastAsia="仿宋" w:cs="仿宋"/>
                <w:sz w:val="28"/>
                <w:szCs w:val="28"/>
                <w:highlight w:val="none"/>
              </w:rPr>
              <w:t>（签字或盖章）：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或</w:t>
            </w:r>
            <w:r>
              <w:rPr>
                <w:rFonts w:hint="eastAsia" w:ascii="仿宋" w:hAnsi="仿宋" w:eastAsia="仿宋" w:cs="仿宋"/>
                <w:spacing w:val="1"/>
                <w:w w:val="93"/>
                <w:kern w:val="0"/>
                <w:sz w:val="28"/>
                <w:szCs w:val="28"/>
                <w:highlight w:val="none"/>
                <w:fitText w:val="1050" w:id="423384757"/>
              </w:rPr>
              <w:t>授权代表</w:t>
            </w:r>
            <w:r>
              <w:rPr>
                <w:rFonts w:hint="eastAsia" w:ascii="仿宋" w:hAnsi="仿宋" w:eastAsia="仿宋" w:cs="仿宋"/>
                <w:sz w:val="28"/>
                <w:szCs w:val="28"/>
                <w:highlight w:val="none"/>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住所：</w:t>
            </w:r>
          </w:p>
        </w:tc>
      </w:tr>
    </w:tbl>
    <w:p>
      <w:pPr>
        <w:keepNext w:val="0"/>
        <w:keepLines w:val="0"/>
        <w:pageBreakBefore w:val="0"/>
        <w:widowControl w:val="0"/>
        <w:kinsoku/>
        <w:wordWrap/>
        <w:overflowPunct/>
        <w:topLinePunct w:val="0"/>
        <w:autoSpaceDE/>
        <w:autoSpaceDN/>
        <w:bidi w:val="0"/>
        <w:adjustRightInd/>
        <w:snapToGrid w:val="0"/>
        <w:spacing w:line="48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签订日期：    年   月   日</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注：</w:t>
      </w:r>
      <w:r>
        <w:rPr>
          <w:rFonts w:hint="eastAsia" w:ascii="仿宋" w:hAnsi="仿宋" w:eastAsia="仿宋" w:cs="仿宋"/>
          <w:b/>
          <w:bCs/>
          <w:sz w:val="28"/>
          <w:szCs w:val="28"/>
          <w:highlight w:val="none"/>
        </w:rPr>
        <w:t>最终合同内容以采购人签署的合同为准。</w:t>
      </w:r>
    </w:p>
    <w:p>
      <w:pPr>
        <w:pStyle w:val="3"/>
        <w:spacing w:before="0" w:after="0" w:line="580" w:lineRule="exact"/>
        <w:jc w:val="center"/>
        <w:rPr>
          <w:rFonts w:hint="eastAsia" w:ascii="宋体" w:hAnsi="宋体" w:eastAsia="宋体" w:cs="宋体"/>
          <w:b w:val="0"/>
          <w:color w:val="000000"/>
          <w:highlight w:val="none"/>
        </w:rPr>
      </w:pPr>
      <w:r>
        <w:rPr>
          <w:rFonts w:hint="eastAsia" w:ascii="宋体" w:hAnsi="宋体" w:eastAsia="宋体" w:cs="宋体"/>
          <w:sz w:val="36"/>
          <w:szCs w:val="36"/>
          <w:highlight w:val="none"/>
        </w:rPr>
        <w:br w:type="page"/>
      </w:r>
      <w:bookmarkStart w:id="68" w:name="_Toc16241"/>
      <w:r>
        <w:rPr>
          <w:rFonts w:hint="eastAsia" w:ascii="Calibri" w:hAnsi="Calibri" w:eastAsia="宋体" w:cs="Times New Roman"/>
          <w:b/>
          <w:szCs w:val="24"/>
          <w:highlight w:val="none"/>
        </w:rPr>
        <w:t>第</w:t>
      </w:r>
      <w:r>
        <w:rPr>
          <w:rFonts w:hint="eastAsia" w:ascii="Calibri" w:hAnsi="Calibri" w:eastAsia="宋体" w:cs="Times New Roman"/>
          <w:b/>
          <w:szCs w:val="24"/>
          <w:highlight w:val="none"/>
          <w:lang w:val="en-US" w:eastAsia="zh-CN"/>
        </w:rPr>
        <w:t>六</w:t>
      </w:r>
      <w:r>
        <w:rPr>
          <w:rFonts w:hint="eastAsia" w:ascii="Calibri" w:hAnsi="Calibri" w:eastAsia="宋体" w:cs="Times New Roman"/>
          <w:b/>
          <w:szCs w:val="24"/>
          <w:highlight w:val="none"/>
        </w:rPr>
        <w:t>章  附件</w:t>
      </w:r>
      <w:bookmarkEnd w:id="68"/>
    </w:p>
    <w:p>
      <w:pPr>
        <w:pStyle w:val="4"/>
        <w:keepNext w:val="0"/>
        <w:keepLines w:val="0"/>
        <w:spacing w:before="159" w:beforeLines="50" w:after="159" w:afterLines="50" w:line="240" w:lineRule="auto"/>
        <w:jc w:val="center"/>
        <w:rPr>
          <w:rFonts w:hint="eastAsia" w:ascii="Arial" w:hAnsi="Arial" w:eastAsia="黑体" w:cs="Times New Roman"/>
          <w:b w:val="0"/>
          <w:kern w:val="2"/>
          <w:sz w:val="32"/>
          <w:szCs w:val="32"/>
          <w:highlight w:val="none"/>
        </w:rPr>
      </w:pPr>
      <w:bookmarkStart w:id="69" w:name="_Toc24896"/>
      <w:r>
        <w:rPr>
          <w:rFonts w:hint="eastAsia" w:ascii="Arial" w:hAnsi="Arial" w:eastAsia="黑体" w:cs="Times New Roman"/>
          <w:b w:val="0"/>
          <w:kern w:val="2"/>
          <w:sz w:val="32"/>
          <w:szCs w:val="32"/>
          <w:highlight w:val="none"/>
        </w:rPr>
        <w:t>附件一：报价函</w:t>
      </w:r>
      <w:bookmarkEnd w:id="69"/>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山东大学第二医院：</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经研究，我们决定参加项目编号为       的（项目名称）的货物供货、安装调试、人员培训、售后服务等报价活动并提交响应文件。为此，我方郑重声明以下诸点，并负法律责任。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1、我方提交的响应文件，正本一份，副本   份。</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2、如果我们的响应文件被接受，我们将履行磋商文件中规定的每一项要求，并按我们响应文件中的承诺按期、按质、按量提供货物及服务。</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3、我方已详细阅读了磋商文件及其补充、修改和澄清（若有），完全理解并同意放弃对这方面有不明及误解的权力。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4、我们理解，最低报价不是成交的唯一条件，你们有选择成交供应商的权力。</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5、我方愿按《中华人民共和国民法典》履行自己的全部责任。</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6、我们同意按磋商文件规定交纳磋商保证金、代理服务费，遵守贵机构有关磋商的各项规定。</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7、我方若未成为成交供应商，贵机构有权不做任何解释。</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8、我方的响应文件自提交首次响应文件截止之日起有效期为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9、与本报价有关的一切正式往来通讯请寄：</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地  址：</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邮政编码：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电话号码：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传真号码：</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开户名称：</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开户银行：</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银行</w:t>
      </w:r>
      <w:bookmarkStart w:id="102" w:name="_GoBack"/>
      <w:r>
        <w:rPr>
          <w:rFonts w:hint="eastAsia" w:ascii="仿宋" w:hAnsi="仿宋" w:cs="仿宋"/>
          <w:spacing w:val="0"/>
          <w:kern w:val="2"/>
          <w:sz w:val="28"/>
          <w:szCs w:val="28"/>
          <w:highlight w:val="none"/>
          <w:lang w:val="en-US" w:eastAsia="zh-CN" w:bidi="ar-SA"/>
        </w:rPr>
        <w:t>账</w:t>
      </w:r>
      <w:bookmarkEnd w:id="102"/>
      <w:r>
        <w:rPr>
          <w:rFonts w:hint="eastAsia" w:ascii="仿宋" w:hAnsi="仿宋" w:eastAsia="仿宋" w:cs="仿宋"/>
          <w:spacing w:val="0"/>
          <w:kern w:val="2"/>
          <w:sz w:val="28"/>
          <w:szCs w:val="28"/>
          <w:highlight w:val="none"/>
          <w:lang w:val="en-US" w:eastAsia="zh-CN" w:bidi="ar-SA"/>
        </w:rPr>
        <w:t>号：</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授权代表（签字或盖章)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供应商名称（公章)</w:t>
      </w:r>
    </w:p>
    <w:p>
      <w:pPr>
        <w:tabs>
          <w:tab w:val="left" w:pos="1146"/>
        </w:tabs>
        <w:snapToGrid w:val="0"/>
        <w:spacing w:line="240" w:lineRule="auto"/>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  期：</w:t>
      </w:r>
    </w:p>
    <w:p>
      <w:pPr>
        <w:pStyle w:val="4"/>
        <w:spacing w:before="156" w:after="156"/>
        <w:jc w:val="center"/>
        <w:rPr>
          <w:rFonts w:hint="eastAsia" w:ascii="Arial" w:hAnsi="Arial" w:eastAsia="黑体" w:cs="Times New Roman"/>
          <w:b w:val="0"/>
          <w:kern w:val="2"/>
          <w:sz w:val="32"/>
          <w:szCs w:val="32"/>
          <w:highlight w:val="none"/>
          <w:lang w:val="en-US" w:eastAsia="zh-CN"/>
        </w:rPr>
      </w:pPr>
      <w:r>
        <w:rPr>
          <w:rFonts w:hint="eastAsia" w:ascii="宋体" w:hAnsi="宋体" w:eastAsia="宋体" w:cs="宋体"/>
          <w:color w:val="000000"/>
          <w:sz w:val="24"/>
          <w:highlight w:val="none"/>
        </w:rPr>
        <w:br w:type="page"/>
      </w:r>
      <w:bookmarkStart w:id="70" w:name="_Toc15950"/>
      <w:bookmarkStart w:id="71" w:name="_Toc24306"/>
      <w:r>
        <w:rPr>
          <w:rFonts w:hint="eastAsia" w:ascii="Arial" w:hAnsi="Arial" w:eastAsia="黑体" w:cs="Times New Roman"/>
          <w:b w:val="0"/>
          <w:kern w:val="2"/>
          <w:sz w:val="32"/>
          <w:szCs w:val="32"/>
          <w:highlight w:val="none"/>
          <w:lang w:val="en-US" w:eastAsia="zh-CN"/>
        </w:rPr>
        <w:t>附件二：法定代表人身份证明</w:t>
      </w:r>
      <w:bookmarkEnd w:id="70"/>
      <w:bookmarkEnd w:id="71"/>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成立时间：年月 日</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姓名：性别：年龄：职务：系__________________________（供应商名称）的法定代表人。</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before="145" w:beforeLines="50" w:line="46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kern w:val="44"/>
          <w:sz w:val="28"/>
          <w:szCs w:val="28"/>
          <w:highlight w:val="none"/>
          <w:lang w:val="en-US" w:eastAsia="zh-CN" w:bidi="ar-SA"/>
        </w:rPr>
        <w:br w:type="page"/>
      </w:r>
      <w:bookmarkStart w:id="72" w:name="_Toc7468"/>
      <w:r>
        <w:rPr>
          <w:rFonts w:hint="eastAsia" w:ascii="Arial" w:hAnsi="Arial" w:eastAsia="黑体" w:cs="Times New Roman"/>
          <w:b w:val="0"/>
          <w:kern w:val="2"/>
          <w:sz w:val="32"/>
          <w:szCs w:val="32"/>
          <w:highlight w:val="none"/>
          <w:lang w:val="en-US" w:eastAsia="zh-CN" w:bidi="ar-SA"/>
        </w:rPr>
        <w:t>附件三：授权委托书</w:t>
      </w:r>
      <w:bookmarkEnd w:id="72"/>
    </w:p>
    <w:p>
      <w:pPr>
        <w:pStyle w:val="8"/>
        <w:spacing w:after="0" w:line="480" w:lineRule="exact"/>
        <w:jc w:val="center"/>
        <w:rPr>
          <w:rFonts w:hint="eastAsia" w:ascii="宋体" w:hAnsi="宋体" w:eastAsia="宋体" w:cs="宋体"/>
          <w:b/>
          <w:color w:val="000000"/>
          <w:sz w:val="32"/>
          <w:highlight w:val="none"/>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本授权委托书声明：我（姓名）系（供应商名称）的法定代表人，现授权委托（供应商名称）的（姓名）为我方代理人，代理人根据授权，以我方名义签署、澄清、说明、补正、提交、撤回、修改（项目编号：        ）项目的响应文件、签订合同和处理有关事宜，其法律后果由我方承担。</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代理人无转委托权，特此委托．</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7"/>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（附法定代表人身份证复印件人像面）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trPr>
        <w:tc>
          <w:tcPr>
            <w:tcW w:w="256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（附法定代表人身份证复印件国徽面）</w:t>
            </w:r>
          </w:p>
        </w:tc>
        <w:tc>
          <w:tcPr>
            <w:tcW w:w="2436" w:type="pct"/>
            <w:noWrap w:val="0"/>
            <w:vAlign w:val="center"/>
          </w:tcPr>
          <w:p>
            <w:pPr>
              <w:tabs>
                <w:tab w:val="left" w:pos="4581"/>
              </w:tabs>
              <w:spacing w:line="52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（附授权代表身份证复印件国徽面）</w:t>
            </w:r>
          </w:p>
        </w:tc>
      </w:tr>
    </w:tbl>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供应商：（盖章）          </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法定代表人：（签字或盖章）</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授权委托日期： 年 月 日</w:t>
      </w: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p>
    <w:p>
      <w:pPr>
        <w:tabs>
          <w:tab w:val="left" w:pos="1146"/>
        </w:tabs>
        <w:snapToGrid w:val="0"/>
        <w:spacing w:line="480" w:lineRule="exact"/>
        <w:ind w:firstLine="560" w:firstLineChars="20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注：如法定代表人/负责人、自然人参加报价，提供法定代表人/负责人、自然人身份证复印件。</w:t>
      </w: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color w:val="000000"/>
          <w:kern w:val="0"/>
          <w:sz w:val="24"/>
          <w:highlight w:val="none"/>
        </w:rPr>
        <w:br w:type="page"/>
      </w:r>
      <w:bookmarkStart w:id="73" w:name="_Toc23170"/>
      <w:r>
        <w:rPr>
          <w:rFonts w:hint="eastAsia" w:ascii="Arial" w:hAnsi="Arial" w:eastAsia="黑体" w:cs="Times New Roman"/>
          <w:b w:val="0"/>
          <w:kern w:val="2"/>
          <w:sz w:val="32"/>
          <w:szCs w:val="32"/>
          <w:highlight w:val="none"/>
          <w:lang w:val="en-US" w:eastAsia="zh-CN" w:bidi="ar-SA"/>
        </w:rPr>
        <w:t>附件四：报价一览表</w:t>
      </w:r>
      <w:bookmarkEnd w:id="73"/>
    </w:p>
    <w:p>
      <w:pPr>
        <w:pStyle w:val="8"/>
        <w:spacing w:after="0" w:line="480" w:lineRule="exact"/>
        <w:jc w:val="center"/>
        <w:rPr>
          <w:rFonts w:hint="eastAsia" w:ascii="仿宋" w:hAnsi="仿宋" w:eastAsia="仿宋" w:cs="仿宋"/>
          <w:bCs/>
          <w:color w:val="000000"/>
          <w:sz w:val="28"/>
          <w:szCs w:val="28"/>
          <w:highlight w:val="none"/>
        </w:rPr>
      </w:pPr>
      <w:r>
        <w:rPr>
          <w:rFonts w:hint="eastAsia" w:ascii="宋体" w:hAnsi="宋体" w:eastAsia="宋体" w:cs="宋体"/>
          <w:bCs/>
          <w:color w:val="000000"/>
          <w:szCs w:val="24"/>
          <w:highlight w:val="none"/>
        </w:rPr>
        <w:t xml:space="preserve">                                                      </w:t>
      </w:r>
      <w:r>
        <w:rPr>
          <w:rFonts w:hint="eastAsia" w:ascii="仿宋" w:hAnsi="仿宋" w:eastAsia="仿宋" w:cs="仿宋"/>
          <w:bCs/>
          <w:color w:val="000000"/>
          <w:sz w:val="28"/>
          <w:szCs w:val="28"/>
          <w:highlight w:val="none"/>
        </w:rPr>
        <w:t xml:space="preserve">   单位：人民币/元</w:t>
      </w:r>
    </w:p>
    <w:tbl>
      <w:tblPr>
        <w:tblStyle w:val="1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项目名称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货物名称</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产地/品牌/型号（多种产品的仅提供核心产品品牌型号）</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val="en-US" w:eastAsia="zh-CN"/>
              </w:rPr>
              <w:t>磋商前</w:t>
            </w:r>
            <w:r>
              <w:rPr>
                <w:rFonts w:hint="eastAsia" w:ascii="仿宋" w:hAnsi="仿宋" w:eastAsia="仿宋" w:cs="仿宋"/>
                <w:bCs/>
                <w:color w:val="000000"/>
                <w:sz w:val="28"/>
                <w:szCs w:val="28"/>
                <w:highlight w:val="none"/>
              </w:rPr>
              <w:t>报价</w:t>
            </w:r>
          </w:p>
        </w:tc>
        <w:tc>
          <w:tcPr>
            <w:tcW w:w="5707" w:type="dxa"/>
            <w:noWrap w:val="0"/>
            <w:vAlign w:val="center"/>
          </w:tcPr>
          <w:p>
            <w:pPr>
              <w:spacing w:line="380" w:lineRule="exact"/>
              <w:rPr>
                <w:rFonts w:hint="eastAsia" w:ascii="仿宋" w:hAnsi="仿宋" w:eastAsia="仿宋" w:cs="仿宋"/>
                <w:b/>
                <w:color w:val="000000"/>
                <w:sz w:val="28"/>
                <w:szCs w:val="28"/>
                <w:highlight w:val="none"/>
                <w:u w:val="single"/>
              </w:rPr>
            </w:pPr>
            <w:r>
              <w:rPr>
                <w:rFonts w:hint="eastAsia" w:ascii="仿宋" w:hAnsi="仿宋" w:eastAsia="仿宋" w:cs="仿宋"/>
                <w:sz w:val="28"/>
                <w:szCs w:val="28"/>
                <w:highlight w:val="none"/>
              </w:rPr>
              <w:t>总报价：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交付期</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rPr>
              <w:t>合同签订后，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580" w:type="dxa"/>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质保期</w:t>
            </w:r>
          </w:p>
        </w:tc>
        <w:tc>
          <w:tcPr>
            <w:tcW w:w="5707" w:type="dxa"/>
            <w:noWrap w:val="0"/>
            <w:vAlign w:val="center"/>
          </w:tcPr>
          <w:p>
            <w:pPr>
              <w:spacing w:line="380" w:lineRule="exac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580" w:type="dxa"/>
            <w:noWrap w:val="0"/>
            <w:vAlign w:val="center"/>
          </w:tcPr>
          <w:p>
            <w:pPr>
              <w:tabs>
                <w:tab w:val="left" w:pos="1337"/>
              </w:tabs>
              <w:spacing w:line="380" w:lineRule="exact"/>
              <w:ind w:left="240" w:hanging="280" w:hanging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所报产品制造商是否为小微企业、监狱企业、残疾人福利性单位</w:t>
            </w:r>
          </w:p>
        </w:tc>
        <w:tc>
          <w:tcPr>
            <w:tcW w:w="5707" w:type="dxa"/>
            <w:noWrap w:val="0"/>
            <w:vAlign w:val="center"/>
          </w:tcPr>
          <w:p>
            <w:pPr>
              <w:tabs>
                <w:tab w:val="left" w:pos="1337"/>
              </w:tabs>
              <w:spacing w:line="380" w:lineRule="exac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□是    企业类型</w:t>
            </w:r>
            <w:r>
              <w:rPr>
                <w:rFonts w:hint="eastAsia" w:ascii="仿宋" w:hAnsi="仿宋" w:eastAsia="仿宋" w:cs="仿宋"/>
                <w:sz w:val="28"/>
                <w:szCs w:val="28"/>
                <w:highlight w:val="none"/>
                <w:lang w:eastAsia="zh-CN"/>
              </w:rPr>
              <w:t>：</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p>
          <w:p>
            <w:pPr>
              <w:tabs>
                <w:tab w:val="left" w:pos="1337"/>
              </w:tabs>
              <w:spacing w:line="3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供应商对磋商文件的认同情况</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580" w:type="dxa"/>
            <w:noWrap w:val="0"/>
            <w:vAlign w:val="center"/>
          </w:tcPr>
          <w:p>
            <w:pPr>
              <w:spacing w:line="38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备注</w:t>
            </w:r>
          </w:p>
        </w:tc>
        <w:tc>
          <w:tcPr>
            <w:tcW w:w="5707" w:type="dxa"/>
            <w:noWrap w:val="0"/>
            <w:vAlign w:val="center"/>
          </w:tcPr>
          <w:p>
            <w:pPr>
              <w:spacing w:line="380" w:lineRule="exact"/>
              <w:rPr>
                <w:rFonts w:hint="eastAsia" w:ascii="仿宋" w:hAnsi="仿宋" w:eastAsia="仿宋" w:cs="仿宋"/>
                <w:bCs/>
                <w:color w:val="000000"/>
                <w:sz w:val="28"/>
                <w:szCs w:val="28"/>
                <w:highlight w:val="none"/>
              </w:rPr>
            </w:pPr>
          </w:p>
        </w:tc>
      </w:tr>
    </w:tbl>
    <w:p>
      <w:pPr>
        <w:rPr>
          <w:rFonts w:hint="eastAsia" w:ascii="仿宋" w:hAnsi="仿宋" w:eastAsia="仿宋" w:cs="仿宋"/>
          <w:sz w:val="28"/>
          <w:szCs w:val="28"/>
          <w:highlight w:val="none"/>
        </w:rPr>
      </w:pPr>
      <w:r>
        <w:rPr>
          <w:rFonts w:hint="eastAsia" w:ascii="仿宋" w:hAnsi="仿宋" w:eastAsia="仿宋" w:cs="仿宋"/>
          <w:sz w:val="28"/>
          <w:szCs w:val="28"/>
          <w:highlight w:val="none"/>
        </w:rPr>
        <w:t>注：1、本表除需在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文件中装订外，还需另外一式三份单独密封。</w:t>
      </w:r>
    </w:p>
    <w:p>
      <w:pPr>
        <w:ind w:left="560" w:leftChars="200"/>
        <w:rPr>
          <w:rFonts w:hint="eastAsia" w:ascii="仿宋" w:hAnsi="仿宋" w:eastAsia="仿宋" w:cs="仿宋"/>
          <w:sz w:val="28"/>
          <w:szCs w:val="28"/>
          <w:highlight w:val="none"/>
        </w:rPr>
      </w:pPr>
      <w:r>
        <w:rPr>
          <w:rFonts w:hint="eastAsia" w:ascii="仿宋" w:hAnsi="仿宋" w:eastAsia="仿宋" w:cs="仿宋"/>
          <w:sz w:val="28"/>
          <w:szCs w:val="28"/>
          <w:highlight w:val="none"/>
        </w:rPr>
        <w:t>2、本表必须按给定格式填写完整，不允许空白，如无相应内容，填“无”。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pPr>
        <w:ind w:left="2800" w:leftChars="1000"/>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spacing w:line="480" w:lineRule="exact"/>
        <w:ind w:firstLine="703" w:firstLineChars="250"/>
        <w:rPr>
          <w:rFonts w:hint="eastAsia" w:ascii="仿宋" w:hAnsi="仿宋" w:eastAsia="仿宋" w:cs="仿宋"/>
          <w:b/>
          <w:color w:val="000000"/>
          <w:sz w:val="28"/>
          <w:szCs w:val="28"/>
          <w:highlight w:val="none"/>
        </w:rPr>
      </w:pPr>
    </w:p>
    <w:p>
      <w:pPr>
        <w:spacing w:line="480" w:lineRule="exact"/>
        <w:rPr>
          <w:rFonts w:hint="eastAsia" w:ascii="仿宋" w:hAnsi="仿宋" w:eastAsia="仿宋" w:cs="仿宋"/>
          <w:b/>
          <w:color w:val="000000"/>
          <w:sz w:val="28"/>
          <w:szCs w:val="28"/>
          <w:highlight w:val="none"/>
        </w:rPr>
        <w:sectPr>
          <w:footerReference r:id="rId8" w:type="first"/>
          <w:footerReference r:id="rId7" w:type="default"/>
          <w:pgSz w:w="11907" w:h="16840"/>
          <w:pgMar w:top="1304" w:right="1213" w:bottom="1157" w:left="1418" w:header="851" w:footer="851" w:gutter="0"/>
          <w:pgNumType w:fmt="numberInDash" w:start="1"/>
          <w:cols w:space="720" w:num="1"/>
          <w:docGrid w:type="lines" w:linePitch="290" w:charSpace="-3931"/>
        </w:sectPr>
      </w:pP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4" w:name="_Toc8355"/>
      <w:r>
        <w:rPr>
          <w:rFonts w:hint="eastAsia" w:ascii="Arial" w:hAnsi="Arial" w:eastAsia="黑体" w:cs="Times New Roman"/>
          <w:b w:val="0"/>
          <w:kern w:val="2"/>
          <w:sz w:val="32"/>
          <w:szCs w:val="32"/>
          <w:highlight w:val="none"/>
          <w:lang w:val="en-US" w:eastAsia="zh-CN" w:bidi="ar-SA"/>
        </w:rPr>
        <w:t>附件五：报价明细表</w:t>
      </w:r>
      <w:bookmarkEnd w:id="74"/>
    </w:p>
    <w:p>
      <w:pPr>
        <w:tabs>
          <w:tab w:val="left" w:pos="1785"/>
        </w:tabs>
        <w:spacing w:line="480" w:lineRule="exact"/>
        <w:rPr>
          <w:rFonts w:hint="eastAsia" w:ascii="仿宋" w:hAnsi="仿宋" w:eastAsia="仿宋" w:cs="仿宋"/>
          <w:color w:val="000000"/>
          <w:sz w:val="28"/>
          <w:szCs w:val="28"/>
          <w:highlight w:val="none"/>
        </w:rPr>
      </w:pPr>
      <w:bookmarkStart w:id="75" w:name="OLE_LINK3"/>
      <w:bookmarkStart w:id="76" w:name="OLE_LINK4"/>
      <w:r>
        <w:rPr>
          <w:rFonts w:hint="eastAsia" w:ascii="仿宋" w:hAnsi="仿宋" w:eastAsia="仿宋" w:cs="仿宋"/>
          <w:b/>
          <w:color w:val="000000"/>
          <w:sz w:val="28"/>
          <w:szCs w:val="28"/>
          <w:highlight w:val="none"/>
        </w:rPr>
        <w:t>项目名称 :                                                                                报价货币：</w:t>
      </w:r>
      <w:r>
        <w:rPr>
          <w:rFonts w:hint="eastAsia" w:ascii="仿宋" w:hAnsi="仿宋" w:eastAsia="仿宋" w:cs="仿宋"/>
          <w:color w:val="000000"/>
          <w:sz w:val="28"/>
          <w:szCs w:val="28"/>
          <w:highlight w:val="none"/>
        </w:rPr>
        <w:t xml:space="preserve"> 人民币/元</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197"/>
        <w:gridCol w:w="1611"/>
        <w:gridCol w:w="1649"/>
        <w:gridCol w:w="1086"/>
        <w:gridCol w:w="724"/>
        <w:gridCol w:w="1080"/>
        <w:gridCol w:w="756"/>
        <w:gridCol w:w="972"/>
        <w:gridCol w:w="864"/>
        <w:gridCol w:w="1191"/>
        <w:gridCol w:w="118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410"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名称</w:t>
            </w:r>
          </w:p>
        </w:tc>
        <w:tc>
          <w:tcPr>
            <w:tcW w:w="55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w:t>
            </w:r>
          </w:p>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型号</w:t>
            </w:r>
          </w:p>
        </w:tc>
        <w:tc>
          <w:tcPr>
            <w:tcW w:w="565"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制造商/品牌</w:t>
            </w:r>
          </w:p>
        </w:tc>
        <w:tc>
          <w:tcPr>
            <w:tcW w:w="372"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618"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货物价</w:t>
            </w:r>
          </w:p>
        </w:tc>
        <w:tc>
          <w:tcPr>
            <w:tcW w:w="592"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运杂费</w:t>
            </w:r>
          </w:p>
        </w:tc>
        <w:tc>
          <w:tcPr>
            <w:tcW w:w="704" w:type="pct"/>
            <w:gridSpan w:val="2"/>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安装调试费</w:t>
            </w:r>
          </w:p>
        </w:tc>
        <w:tc>
          <w:tcPr>
            <w:tcW w:w="407"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培训费</w:t>
            </w:r>
          </w:p>
        </w:tc>
        <w:tc>
          <w:tcPr>
            <w:tcW w:w="444" w:type="pct"/>
            <w:vMerge w:val="restar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334"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vMerge w:val="continue"/>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565"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372" w:type="pct"/>
            <w:vMerge w:val="continue"/>
            <w:noWrap w:val="0"/>
            <w:vAlign w:val="top"/>
          </w:tcPr>
          <w:p>
            <w:pPr>
              <w:spacing w:line="380" w:lineRule="exact"/>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小计价</w:t>
            </w:r>
          </w:p>
        </w:tc>
        <w:tc>
          <w:tcPr>
            <w:tcW w:w="407"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c>
          <w:tcPr>
            <w:tcW w:w="444" w:type="pct"/>
            <w:vMerge w:val="continue"/>
            <w:noWrap w:val="0"/>
            <w:vAlign w:val="top"/>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1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5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565"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2"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48"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70"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59"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333"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296"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07" w:type="pct"/>
            <w:noWrap w:val="0"/>
            <w:vAlign w:val="center"/>
          </w:tcPr>
          <w:p>
            <w:pPr>
              <w:spacing w:line="380" w:lineRule="exact"/>
              <w:jc w:val="center"/>
              <w:rPr>
                <w:rFonts w:hint="eastAsia" w:ascii="仿宋" w:hAnsi="仿宋" w:eastAsia="仿宋" w:cs="仿宋"/>
                <w:color w:val="000000"/>
                <w:sz w:val="28"/>
                <w:szCs w:val="28"/>
                <w:highlight w:val="none"/>
              </w:rPr>
            </w:pPr>
          </w:p>
        </w:tc>
        <w:tc>
          <w:tcPr>
            <w:tcW w:w="444" w:type="pct"/>
            <w:noWrap w:val="0"/>
            <w:vAlign w:val="center"/>
          </w:tcPr>
          <w:p>
            <w:pPr>
              <w:spacing w:line="380" w:lineRule="exact"/>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334" w:type="pct"/>
            <w:noWrap w:val="0"/>
            <w:vAlign w:val="center"/>
          </w:tcPr>
          <w:p>
            <w:pPr>
              <w:spacing w:line="38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总报价</w:t>
            </w:r>
          </w:p>
        </w:tc>
        <w:tc>
          <w:tcPr>
            <w:tcW w:w="4666" w:type="pct"/>
            <w:gridSpan w:val="12"/>
            <w:noWrap w:val="0"/>
            <w:vAlign w:val="top"/>
          </w:tcPr>
          <w:p>
            <w:pPr>
              <w:widowControl/>
              <w:spacing w:line="380" w:lineRule="exact"/>
              <w:jc w:val="left"/>
              <w:rPr>
                <w:rFonts w:hint="eastAsia" w:ascii="仿宋" w:hAnsi="仿宋" w:eastAsia="仿宋" w:cs="仿宋"/>
                <w:color w:val="000000"/>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  年 月 日</w:t>
      </w:r>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 包中货物应全部分项报价(根据技术要求中清单内容及数量进行分项报价)；</w:t>
      </w:r>
    </w:p>
    <w:bookmarkEnd w:id="75"/>
    <w:bookmarkEnd w:id="76"/>
    <w:p>
      <w:pPr>
        <w:spacing w:line="480" w:lineRule="exact"/>
        <w:ind w:firstLine="640" w:firstLineChars="245"/>
        <w:rPr>
          <w:rFonts w:hint="eastAsia" w:ascii="仿宋" w:hAnsi="仿宋" w:eastAsia="仿宋" w:cs="仿宋"/>
          <w:color w:val="000000"/>
          <w:sz w:val="28"/>
          <w:szCs w:val="28"/>
          <w:highlight w:val="none"/>
        </w:rPr>
        <w:sectPr>
          <w:type w:val="continuous"/>
          <w:pgSz w:w="16840" w:h="11907" w:orient="landscape"/>
          <w:pgMar w:top="1418" w:right="1304" w:bottom="1418" w:left="1157" w:header="851" w:footer="851" w:gutter="0"/>
          <w:pgNumType w:fmt="numberInDash"/>
          <w:cols w:space="720" w:num="1"/>
          <w:docGrid w:type="linesAndChars" w:linePitch="290" w:charSpace="-3931"/>
        </w:sectPr>
      </w:pP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77" w:name="_Toc24899"/>
      <w:r>
        <w:rPr>
          <w:rFonts w:hint="eastAsia" w:ascii="Arial" w:hAnsi="Arial" w:eastAsia="黑体" w:cs="Times New Roman"/>
          <w:b w:val="0"/>
          <w:kern w:val="2"/>
          <w:sz w:val="32"/>
          <w:szCs w:val="32"/>
          <w:highlight w:val="none"/>
          <w:lang w:val="en-US" w:eastAsia="zh-CN" w:bidi="ar-SA"/>
        </w:rPr>
        <w:t>附件六：技术规格响应/偏离表</w:t>
      </w:r>
      <w:bookmarkEnd w:id="77"/>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35"/>
        <w:gridCol w:w="1194"/>
        <w:gridCol w:w="1893"/>
        <w:gridCol w:w="1694"/>
        <w:gridCol w:w="134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7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货物名称</w:t>
            </w:r>
          </w:p>
        </w:tc>
        <w:tc>
          <w:tcPr>
            <w:tcW w:w="643"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0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采购规格</w:t>
            </w:r>
          </w:p>
        </w:tc>
        <w:tc>
          <w:tcPr>
            <w:tcW w:w="91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报价规格</w:t>
            </w:r>
          </w:p>
        </w:tc>
        <w:tc>
          <w:tcPr>
            <w:tcW w:w="722"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52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8" w:type="pct"/>
            <w:noWrap w:val="0"/>
            <w:vAlign w:val="center"/>
          </w:tcPr>
          <w:p>
            <w:pPr>
              <w:jc w:val="center"/>
              <w:rPr>
                <w:rFonts w:hint="eastAsia" w:ascii="仿宋" w:hAnsi="仿宋" w:eastAsia="仿宋" w:cs="仿宋"/>
                <w:sz w:val="28"/>
                <w:szCs w:val="28"/>
                <w:highlight w:val="none"/>
              </w:rPr>
            </w:pPr>
          </w:p>
        </w:tc>
        <w:tc>
          <w:tcPr>
            <w:tcW w:w="719" w:type="pct"/>
            <w:noWrap w:val="0"/>
            <w:vAlign w:val="center"/>
          </w:tcPr>
          <w:p>
            <w:pPr>
              <w:jc w:val="center"/>
              <w:rPr>
                <w:rFonts w:hint="eastAsia" w:ascii="仿宋" w:hAnsi="仿宋" w:eastAsia="仿宋" w:cs="仿宋"/>
                <w:sz w:val="28"/>
                <w:szCs w:val="28"/>
                <w:highlight w:val="none"/>
              </w:rPr>
            </w:pPr>
          </w:p>
        </w:tc>
        <w:tc>
          <w:tcPr>
            <w:tcW w:w="643" w:type="pct"/>
            <w:noWrap w:val="0"/>
            <w:vAlign w:val="center"/>
          </w:tcPr>
          <w:p>
            <w:pPr>
              <w:jc w:val="center"/>
              <w:rPr>
                <w:rFonts w:hint="eastAsia" w:ascii="仿宋" w:hAnsi="仿宋" w:eastAsia="仿宋" w:cs="仿宋"/>
                <w:sz w:val="28"/>
                <w:szCs w:val="28"/>
                <w:highlight w:val="none"/>
              </w:rPr>
            </w:pPr>
          </w:p>
        </w:tc>
        <w:tc>
          <w:tcPr>
            <w:tcW w:w="1019" w:type="pct"/>
            <w:noWrap w:val="0"/>
            <w:vAlign w:val="center"/>
          </w:tcPr>
          <w:p>
            <w:pPr>
              <w:jc w:val="center"/>
              <w:rPr>
                <w:rFonts w:hint="eastAsia" w:ascii="仿宋" w:hAnsi="仿宋" w:eastAsia="仿宋" w:cs="仿宋"/>
                <w:sz w:val="28"/>
                <w:szCs w:val="28"/>
                <w:highlight w:val="none"/>
              </w:rPr>
            </w:pPr>
          </w:p>
        </w:tc>
        <w:tc>
          <w:tcPr>
            <w:tcW w:w="912" w:type="pct"/>
            <w:noWrap w:val="0"/>
            <w:vAlign w:val="center"/>
          </w:tcPr>
          <w:p>
            <w:pPr>
              <w:jc w:val="center"/>
              <w:rPr>
                <w:rFonts w:hint="eastAsia" w:ascii="仿宋" w:hAnsi="仿宋" w:eastAsia="仿宋" w:cs="仿宋"/>
                <w:sz w:val="28"/>
                <w:szCs w:val="28"/>
                <w:highlight w:val="none"/>
              </w:rPr>
            </w:pPr>
          </w:p>
        </w:tc>
        <w:tc>
          <w:tcPr>
            <w:tcW w:w="722" w:type="pct"/>
            <w:noWrap w:val="0"/>
            <w:vAlign w:val="center"/>
          </w:tcPr>
          <w:p>
            <w:pPr>
              <w:jc w:val="center"/>
              <w:rPr>
                <w:rFonts w:hint="eastAsia" w:ascii="仿宋" w:hAnsi="仿宋" w:eastAsia="仿宋" w:cs="仿宋"/>
                <w:sz w:val="28"/>
                <w:szCs w:val="28"/>
                <w:highlight w:val="none"/>
              </w:rPr>
            </w:pPr>
          </w:p>
        </w:tc>
        <w:tc>
          <w:tcPr>
            <w:tcW w:w="527" w:type="pct"/>
            <w:noWrap w:val="0"/>
            <w:vAlign w:val="center"/>
          </w:tcPr>
          <w:p>
            <w:pPr>
              <w:jc w:val="center"/>
              <w:rPr>
                <w:rFonts w:hint="eastAsia" w:ascii="仿宋" w:hAnsi="仿宋" w:eastAsia="仿宋" w:cs="仿宋"/>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7"/>
        <w:wordWrap w:val="0"/>
        <w:spacing w:before="0" w:after="0" w:line="480" w:lineRule="exact"/>
        <w:ind w:right="72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z w:val="28"/>
          <w:szCs w:val="28"/>
          <w:highlight w:val="none"/>
        </w:rPr>
        <w:br w:type="page"/>
      </w:r>
      <w:bookmarkStart w:id="78" w:name="_Toc32268"/>
      <w:r>
        <w:rPr>
          <w:rFonts w:hint="eastAsia" w:ascii="Arial" w:hAnsi="Arial" w:eastAsia="黑体" w:cs="Times New Roman"/>
          <w:b w:val="0"/>
          <w:kern w:val="2"/>
          <w:sz w:val="32"/>
          <w:szCs w:val="32"/>
          <w:highlight w:val="none"/>
          <w:lang w:val="en-US" w:eastAsia="zh-CN" w:bidi="ar-SA"/>
        </w:rPr>
        <w:t>附件七:商务条款响应/偏离表</w:t>
      </w:r>
      <w:bookmarkEnd w:id="78"/>
    </w:p>
    <w:p>
      <w:pPr>
        <w:spacing w:line="48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698"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磋商文件条目号</w:t>
            </w:r>
          </w:p>
        </w:tc>
        <w:tc>
          <w:tcPr>
            <w:tcW w:w="1266"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磋商文件商务条款</w:t>
            </w:r>
          </w:p>
        </w:tc>
        <w:tc>
          <w:tcPr>
            <w:tcW w:w="131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响应文件商务条款</w:t>
            </w:r>
          </w:p>
        </w:tc>
        <w:tc>
          <w:tcPr>
            <w:tcW w:w="759"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响应/偏离</w:t>
            </w:r>
          </w:p>
        </w:tc>
        <w:tc>
          <w:tcPr>
            <w:tcW w:w="497" w:type="pct"/>
            <w:noWrap w:val="0"/>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61" w:type="pct"/>
            <w:noWrap w:val="0"/>
            <w:vAlign w:val="center"/>
          </w:tcPr>
          <w:p>
            <w:pPr>
              <w:jc w:val="center"/>
              <w:rPr>
                <w:rFonts w:hint="eastAsia" w:ascii="仿宋" w:hAnsi="仿宋" w:eastAsia="仿宋" w:cs="仿宋"/>
                <w:sz w:val="28"/>
                <w:szCs w:val="28"/>
                <w:highlight w:val="none"/>
              </w:rPr>
            </w:pPr>
          </w:p>
        </w:tc>
        <w:tc>
          <w:tcPr>
            <w:tcW w:w="698" w:type="pct"/>
            <w:noWrap w:val="0"/>
            <w:vAlign w:val="center"/>
          </w:tcPr>
          <w:p>
            <w:pPr>
              <w:jc w:val="center"/>
              <w:rPr>
                <w:rFonts w:hint="eastAsia" w:ascii="仿宋" w:hAnsi="仿宋" w:eastAsia="仿宋" w:cs="仿宋"/>
                <w:sz w:val="28"/>
                <w:szCs w:val="28"/>
                <w:highlight w:val="none"/>
              </w:rPr>
            </w:pPr>
          </w:p>
        </w:tc>
        <w:tc>
          <w:tcPr>
            <w:tcW w:w="1266" w:type="pct"/>
            <w:noWrap w:val="0"/>
            <w:vAlign w:val="center"/>
          </w:tcPr>
          <w:p>
            <w:pPr>
              <w:jc w:val="center"/>
              <w:rPr>
                <w:rFonts w:hint="eastAsia" w:ascii="仿宋" w:hAnsi="仿宋" w:eastAsia="仿宋" w:cs="仿宋"/>
                <w:sz w:val="28"/>
                <w:szCs w:val="28"/>
                <w:highlight w:val="none"/>
              </w:rPr>
            </w:pPr>
          </w:p>
        </w:tc>
        <w:tc>
          <w:tcPr>
            <w:tcW w:w="1319" w:type="pct"/>
            <w:noWrap w:val="0"/>
            <w:vAlign w:val="center"/>
          </w:tcPr>
          <w:p>
            <w:pPr>
              <w:jc w:val="center"/>
              <w:rPr>
                <w:rFonts w:hint="eastAsia" w:ascii="仿宋" w:hAnsi="仿宋" w:eastAsia="仿宋" w:cs="仿宋"/>
                <w:sz w:val="28"/>
                <w:szCs w:val="28"/>
                <w:highlight w:val="none"/>
              </w:rPr>
            </w:pPr>
          </w:p>
        </w:tc>
        <w:tc>
          <w:tcPr>
            <w:tcW w:w="759" w:type="pct"/>
            <w:noWrap w:val="0"/>
            <w:vAlign w:val="center"/>
          </w:tcPr>
          <w:p>
            <w:pPr>
              <w:jc w:val="center"/>
              <w:rPr>
                <w:rFonts w:hint="eastAsia" w:ascii="仿宋" w:hAnsi="仿宋" w:eastAsia="仿宋" w:cs="仿宋"/>
                <w:sz w:val="28"/>
                <w:szCs w:val="28"/>
                <w:highlight w:val="none"/>
              </w:rPr>
            </w:pPr>
          </w:p>
        </w:tc>
        <w:tc>
          <w:tcPr>
            <w:tcW w:w="497" w:type="pct"/>
            <w:noWrap w:val="0"/>
            <w:vAlign w:val="center"/>
          </w:tcPr>
          <w:p>
            <w:pPr>
              <w:jc w:val="center"/>
              <w:rPr>
                <w:rFonts w:hint="eastAsia" w:ascii="仿宋" w:hAnsi="仿宋" w:eastAsia="仿宋" w:cs="仿宋"/>
                <w:sz w:val="28"/>
                <w:szCs w:val="28"/>
                <w:highlight w:val="none"/>
              </w:rPr>
            </w:pPr>
          </w:p>
        </w:tc>
      </w:tr>
    </w:tbl>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pPr>
        <w:pStyle w:val="21"/>
        <w:spacing w:before="240" w:line="480" w:lineRule="exact"/>
        <w:ind w:firstLine="0" w:firstLineChars="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授权代表（签字或盖章）：</w:t>
      </w:r>
    </w:p>
    <w:p>
      <w:pPr>
        <w:pStyle w:val="7"/>
        <w:wordWrap w:val="0"/>
        <w:spacing w:before="0" w:after="0" w:line="480" w:lineRule="exact"/>
        <w:ind w:right="480"/>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b/>
          <w:sz w:val="28"/>
          <w:szCs w:val="28"/>
          <w:highlight w:val="none"/>
        </w:rPr>
        <w:br w:type="page"/>
      </w:r>
      <w:bookmarkStart w:id="79" w:name="_Toc1189"/>
      <w:r>
        <w:rPr>
          <w:rFonts w:hint="eastAsia" w:ascii="Arial" w:hAnsi="Arial" w:eastAsia="黑体" w:cs="Times New Roman"/>
          <w:b w:val="0"/>
          <w:kern w:val="2"/>
          <w:sz w:val="32"/>
          <w:szCs w:val="32"/>
          <w:highlight w:val="none"/>
          <w:lang w:val="en-US" w:eastAsia="zh-CN" w:bidi="ar-SA"/>
        </w:rPr>
        <w:t>附件八：产品性能描述一览表</w:t>
      </w:r>
      <w:bookmarkEnd w:id="79"/>
    </w:p>
    <w:p>
      <w:pPr>
        <w:spacing w:line="36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7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产品名称</w:t>
            </w:r>
          </w:p>
        </w:tc>
        <w:tc>
          <w:tcPr>
            <w:tcW w:w="680"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规格型号</w:t>
            </w:r>
          </w:p>
        </w:tc>
        <w:tc>
          <w:tcPr>
            <w:tcW w:w="261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技术性能描述</w:t>
            </w:r>
          </w:p>
        </w:tc>
        <w:tc>
          <w:tcPr>
            <w:tcW w:w="52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p>
        </w:tc>
        <w:tc>
          <w:tcPr>
            <w:tcW w:w="725" w:type="pct"/>
            <w:noWrap w:val="0"/>
            <w:vAlign w:val="center"/>
          </w:tcPr>
          <w:p>
            <w:pPr>
              <w:jc w:val="center"/>
              <w:rPr>
                <w:rFonts w:hint="eastAsia" w:ascii="仿宋" w:hAnsi="仿宋" w:eastAsia="仿宋" w:cs="仿宋"/>
                <w:color w:val="000000"/>
                <w:sz w:val="28"/>
                <w:szCs w:val="28"/>
                <w:highlight w:val="none"/>
              </w:rPr>
            </w:pPr>
          </w:p>
        </w:tc>
        <w:tc>
          <w:tcPr>
            <w:tcW w:w="680" w:type="pct"/>
            <w:noWrap w:val="0"/>
            <w:vAlign w:val="center"/>
          </w:tcPr>
          <w:p>
            <w:pPr>
              <w:jc w:val="center"/>
              <w:rPr>
                <w:rFonts w:hint="eastAsia" w:ascii="仿宋" w:hAnsi="仿宋" w:eastAsia="仿宋" w:cs="仿宋"/>
                <w:color w:val="000000"/>
                <w:sz w:val="28"/>
                <w:szCs w:val="28"/>
                <w:highlight w:val="none"/>
              </w:rPr>
            </w:pPr>
          </w:p>
        </w:tc>
        <w:tc>
          <w:tcPr>
            <w:tcW w:w="2615" w:type="pct"/>
            <w:noWrap w:val="0"/>
            <w:vAlign w:val="center"/>
          </w:tcPr>
          <w:p>
            <w:pPr>
              <w:jc w:val="center"/>
              <w:rPr>
                <w:rFonts w:hint="eastAsia" w:ascii="仿宋" w:hAnsi="仿宋" w:eastAsia="仿宋" w:cs="仿宋"/>
                <w:color w:val="000000"/>
                <w:sz w:val="28"/>
                <w:szCs w:val="28"/>
                <w:highlight w:val="none"/>
              </w:rPr>
            </w:pPr>
          </w:p>
        </w:tc>
        <w:tc>
          <w:tcPr>
            <w:tcW w:w="525" w:type="pct"/>
            <w:noWrap w:val="0"/>
            <w:vAlign w:val="center"/>
          </w:tcPr>
          <w:p>
            <w:pPr>
              <w:jc w:val="center"/>
              <w:rPr>
                <w:rFonts w:hint="eastAsia" w:ascii="仿宋" w:hAnsi="仿宋" w:eastAsia="仿宋" w:cs="仿宋"/>
                <w:color w:val="000000"/>
                <w:sz w:val="28"/>
                <w:szCs w:val="28"/>
                <w:highlight w:val="none"/>
              </w:rPr>
            </w:pPr>
          </w:p>
        </w:tc>
      </w:tr>
    </w:tbl>
    <w:p>
      <w:pPr>
        <w:spacing w:line="480" w:lineRule="exact"/>
        <w:outlineLvl w:val="9"/>
        <w:rPr>
          <w:rFonts w:hint="eastAsia" w:ascii="仿宋" w:hAnsi="仿宋" w:eastAsia="仿宋" w:cs="仿宋"/>
          <w:color w:val="000000"/>
          <w:sz w:val="28"/>
          <w:szCs w:val="28"/>
          <w:highlight w:val="none"/>
        </w:rPr>
      </w:pPr>
      <w:r>
        <w:rPr>
          <w:rFonts w:hint="eastAsia" w:ascii="仿宋" w:hAnsi="仿宋" w:eastAsia="仿宋" w:cs="仿宋"/>
          <w:b/>
          <w:color w:val="000000"/>
          <w:sz w:val="28"/>
          <w:szCs w:val="28"/>
          <w:highlight w:val="none"/>
        </w:rPr>
        <w:t>注:本表后附无法在线提供的产品相关证明材料。</w:t>
      </w:r>
    </w:p>
    <w:p>
      <w:pPr>
        <w:spacing w:line="480" w:lineRule="exact"/>
        <w:jc w:val="center"/>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80" w:name="_Toc12078"/>
      <w:r>
        <w:rPr>
          <w:rFonts w:hint="eastAsia" w:ascii="Arial" w:hAnsi="Arial" w:eastAsia="黑体" w:cs="Times New Roman"/>
          <w:b w:val="0"/>
          <w:kern w:val="2"/>
          <w:sz w:val="32"/>
          <w:szCs w:val="32"/>
          <w:highlight w:val="none"/>
          <w:lang w:val="en-US" w:eastAsia="zh-CN" w:bidi="ar-SA"/>
        </w:rPr>
        <w:t>附件九：质保期外备品备件、易损件、专用工具报价表</w:t>
      </w:r>
      <w:bookmarkEnd w:id="80"/>
    </w:p>
    <w:p>
      <w:pPr>
        <w:pStyle w:val="4"/>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81" w:name="_Toc13571"/>
      <w:r>
        <w:rPr>
          <w:rFonts w:hint="eastAsia" w:ascii="Arial" w:hAnsi="Arial" w:eastAsia="黑体" w:cs="Times New Roman"/>
          <w:b w:val="0"/>
          <w:kern w:val="2"/>
          <w:sz w:val="36"/>
          <w:szCs w:val="28"/>
          <w:highlight w:val="none"/>
          <w:lang w:val="en-US" w:eastAsia="zh-CN" w:bidi="ar-SA"/>
        </w:rPr>
        <w:t>（格式自定）</w:t>
      </w:r>
      <w:bookmarkEnd w:id="81"/>
    </w:p>
    <w:p>
      <w:pPr>
        <w:pStyle w:val="4"/>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4"/>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p>
    <w:p>
      <w:pPr>
        <w:pStyle w:val="4"/>
        <w:spacing w:before="0" w:after="0" w:line="580" w:lineRule="exact"/>
        <w:jc w:val="center"/>
        <w:outlineLvl w:val="1"/>
        <w:rPr>
          <w:rFonts w:hint="eastAsia" w:ascii="Arial" w:hAnsi="Arial" w:eastAsia="黑体" w:cs="Times New Roman"/>
          <w:b w:val="0"/>
          <w:kern w:val="2"/>
          <w:sz w:val="32"/>
          <w:szCs w:val="32"/>
          <w:highlight w:val="none"/>
          <w:lang w:val="en-US" w:eastAsia="zh-CN" w:bidi="ar-SA"/>
        </w:rPr>
      </w:pPr>
      <w:bookmarkStart w:id="82" w:name="_Toc4580"/>
      <w:r>
        <w:rPr>
          <w:rFonts w:hint="eastAsia" w:ascii="Arial" w:hAnsi="Arial" w:eastAsia="黑体" w:cs="Times New Roman"/>
          <w:b w:val="0"/>
          <w:kern w:val="2"/>
          <w:sz w:val="32"/>
          <w:szCs w:val="32"/>
          <w:highlight w:val="none"/>
          <w:lang w:val="en-US" w:eastAsia="zh-CN" w:bidi="ar-SA"/>
        </w:rPr>
        <w:t>附件十：与所报设备配套耗材、试剂的价格表（如果有）</w:t>
      </w:r>
      <w:bookmarkEnd w:id="82"/>
    </w:p>
    <w:p>
      <w:pPr>
        <w:pStyle w:val="4"/>
        <w:spacing w:before="0" w:after="0" w:line="580" w:lineRule="exact"/>
        <w:jc w:val="center"/>
        <w:outlineLvl w:val="1"/>
        <w:rPr>
          <w:rFonts w:hint="eastAsia" w:ascii="Arial" w:hAnsi="Arial" w:eastAsia="黑体" w:cs="Times New Roman"/>
          <w:b w:val="0"/>
          <w:kern w:val="2"/>
          <w:sz w:val="36"/>
          <w:szCs w:val="28"/>
          <w:highlight w:val="none"/>
          <w:lang w:val="en-US" w:eastAsia="zh-CN" w:bidi="ar-SA"/>
        </w:rPr>
      </w:pPr>
      <w:bookmarkStart w:id="83" w:name="_Toc29714"/>
      <w:r>
        <w:rPr>
          <w:rFonts w:hint="eastAsia" w:ascii="Arial" w:hAnsi="Arial" w:eastAsia="黑体" w:cs="Times New Roman"/>
          <w:b w:val="0"/>
          <w:kern w:val="2"/>
          <w:sz w:val="36"/>
          <w:szCs w:val="28"/>
          <w:highlight w:val="none"/>
          <w:lang w:val="en-US" w:eastAsia="zh-CN" w:bidi="ar-SA"/>
        </w:rPr>
        <w:t>（格式自定）</w:t>
      </w:r>
      <w:bookmarkEnd w:id="83"/>
    </w:p>
    <w:p>
      <w:pPr>
        <w:pStyle w:val="4"/>
        <w:spacing w:before="0" w:after="0" w:line="580" w:lineRule="exact"/>
        <w:jc w:val="center"/>
        <w:outlineLvl w:val="1"/>
        <w:rPr>
          <w:rFonts w:hint="eastAsia" w:ascii="宋体" w:hAnsi="宋体" w:eastAsia="宋体" w:cs="宋体"/>
          <w:sz w:val="32"/>
          <w:szCs w:val="32"/>
          <w:highlight w:val="none"/>
        </w:rPr>
      </w:pPr>
      <w:r>
        <w:rPr>
          <w:rFonts w:hint="eastAsia" w:ascii="宋体" w:hAnsi="宋体" w:eastAsia="宋体" w:cs="宋体"/>
          <w:sz w:val="28"/>
          <w:szCs w:val="28"/>
          <w:highlight w:val="none"/>
        </w:rPr>
        <w:br w:type="page"/>
      </w:r>
      <w:bookmarkStart w:id="84" w:name="_Toc22346"/>
      <w:r>
        <w:rPr>
          <w:rFonts w:hint="eastAsia" w:ascii="Arial" w:hAnsi="Arial" w:eastAsia="黑体" w:cs="Times New Roman"/>
          <w:b w:val="0"/>
          <w:kern w:val="2"/>
          <w:sz w:val="32"/>
          <w:szCs w:val="32"/>
          <w:highlight w:val="none"/>
          <w:lang w:val="en-US" w:eastAsia="zh-CN" w:bidi="ar-SA"/>
        </w:rPr>
        <w:t>附件十一：维保方案及维保费用报价表</w:t>
      </w:r>
      <w:bookmarkEnd w:id="84"/>
    </w:p>
    <w:p>
      <w:pPr>
        <w:rPr>
          <w:rFonts w:hint="eastAsia" w:ascii="仿宋" w:hAnsi="仿宋" w:eastAsia="仿宋" w:cs="仿宋"/>
          <w:sz w:val="28"/>
          <w:szCs w:val="28"/>
          <w:highlight w:val="none"/>
        </w:rPr>
      </w:pPr>
      <w:r>
        <w:rPr>
          <w:rFonts w:hint="eastAsia" w:ascii="仿宋" w:hAnsi="仿宋" w:eastAsia="仿宋" w:cs="仿宋"/>
          <w:sz w:val="28"/>
          <w:szCs w:val="28"/>
          <w:highlight w:val="none"/>
        </w:rPr>
        <w:t>保修期内、外维护方案及报价</w:t>
      </w:r>
    </w:p>
    <w:tbl>
      <w:tblPr>
        <w:tblStyle w:val="1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noWrap w:val="0"/>
            <w:vAlign w:val="top"/>
          </w:tcPr>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1、服务范围</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2、服务期限</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3、服务内容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4、甲乙双方负责的内容</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5、保修响应（在满足采购要求的情况下竞报）</w:t>
            </w:r>
          </w:p>
          <w:p>
            <w:p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exact"/>
        </w:trPr>
        <w:tc>
          <w:tcPr>
            <w:tcW w:w="9570" w:type="dxa"/>
            <w:noWrap w:val="0"/>
            <w:vAlign w:val="top"/>
          </w:tcPr>
          <w:p>
            <w:pPr>
              <w:numPr>
                <w:ilvl w:val="0"/>
                <w:numId w:val="11"/>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保修期内维保费用报价明细：（格式自定）</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numPr>
                <w:ilvl w:val="0"/>
                <w:numId w:val="11"/>
              </w:numPr>
              <w:spacing w:line="44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保修期外维保费用报价明细：（格式自定，含需购买的附件和零配件的价格）</w:t>
            </w: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p>
            <w:pPr>
              <w:spacing w:line="440" w:lineRule="exact"/>
              <w:rPr>
                <w:rFonts w:hint="eastAsia" w:ascii="仿宋" w:hAnsi="仿宋" w:eastAsia="仿宋" w:cs="仿宋"/>
                <w:color w:val="000000"/>
                <w:sz w:val="28"/>
                <w:szCs w:val="28"/>
                <w:highlight w:val="none"/>
              </w:rPr>
            </w:pPr>
          </w:p>
        </w:tc>
      </w:tr>
    </w:tbl>
    <w:p>
      <w:pPr>
        <w:spacing w:line="52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注：1、保修期内维保费用包含在本次报价中；</w:t>
      </w:r>
    </w:p>
    <w:p>
      <w:pPr>
        <w:spacing w:line="52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2、保修期外维保费用不包含在本次报价中。</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color w:val="000000"/>
          <w:sz w:val="28"/>
          <w:szCs w:val="28"/>
          <w:highlight w:val="none"/>
        </w:rPr>
        <w:br w:type="page"/>
      </w:r>
      <w:bookmarkStart w:id="85" w:name="_Toc29643"/>
      <w:r>
        <w:rPr>
          <w:rFonts w:hint="eastAsia" w:ascii="Arial" w:hAnsi="Arial" w:eastAsia="黑体" w:cs="Times New Roman"/>
          <w:b w:val="0"/>
          <w:kern w:val="2"/>
          <w:sz w:val="32"/>
          <w:szCs w:val="32"/>
          <w:highlight w:val="none"/>
          <w:lang w:val="en-US" w:eastAsia="zh-CN" w:bidi="ar-SA"/>
        </w:rPr>
        <w:t>附件十二：证明文件格式（参考）</w:t>
      </w:r>
      <w:bookmarkEnd w:id="85"/>
    </w:p>
    <w:p>
      <w:pPr>
        <w:pStyle w:val="2"/>
        <w:rPr>
          <w:rFonts w:hint="eastAsia"/>
          <w:highlight w:val="none"/>
        </w:rPr>
      </w:pP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供应商应提供能够证明符合资格条件的下列材料：</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（1）供应商须具有独立承担民事责任的能力，向采购人提供服务的法人、其他组织或自然人，须提供相关证明材料，其中：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供应商是企业（包括合伙企业）的，应提供其在市场监督管理局注册的有效“企业法人营业执照”或“营业执照”的复印件；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供应商是事业单位的，应提供其有效的“事业单位法人证书”复印件；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供应商是非企业专业服务机构的，应提供其有效的执业许可证复印件；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供应商是个体工商户的，应提供其有效的“个体工商户营业执照”复印件；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供应商是自然人的，应提供其有效的自然人身份证明。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（2）供应商须具有良好的商业信誉和健全的财务会计制度，须提供相关证明材料，其中：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供应商是法人的，应提供202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年度财务状况或其基本开户银行出具的资信证明（若资信证明注明复印件无效，需提交原件）；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供应商是其他组织或自然人的，应提供银行出具的202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年度资信证明（若资信证明注明复印件无效，需提交原件）。</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（3）供应商须具有履行合同所必需的设备和专业技术能力，须附相关证明材料或书面声明。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（4）供应商须具有依法缴纳税收和社会保障资金的良好记录，须提供相关证明材料，其中：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供应商是法人的，缴纳税收的证明材料，应提供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前三个月内任意一个月的依法缴税凭据复印件；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供应商是法人的，缴纳社会保障资金的证明材料，应提供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前三个月内任意一个月的缴纳社会保险的凭据（专用收据或社会保险缴纳清单）复印件；</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供应商是其他组织和自然人的，需要提供</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前三个月内任意一个月的缴纳税收和社会保险的凭据。</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注：依法免税或不需要缴纳社会保障资金的供应商，须提供相应文件证明其依法免税或不需要缴纳社会保障资金。</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（5）近三年内（本项目</w:t>
      </w:r>
      <w:r>
        <w:rPr>
          <w:rFonts w:hint="eastAsia" w:ascii="仿宋" w:hAnsi="仿宋" w:eastAsia="仿宋" w:cs="仿宋"/>
          <w:sz w:val="28"/>
          <w:szCs w:val="28"/>
          <w:highlight w:val="none"/>
          <w:lang w:val="en-US" w:eastAsia="zh-CN"/>
        </w:rPr>
        <w:t>递交响应文件截止时间</w:t>
      </w:r>
      <w:r>
        <w:rPr>
          <w:rFonts w:hint="eastAsia" w:ascii="仿宋" w:hAnsi="仿宋" w:eastAsia="仿宋" w:cs="仿宋"/>
          <w:sz w:val="28"/>
          <w:szCs w:val="28"/>
          <w:highlight w:val="none"/>
        </w:rPr>
        <w:t>前）供应商在经营活动中没有重大违法记录，其中：</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重大违法记录是指供应商因违法经营受到刑事处罚或者责令停产停业、吊销许可证或者执照、较大数额罚款等行政处罚；</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供应商须提供参与本采购活动前三年内在经营活动中没有重大违法记录的书面声明。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6）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采购代理机构依法对供应商的资格进行审查时，将在“信用中国”和“中国政府采购网”网站上对供应商进行查询并打印查询记录，查询截止时点为：本项目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截止期当日。对经查询被“信用中国”网站（www.creditchina.gov.cn）、“中国政府采购网”网站（www.ccgp.gov.cn）被列入失信被执行人、重大税收违法案件当事人名单的、政府采购严重违法失信行为记录名单（处罚期限尚未届满的）的供应商，其</w:t>
      </w:r>
      <w:r>
        <w:rPr>
          <w:rFonts w:hint="eastAsia" w:ascii="仿宋" w:hAnsi="仿宋" w:eastAsia="仿宋" w:cs="仿宋"/>
          <w:sz w:val="28"/>
          <w:szCs w:val="28"/>
          <w:highlight w:val="none"/>
          <w:lang w:val="en-US" w:eastAsia="zh-CN"/>
        </w:rPr>
        <w:t>响应文件</w:t>
      </w:r>
      <w:r>
        <w:rPr>
          <w:rFonts w:hint="eastAsia" w:ascii="仿宋" w:hAnsi="仿宋" w:eastAsia="仿宋" w:cs="仿宋"/>
          <w:sz w:val="28"/>
          <w:szCs w:val="28"/>
          <w:highlight w:val="none"/>
        </w:rPr>
        <w:t>将按无效</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处理。采购代理机构对于查询到的供应商失信行为事由、处理机关名称及处理日期、处理有效期间等，以屏幕截图的方式保存，并承诺查询记录仅用于本次采购活动过程中，不用于其他目的。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（7）单位负责人为同一人或者存在直接控股、管理关系的不同供应商，不得参加同一包的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或者未划分包的同一</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项目的</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rPr>
        <w:t>，供应商须提供书面声明。</w:t>
      </w:r>
    </w:p>
    <w:p>
      <w:pPr>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（8）供应商为制造商的，应按照《医疗器械生产监督管理办法》（国家市场监督管理总局令第53号公布）的规定提供医疗器械生产许可证或生产备案凭证；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供应商为代理商或经销商的应按照《医疗器械经营监督管理办法》（国家市场监督管理总局令第54号）的规定提供有效的医疗器械产品经营许可证或经营备案凭证。</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供应商须按照《医疗器械注册与备案管理办法》（国家市场监督管理总局令第47号）的规定提供所投设备的医疗器械注册证（如有附表，需提供附表）或产品备案表。</w:t>
      </w:r>
    </w:p>
    <w:p>
      <w:pPr>
        <w:numPr>
          <w:ilvl w:val="0"/>
          <w:numId w:val="0"/>
        </w:numPr>
        <w:snapToGrid w:val="0"/>
        <w:spacing w:line="360" w:lineRule="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w:t>
      </w:r>
      <w:r>
        <w:rPr>
          <w:rFonts w:hint="eastAsia" w:ascii="仿宋" w:hAnsi="仿宋" w:cs="仿宋"/>
          <w:b w:val="0"/>
          <w:kern w:val="2"/>
          <w:sz w:val="28"/>
          <w:szCs w:val="28"/>
          <w:highlight w:val="none"/>
          <w:lang w:val="en-US" w:eastAsia="zh-CN" w:bidi="ar-SA"/>
        </w:rPr>
        <w:t>9</w:t>
      </w:r>
      <w:r>
        <w:rPr>
          <w:rFonts w:hint="eastAsia" w:ascii="仿宋" w:hAnsi="仿宋" w:eastAsia="仿宋" w:cs="仿宋"/>
          <w:b w:val="0"/>
          <w:kern w:val="2"/>
          <w:sz w:val="28"/>
          <w:szCs w:val="28"/>
          <w:highlight w:val="none"/>
          <w:lang w:val="en-US" w:eastAsia="zh-CN" w:bidi="ar-SA"/>
        </w:rPr>
        <w:t>）供应商符合法律、行政法规规定的其它要求。</w:t>
      </w:r>
    </w:p>
    <w:p>
      <w:pPr>
        <w:numPr>
          <w:ilvl w:val="0"/>
          <w:numId w:val="0"/>
        </w:numPr>
        <w:snapToGrid w:val="0"/>
        <w:spacing w:line="360" w:lineRule="auto"/>
        <w:jc w:val="center"/>
        <w:rPr>
          <w:rFonts w:hint="eastAsia" w:ascii="仿宋" w:hAnsi="仿宋" w:eastAsia="仿宋" w:cs="仿宋"/>
          <w:b/>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br w:type="page"/>
      </w:r>
      <w:r>
        <w:rPr>
          <w:rFonts w:hint="eastAsia" w:ascii="Calibri" w:hAnsi="Calibri" w:eastAsia="楷体" w:cs="Times New Roman"/>
          <w:b/>
          <w:kern w:val="2"/>
          <w:sz w:val="32"/>
          <w:szCs w:val="28"/>
          <w:highlight w:val="none"/>
          <w:lang w:val="en-US" w:eastAsia="zh-CN" w:bidi="ar-SA"/>
        </w:rPr>
        <w:t>格式1  参加本次采购活动前三年内在经营活动中没有重大违法记录的书面声明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我单位郑重声明：自本项目</w:t>
      </w:r>
      <w:r>
        <w:rPr>
          <w:rFonts w:hint="eastAsia" w:ascii="仿宋" w:hAnsi="仿宋" w:eastAsia="仿宋" w:cs="仿宋"/>
          <w:sz w:val="28"/>
          <w:szCs w:val="28"/>
          <w:highlight w:val="none"/>
          <w:lang w:val="en-US" w:eastAsia="zh-CN"/>
        </w:rPr>
        <w:t>递交响应文件</w:t>
      </w:r>
      <w:r>
        <w:rPr>
          <w:rFonts w:hint="eastAsia" w:ascii="仿宋" w:hAnsi="仿宋" w:eastAsia="仿宋" w:cs="仿宋"/>
          <w:sz w:val="28"/>
          <w:szCs w:val="28"/>
          <w:highlight w:val="none"/>
        </w:rPr>
        <w:t>之日起向前追溯三年，我单位没有以下重大违法记录：因违法经营受到刑事处罚或者责令停产停业、吊销许可证或者执照、较大数额罚款等行政处罚。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2.供应商对其所声明内容的真实性负责。如供应商所声明内容不真实，应承担相应的法律责任。</w:t>
      </w:r>
    </w:p>
    <w:p>
      <w:pPr>
        <w:rPr>
          <w:rFonts w:hint="eastAsia" w:ascii="宋体" w:hAnsi="宋体" w:eastAsia="宋体" w:cs="宋体"/>
          <w:sz w:val="22"/>
          <w:szCs w:val="28"/>
          <w:highlight w:val="none"/>
        </w:rPr>
      </w:pPr>
      <w:r>
        <w:rPr>
          <w:rFonts w:hint="eastAsia" w:ascii="仿宋" w:hAnsi="仿宋" w:eastAsia="仿宋" w:cs="仿宋"/>
          <w:sz w:val="28"/>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6" w:name="_Toc23872"/>
      <w:bookmarkStart w:id="87" w:name="_Toc32416"/>
      <w:r>
        <w:rPr>
          <w:rFonts w:hint="eastAsia" w:ascii="Calibri" w:hAnsi="Calibri" w:eastAsia="楷体" w:cs="Times New Roman"/>
          <w:b/>
          <w:kern w:val="2"/>
          <w:sz w:val="32"/>
          <w:szCs w:val="28"/>
          <w:highlight w:val="none"/>
          <w:lang w:val="en-US" w:eastAsia="zh-CN" w:bidi="ar-SA"/>
        </w:rPr>
        <w:t>格式2  供应商不存在关联关系声明</w:t>
      </w:r>
      <w:bookmarkEnd w:id="86"/>
      <w:bookmarkEnd w:id="87"/>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供应商应当如实披露与本单位存在下列关联关系的单位名称，如无，请填写“无”：</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与供应商单位负责人为同一人的其他单位：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与供应商存在直接控股、管理关系的其他单位：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我单位郑重声明：我单位未与上述存在关联关系的单位同时参加本项目同一合同项下（同一包号）的政府采购活动。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8"/>
          <w:highlight w:val="none"/>
        </w:rPr>
      </w:pPr>
      <w:r>
        <w:rPr>
          <w:rFonts w:hint="eastAsia" w:ascii="宋体" w:hAnsi="宋体" w:eastAsia="宋体" w:cs="宋体"/>
          <w:sz w:val="22"/>
          <w:szCs w:val="28"/>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88" w:name="_Toc5286"/>
      <w:bookmarkStart w:id="89" w:name="_Toc11401"/>
      <w:r>
        <w:rPr>
          <w:rFonts w:hint="eastAsia" w:ascii="Calibri" w:hAnsi="Calibri" w:eastAsia="楷体" w:cs="Times New Roman"/>
          <w:b/>
          <w:kern w:val="2"/>
          <w:sz w:val="32"/>
          <w:szCs w:val="28"/>
          <w:highlight w:val="none"/>
          <w:lang w:val="en-US" w:eastAsia="zh-CN" w:bidi="ar-SA"/>
        </w:rPr>
        <w:t>格式3  不存在禁止参加政府采购活动情形的书面声明</w:t>
      </w:r>
      <w:bookmarkEnd w:id="88"/>
      <w:bookmarkEnd w:id="8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《中华人民共和国政府采购法实施条例》第十八条第二款“为采购项目提供整体设计、规范编制或者项目管理、监理、检测等服务的供应商，不得再参加该采购项目的其他采购活动。”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我单位郑重声明：我单位不存在上述禁止参加政府采购活动的情形。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法定代表人或授权代理人签字或盖章：</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ind w:left="2800" w:leftChars="1000"/>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注：1.如不提供本声明函，将作无效</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处理。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2.供应商应对其所声明内容的真实性负责。如供应商所声明内容不真实，则应承担相应的法律责任。</w:t>
      </w:r>
    </w:p>
    <w:p>
      <w:pPr>
        <w:rPr>
          <w:rFonts w:hint="eastAsia" w:ascii="宋体" w:hAnsi="宋体" w:eastAsia="宋体" w:cs="宋体"/>
          <w:highlight w:val="none"/>
        </w:rPr>
      </w:pPr>
      <w:r>
        <w:rPr>
          <w:rFonts w:hint="eastAsia" w:ascii="宋体" w:hAnsi="宋体" w:eastAsia="宋体" w:cs="宋体"/>
          <w:highlight w:val="none"/>
        </w:rPr>
        <w:br w:type="page"/>
      </w:r>
    </w:p>
    <w:p>
      <w:pPr>
        <w:numPr>
          <w:ilvl w:val="0"/>
          <w:numId w:val="0"/>
        </w:numPr>
        <w:ind w:left="570" w:leftChars="0"/>
        <w:jc w:val="center"/>
        <w:outlineLvl w:val="9"/>
        <w:rPr>
          <w:rFonts w:hint="eastAsia" w:ascii="Calibri" w:hAnsi="Calibri" w:eastAsia="楷体" w:cs="Times New Roman"/>
          <w:b/>
          <w:kern w:val="2"/>
          <w:sz w:val="32"/>
          <w:szCs w:val="28"/>
          <w:highlight w:val="none"/>
          <w:lang w:val="en-US" w:eastAsia="zh-CN" w:bidi="ar-SA"/>
        </w:rPr>
      </w:pPr>
      <w:bookmarkStart w:id="90" w:name="_Toc20199"/>
      <w:r>
        <w:rPr>
          <w:rFonts w:hint="eastAsia" w:ascii="Calibri" w:hAnsi="Calibri" w:eastAsia="楷体" w:cs="Times New Roman"/>
          <w:b/>
          <w:kern w:val="2"/>
          <w:sz w:val="32"/>
          <w:szCs w:val="28"/>
          <w:highlight w:val="none"/>
          <w:lang w:val="en-US" w:eastAsia="zh-CN" w:bidi="ar-SA"/>
        </w:rPr>
        <w:t>格式4 具备履行合同所必需的设备和专业技术能力承诺书</w:t>
      </w:r>
      <w:bookmarkEnd w:id="90"/>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本承诺书声明：本公司参与贵方组织的 （项目名称）项目（项目编号、包号： ）作出如下承诺：</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本公司完全具备履行本项目合同所必需的设备和专业技术能力，随时接受采查验证。如我方成交，我方承诺完全响应磋商文件服务要求，根据服务要求及我方各应文件配备履行本合同所需设备及人员，如违反上述承诺，本公司将按照政府采购法有关规定接受处罚。</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其他需要说明的事项（如无可不填报）：</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 xml:space="preserve">                                                          。</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另外，如需，本公司将按照要求的时间和方式提供拟投入本项目的设备购置合同或发票或说明材料，以及拟投入本项目的工作人员用工合同等材料。</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特此承诺。</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供应商名称（盖章）：</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法定代表人或授权代理人签字或盖章：</w:t>
      </w: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日期：     年   月   日</w:t>
      </w:r>
    </w:p>
    <w:p>
      <w:pPr>
        <w:spacing w:line="360" w:lineRule="auto"/>
        <w:jc w:val="center"/>
        <w:rPr>
          <w:rFonts w:hint="eastAsia" w:ascii="仿宋" w:hAnsi="仿宋" w:eastAsia="仿宋" w:cs="仿宋"/>
          <w:b w:val="0"/>
          <w:bCs/>
          <w:kern w:val="2"/>
          <w:sz w:val="28"/>
          <w:szCs w:val="28"/>
          <w:highlight w:val="none"/>
          <w:lang w:val="en-US" w:eastAsia="zh-CN" w:bidi="ar-SA"/>
        </w:rPr>
      </w:pPr>
    </w:p>
    <w:p>
      <w:pPr>
        <w:spacing w:line="360" w:lineRule="auto"/>
        <w:jc w:val="center"/>
        <w:rPr>
          <w:rFonts w:hint="eastAsia" w:ascii="仿宋" w:hAnsi="仿宋" w:eastAsia="仿宋" w:cs="仿宋"/>
          <w:b w:val="0"/>
          <w:bCs/>
          <w:kern w:val="2"/>
          <w:sz w:val="28"/>
          <w:szCs w:val="28"/>
          <w:highlight w:val="none"/>
          <w:lang w:val="en-US" w:eastAsia="zh-CN" w:bidi="ar-SA"/>
        </w:rPr>
      </w:pPr>
      <w:r>
        <w:rPr>
          <w:rFonts w:hint="eastAsia" w:ascii="仿宋" w:hAnsi="仿宋" w:eastAsia="仿宋" w:cs="仿宋"/>
          <w:b w:val="0"/>
          <w:bCs/>
          <w:kern w:val="2"/>
          <w:sz w:val="28"/>
          <w:szCs w:val="28"/>
          <w:highlight w:val="none"/>
          <w:lang w:val="en-US" w:eastAsia="zh-CN" w:bidi="ar-SA"/>
        </w:rPr>
        <w:t>注：供应商应对其所声明内容的真实性负责。如供应商所声明内容不真实，则应承担相应的法律责任。</w:t>
      </w:r>
    </w:p>
    <w:p>
      <w:pPr>
        <w:spacing w:line="360" w:lineRule="auto"/>
        <w:jc w:val="center"/>
        <w:rPr>
          <w:rFonts w:hint="eastAsia" w:ascii="Calibri" w:hAnsi="Calibri" w:eastAsia="楷体" w:cs="Times New Roman"/>
          <w:b w:val="0"/>
          <w:bCs/>
          <w:kern w:val="2"/>
          <w:sz w:val="32"/>
          <w:szCs w:val="28"/>
          <w:highlight w:val="none"/>
          <w:lang w:val="en-US" w:eastAsia="zh-CN" w:bidi="ar-SA"/>
        </w:rPr>
      </w:pPr>
    </w:p>
    <w:p>
      <w:pPr>
        <w:spacing w:line="360" w:lineRule="auto"/>
        <w:jc w:val="center"/>
        <w:rPr>
          <w:rFonts w:hint="eastAsia" w:ascii="Calibri" w:hAnsi="Calibri" w:eastAsia="楷体" w:cs="Times New Roman"/>
          <w:b/>
          <w:kern w:val="2"/>
          <w:sz w:val="32"/>
          <w:szCs w:val="28"/>
          <w:highlight w:val="none"/>
          <w:lang w:val="en-US" w:eastAsia="zh-CN" w:bidi="ar-SA"/>
        </w:rPr>
      </w:pPr>
      <w:r>
        <w:rPr>
          <w:rFonts w:hint="eastAsia" w:ascii="宋体" w:hAnsi="宋体" w:eastAsia="宋体" w:cs="宋体"/>
          <w:sz w:val="28"/>
          <w:szCs w:val="28"/>
          <w:highlight w:val="none"/>
        </w:rPr>
        <w:br w:type="page"/>
      </w:r>
      <w:r>
        <w:rPr>
          <w:rFonts w:hint="eastAsia" w:ascii="Calibri" w:hAnsi="Calibri" w:eastAsia="楷体" w:cs="Times New Roman"/>
          <w:b/>
          <w:kern w:val="2"/>
          <w:sz w:val="32"/>
          <w:szCs w:val="28"/>
          <w:highlight w:val="none"/>
          <w:lang w:val="en-US" w:eastAsia="zh-CN" w:bidi="ar-SA"/>
        </w:rPr>
        <w:t>格式5  中小企业声明函</w:t>
      </w:r>
    </w:p>
    <w:p>
      <w:pPr>
        <w:pStyle w:val="21"/>
        <w:keepNext w:val="0"/>
        <w:keepLines w:val="0"/>
        <w:pageBreakBefore w:val="0"/>
        <w:widowControl/>
        <w:kinsoku/>
        <w:wordWrap/>
        <w:overflowPunct/>
        <w:topLinePunct w:val="0"/>
        <w:autoSpaceDE/>
        <w:autoSpaceDN/>
        <w:bidi w:val="0"/>
        <w:adjustRightInd/>
        <w:snapToGrid/>
        <w:spacing w:before="240" w:after="145" w:line="480" w:lineRule="exact"/>
        <w:ind w:firstLine="560" w:firstLineChars="20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1. （标的名称） ，属于 （采购文件中明确的所属行业）行业 ；制造商为 （企业名称），从业人员      人，营业收入为     万元，资产总额为     万元，属于 （中型企业、小型企业、微型企业）；</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2. （标的名称） ，属于 （采购文件中明确的所属行业）行业 ；制造商为 （企业名称），从业人员      人，营业收入为     万元，资产总额为     万元，属于 （中型企业、小型企业、微型企业） ；</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以上企业，不属于大企业的分支机构，不存在控股股东为大企业的情形，也不存在与大企业的负责人为同一人的情形。</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本企业对上述声明内容的真实性负责。如有虚假，将依法承担相应责任。</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企业名称（盖章）：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 xml:space="preserve">                                                日 期：</w:t>
      </w:r>
    </w:p>
    <w:p>
      <w:pPr>
        <w:pStyle w:val="21"/>
        <w:keepNext w:val="0"/>
        <w:keepLines w:val="0"/>
        <w:pageBreakBefore w:val="0"/>
        <w:kinsoku/>
        <w:wordWrap/>
        <w:overflowPunct/>
        <w:topLinePunct w:val="0"/>
        <w:autoSpaceDE/>
        <w:autoSpaceDN/>
        <w:bidi w:val="0"/>
        <w:adjustRightInd/>
        <w:snapToGrid/>
        <w:spacing w:before="240" w:after="145" w:line="360" w:lineRule="auto"/>
        <w:ind w:firstLine="480" w:firstLineChars="0"/>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注：（1）从业人员、营业收入、资产总额填报上一年度数据，无上一年度数据的新成立企业可不填报。</w:t>
      </w:r>
    </w:p>
    <w:p>
      <w:pPr>
        <w:spacing w:line="360" w:lineRule="auto"/>
        <w:ind w:firstLine="1120" w:firstLineChars="400"/>
        <w:jc w:val="center"/>
        <w:rPr>
          <w:rFonts w:hint="eastAsia" w:ascii="Calibri" w:hAnsi="Calibri" w:eastAsia="楷体" w:cs="Times New Roman"/>
          <w:b/>
          <w:kern w:val="2"/>
          <w:sz w:val="32"/>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（2）不符合相应条件的供应商无需提供。</w:t>
      </w:r>
      <w:r>
        <w:rPr>
          <w:rFonts w:hint="eastAsia" w:ascii="宋体" w:hAnsi="宋体" w:eastAsia="宋体" w:cs="宋体"/>
          <w:spacing w:val="0"/>
          <w:kern w:val="2"/>
          <w:sz w:val="24"/>
          <w:szCs w:val="20"/>
          <w:highlight w:val="none"/>
          <w:lang w:val="en-US" w:eastAsia="zh-CN" w:bidi="ar-SA"/>
        </w:rPr>
        <w:br w:type="page"/>
      </w:r>
      <w:bookmarkStart w:id="91" w:name="_Toc492372156"/>
      <w:bookmarkStart w:id="92" w:name="_Toc499831025"/>
      <w:bookmarkStart w:id="93" w:name="_Toc499827580"/>
      <w:r>
        <w:rPr>
          <w:rFonts w:hint="eastAsia" w:ascii="Calibri" w:hAnsi="Calibri" w:eastAsia="楷体" w:cs="Times New Roman"/>
          <w:b/>
          <w:kern w:val="2"/>
          <w:sz w:val="32"/>
          <w:szCs w:val="28"/>
          <w:highlight w:val="none"/>
          <w:lang w:val="en-US" w:eastAsia="zh-CN" w:bidi="ar-SA"/>
        </w:rPr>
        <w:t xml:space="preserve">格式6  </w:t>
      </w:r>
      <w:bookmarkEnd w:id="91"/>
      <w:r>
        <w:rPr>
          <w:rFonts w:hint="eastAsia" w:ascii="Calibri" w:hAnsi="Calibri" w:eastAsia="楷体" w:cs="Times New Roman"/>
          <w:b/>
          <w:kern w:val="2"/>
          <w:sz w:val="32"/>
          <w:szCs w:val="28"/>
          <w:highlight w:val="none"/>
          <w:lang w:val="en-US" w:eastAsia="zh-CN" w:bidi="ar-SA"/>
        </w:rPr>
        <w:t>残疾人福利性单位声明函</w:t>
      </w:r>
      <w:bookmarkEnd w:id="92"/>
      <w:bookmarkEnd w:id="93"/>
    </w:p>
    <w:p>
      <w:pPr>
        <w:spacing w:line="360" w:lineRule="auto"/>
        <w:jc w:val="center"/>
        <w:rPr>
          <w:rFonts w:hint="eastAsia" w:ascii="Calibri" w:hAnsi="Calibri" w:eastAsia="楷体" w:cs="Times New Roman"/>
          <w:b/>
          <w:kern w:val="2"/>
          <w:sz w:val="32"/>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本单位对上述声明的真实性负责。如有虚假，将依法承担相应责任。</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供应商名称（盖章）：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法定代表人或授权代理人签字或盖章：</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日期：     年   月   日</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kern w:val="2"/>
          <w:sz w:val="28"/>
          <w:szCs w:val="28"/>
          <w:highlight w:val="none"/>
          <w:lang w:val="en-US" w:eastAsia="zh-CN" w:bidi="ar-SA"/>
        </w:rPr>
        <w:t>注：不符合相应条件的供应商无需提供</w:t>
      </w:r>
    </w:p>
    <w:p>
      <w:pPr>
        <w:pStyle w:val="21"/>
        <w:spacing w:before="240" w:after="145" w:line="480" w:lineRule="exact"/>
        <w:ind w:firstLine="0" w:firstLineChars="0"/>
        <w:rPr>
          <w:rFonts w:hint="eastAsia" w:ascii="仿宋" w:hAnsi="仿宋" w:eastAsia="仿宋" w:cs="仿宋"/>
          <w:spacing w:val="0"/>
          <w:kern w:val="2"/>
          <w:sz w:val="28"/>
          <w:szCs w:val="28"/>
          <w:highlight w:val="none"/>
          <w:lang w:val="en-US" w:eastAsia="zh-CN" w:bidi="ar-SA"/>
        </w:rPr>
      </w:pP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宋体" w:hAnsi="宋体" w:eastAsia="宋体" w:cs="宋体"/>
          <w:spacing w:val="6"/>
          <w:sz w:val="24"/>
          <w:highlight w:val="none"/>
        </w:rPr>
        <w:br w:type="page"/>
      </w:r>
      <w:bookmarkStart w:id="94" w:name="_Toc24955"/>
      <w:r>
        <w:rPr>
          <w:rFonts w:hint="eastAsia" w:ascii="Arial" w:hAnsi="Arial" w:eastAsia="黑体" w:cs="Times New Roman"/>
          <w:b w:val="0"/>
          <w:kern w:val="2"/>
          <w:sz w:val="32"/>
          <w:szCs w:val="32"/>
          <w:highlight w:val="none"/>
          <w:lang w:val="en-US" w:eastAsia="zh-CN" w:bidi="ar-SA"/>
        </w:rPr>
        <w:t>附件十三：符合政府采购优惠政策产品明细及报价表（如果有）</w:t>
      </w:r>
      <w:bookmarkEnd w:id="94"/>
    </w:p>
    <w:p>
      <w:pPr>
        <w:ind w:right="280"/>
        <w:jc w:val="right"/>
        <w:rPr>
          <w:rFonts w:hint="eastAsia" w:ascii="仿宋" w:hAnsi="仿宋" w:eastAsia="仿宋" w:cs="仿宋"/>
          <w:bCs/>
          <w:sz w:val="24"/>
          <w:highlight w:val="none"/>
          <w:u w:val="single"/>
        </w:rPr>
      </w:pPr>
      <w:r>
        <w:rPr>
          <w:rFonts w:hint="eastAsia" w:ascii="仿宋" w:hAnsi="仿宋" w:eastAsia="仿宋" w:cs="仿宋"/>
          <w:bCs/>
          <w:sz w:val="24"/>
          <w:highlight w:val="none"/>
        </w:rPr>
        <w:t>单位：元</w:t>
      </w:r>
    </w:p>
    <w:tbl>
      <w:tblPr>
        <w:tblStyle w:val="1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序号</w:t>
            </w:r>
          </w:p>
        </w:tc>
        <w:tc>
          <w:tcPr>
            <w:tcW w:w="81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37" w:type="dxa"/>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品牌</w:t>
            </w:r>
          </w:p>
        </w:tc>
        <w:tc>
          <w:tcPr>
            <w:tcW w:w="258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规格型号</w:t>
            </w:r>
          </w:p>
        </w:tc>
        <w:tc>
          <w:tcPr>
            <w:tcW w:w="810" w:type="dxa"/>
            <w:noWrap w:val="0"/>
            <w:vAlign w:val="center"/>
          </w:tcPr>
          <w:p>
            <w:pPr>
              <w:spacing w:line="440" w:lineRule="exact"/>
              <w:ind w:right="-283" w:rightChars="-101"/>
              <w:rPr>
                <w:rFonts w:hint="eastAsia" w:ascii="仿宋" w:hAnsi="仿宋" w:eastAsia="仿宋" w:cs="仿宋"/>
                <w:highlight w:val="none"/>
              </w:rPr>
            </w:pPr>
            <w:r>
              <w:rPr>
                <w:rFonts w:hint="eastAsia" w:ascii="仿宋" w:hAnsi="仿宋" w:eastAsia="仿宋" w:cs="仿宋"/>
                <w:highlight w:val="none"/>
              </w:rPr>
              <w:t>数量</w:t>
            </w:r>
          </w:p>
        </w:tc>
        <w:tc>
          <w:tcPr>
            <w:tcW w:w="646"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产地</w:t>
            </w:r>
          </w:p>
        </w:tc>
        <w:tc>
          <w:tcPr>
            <w:tcW w:w="971" w:type="dxa"/>
            <w:noWrap w:val="0"/>
            <w:vAlign w:val="center"/>
          </w:tcPr>
          <w:p>
            <w:pPr>
              <w:spacing w:line="440" w:lineRule="exact"/>
              <w:ind w:right="-143" w:rightChars="-51"/>
              <w:jc w:val="center"/>
              <w:rPr>
                <w:rFonts w:hint="eastAsia" w:ascii="仿宋" w:hAnsi="仿宋" w:eastAsia="仿宋" w:cs="仿宋"/>
                <w:highlight w:val="none"/>
              </w:rPr>
            </w:pPr>
            <w:r>
              <w:rPr>
                <w:rFonts w:hint="eastAsia" w:ascii="仿宋" w:hAnsi="仿宋" w:eastAsia="仿宋" w:cs="仿宋"/>
                <w:highlight w:val="none"/>
              </w:rPr>
              <w:t>制造厂家</w:t>
            </w:r>
          </w:p>
        </w:tc>
        <w:tc>
          <w:tcPr>
            <w:tcW w:w="113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979"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节能产品报价小计：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环境标志产品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环境标志产品报价小计：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小微企业产品（联合体报价或允许分包）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小微企业产品报价小计：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监狱企业产品（联合体报价或允许分包）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监狱企业产品报价小计：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残疾人福利性单位产品（联合体报价或允许分包）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1</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2</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3</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noWrap w:val="0"/>
            <w:vAlign w:val="center"/>
          </w:tcPr>
          <w:p>
            <w:pPr>
              <w:spacing w:line="440" w:lineRule="exact"/>
              <w:jc w:val="center"/>
              <w:rPr>
                <w:rFonts w:hint="eastAsia" w:ascii="仿宋" w:hAnsi="仿宋" w:eastAsia="仿宋" w:cs="仿宋"/>
                <w:highlight w:val="none"/>
              </w:rPr>
            </w:pPr>
            <w:r>
              <w:rPr>
                <w:rFonts w:hint="eastAsia" w:ascii="仿宋" w:hAnsi="仿宋" w:eastAsia="仿宋" w:cs="仿宋"/>
                <w:highlight w:val="none"/>
              </w:rPr>
              <w:t>…</w:t>
            </w:r>
          </w:p>
        </w:tc>
        <w:tc>
          <w:tcPr>
            <w:tcW w:w="819" w:type="dxa"/>
            <w:noWrap w:val="0"/>
            <w:vAlign w:val="center"/>
          </w:tcPr>
          <w:p>
            <w:pPr>
              <w:spacing w:line="440" w:lineRule="exact"/>
              <w:jc w:val="center"/>
              <w:rPr>
                <w:rFonts w:hint="eastAsia" w:ascii="仿宋" w:hAnsi="仿宋" w:eastAsia="仿宋" w:cs="仿宋"/>
                <w:highlight w:val="none"/>
              </w:rPr>
            </w:pPr>
          </w:p>
        </w:tc>
        <w:tc>
          <w:tcPr>
            <w:tcW w:w="637" w:type="dxa"/>
            <w:noWrap w:val="0"/>
            <w:vAlign w:val="center"/>
          </w:tcPr>
          <w:p>
            <w:pPr>
              <w:spacing w:line="440" w:lineRule="exact"/>
              <w:jc w:val="center"/>
              <w:rPr>
                <w:rFonts w:hint="eastAsia" w:ascii="仿宋" w:hAnsi="仿宋" w:eastAsia="仿宋" w:cs="仿宋"/>
                <w:highlight w:val="none"/>
              </w:rPr>
            </w:pPr>
          </w:p>
        </w:tc>
        <w:tc>
          <w:tcPr>
            <w:tcW w:w="2589" w:type="dxa"/>
            <w:noWrap w:val="0"/>
            <w:vAlign w:val="center"/>
          </w:tcPr>
          <w:p>
            <w:pPr>
              <w:spacing w:line="440" w:lineRule="exact"/>
              <w:jc w:val="center"/>
              <w:rPr>
                <w:rFonts w:hint="eastAsia" w:ascii="仿宋" w:hAnsi="仿宋" w:eastAsia="仿宋" w:cs="仿宋"/>
                <w:highlight w:val="none"/>
              </w:rPr>
            </w:pPr>
          </w:p>
        </w:tc>
        <w:tc>
          <w:tcPr>
            <w:tcW w:w="810" w:type="dxa"/>
            <w:noWrap w:val="0"/>
            <w:vAlign w:val="center"/>
          </w:tcPr>
          <w:p>
            <w:pPr>
              <w:spacing w:line="440" w:lineRule="exact"/>
              <w:jc w:val="center"/>
              <w:rPr>
                <w:rFonts w:hint="eastAsia" w:ascii="仿宋" w:hAnsi="仿宋" w:eastAsia="仿宋" w:cs="仿宋"/>
                <w:highlight w:val="none"/>
              </w:rPr>
            </w:pPr>
          </w:p>
        </w:tc>
        <w:tc>
          <w:tcPr>
            <w:tcW w:w="646" w:type="dxa"/>
            <w:noWrap w:val="0"/>
            <w:vAlign w:val="center"/>
          </w:tcPr>
          <w:p>
            <w:pPr>
              <w:spacing w:line="440" w:lineRule="exact"/>
              <w:jc w:val="center"/>
              <w:rPr>
                <w:rFonts w:hint="eastAsia" w:ascii="仿宋" w:hAnsi="仿宋" w:eastAsia="仿宋" w:cs="仿宋"/>
                <w:highlight w:val="none"/>
              </w:rPr>
            </w:pPr>
          </w:p>
        </w:tc>
        <w:tc>
          <w:tcPr>
            <w:tcW w:w="971" w:type="dxa"/>
            <w:noWrap w:val="0"/>
            <w:vAlign w:val="center"/>
          </w:tcPr>
          <w:p>
            <w:pPr>
              <w:spacing w:line="440" w:lineRule="exact"/>
              <w:jc w:val="center"/>
              <w:rPr>
                <w:rFonts w:hint="eastAsia" w:ascii="仿宋" w:hAnsi="仿宋" w:eastAsia="仿宋" w:cs="仿宋"/>
                <w:highlight w:val="none"/>
              </w:rPr>
            </w:pPr>
          </w:p>
        </w:tc>
        <w:tc>
          <w:tcPr>
            <w:tcW w:w="1133" w:type="dxa"/>
            <w:noWrap w:val="0"/>
            <w:vAlign w:val="center"/>
          </w:tcPr>
          <w:p>
            <w:pPr>
              <w:spacing w:line="440" w:lineRule="exact"/>
              <w:jc w:val="center"/>
              <w:rPr>
                <w:rFonts w:hint="eastAsia" w:ascii="仿宋" w:hAnsi="仿宋" w:eastAsia="仿宋" w:cs="仿宋"/>
                <w:highlight w:val="none"/>
              </w:rPr>
            </w:pPr>
          </w:p>
        </w:tc>
        <w:tc>
          <w:tcPr>
            <w:tcW w:w="979" w:type="dxa"/>
            <w:noWrap w:val="0"/>
            <w:vAlign w:val="center"/>
          </w:tcPr>
          <w:p>
            <w:pPr>
              <w:spacing w:line="440" w:lineRule="exact"/>
              <w:jc w:val="center"/>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残疾人福利性单位产品报价小计：         元，占总报价的权重：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pPr>
              <w:spacing w:line="440" w:lineRule="exact"/>
              <w:rPr>
                <w:rFonts w:hint="eastAsia" w:ascii="仿宋" w:hAnsi="仿宋" w:eastAsia="仿宋" w:cs="仿宋"/>
                <w:highlight w:val="none"/>
              </w:rPr>
            </w:pPr>
            <w:r>
              <w:rPr>
                <w:rFonts w:hint="eastAsia" w:ascii="仿宋" w:hAnsi="仿宋" w:eastAsia="仿宋" w:cs="仿宋"/>
                <w:highlight w:val="none"/>
              </w:rPr>
              <w:t>备注：</w:t>
            </w:r>
          </w:p>
          <w:p>
            <w:pPr>
              <w:spacing w:line="440" w:lineRule="exact"/>
              <w:rPr>
                <w:rFonts w:hint="eastAsia" w:ascii="仿宋" w:hAnsi="仿宋" w:eastAsia="仿宋" w:cs="仿宋"/>
                <w:highlight w:val="none"/>
              </w:rPr>
            </w:pPr>
            <w:r>
              <w:rPr>
                <w:rFonts w:hint="eastAsia" w:ascii="仿宋" w:hAnsi="仿宋" w:eastAsia="仿宋" w:cs="仿宋"/>
                <w:highlight w:val="none"/>
              </w:rPr>
              <w:t>1、此表中的名称、品牌、规格型号、数量、产地、制造厂家、单价和合价必须与《报价明细表》中的一致。</w:t>
            </w:r>
          </w:p>
          <w:p>
            <w:pPr>
              <w:spacing w:line="440" w:lineRule="exact"/>
              <w:rPr>
                <w:rFonts w:hint="eastAsia" w:ascii="仿宋" w:hAnsi="仿宋" w:eastAsia="仿宋" w:cs="仿宋"/>
                <w:highlight w:val="none"/>
              </w:rPr>
            </w:pPr>
            <w:r>
              <w:rPr>
                <w:rFonts w:hint="eastAsia" w:ascii="仿宋" w:hAnsi="仿宋" w:eastAsia="仿宋" w:cs="仿宋"/>
                <w:highlight w:val="none"/>
              </w:rPr>
              <w:t>2、此表中的节能、环境标志等认证产品必须后附符合政府采购优惠政策的品目清单中由国家确定的认证机构出具的、处于有效期之内的认证证书的证明资料复印件，否则不给予政府采购政策优惠。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708" w:hanging="943" w:hangingChars="337"/>
        <w:rPr>
          <w:rFonts w:hint="eastAsia" w:ascii="仿宋" w:hAnsi="仿宋" w:eastAsia="仿宋" w:cs="仿宋"/>
          <w:highlight w:val="none"/>
        </w:rPr>
      </w:pPr>
    </w:p>
    <w:p>
      <w:pPr>
        <w:ind w:left="944" w:hanging="943" w:hangingChars="337"/>
        <w:rPr>
          <w:rFonts w:hint="eastAsia" w:ascii="仿宋" w:hAnsi="仿宋" w:eastAsia="仿宋" w:cs="仿宋"/>
          <w:sz w:val="28"/>
          <w:highlight w:val="none"/>
        </w:rPr>
      </w:pPr>
    </w:p>
    <w:p>
      <w:pPr>
        <w:spacing w:line="52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供应商(盖章):</w:t>
      </w:r>
      <w:r>
        <w:rPr>
          <w:rFonts w:hint="eastAsia" w:ascii="仿宋" w:hAnsi="仿宋" w:eastAsia="仿宋" w:cs="仿宋"/>
          <w:sz w:val="24"/>
          <w:highlight w:val="none"/>
          <w:u w:val="single"/>
        </w:rPr>
        <w:t xml:space="preserve">                      </w:t>
      </w:r>
    </w:p>
    <w:p>
      <w:pPr>
        <w:wordWrap w:val="0"/>
        <w:spacing w:line="56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r>
        <w:rPr>
          <w:rFonts w:hint="eastAsia" w:ascii="仿宋" w:hAnsi="仿宋" w:eastAsia="仿宋" w:cs="仿宋"/>
          <w:sz w:val="24"/>
          <w:highlight w:val="none"/>
          <w:u w:val="single"/>
        </w:rPr>
        <w:t xml:space="preserve">      </w:t>
      </w:r>
    </w:p>
    <w:p>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95" w:name="_Toc13572220"/>
      <w:bookmarkStart w:id="96" w:name="_Toc514675542"/>
      <w:bookmarkStart w:id="97" w:name="_Toc514684734"/>
      <w:r>
        <w:rPr>
          <w:rFonts w:hint="eastAsia" w:ascii="仿宋" w:hAnsi="仿宋" w:eastAsia="仿宋" w:cs="仿宋"/>
          <w:color w:val="000000"/>
          <w:sz w:val="24"/>
          <w:highlight w:val="none"/>
        </w:rPr>
        <w:t>日   期：</w:t>
      </w:r>
      <w:bookmarkEnd w:id="95"/>
      <w:bookmarkEnd w:id="96"/>
      <w:bookmarkEnd w:id="97"/>
    </w:p>
    <w:p>
      <w:pPr>
        <w:spacing w:line="480" w:lineRule="exact"/>
        <w:jc w:val="center"/>
        <w:outlineLvl w:val="9"/>
        <w:rPr>
          <w:rFonts w:hint="eastAsia" w:ascii="仿宋" w:hAnsi="仿宋" w:eastAsia="仿宋" w:cs="仿宋"/>
          <w:b/>
          <w:sz w:val="28"/>
          <w:szCs w:val="28"/>
          <w:highlight w:val="none"/>
        </w:rPr>
      </w:pPr>
      <w:r>
        <w:rPr>
          <w:rFonts w:hint="eastAsia" w:ascii="仿宋" w:hAnsi="仿宋" w:eastAsia="仿宋" w:cs="仿宋"/>
          <w:color w:val="000000"/>
          <w:sz w:val="24"/>
          <w:highlight w:val="none"/>
        </w:rPr>
        <w:br w:type="page"/>
      </w:r>
      <w:bookmarkStart w:id="98" w:name="_Toc514684735"/>
      <w:bookmarkStart w:id="99" w:name="_Toc13572221"/>
      <w:bookmarkStart w:id="100" w:name="_Toc514675543"/>
      <w:r>
        <w:rPr>
          <w:rFonts w:hint="eastAsia" w:ascii="仿宋" w:hAnsi="仿宋" w:eastAsia="仿宋" w:cs="仿宋"/>
          <w:b/>
          <w:sz w:val="28"/>
          <w:szCs w:val="28"/>
          <w:highlight w:val="none"/>
        </w:rPr>
        <w:t>符合政府采购优惠政策的证明材料</w:t>
      </w:r>
      <w:bookmarkEnd w:id="98"/>
      <w:bookmarkEnd w:id="99"/>
      <w:bookmarkEnd w:id="100"/>
    </w:p>
    <w:p>
      <w:pPr>
        <w:spacing w:line="480" w:lineRule="exact"/>
        <w:jc w:val="center"/>
        <w:outlineLvl w:val="9"/>
        <w:rPr>
          <w:rFonts w:hint="eastAsia" w:ascii="仿宋" w:hAnsi="仿宋" w:eastAsia="仿宋" w:cs="仿宋"/>
          <w:b/>
          <w:sz w:val="24"/>
          <w:highlight w:val="none"/>
        </w:rPr>
      </w:pPr>
      <w:r>
        <w:rPr>
          <w:rFonts w:hint="eastAsia" w:ascii="仿宋" w:hAnsi="仿宋" w:eastAsia="仿宋" w:cs="仿宋"/>
          <w:b/>
          <w:sz w:val="24"/>
          <w:highlight w:val="none"/>
        </w:rPr>
        <w:br w:type="page"/>
      </w:r>
    </w:p>
    <w:p>
      <w:pPr>
        <w:spacing w:before="0" w:after="0" w:line="580" w:lineRule="exact"/>
        <w:jc w:val="center"/>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政府强制采购节能产品明细表</w:t>
      </w:r>
    </w:p>
    <w:p>
      <w:pPr>
        <w:pStyle w:val="9"/>
        <w:spacing w:before="120" w:beforeLines="50"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项目编号：</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 xml:space="preserve">供应商名称：（公章）                  </w:t>
      </w:r>
    </w:p>
    <w:p>
      <w:pPr>
        <w:pStyle w:val="9"/>
        <w:spacing w:line="420" w:lineRule="exact"/>
        <w:ind w:left="0" w:leftChars="0" w:firstLine="0" w:firstLineChars="0"/>
        <w:rPr>
          <w:rFonts w:hint="eastAsia" w:ascii="仿宋" w:hAnsi="仿宋" w:eastAsia="仿宋" w:cs="仿宋"/>
          <w:highlight w:val="none"/>
        </w:rPr>
      </w:pPr>
      <w:r>
        <w:rPr>
          <w:rFonts w:hint="eastAsia" w:ascii="仿宋" w:hAnsi="仿宋" w:eastAsia="仿宋" w:cs="仿宋"/>
          <w:highlight w:val="none"/>
        </w:rPr>
        <w:t>法定代表人或授权代理人签字或盖章：</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764"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产品名称</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制造商</w:t>
            </w:r>
          </w:p>
        </w:tc>
        <w:tc>
          <w:tcPr>
            <w:tcW w:w="545"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品牌</w:t>
            </w:r>
          </w:p>
        </w:tc>
        <w:tc>
          <w:tcPr>
            <w:tcW w:w="65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产品型号</w:t>
            </w:r>
          </w:p>
        </w:tc>
        <w:tc>
          <w:tcPr>
            <w:tcW w:w="76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节能标志认证证书编号</w:t>
            </w:r>
          </w:p>
        </w:tc>
        <w:tc>
          <w:tcPr>
            <w:tcW w:w="993" w:type="pct"/>
            <w:vMerge w:val="restart"/>
            <w:noWrap w:val="0"/>
            <w:vAlign w:val="center"/>
          </w:tcPr>
          <w:p>
            <w:pPr>
              <w:tabs>
                <w:tab w:val="left" w:pos="1337"/>
              </w:tabs>
              <w:jc w:val="center"/>
              <w:rPr>
                <w:rFonts w:hint="eastAsia" w:ascii="仿宋" w:hAnsi="仿宋" w:eastAsia="仿宋" w:cs="仿宋"/>
                <w:szCs w:val="21"/>
                <w:highlight w:val="none"/>
              </w:rPr>
            </w:pPr>
            <w:r>
              <w:rPr>
                <w:rFonts w:hint="eastAsia" w:ascii="仿宋" w:hAnsi="仿宋" w:eastAsia="仿宋" w:cs="仿宋"/>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pPr>
              <w:tabs>
                <w:tab w:val="left" w:pos="1337"/>
              </w:tabs>
              <w:jc w:val="center"/>
              <w:rPr>
                <w:rFonts w:hint="eastAsia" w:ascii="仿宋" w:hAnsi="仿宋" w:eastAsia="仿宋" w:cs="仿宋"/>
                <w:szCs w:val="21"/>
                <w:highlight w:val="none"/>
              </w:rPr>
            </w:pPr>
          </w:p>
        </w:tc>
        <w:tc>
          <w:tcPr>
            <w:tcW w:w="764"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545" w:type="pct"/>
            <w:vMerge w:val="continue"/>
            <w:noWrap w:val="0"/>
            <w:vAlign w:val="center"/>
          </w:tcPr>
          <w:p>
            <w:pPr>
              <w:tabs>
                <w:tab w:val="left" w:pos="1337"/>
              </w:tabs>
              <w:jc w:val="center"/>
              <w:rPr>
                <w:rFonts w:hint="eastAsia" w:ascii="仿宋" w:hAnsi="仿宋" w:eastAsia="仿宋" w:cs="仿宋"/>
                <w:szCs w:val="21"/>
                <w:highlight w:val="none"/>
              </w:rPr>
            </w:pPr>
          </w:p>
        </w:tc>
        <w:tc>
          <w:tcPr>
            <w:tcW w:w="653" w:type="pct"/>
            <w:vMerge w:val="continue"/>
            <w:noWrap w:val="0"/>
            <w:vAlign w:val="center"/>
          </w:tcPr>
          <w:p>
            <w:pPr>
              <w:tabs>
                <w:tab w:val="left" w:pos="1337"/>
              </w:tabs>
              <w:jc w:val="center"/>
              <w:rPr>
                <w:rFonts w:hint="eastAsia" w:ascii="仿宋" w:hAnsi="仿宋" w:eastAsia="仿宋" w:cs="仿宋"/>
                <w:szCs w:val="21"/>
                <w:highlight w:val="none"/>
              </w:rPr>
            </w:pPr>
          </w:p>
        </w:tc>
        <w:tc>
          <w:tcPr>
            <w:tcW w:w="763" w:type="pct"/>
            <w:vMerge w:val="continue"/>
            <w:noWrap w:val="0"/>
            <w:vAlign w:val="center"/>
          </w:tcPr>
          <w:p>
            <w:pPr>
              <w:tabs>
                <w:tab w:val="left" w:pos="1337"/>
              </w:tabs>
              <w:jc w:val="center"/>
              <w:rPr>
                <w:rFonts w:hint="eastAsia" w:ascii="仿宋" w:hAnsi="仿宋" w:eastAsia="仿宋" w:cs="仿宋"/>
                <w:szCs w:val="21"/>
                <w:highlight w:val="none"/>
              </w:rPr>
            </w:pPr>
          </w:p>
        </w:tc>
        <w:tc>
          <w:tcPr>
            <w:tcW w:w="993" w:type="pct"/>
            <w:vMerge w:val="continue"/>
            <w:noWrap w:val="0"/>
            <w:vAlign w:val="center"/>
          </w:tcPr>
          <w:p>
            <w:pPr>
              <w:tabs>
                <w:tab w:val="left" w:pos="1337"/>
              </w:tabs>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4"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545"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65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763" w:type="pct"/>
            <w:noWrap w:val="0"/>
            <w:vAlign w:val="center"/>
          </w:tcPr>
          <w:p>
            <w:pPr>
              <w:pStyle w:val="9"/>
              <w:ind w:left="1747" w:firstLine="412"/>
              <w:jc w:val="center"/>
              <w:rPr>
                <w:rFonts w:hint="eastAsia" w:ascii="仿宋" w:hAnsi="仿宋" w:eastAsia="仿宋" w:cs="仿宋"/>
                <w:sz w:val="21"/>
                <w:szCs w:val="21"/>
                <w:highlight w:val="none"/>
                <w:u w:val="single"/>
              </w:rPr>
            </w:pPr>
          </w:p>
        </w:tc>
        <w:tc>
          <w:tcPr>
            <w:tcW w:w="993" w:type="pct"/>
            <w:noWrap w:val="0"/>
            <w:vAlign w:val="center"/>
          </w:tcPr>
          <w:p>
            <w:pPr>
              <w:pStyle w:val="9"/>
              <w:ind w:left="1747" w:firstLine="412"/>
              <w:jc w:val="center"/>
              <w:rPr>
                <w:rFonts w:hint="eastAsia" w:ascii="仿宋" w:hAnsi="仿宋" w:eastAsia="仿宋" w:cs="仿宋"/>
                <w:sz w:val="21"/>
                <w:szCs w:val="21"/>
                <w:highlight w:val="none"/>
                <w:u w:val="single"/>
              </w:rPr>
            </w:pPr>
          </w:p>
        </w:tc>
      </w:tr>
    </w:tbl>
    <w:p>
      <w:pPr>
        <w:tabs>
          <w:tab w:val="left" w:pos="1337"/>
        </w:tabs>
        <w:spacing w:line="42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w:t>
      </w:r>
    </w:p>
    <w:p>
      <w:pPr>
        <w:tabs>
          <w:tab w:val="left" w:pos="1337"/>
        </w:tabs>
        <w:spacing w:line="420" w:lineRule="exact"/>
        <w:ind w:firstLine="140" w:firstLineChars="50"/>
        <w:jc w:val="left"/>
        <w:rPr>
          <w:rFonts w:hint="eastAsia" w:ascii="仿宋" w:hAnsi="仿宋" w:eastAsia="仿宋" w:cs="仿宋"/>
          <w:szCs w:val="21"/>
          <w:highlight w:val="none"/>
        </w:rPr>
      </w:pPr>
      <w:r>
        <w:rPr>
          <w:rFonts w:hint="eastAsia" w:ascii="仿宋" w:hAnsi="仿宋" w:eastAsia="仿宋" w:cs="仿宋"/>
          <w:szCs w:val="21"/>
          <w:highlight w:val="none"/>
        </w:rPr>
        <w:t>1、政府采购强制节能产品根据财政部、国家发展改革委公布的节能产品品目清单和国家确定的认证机构出具的、处于有效期之内的节能产品认证证书的证明资料确定。（本表后须附证明资料）</w:t>
      </w:r>
    </w:p>
    <w:p>
      <w:pPr>
        <w:tabs>
          <w:tab w:val="left" w:pos="1337"/>
        </w:tabs>
        <w:spacing w:line="420" w:lineRule="exact"/>
        <w:jc w:val="left"/>
        <w:rPr>
          <w:rFonts w:hint="eastAsia" w:ascii="仿宋" w:hAnsi="仿宋" w:eastAsia="仿宋" w:cs="仿宋"/>
          <w:b/>
          <w:bCs/>
          <w:szCs w:val="21"/>
          <w:highlight w:val="none"/>
        </w:rPr>
      </w:pPr>
      <w:r>
        <w:rPr>
          <w:rFonts w:hint="eastAsia" w:ascii="仿宋" w:hAnsi="仿宋" w:eastAsia="仿宋" w:cs="仿宋"/>
          <w:b/>
          <w:bCs/>
          <w:szCs w:val="21"/>
          <w:highlight w:val="none"/>
        </w:rPr>
        <w:t xml:space="preserve"> 2、如所报产品为政府强制采购节能产品，必须按规定格式逐项填写，否则按无效报价处理。</w:t>
      </w:r>
    </w:p>
    <w:p>
      <w:pPr>
        <w:tabs>
          <w:tab w:val="left" w:pos="1337"/>
        </w:tabs>
        <w:spacing w:line="420" w:lineRule="exact"/>
        <w:rPr>
          <w:rFonts w:hint="eastAsia" w:ascii="仿宋" w:hAnsi="仿宋" w:eastAsia="仿宋" w:cs="仿宋"/>
          <w:szCs w:val="21"/>
          <w:highlight w:val="none"/>
        </w:rPr>
      </w:pPr>
    </w:p>
    <w:p>
      <w:pPr>
        <w:tabs>
          <w:tab w:val="left" w:pos="1337"/>
        </w:tabs>
        <w:spacing w:line="420" w:lineRule="exact"/>
        <w:rPr>
          <w:rFonts w:hint="eastAsia" w:ascii="仿宋" w:hAnsi="仿宋" w:eastAsia="仿宋" w:cs="仿宋"/>
          <w:sz w:val="24"/>
          <w:highlight w:val="none"/>
        </w:rPr>
      </w:pPr>
    </w:p>
    <w:p>
      <w:pPr>
        <w:spacing w:line="4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pPr>
        <w:spacing w:line="480" w:lineRule="exact"/>
        <w:jc w:val="center"/>
        <w:outlineLvl w:val="1"/>
        <w:rPr>
          <w:rFonts w:hint="eastAsia" w:ascii="Arial" w:hAnsi="Arial" w:eastAsia="黑体" w:cs="Times New Roman"/>
          <w:b w:val="0"/>
          <w:kern w:val="2"/>
          <w:sz w:val="32"/>
          <w:szCs w:val="32"/>
          <w:highlight w:val="none"/>
          <w:lang w:val="en-US" w:eastAsia="zh-CN" w:bidi="ar-SA"/>
        </w:rPr>
      </w:pPr>
      <w:r>
        <w:rPr>
          <w:rFonts w:hint="eastAsia" w:ascii="仿宋" w:hAnsi="仿宋" w:eastAsia="仿宋" w:cs="仿宋"/>
          <w:b/>
          <w:sz w:val="24"/>
          <w:highlight w:val="none"/>
        </w:rPr>
        <w:br w:type="page"/>
      </w:r>
      <w:bookmarkStart w:id="101" w:name="_Toc19905"/>
      <w:r>
        <w:rPr>
          <w:rFonts w:hint="eastAsia" w:ascii="Arial" w:hAnsi="Arial" w:eastAsia="黑体" w:cs="Times New Roman"/>
          <w:b w:val="0"/>
          <w:kern w:val="2"/>
          <w:sz w:val="32"/>
          <w:szCs w:val="32"/>
          <w:highlight w:val="none"/>
          <w:lang w:val="en-US" w:eastAsia="zh-CN" w:bidi="ar-SA"/>
        </w:rPr>
        <w:t>附件十四：密封袋封面格式</w:t>
      </w:r>
      <w:bookmarkEnd w:id="101"/>
    </w:p>
    <w:p>
      <w:pPr>
        <w:pStyle w:val="9"/>
        <w:spacing w:line="480" w:lineRule="exact"/>
        <w:ind w:left="0" w:leftChars="0" w:firstLine="0" w:firstLineChars="0"/>
        <w:rPr>
          <w:rFonts w:hint="eastAsia" w:ascii="仿宋" w:hAnsi="仿宋" w:eastAsia="仿宋" w:cs="仿宋"/>
          <w:color w:val="000000"/>
          <w:highlight w:val="none"/>
        </w:rPr>
      </w:pPr>
    </w:p>
    <w:p>
      <w:pPr>
        <w:pStyle w:val="9"/>
        <w:spacing w:line="480" w:lineRule="exact"/>
        <w:ind w:left="1747" w:firstLine="470"/>
        <w:rPr>
          <w:rFonts w:hint="eastAsia" w:ascii="仿宋" w:hAnsi="仿宋" w:eastAsia="仿宋" w:cs="仿宋"/>
          <w:color w:val="000000"/>
          <w:highlight w:val="none"/>
        </w:rPr>
        <w:sectPr>
          <w:type w:val="continuous"/>
          <w:pgSz w:w="11907" w:h="16840"/>
          <w:pgMar w:top="1304" w:right="1418" w:bottom="1157" w:left="1418" w:header="851" w:footer="851" w:gutter="0"/>
          <w:pgNumType w:fmt="numberInDash"/>
          <w:cols w:space="720" w:num="1"/>
          <w:docGrid w:linePitch="290" w:charSpace="-3931"/>
        </w:sectPr>
      </w:pPr>
    </w:p>
    <w:tbl>
      <w:tblPr>
        <w:tblStyle w:val="1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（正本）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响应文件</w:t>
            </w:r>
          </w:p>
          <w:p>
            <w:pPr>
              <w:pStyle w:val="9"/>
              <w:spacing w:line="480" w:lineRule="exact"/>
              <w:ind w:left="0" w:leftChars="0" w:firstLine="0" w:firstLineChars="0"/>
              <w:jc w:val="center"/>
              <w:rPr>
                <w:rFonts w:hint="eastAsia" w:ascii="仿宋" w:hAnsi="仿宋" w:eastAsia="仿宋" w:cs="仿宋"/>
                <w:b/>
                <w:color w:val="000000"/>
                <w:kern w:val="2"/>
                <w:sz w:val="32"/>
                <w:szCs w:val="32"/>
                <w:highlight w:val="none"/>
              </w:rPr>
            </w:pPr>
            <w:r>
              <w:rPr>
                <w:rFonts w:hint="eastAsia" w:ascii="仿宋" w:hAnsi="仿宋" w:eastAsia="仿宋" w:cs="仿宋"/>
                <w:b/>
                <w:color w:val="000000"/>
                <w:kern w:val="2"/>
                <w:sz w:val="32"/>
                <w:szCs w:val="32"/>
                <w:highlight w:val="none"/>
              </w:rPr>
              <w:t>（副本）</w:t>
            </w:r>
          </w:p>
          <w:p>
            <w:pPr>
              <w:pStyle w:val="9"/>
              <w:spacing w:line="480" w:lineRule="exact"/>
              <w:ind w:left="0" w:leftChars="0" w:firstLine="0" w:firstLineChars="0"/>
              <w:jc w:val="left"/>
              <w:rPr>
                <w:rFonts w:hint="eastAsia" w:ascii="仿宋" w:hAnsi="仿宋" w:eastAsia="仿宋" w:cs="仿宋"/>
                <w:color w:val="000000"/>
                <w:kern w:val="2"/>
                <w:sz w:val="18"/>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 xml:space="preserve">项目名称： </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地址：</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邮编：</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电话：</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传真：</w:t>
            </w:r>
          </w:p>
        </w:tc>
      </w:tr>
    </w:tbl>
    <w:p>
      <w:pPr>
        <w:pStyle w:val="9"/>
        <w:spacing w:line="480" w:lineRule="exact"/>
        <w:ind w:left="1747" w:firstLine="470"/>
        <w:rPr>
          <w:rFonts w:hint="eastAsia" w:ascii="仿宋" w:hAnsi="仿宋" w:eastAsia="仿宋" w:cs="仿宋"/>
          <w:color w:val="000000"/>
          <w:highlight w:val="none"/>
        </w:rPr>
      </w:pPr>
    </w:p>
    <w:tbl>
      <w:tblPr>
        <w:tblStyle w:val="15"/>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noWrap w:val="0"/>
            <w:vAlign w:val="top"/>
          </w:tcPr>
          <w:p>
            <w:pPr>
              <w:pStyle w:val="9"/>
              <w:spacing w:line="480" w:lineRule="exact"/>
              <w:ind w:left="0" w:leftChars="0" w:firstLine="0" w:firstLineChars="0"/>
              <w:rPr>
                <w:rFonts w:hint="eastAsia" w:ascii="仿宋" w:hAnsi="仿宋" w:eastAsia="仿宋" w:cs="仿宋"/>
                <w:b/>
                <w:color w:val="000000"/>
                <w:kern w:val="2"/>
                <w:sz w:val="30"/>
                <w:szCs w:val="24"/>
                <w:highlight w:val="none"/>
              </w:rPr>
            </w:pPr>
          </w:p>
          <w:p>
            <w:pPr>
              <w:pStyle w:val="9"/>
              <w:spacing w:line="480" w:lineRule="exact"/>
              <w:ind w:left="0" w:leftChars="0" w:firstLine="0" w:firstLineChars="0"/>
              <w:jc w:val="center"/>
              <w:rPr>
                <w:rFonts w:hint="eastAsia" w:ascii="仿宋" w:hAnsi="仿宋" w:eastAsia="仿宋" w:cs="仿宋"/>
                <w:color w:val="000000"/>
                <w:kern w:val="2"/>
                <w:sz w:val="30"/>
                <w:szCs w:val="24"/>
                <w:highlight w:val="none"/>
              </w:rPr>
            </w:pPr>
            <w:r>
              <w:rPr>
                <w:rFonts w:hint="eastAsia" w:ascii="仿宋" w:hAnsi="仿宋" w:eastAsia="仿宋" w:cs="仿宋"/>
                <w:b/>
                <w:color w:val="000000"/>
                <w:kern w:val="2"/>
                <w:sz w:val="32"/>
                <w:szCs w:val="32"/>
                <w:highlight w:val="none"/>
              </w:rPr>
              <w:t>报价一览表</w:t>
            </w:r>
          </w:p>
          <w:p>
            <w:pPr>
              <w:pStyle w:val="9"/>
              <w:spacing w:line="480" w:lineRule="exact"/>
              <w:ind w:left="0" w:leftChars="0" w:firstLine="0" w:firstLineChars="0"/>
              <w:rPr>
                <w:rFonts w:hint="eastAsia" w:ascii="仿宋" w:hAnsi="仿宋" w:eastAsia="仿宋" w:cs="仿宋"/>
                <w:color w:val="000000"/>
                <w:kern w:val="2"/>
                <w:szCs w:val="24"/>
                <w:highlight w:val="none"/>
              </w:rPr>
            </w:pP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项目编号：</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供应商名称（公章）：</w:t>
            </w:r>
          </w:p>
        </w:tc>
        <w:tc>
          <w:tcPr>
            <w:tcW w:w="4775" w:type="dxa"/>
            <w:noWrap w:val="0"/>
            <w:vAlign w:val="top"/>
          </w:tcPr>
          <w:p>
            <w:pPr>
              <w:pStyle w:val="9"/>
              <w:spacing w:line="480" w:lineRule="exact"/>
              <w:ind w:left="0" w:leftChars="0" w:firstLine="0" w:firstLineChars="0"/>
              <w:jc w:val="left"/>
              <w:rPr>
                <w:rFonts w:hint="eastAsia" w:ascii="仿宋" w:hAnsi="仿宋" w:eastAsia="仿宋" w:cs="仿宋"/>
                <w:color w:val="000000"/>
                <w:kern w:val="2"/>
                <w:szCs w:val="24"/>
                <w:highlight w:val="none"/>
              </w:rPr>
            </w:pPr>
          </w:p>
          <w:p>
            <w:pPr>
              <w:pStyle w:val="9"/>
              <w:spacing w:line="480" w:lineRule="exact"/>
              <w:ind w:left="0" w:leftChars="0" w:firstLine="0" w:firstLineChars="0"/>
              <w:jc w:val="center"/>
              <w:rPr>
                <w:rFonts w:hint="eastAsia" w:ascii="仿宋" w:hAnsi="仿宋" w:eastAsia="仿宋" w:cs="仿宋"/>
                <w:b/>
                <w:kern w:val="2"/>
                <w:sz w:val="32"/>
                <w:szCs w:val="32"/>
                <w:highlight w:val="none"/>
              </w:rPr>
            </w:pPr>
            <w:r>
              <w:rPr>
                <w:rFonts w:hint="eastAsia" w:ascii="仿宋" w:hAnsi="仿宋" w:eastAsia="仿宋" w:cs="仿宋"/>
                <w:b/>
                <w:kern w:val="2"/>
                <w:sz w:val="32"/>
                <w:szCs w:val="32"/>
                <w:highlight w:val="none"/>
              </w:rPr>
              <w:t>电子文档</w:t>
            </w:r>
          </w:p>
          <w:p>
            <w:pPr>
              <w:pStyle w:val="9"/>
              <w:spacing w:line="480" w:lineRule="exact"/>
              <w:ind w:left="0" w:leftChars="0" w:firstLine="0" w:firstLineChars="0"/>
              <w:rPr>
                <w:rFonts w:hint="eastAsia" w:ascii="仿宋" w:hAnsi="仿宋" w:eastAsia="仿宋" w:cs="仿宋"/>
                <w:b/>
                <w:kern w:val="2"/>
                <w:sz w:val="32"/>
                <w:szCs w:val="32"/>
                <w:highlight w:val="none"/>
              </w:rPr>
            </w:pP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项目编号：</w:t>
            </w:r>
          </w:p>
          <w:p>
            <w:pPr>
              <w:pStyle w:val="9"/>
              <w:spacing w:line="480" w:lineRule="exact"/>
              <w:ind w:left="0" w:leftChars="0" w:firstLine="0" w:firstLineChars="0"/>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项目名称：</w:t>
            </w:r>
          </w:p>
          <w:p>
            <w:pPr>
              <w:pStyle w:val="9"/>
              <w:spacing w:line="480" w:lineRule="exact"/>
              <w:ind w:left="0" w:leftChars="0" w:firstLine="0" w:firstLineChars="0"/>
              <w:jc w:val="left"/>
              <w:rPr>
                <w:rFonts w:hint="eastAsia" w:ascii="仿宋" w:hAnsi="仿宋" w:eastAsia="仿宋" w:cs="仿宋"/>
                <w:color w:val="000000"/>
                <w:kern w:val="2"/>
                <w:szCs w:val="24"/>
                <w:highlight w:val="none"/>
              </w:rPr>
            </w:pPr>
            <w:r>
              <w:rPr>
                <w:rFonts w:hint="eastAsia" w:ascii="仿宋" w:hAnsi="仿宋" w:eastAsia="仿宋" w:cs="仿宋"/>
                <w:kern w:val="2"/>
                <w:szCs w:val="24"/>
                <w:highlight w:val="none"/>
              </w:rPr>
              <w:t>供应商名称（公章）：</w:t>
            </w:r>
          </w:p>
        </w:tc>
      </w:tr>
    </w:tbl>
    <w:p>
      <w:pPr>
        <w:pStyle w:val="9"/>
        <w:spacing w:line="480" w:lineRule="exact"/>
        <w:ind w:left="1747" w:firstLine="470"/>
        <w:rPr>
          <w:rFonts w:hint="eastAsia" w:ascii="仿宋" w:hAnsi="仿宋" w:eastAsia="仿宋" w:cs="仿宋"/>
          <w:color w:val="000000"/>
          <w:highlight w:val="none"/>
        </w:rPr>
      </w:pPr>
    </w:p>
    <w:p>
      <w:pPr>
        <w:pStyle w:val="9"/>
        <w:spacing w:line="480" w:lineRule="exact"/>
        <w:ind w:left="0" w:leftChars="0" w:firstLine="3861" w:firstLineChars="1202"/>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封口格式：</w:t>
      </w:r>
    </w:p>
    <w:tbl>
      <w:tblPr>
        <w:tblStyle w:val="15"/>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noWrap w:val="0"/>
            <w:vAlign w:val="center"/>
          </w:tcPr>
          <w:p>
            <w:pPr>
              <w:pStyle w:val="9"/>
              <w:spacing w:line="480" w:lineRule="exact"/>
              <w:ind w:left="0" w:leftChars="0" w:firstLine="0" w:firstLineChars="0"/>
              <w:rPr>
                <w:rFonts w:hint="eastAsia" w:ascii="仿宋" w:hAnsi="仿宋" w:eastAsia="仿宋" w:cs="仿宋"/>
                <w:color w:val="000000"/>
                <w:kern w:val="2"/>
                <w:szCs w:val="24"/>
                <w:highlight w:val="none"/>
              </w:rPr>
            </w:pPr>
            <w:r>
              <w:rPr>
                <w:rFonts w:hint="eastAsia" w:ascii="仿宋" w:hAnsi="仿宋" w:eastAsia="仿宋" w:cs="仿宋"/>
                <w:color w:val="000000"/>
                <w:kern w:val="2"/>
                <w:szCs w:val="24"/>
                <w:highlight w:val="none"/>
              </w:rPr>
              <w:t>………………………于</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年</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月</w:t>
            </w:r>
            <w:r>
              <w:rPr>
                <w:rFonts w:hint="eastAsia" w:ascii="仿宋" w:hAnsi="仿宋" w:eastAsia="仿宋" w:cs="仿宋"/>
                <w:color w:val="000000"/>
                <w:kern w:val="2"/>
                <w:szCs w:val="24"/>
                <w:highlight w:val="none"/>
                <w:lang w:val="en-US" w:eastAsia="zh-CN"/>
              </w:rPr>
              <w:t xml:space="preserve"> </w:t>
            </w:r>
            <w:r>
              <w:rPr>
                <w:rFonts w:hint="eastAsia" w:ascii="仿宋" w:hAnsi="仿宋" w:eastAsia="仿宋" w:cs="仿宋"/>
                <w:color w:val="000000"/>
                <w:kern w:val="2"/>
                <w:szCs w:val="24"/>
                <w:highlight w:val="none"/>
              </w:rPr>
              <w:t>日时之前不准启封（公章）………………………</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color w:val="000000"/>
          <w:highlight w:val="none"/>
        </w:rPr>
        <w:br w:type="page"/>
      </w:r>
      <w:r>
        <w:rPr>
          <w:rFonts w:hint="eastAsia" w:ascii="仿宋" w:hAnsi="仿宋" w:eastAsia="仿宋" w:cs="仿宋"/>
          <w:sz w:val="28"/>
          <w:szCs w:val="28"/>
          <w:highlight w:val="none"/>
        </w:rPr>
        <w:t>附表1：</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节能产品政府采购品目清单</w:t>
      </w:r>
    </w:p>
    <w:p>
      <w:pPr>
        <w:pStyle w:val="2"/>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5"/>
        <w:tblW w:w="8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blHeader/>
          <w:jc w:val="center"/>
        </w:trPr>
        <w:tc>
          <w:tcPr>
            <w:tcW w:w="574" w:type="dxa"/>
            <w:noWrap w:val="0"/>
            <w:vAlign w:val="center"/>
          </w:tcPr>
          <w:p>
            <w:pPr>
              <w:pStyle w:val="22"/>
              <w:spacing w:before="94" w:line="266" w:lineRule="auto"/>
              <w:ind w:left="64" w:right="55"/>
              <w:jc w:val="center"/>
              <w:rPr>
                <w:rFonts w:hint="eastAsia" w:ascii="仿宋" w:hAnsi="仿宋" w:eastAsia="仿宋" w:cs="仿宋"/>
                <w:b/>
                <w:sz w:val="22"/>
                <w:highlight w:val="none"/>
              </w:rPr>
            </w:pPr>
            <w:r>
              <w:rPr>
                <w:rFonts w:hint="eastAsia" w:ascii="仿宋" w:hAnsi="仿宋" w:eastAsia="仿宋" w:cs="仿宋"/>
                <w:b/>
                <w:sz w:val="22"/>
                <w:highlight w:val="none"/>
              </w:rPr>
              <w:t>品目序号</w:t>
            </w:r>
          </w:p>
        </w:tc>
        <w:tc>
          <w:tcPr>
            <w:tcW w:w="4884" w:type="dxa"/>
            <w:gridSpan w:val="3"/>
            <w:noWrap w:val="0"/>
            <w:vAlign w:val="center"/>
          </w:tcPr>
          <w:p>
            <w:pPr>
              <w:pStyle w:val="22"/>
              <w:spacing w:before="1"/>
              <w:ind w:left="2199" w:right="2193"/>
              <w:jc w:val="center"/>
              <w:rPr>
                <w:rFonts w:hint="eastAsia" w:ascii="仿宋" w:hAnsi="仿宋" w:eastAsia="仿宋" w:cs="仿宋"/>
                <w:b/>
                <w:sz w:val="22"/>
                <w:highlight w:val="none"/>
              </w:rPr>
            </w:pPr>
            <w:r>
              <w:rPr>
                <w:rFonts w:hint="eastAsia" w:ascii="仿宋" w:hAnsi="仿宋" w:eastAsia="仿宋" w:cs="仿宋"/>
                <w:b/>
                <w:sz w:val="22"/>
                <w:highlight w:val="none"/>
              </w:rPr>
              <w:t>名称</w:t>
            </w:r>
          </w:p>
        </w:tc>
        <w:tc>
          <w:tcPr>
            <w:tcW w:w="2967" w:type="dxa"/>
            <w:noWrap w:val="0"/>
            <w:vAlign w:val="center"/>
          </w:tcPr>
          <w:p>
            <w:pPr>
              <w:pStyle w:val="22"/>
              <w:autoSpaceDE w:val="0"/>
              <w:autoSpaceDN w:val="0"/>
              <w:jc w:val="center"/>
              <w:rPr>
                <w:rFonts w:hint="eastAsia" w:ascii="仿宋" w:hAnsi="仿宋" w:eastAsia="仿宋" w:cs="仿宋"/>
                <w:b/>
                <w:sz w:val="22"/>
                <w:highlight w:val="none"/>
              </w:rPr>
            </w:pPr>
            <w:r>
              <w:rPr>
                <w:rFonts w:hint="eastAsia" w:ascii="仿宋" w:hAnsi="仿宋" w:eastAsia="仿宋" w:cs="仿宋"/>
                <w:b/>
                <w:sz w:val="22"/>
                <w:highlight w:val="none"/>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restart"/>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w:t>
            </w:r>
          </w:p>
        </w:tc>
        <w:tc>
          <w:tcPr>
            <w:tcW w:w="1167" w:type="dxa"/>
            <w:vMerge w:val="restart"/>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w:t>
            </w:r>
          </w:p>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计算机设备</w:t>
            </w:r>
          </w:p>
        </w:tc>
        <w:tc>
          <w:tcPr>
            <w:tcW w:w="1801" w:type="dxa"/>
            <w:noWrap w:val="0"/>
            <w:vAlign w:val="center"/>
          </w:tcPr>
          <w:p>
            <w:pPr>
              <w:pStyle w:val="22"/>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★A02010104</w:t>
            </w:r>
          </w:p>
          <w:p>
            <w:pPr>
              <w:pStyle w:val="22"/>
              <w:spacing w:before="126"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台式计算机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★A02010105</w:t>
            </w:r>
          </w:p>
          <w:p>
            <w:pPr>
              <w:pStyle w:val="22"/>
              <w:spacing w:before="24" w:line="310" w:lineRule="atLeast"/>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便携式计算机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24"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★A02010107</w:t>
            </w:r>
          </w:p>
          <w:p>
            <w:pPr>
              <w:pStyle w:val="22"/>
              <w:spacing w:before="97"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平板式微型计算机</w:t>
            </w: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9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《微型计算机能效限定值及能效等级》（GB28380）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restart"/>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2</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A020106输入输出设备</w:t>
            </w:r>
          </w:p>
        </w:tc>
        <w:tc>
          <w:tcPr>
            <w:tcW w:w="1801" w:type="dxa"/>
            <w:vMerge w:val="restart"/>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A02010601打印设备</w:t>
            </w: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A0201060101</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喷墨打印机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★A0201060102</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激光打印机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★A0201060104</w:t>
            </w:r>
          </w:p>
          <w:p>
            <w:pPr>
              <w:pStyle w:val="22"/>
              <w:spacing w:before="85"/>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针式打印机</w:t>
            </w:r>
          </w:p>
        </w:tc>
        <w:tc>
          <w:tcPr>
            <w:tcW w:w="2967" w:type="dxa"/>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A02010604显示设备</w:t>
            </w:r>
          </w:p>
        </w:tc>
        <w:tc>
          <w:tcPr>
            <w:tcW w:w="1916" w:type="dxa"/>
            <w:noWrap w:val="0"/>
            <w:vAlign w:val="center"/>
          </w:tcPr>
          <w:p>
            <w:pPr>
              <w:pStyle w:val="22"/>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★A0201060401</w:t>
            </w:r>
          </w:p>
          <w:p>
            <w:pPr>
              <w:pStyle w:val="22"/>
              <w:spacing w:before="10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液晶显示器</w:t>
            </w:r>
          </w:p>
        </w:tc>
        <w:tc>
          <w:tcPr>
            <w:tcW w:w="2967" w:type="dxa"/>
            <w:noWrap w:val="0"/>
            <w:vAlign w:val="center"/>
          </w:tcPr>
          <w:p>
            <w:pPr>
              <w:pStyle w:val="22"/>
              <w:spacing w:before="10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39"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A02010609图形图像输入设备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A0201060901扫描仪</w:t>
            </w:r>
          </w:p>
        </w:tc>
        <w:tc>
          <w:tcPr>
            <w:tcW w:w="2967" w:type="dxa"/>
            <w:noWrap w:val="0"/>
            <w:vAlign w:val="center"/>
          </w:tcPr>
          <w:p>
            <w:pPr>
              <w:pStyle w:val="22"/>
              <w:spacing w:before="83"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参照《复印机、打印机和传真机能效限定值及能效等级》（GB162021）中打印速度为15页/分的针式打</w:t>
            </w:r>
          </w:p>
          <w:p>
            <w:pPr>
              <w:pStyle w:val="22"/>
              <w:spacing w:before="55"/>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3</w:t>
            </w:r>
          </w:p>
        </w:tc>
        <w:tc>
          <w:tcPr>
            <w:tcW w:w="1167" w:type="dxa"/>
            <w:noWrap w:val="0"/>
            <w:vAlign w:val="center"/>
          </w:tcPr>
          <w:p>
            <w:pPr>
              <w:pStyle w:val="22"/>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A020202</w:t>
            </w:r>
          </w:p>
          <w:p>
            <w:pPr>
              <w:pStyle w:val="22"/>
              <w:spacing w:before="56"/>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投影仪</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《投影机能效限定值及能效等级（GB32028）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4</w:t>
            </w:r>
          </w:p>
        </w:tc>
        <w:tc>
          <w:tcPr>
            <w:tcW w:w="1167" w:type="dxa"/>
            <w:noWrap w:val="0"/>
            <w:vAlign w:val="center"/>
          </w:tcPr>
          <w:p>
            <w:pPr>
              <w:pStyle w:val="22"/>
              <w:spacing w:before="10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A020204多功能一体机</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00"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《复印机、打印机和传真机能效限定值及能效等级》（GB162021）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74" w:type="dxa"/>
            <w:tcBorders>
              <w:bottom w:val="single" w:color="auto" w:sz="4" w:space="0"/>
            </w:tcBorders>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5</w:t>
            </w:r>
          </w:p>
        </w:tc>
        <w:tc>
          <w:tcPr>
            <w:tcW w:w="1167" w:type="dxa"/>
            <w:tcBorders>
              <w:bottom w:val="single" w:color="auto" w:sz="4" w:space="0"/>
            </w:tcBorders>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A020519泵</w:t>
            </w:r>
          </w:p>
        </w:tc>
        <w:tc>
          <w:tcPr>
            <w:tcW w:w="1801" w:type="dxa"/>
            <w:tcBorders>
              <w:bottom w:val="single" w:color="auto" w:sz="4" w:space="0"/>
            </w:tcBorders>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A02051901离心泵</w:t>
            </w:r>
          </w:p>
        </w:tc>
        <w:tc>
          <w:tcPr>
            <w:tcW w:w="1916" w:type="dxa"/>
            <w:tcBorders>
              <w:bottom w:val="single" w:color="auto" w:sz="4" w:space="0"/>
            </w:tcBorders>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3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《清水离心泵能效限定值及节能评价值》（GB19762）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574" w:type="dxa"/>
            <w:vMerge w:val="restart"/>
            <w:tcBorders>
              <w:top w:val="single" w:color="auto" w:sz="4" w:space="0"/>
              <w:left w:val="single" w:color="auto" w:sz="4" w:space="0"/>
              <w:right w:val="single" w:color="auto" w:sz="4" w:space="0"/>
            </w:tcBorders>
            <w:noWrap w:val="0"/>
            <w:vAlign w:val="center"/>
          </w:tcPr>
          <w:p>
            <w:pPr>
              <w:pStyle w:val="22"/>
              <w:spacing w:before="135"/>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6</w:t>
            </w:r>
          </w:p>
        </w:tc>
        <w:tc>
          <w:tcPr>
            <w:tcW w:w="1167" w:type="dxa"/>
            <w:vMerge w:val="restart"/>
            <w:tcBorders>
              <w:top w:val="single" w:color="auto" w:sz="4" w:space="0"/>
              <w:left w:val="single" w:color="auto" w:sz="4" w:space="0"/>
              <w:right w:val="single" w:color="auto" w:sz="4" w:space="0"/>
            </w:tcBorders>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A020523制冷空调设备</w:t>
            </w:r>
          </w:p>
        </w:tc>
        <w:tc>
          <w:tcPr>
            <w:tcW w:w="1801" w:type="dxa"/>
            <w:vMerge w:val="restart"/>
            <w:tcBorders>
              <w:top w:val="single" w:color="auto" w:sz="4" w:space="0"/>
              <w:left w:val="single" w:color="auto" w:sz="4" w:space="0"/>
              <w:right w:val="single" w:color="auto" w:sz="4" w:space="0"/>
            </w:tcBorders>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★A02052301</w:t>
            </w:r>
          </w:p>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制冷压缩机</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冷水机组</w:t>
            </w:r>
          </w:p>
        </w:tc>
        <w:tc>
          <w:tcPr>
            <w:tcW w:w="2967" w:type="dxa"/>
            <w:tcBorders>
              <w:left w:val="single" w:color="auto" w:sz="4" w:space="0"/>
            </w:tcBorders>
            <w:noWrap w:val="0"/>
            <w:vAlign w:val="center"/>
          </w:tcPr>
          <w:p>
            <w:pPr>
              <w:pStyle w:val="22"/>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《冷水机组能效限定值及能效等级》（GB19577），《低环境温度空气源热泵（冷水）机组能效限定值及能效等级》（GB37480）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水源热泵机组</w:t>
            </w:r>
          </w:p>
        </w:tc>
        <w:tc>
          <w:tcPr>
            <w:tcW w:w="2967" w:type="dxa"/>
            <w:tcBorders>
              <w:left w:val="single" w:color="auto" w:sz="4" w:space="0"/>
            </w:tcBorders>
            <w:noWrap w:val="0"/>
            <w:vAlign w:val="center"/>
          </w:tcPr>
          <w:p>
            <w:pPr>
              <w:pStyle w:val="22"/>
              <w:spacing w:before="85"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《水（地）源热泵机组能效限定值及能效等级》（GB30721）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167"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801" w:type="dxa"/>
            <w:vMerge w:val="continue"/>
            <w:tcBorders>
              <w:left w:val="single" w:color="auto" w:sz="4" w:space="0"/>
              <w:right w:val="single" w:color="auto" w:sz="4" w:space="0"/>
            </w:tcBorders>
            <w:noWrap w:val="0"/>
            <w:vAlign w:val="center"/>
          </w:tcPr>
          <w:p>
            <w:pPr>
              <w:pStyle w:val="22"/>
              <w:jc w:val="center"/>
              <w:rPr>
                <w:rFonts w:hint="eastAsia" w:ascii="仿宋" w:hAnsi="仿宋" w:eastAsia="仿宋" w:cs="仿宋"/>
                <w:szCs w:val="32"/>
                <w:highlight w:val="none"/>
              </w:rPr>
            </w:pPr>
          </w:p>
        </w:tc>
        <w:tc>
          <w:tcPr>
            <w:tcW w:w="1916" w:type="dxa"/>
            <w:noWrap w:val="0"/>
            <w:vAlign w:val="center"/>
          </w:tcPr>
          <w:p>
            <w:pPr>
              <w:pStyle w:val="22"/>
              <w:spacing w:before="126" w:line="292" w:lineRule="auto"/>
              <w:ind w:left="9" w:righ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w:t>
            </w:r>
          </w:p>
        </w:tc>
        <w:tc>
          <w:tcPr>
            <w:tcW w:w="2967" w:type="dxa"/>
            <w:noWrap w:val="0"/>
            <w:vAlign w:val="center"/>
          </w:tcPr>
          <w:p>
            <w:pPr>
              <w:pStyle w:val="22"/>
              <w:spacing w:before="126"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《溴化锂吸收式冷水机组能效限定值及能效等级》（GB29540）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★A02052305</w:t>
            </w:r>
          </w:p>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空调机组</w:t>
            </w:r>
          </w:p>
        </w:tc>
        <w:tc>
          <w:tcPr>
            <w:tcW w:w="1916" w:type="dxa"/>
            <w:noWrap w:val="0"/>
            <w:vAlign w:val="center"/>
          </w:tcPr>
          <w:p>
            <w:pPr>
              <w:pStyle w:val="22"/>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多联式空调（热泵）机组(制冷&gt;14000W)</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单元式空气调节机(制冷量&gt;14000W)</w:t>
            </w:r>
          </w:p>
        </w:tc>
        <w:tc>
          <w:tcPr>
            <w:tcW w:w="2967" w:type="dxa"/>
            <w:noWrap w:val="0"/>
            <w:vAlign w:val="center"/>
          </w:tcPr>
          <w:p>
            <w:pPr>
              <w:pStyle w:val="22"/>
              <w:spacing w:before="42"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16" w:line="290"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★A02052309专用制冷、空调设备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机房空调</w:t>
            </w:r>
          </w:p>
        </w:tc>
        <w:tc>
          <w:tcPr>
            <w:tcW w:w="2967" w:type="dxa"/>
            <w:noWrap w:val="0"/>
            <w:vAlign w:val="center"/>
          </w:tcPr>
          <w:p>
            <w:pPr>
              <w:pStyle w:val="22"/>
              <w:spacing w:before="116" w:line="290"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《单元式空气调节机能效限定值及能效等级》（GB19576）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574"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167"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A02052399其他制冷空调设备</w:t>
            </w: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冷却塔</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《机械通风冷却塔第1部分：中小型开式冷却塔》（GB/T7190.1）</w:t>
            </w:r>
          </w:p>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《机械通风冷却塔第2部分：大型开式冷却塔》（GB/T7190.2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noWrap w:val="0"/>
            <w:vAlign w:val="center"/>
          </w:tcPr>
          <w:p>
            <w:pPr>
              <w:pStyle w:val="22"/>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7</w:t>
            </w:r>
          </w:p>
        </w:tc>
        <w:tc>
          <w:tcPr>
            <w:tcW w:w="1167" w:type="dxa"/>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A020601电机</w:t>
            </w:r>
          </w:p>
        </w:tc>
        <w:tc>
          <w:tcPr>
            <w:tcW w:w="1801" w:type="dxa"/>
            <w:noWrap w:val="0"/>
            <w:vAlign w:val="center"/>
          </w:tcPr>
          <w:p>
            <w:pPr>
              <w:pStyle w:val="22"/>
              <w:jc w:val="center"/>
              <w:rPr>
                <w:rFonts w:hint="eastAsia" w:ascii="仿宋" w:hAnsi="仿宋" w:eastAsia="仿宋" w:cs="仿宋"/>
                <w:szCs w:val="32"/>
                <w:highlight w:val="none"/>
              </w:rPr>
            </w:pP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《中小型三相异步电动机能效限定值及能效等级》（GB18613）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74" w:type="dxa"/>
            <w:noWrap w:val="0"/>
            <w:vAlign w:val="center"/>
          </w:tcPr>
          <w:p>
            <w:pPr>
              <w:pStyle w:val="22"/>
              <w:spacing w:before="1"/>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8</w:t>
            </w:r>
          </w:p>
        </w:tc>
        <w:tc>
          <w:tcPr>
            <w:tcW w:w="1167" w:type="dxa"/>
            <w:noWrap w:val="0"/>
            <w:vAlign w:val="center"/>
          </w:tcPr>
          <w:p>
            <w:pPr>
              <w:pStyle w:val="22"/>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A020602</w:t>
            </w:r>
          </w:p>
          <w:p>
            <w:pPr>
              <w:pStyle w:val="22"/>
              <w:spacing w:before="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变压器</w:t>
            </w: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配电变压器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0" w:line="310" w:lineRule="atLeast"/>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《三相配电变压器能效限定值及能效等级》（GB20052）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574" w:type="dxa"/>
            <w:noWrap w:val="0"/>
            <w:vAlign w:val="center"/>
          </w:tcPr>
          <w:p>
            <w:pPr>
              <w:pStyle w:val="22"/>
              <w:ind w:left="5"/>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9</w:t>
            </w:r>
          </w:p>
        </w:tc>
        <w:tc>
          <w:tcPr>
            <w:tcW w:w="1167" w:type="dxa"/>
            <w:noWrap w:val="0"/>
            <w:vAlign w:val="center"/>
          </w:tcPr>
          <w:p>
            <w:pPr>
              <w:pStyle w:val="22"/>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★A020609</w:t>
            </w:r>
          </w:p>
          <w:p>
            <w:pPr>
              <w:pStyle w:val="22"/>
              <w:spacing w:before="160"/>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镇流器</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管型荧光灯镇流器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60"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《管形荧光灯镇流器能效限定值及能效等级》（GB17896）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574" w:type="dxa"/>
            <w:vMerge w:val="restart"/>
            <w:noWrap w:val="0"/>
            <w:vAlign w:val="center"/>
          </w:tcPr>
          <w:p>
            <w:pPr>
              <w:pStyle w:val="22"/>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10</w:t>
            </w:r>
          </w:p>
        </w:tc>
        <w:tc>
          <w:tcPr>
            <w:tcW w:w="1167" w:type="dxa"/>
            <w:vMerge w:val="restart"/>
            <w:noWrap w:val="0"/>
            <w:vAlign w:val="center"/>
          </w:tcPr>
          <w:p>
            <w:pPr>
              <w:pStyle w:val="22"/>
              <w:spacing w:before="167"/>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A020618生活用电器</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A0206180101电冰箱</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tabs>
                <w:tab w:val="left" w:pos="1410"/>
              </w:tabs>
              <w:spacing w:before="8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《家用电冰箱耗电量限定值及能效等级》（GB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restart"/>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★A0206180203</w:t>
            </w:r>
          </w:p>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空调机</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房间空气调节器</w:t>
            </w:r>
          </w:p>
        </w:tc>
        <w:tc>
          <w:tcPr>
            <w:tcW w:w="2967" w:type="dxa"/>
            <w:noWrap w:val="0"/>
            <w:vAlign w:val="center"/>
          </w:tcPr>
          <w:p>
            <w:pPr>
              <w:pStyle w:val="22"/>
              <w:spacing w:before="37" w:line="292" w:lineRule="auto"/>
              <w:ind w:left="9" w:right="2"/>
              <w:rPr>
                <w:rFonts w:hint="eastAsia" w:ascii="仿宋" w:hAnsi="仿宋" w:eastAsia="仿宋" w:cs="仿宋"/>
                <w:sz w:val="22"/>
                <w:szCs w:val="32"/>
                <w:highlight w:val="none"/>
              </w:rPr>
            </w:pPr>
            <w:r>
              <w:rPr>
                <w:rFonts w:hint="eastAsia" w:ascii="仿宋" w:hAnsi="仿宋" w:eastAsia="仿宋" w:cs="仿宋"/>
                <w:sz w:val="22"/>
                <w:szCs w:val="32"/>
                <w:highlight w:val="none"/>
              </w:rPr>
              <w:t>《转速可控型房间空气调节器能效限定值及能效等级》（GB21455-2013），待2019年修订发布后，按《房间空气调节器能效限定值及能效等级》（GB21455-2019）实施。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37"/>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多联式空调（热泵）机组（制冷量≤14000W）</w:t>
            </w: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《多联式空调（热泵）机组能效限定值及能源效率等级》（GB21454）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w:t>
            </w:r>
          </w:p>
          <w:p>
            <w:pPr>
              <w:pStyle w:val="22"/>
              <w:spacing w:before="56"/>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(制冷量≤14000W)</w:t>
            </w:r>
          </w:p>
        </w:tc>
        <w:tc>
          <w:tcPr>
            <w:tcW w:w="2967" w:type="dxa"/>
            <w:noWrap w:val="0"/>
            <w:vAlign w:val="center"/>
          </w:tcPr>
          <w:p>
            <w:pPr>
              <w:pStyle w:val="22"/>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《单元式空气调节机能效限定值及能源效率等级》（GB19576）《风管送风式空调机组能效限定值及能效等级》（GB37479）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A0206180301洗衣机</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39"/>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《电动洗衣机能效水效限定值及</w:t>
            </w:r>
          </w:p>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等级》（GB12021.4）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pStyle w:val="22"/>
              <w:jc w:val="center"/>
              <w:rPr>
                <w:rFonts w:hint="eastAsia" w:ascii="仿宋" w:hAnsi="仿宋" w:eastAsia="仿宋" w:cs="仿宋"/>
                <w:szCs w:val="32"/>
                <w:highlight w:val="none"/>
              </w:rPr>
            </w:pPr>
          </w:p>
        </w:tc>
        <w:tc>
          <w:tcPr>
            <w:tcW w:w="1167" w:type="dxa"/>
            <w:vMerge w:val="continue"/>
            <w:noWrap w:val="0"/>
            <w:vAlign w:val="center"/>
          </w:tcPr>
          <w:p>
            <w:pPr>
              <w:pStyle w:val="22"/>
              <w:jc w:val="center"/>
              <w:rPr>
                <w:rFonts w:hint="eastAsia" w:ascii="仿宋" w:hAnsi="仿宋" w:eastAsia="仿宋" w:cs="仿宋"/>
                <w:szCs w:val="32"/>
                <w:highlight w:val="none"/>
              </w:rPr>
            </w:pPr>
          </w:p>
        </w:tc>
        <w:tc>
          <w:tcPr>
            <w:tcW w:w="1801" w:type="dxa"/>
            <w:vMerge w:val="restart"/>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A02061808热水器</w:t>
            </w: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★电热水器</w:t>
            </w:r>
          </w:p>
        </w:tc>
        <w:tc>
          <w:tcPr>
            <w:tcW w:w="2967" w:type="dxa"/>
            <w:noWrap w:val="0"/>
            <w:vAlign w:val="center"/>
          </w:tcPr>
          <w:p>
            <w:pPr>
              <w:pStyle w:val="22"/>
              <w:tabs>
                <w:tab w:val="left" w:pos="1609"/>
              </w:tabs>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《储水式电热水器能效限定值及能效等级》（GB</w:t>
            </w:r>
            <w:r>
              <w:rPr>
                <w:rFonts w:hint="eastAsia" w:ascii="仿宋" w:hAnsi="仿宋" w:eastAsia="仿宋" w:cs="仿宋"/>
                <w:sz w:val="22"/>
                <w:szCs w:val="32"/>
                <w:highlight w:val="none"/>
              </w:rPr>
              <w:tab/>
            </w:r>
            <w:r>
              <w:rPr>
                <w:rFonts w:hint="eastAsia" w:ascii="仿宋" w:hAnsi="仿宋" w:eastAsia="仿宋" w:cs="仿宋"/>
                <w:sz w:val="22"/>
                <w:szCs w:val="32"/>
                <w:highlight w:val="none"/>
              </w:rPr>
              <w:t>162019）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燃气热水器</w:t>
            </w:r>
          </w:p>
        </w:tc>
        <w:tc>
          <w:tcPr>
            <w:tcW w:w="2967" w:type="dxa"/>
            <w:noWrap w:val="0"/>
            <w:vAlign w:val="center"/>
          </w:tcPr>
          <w:p>
            <w:pPr>
              <w:pStyle w:val="22"/>
              <w:spacing w:before="3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《家用燃气快速热水器和燃气采暖热水炉能效限定值及能效等级</w:t>
            </w:r>
          </w:p>
          <w:p>
            <w:pPr>
              <w:pStyle w:val="22"/>
              <w:spacing w:line="255" w:lineRule="exact"/>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热泵热水器</w:t>
            </w:r>
          </w:p>
        </w:tc>
        <w:tc>
          <w:tcPr>
            <w:tcW w:w="2967" w:type="dxa"/>
            <w:noWrap w:val="0"/>
            <w:vAlign w:val="center"/>
          </w:tcPr>
          <w:p>
            <w:pPr>
              <w:pStyle w:val="22"/>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《热泵热水机（器）能效限定值及能效等级》（GB29541）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574" w:type="dxa"/>
            <w:vMerge w:val="continue"/>
            <w:noWrap w:val="0"/>
            <w:vAlign w:val="center"/>
          </w:tcPr>
          <w:p>
            <w:pPr>
              <w:jc w:val="center"/>
              <w:rPr>
                <w:rFonts w:hint="eastAsia" w:ascii="仿宋" w:hAnsi="仿宋" w:eastAsia="仿宋" w:cs="仿宋"/>
                <w:sz w:val="6"/>
                <w:szCs w:val="6"/>
                <w:highlight w:val="none"/>
              </w:rPr>
            </w:pPr>
          </w:p>
        </w:tc>
        <w:tc>
          <w:tcPr>
            <w:tcW w:w="1167" w:type="dxa"/>
            <w:vMerge w:val="continue"/>
            <w:noWrap w:val="0"/>
            <w:vAlign w:val="center"/>
          </w:tcPr>
          <w:p>
            <w:pPr>
              <w:jc w:val="center"/>
              <w:rPr>
                <w:rFonts w:hint="eastAsia" w:ascii="仿宋" w:hAnsi="仿宋" w:eastAsia="仿宋" w:cs="仿宋"/>
                <w:sz w:val="6"/>
                <w:szCs w:val="6"/>
                <w:highlight w:val="none"/>
              </w:rPr>
            </w:pPr>
          </w:p>
        </w:tc>
        <w:tc>
          <w:tcPr>
            <w:tcW w:w="1801"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916" w:type="dxa"/>
            <w:noWrap w:val="0"/>
            <w:vAlign w:val="center"/>
          </w:tcPr>
          <w:p>
            <w:pPr>
              <w:pStyle w:val="22"/>
              <w:spacing w:before="1"/>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太阳能热水系统</w:t>
            </w:r>
          </w:p>
        </w:tc>
        <w:tc>
          <w:tcPr>
            <w:tcW w:w="2967" w:type="dxa"/>
            <w:noWrap w:val="0"/>
            <w:vAlign w:val="center"/>
          </w:tcPr>
          <w:p>
            <w:pPr>
              <w:pStyle w:val="22"/>
              <w:spacing w:before="8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《家用太阳能热水系统能效限定值及能效等级》（GB26969）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vMerge w:val="restart"/>
            <w:noWrap w:val="0"/>
            <w:vAlign w:val="center"/>
          </w:tcPr>
          <w:p>
            <w:pPr>
              <w:pStyle w:val="22"/>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11</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A020619</w:t>
            </w:r>
          </w:p>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照明设备</w:t>
            </w:r>
          </w:p>
        </w:tc>
        <w:tc>
          <w:tcPr>
            <w:tcW w:w="1801" w:type="dxa"/>
            <w:noWrap w:val="0"/>
            <w:vAlign w:val="center"/>
          </w:tcPr>
          <w:p>
            <w:pPr>
              <w:pStyle w:val="22"/>
              <w:spacing w:before="167"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6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《普通照明用双端荧光灯能效限定值及能效等级》（GB19043）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LED道路/</w:t>
            </w:r>
          </w:p>
          <w:p>
            <w:pPr>
              <w:pStyle w:val="22"/>
              <w:spacing w:before="126" w:line="292" w:lineRule="auto"/>
              <w:ind w:left="10" w:right="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隧道照明产品</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2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《道路和隧道照明用LED灯具能效限定值及能效等级》（GB37478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LED筒灯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16"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line="292" w:lineRule="auto"/>
              <w:ind w:left="10" w:right="4"/>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普通照明用非定向自镇流LED灯</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line="292" w:lineRule="auto"/>
              <w:ind w:left="9" w:right="5"/>
              <w:rPr>
                <w:rFonts w:hint="eastAsia" w:ascii="仿宋" w:hAnsi="仿宋" w:eastAsia="仿宋" w:cs="仿宋"/>
                <w:sz w:val="22"/>
                <w:szCs w:val="32"/>
                <w:highlight w:val="none"/>
              </w:rPr>
            </w:pPr>
            <w:r>
              <w:rPr>
                <w:rFonts w:hint="eastAsia" w:ascii="仿宋" w:hAnsi="仿宋" w:eastAsia="仿宋" w:cs="仿宋"/>
                <w:sz w:val="22"/>
                <w:szCs w:val="32"/>
                <w:highlight w:val="none"/>
              </w:rPr>
              <w:t>《室内照明用LED产品能效限定值及能效等级》（GB30255）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12</w:t>
            </w:r>
          </w:p>
        </w:tc>
        <w:tc>
          <w:tcPr>
            <w:tcW w:w="1167" w:type="dxa"/>
            <w:noWrap w:val="0"/>
            <w:vAlign w:val="center"/>
          </w:tcPr>
          <w:p>
            <w:pPr>
              <w:pStyle w:val="22"/>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w:t>
            </w:r>
          </w:p>
          <w:p>
            <w:pPr>
              <w:pStyle w:val="22"/>
              <w:spacing w:before="11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电视设备</w:t>
            </w:r>
          </w:p>
        </w:tc>
        <w:tc>
          <w:tcPr>
            <w:tcW w:w="1801" w:type="dxa"/>
            <w:noWrap w:val="0"/>
            <w:vAlign w:val="center"/>
          </w:tcPr>
          <w:p>
            <w:pPr>
              <w:pStyle w:val="22"/>
              <w:spacing w:before="114"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A02091001普通电视设备（电视机）</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1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《平板电视能效限定值及能效等级》（GB24850）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13</w:t>
            </w:r>
          </w:p>
        </w:tc>
        <w:tc>
          <w:tcPr>
            <w:tcW w:w="1167" w:type="dxa"/>
            <w:noWrap w:val="0"/>
            <w:vAlign w:val="center"/>
          </w:tcPr>
          <w:p>
            <w:pPr>
              <w:pStyle w:val="22"/>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w:t>
            </w:r>
          </w:p>
          <w:p>
            <w:pPr>
              <w:pStyle w:val="22"/>
              <w:spacing w:before="173"/>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视频设备</w:t>
            </w:r>
          </w:p>
        </w:tc>
        <w:tc>
          <w:tcPr>
            <w:tcW w:w="1801" w:type="dxa"/>
            <w:noWrap w:val="0"/>
            <w:vAlign w:val="center"/>
          </w:tcPr>
          <w:p>
            <w:pPr>
              <w:pStyle w:val="22"/>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A02091107</w:t>
            </w:r>
          </w:p>
          <w:p>
            <w:pPr>
              <w:pStyle w:val="22"/>
              <w:spacing w:before="173" w:line="292" w:lineRule="auto"/>
              <w:ind w:left="10" w:right="2"/>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视频监控设备</w:t>
            </w:r>
          </w:p>
        </w:tc>
        <w:tc>
          <w:tcPr>
            <w:tcW w:w="1916" w:type="dxa"/>
            <w:noWrap w:val="0"/>
            <w:vAlign w:val="center"/>
          </w:tcPr>
          <w:p>
            <w:pPr>
              <w:pStyle w:val="22"/>
              <w:ind w:left="9"/>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监视器</w:t>
            </w:r>
          </w:p>
        </w:tc>
        <w:tc>
          <w:tcPr>
            <w:tcW w:w="2967" w:type="dxa"/>
            <w:noWrap w:val="0"/>
            <w:vAlign w:val="center"/>
          </w:tcPr>
          <w:p>
            <w:pPr>
              <w:pStyle w:val="22"/>
              <w:spacing w:before="6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以射频信号为主要信号输入的监视器应符合《平板电视能效限定值及能效等级》（GB24850），以数字信号为主要信号输入的监视器应符合《计算机显示器能效限定值及能效等级》（GB162020）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14</w:t>
            </w:r>
          </w:p>
        </w:tc>
        <w:tc>
          <w:tcPr>
            <w:tcW w:w="1167" w:type="dxa"/>
            <w:noWrap w:val="0"/>
            <w:vAlign w:val="center"/>
          </w:tcPr>
          <w:p>
            <w:pPr>
              <w:pStyle w:val="22"/>
              <w:spacing w:before="109"/>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A031210饮食炊事机械</w:t>
            </w:r>
          </w:p>
        </w:tc>
        <w:tc>
          <w:tcPr>
            <w:tcW w:w="1801" w:type="dxa"/>
            <w:noWrap w:val="0"/>
            <w:vAlign w:val="center"/>
          </w:tcPr>
          <w:p>
            <w:pPr>
              <w:pStyle w:val="22"/>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09"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《商用燃气灶具能效限定值及能效等级》（GB30531）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restart"/>
            <w:noWrap w:val="0"/>
            <w:vAlign w:val="center"/>
          </w:tcPr>
          <w:p>
            <w:pPr>
              <w:pStyle w:val="22"/>
              <w:spacing w:before="174"/>
              <w:ind w:left="18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15</w:t>
            </w:r>
          </w:p>
        </w:tc>
        <w:tc>
          <w:tcPr>
            <w:tcW w:w="1167" w:type="dxa"/>
            <w:vMerge w:val="restart"/>
            <w:noWrap w:val="0"/>
            <w:vAlign w:val="center"/>
          </w:tcPr>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★A060805</w:t>
            </w:r>
          </w:p>
          <w:p>
            <w:pPr>
              <w:pStyle w:val="22"/>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w:t>
            </w: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坐便器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ind w:left="9"/>
              <w:rPr>
                <w:rFonts w:hint="eastAsia" w:ascii="仿宋" w:hAnsi="仿宋" w:eastAsia="仿宋" w:cs="仿宋"/>
                <w:sz w:val="22"/>
                <w:szCs w:val="32"/>
                <w:highlight w:val="none"/>
              </w:rPr>
            </w:pPr>
            <w:r>
              <w:rPr>
                <w:rFonts w:hint="eastAsia" w:ascii="仿宋" w:hAnsi="仿宋" w:eastAsia="仿宋" w:cs="仿宋"/>
                <w:sz w:val="22"/>
                <w:szCs w:val="32"/>
                <w:highlight w:val="none"/>
              </w:rPr>
              <w:t>《坐便器水效限定值及水效等级</w:t>
            </w:r>
          </w:p>
          <w:p>
            <w:pPr>
              <w:pStyle w:val="22"/>
              <w:spacing w:before="56"/>
              <w:ind w:left="9"/>
              <w:rPr>
                <w:rFonts w:hint="eastAsia" w:ascii="仿宋" w:hAnsi="仿宋" w:eastAsia="仿宋" w:cs="仿宋"/>
                <w:sz w:val="22"/>
                <w:szCs w:val="32"/>
                <w:highlight w:val="none"/>
              </w:rPr>
            </w:pPr>
            <w:r>
              <w:rPr>
                <w:rFonts w:hint="eastAsia" w:ascii="仿宋" w:hAnsi="仿宋" w:eastAsia="仿宋" w:cs="仿宋"/>
                <w:sz w:val="22"/>
                <w:szCs w:val="32"/>
                <w:highlight w:val="none"/>
              </w:rPr>
              <w:t>（GB25502）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蹲便器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《蹲便器用水效率限定值及用水效率等级》（GB30717）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jc w:val="center"/>
        </w:trPr>
        <w:tc>
          <w:tcPr>
            <w:tcW w:w="574"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167" w:type="dxa"/>
            <w:vMerge w:val="continue"/>
            <w:tcBorders>
              <w:top w:val="nil"/>
            </w:tcBorders>
            <w:noWrap w:val="0"/>
            <w:vAlign w:val="center"/>
          </w:tcPr>
          <w:p>
            <w:pPr>
              <w:jc w:val="center"/>
              <w:rPr>
                <w:rFonts w:hint="eastAsia" w:ascii="仿宋" w:hAnsi="仿宋" w:eastAsia="仿宋" w:cs="仿宋"/>
                <w:sz w:val="6"/>
                <w:szCs w:val="6"/>
                <w:highlight w:val="none"/>
              </w:rPr>
            </w:pPr>
          </w:p>
        </w:tc>
        <w:tc>
          <w:tcPr>
            <w:tcW w:w="1801" w:type="dxa"/>
            <w:noWrap w:val="0"/>
            <w:vAlign w:val="center"/>
          </w:tcPr>
          <w:p>
            <w:pPr>
              <w:pStyle w:val="22"/>
              <w:spacing w:before="1"/>
              <w:ind w:left="10"/>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小便器</w:t>
            </w:r>
          </w:p>
        </w:tc>
        <w:tc>
          <w:tcPr>
            <w:tcW w:w="1916" w:type="dxa"/>
            <w:noWrap w:val="0"/>
            <w:vAlign w:val="center"/>
          </w:tcPr>
          <w:p>
            <w:pPr>
              <w:pStyle w:val="22"/>
              <w:jc w:val="center"/>
              <w:rPr>
                <w:rFonts w:hint="eastAsia" w:ascii="仿宋" w:hAnsi="仿宋" w:eastAsia="仿宋" w:cs="仿宋"/>
                <w:szCs w:val="32"/>
                <w:highlight w:val="none"/>
              </w:rPr>
            </w:pPr>
          </w:p>
        </w:tc>
        <w:tc>
          <w:tcPr>
            <w:tcW w:w="2967" w:type="dxa"/>
            <w:noWrap w:val="0"/>
            <w:vAlign w:val="center"/>
          </w:tcPr>
          <w:p>
            <w:pPr>
              <w:pStyle w:val="22"/>
              <w:spacing w:before="157"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《小便器用水效率限定值及用水效率等级》（GB28377）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16</w:t>
            </w:r>
          </w:p>
        </w:tc>
        <w:tc>
          <w:tcPr>
            <w:tcW w:w="1167" w:type="dxa"/>
            <w:noWrap w:val="0"/>
            <w:vAlign w:val="center"/>
          </w:tcPr>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★A060806</w:t>
            </w:r>
          </w:p>
          <w:p>
            <w:pPr>
              <w:pStyle w:val="22"/>
              <w:spacing w:before="1"/>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水嘴</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《水嘴用水效率限定值及用水效率等级》（GB25501）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17</w:t>
            </w:r>
          </w:p>
        </w:tc>
        <w:tc>
          <w:tcPr>
            <w:tcW w:w="1167" w:type="dxa"/>
            <w:noWrap w:val="0"/>
            <w:vAlign w:val="center"/>
          </w:tcPr>
          <w:p>
            <w:pPr>
              <w:pStyle w:val="22"/>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A060807</w:t>
            </w:r>
          </w:p>
          <w:p>
            <w:pPr>
              <w:pStyle w:val="22"/>
              <w:spacing w:before="145"/>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45"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《便器冲洗阀用水效率限定值及用水效率等级》（GB28379）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574" w:type="dxa"/>
            <w:noWrap w:val="0"/>
            <w:vAlign w:val="center"/>
          </w:tcPr>
          <w:p>
            <w:pPr>
              <w:pStyle w:val="22"/>
              <w:ind w:left="167" w:right="157"/>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18</w:t>
            </w:r>
          </w:p>
        </w:tc>
        <w:tc>
          <w:tcPr>
            <w:tcW w:w="1167" w:type="dxa"/>
            <w:noWrap w:val="0"/>
            <w:vAlign w:val="center"/>
          </w:tcPr>
          <w:p>
            <w:pPr>
              <w:pStyle w:val="22"/>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A060810</w:t>
            </w:r>
          </w:p>
          <w:p>
            <w:pPr>
              <w:pStyle w:val="22"/>
              <w:spacing w:before="164"/>
              <w:ind w:left="11"/>
              <w:jc w:val="center"/>
              <w:rPr>
                <w:rFonts w:hint="eastAsia" w:ascii="仿宋" w:hAnsi="仿宋" w:eastAsia="仿宋" w:cs="仿宋"/>
                <w:sz w:val="22"/>
                <w:szCs w:val="32"/>
                <w:highlight w:val="none"/>
              </w:rPr>
            </w:pPr>
            <w:r>
              <w:rPr>
                <w:rFonts w:hint="eastAsia" w:ascii="仿宋" w:hAnsi="仿宋" w:eastAsia="仿宋" w:cs="仿宋"/>
                <w:sz w:val="22"/>
                <w:szCs w:val="32"/>
                <w:highlight w:val="none"/>
              </w:rPr>
              <w:t>淋浴器</w:t>
            </w:r>
          </w:p>
        </w:tc>
        <w:tc>
          <w:tcPr>
            <w:tcW w:w="1801" w:type="dxa"/>
            <w:noWrap w:val="0"/>
            <w:vAlign w:val="center"/>
          </w:tcPr>
          <w:p>
            <w:pPr>
              <w:pStyle w:val="22"/>
              <w:jc w:val="center"/>
              <w:rPr>
                <w:rFonts w:hint="eastAsia" w:ascii="仿宋" w:hAnsi="仿宋" w:eastAsia="仿宋" w:cs="仿宋"/>
                <w:sz w:val="22"/>
                <w:szCs w:val="32"/>
                <w:highlight w:val="none"/>
              </w:rPr>
            </w:pPr>
          </w:p>
        </w:tc>
        <w:tc>
          <w:tcPr>
            <w:tcW w:w="1916" w:type="dxa"/>
            <w:noWrap w:val="0"/>
            <w:vAlign w:val="center"/>
          </w:tcPr>
          <w:p>
            <w:pPr>
              <w:pStyle w:val="22"/>
              <w:jc w:val="center"/>
              <w:rPr>
                <w:rFonts w:hint="eastAsia" w:ascii="仿宋" w:hAnsi="仿宋" w:eastAsia="仿宋" w:cs="仿宋"/>
                <w:sz w:val="22"/>
                <w:szCs w:val="32"/>
                <w:highlight w:val="none"/>
              </w:rPr>
            </w:pPr>
          </w:p>
        </w:tc>
        <w:tc>
          <w:tcPr>
            <w:tcW w:w="2967" w:type="dxa"/>
            <w:noWrap w:val="0"/>
            <w:vAlign w:val="center"/>
          </w:tcPr>
          <w:p>
            <w:pPr>
              <w:pStyle w:val="22"/>
              <w:spacing w:before="164" w:line="292" w:lineRule="auto"/>
              <w:ind w:left="9" w:right="3"/>
              <w:rPr>
                <w:rFonts w:hint="eastAsia" w:ascii="仿宋" w:hAnsi="仿宋" w:eastAsia="仿宋" w:cs="仿宋"/>
                <w:sz w:val="22"/>
                <w:szCs w:val="32"/>
                <w:highlight w:val="none"/>
              </w:rPr>
            </w:pPr>
            <w:r>
              <w:rPr>
                <w:rFonts w:hint="eastAsia" w:ascii="仿宋" w:hAnsi="仿宋" w:eastAsia="仿宋" w:cs="仿宋"/>
                <w:sz w:val="22"/>
                <w:szCs w:val="32"/>
                <w:highlight w:val="none"/>
              </w:rPr>
              <w:t>《淋浴器用水效率限定值及用水效率等级》（GB28378）</w:t>
            </w:r>
          </w:p>
        </w:tc>
      </w:tr>
    </w:tbl>
    <w:p>
      <w:pPr>
        <w:autoSpaceDE w:val="0"/>
        <w:autoSpaceDN w:val="0"/>
        <w:rPr>
          <w:rFonts w:hint="eastAsia" w:ascii="仿宋" w:hAnsi="仿宋" w:eastAsia="仿宋" w:cs="仿宋"/>
          <w:sz w:val="28"/>
          <w:szCs w:val="28"/>
          <w:highlight w:val="none"/>
        </w:rPr>
      </w:pPr>
      <w:r>
        <w:rPr>
          <w:rFonts w:hint="eastAsia" w:ascii="仿宋" w:hAnsi="仿宋" w:eastAsia="仿宋" w:cs="仿宋"/>
          <w:sz w:val="28"/>
          <w:szCs w:val="28"/>
          <w:highlight w:val="none"/>
        </w:rPr>
        <w:t>注：1.节能产品认证应依据相关国家标准的最新版本，依据国家标准中二级能效（水效）指标。</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2.上述产品中认证标准发生变更的，依据原认证标准获得的、仍在有效期内的认证证书可使用至2019年6月1日。</w:t>
      </w:r>
    </w:p>
    <w:p>
      <w:pPr>
        <w:autoSpaceDE w:val="0"/>
        <w:autoSpaceDN w:val="0"/>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3.以“★”标注的为政府强制采购产品。</w:t>
      </w:r>
    </w:p>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附表2：</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参与实施政府采购节能产品认证机构名录</w:t>
      </w:r>
    </w:p>
    <w:p>
      <w:pPr>
        <w:pStyle w:val="2"/>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tbl>
      <w:tblPr>
        <w:tblStyle w:val="1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1151"/>
        <w:gridCol w:w="1196"/>
        <w:gridCol w:w="1344"/>
        <w:gridCol w:w="135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347"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一级目录</w:t>
            </w:r>
          </w:p>
        </w:tc>
        <w:tc>
          <w:tcPr>
            <w:tcW w:w="2698" w:type="dxa"/>
            <w:gridSpan w:val="2"/>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二级目录</w:t>
            </w:r>
          </w:p>
        </w:tc>
        <w:tc>
          <w:tcPr>
            <w:tcW w:w="3261" w:type="dxa"/>
            <w:vMerge w:val="restart"/>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c>
          <w:tcPr>
            <w:tcW w:w="1151"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产品代码</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产品名称</w:t>
            </w:r>
          </w:p>
        </w:tc>
        <w:tc>
          <w:tcPr>
            <w:tcW w:w="3261" w:type="dxa"/>
            <w:vMerge w:val="continue"/>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p>
            <w:pPr>
              <w:jc w:val="center"/>
              <w:rPr>
                <w:rFonts w:hint="eastAsia" w:ascii="仿宋" w:hAnsi="仿宋" w:eastAsia="仿宋" w:cs="仿宋"/>
                <w:sz w:val="24"/>
                <w:highlight w:val="none"/>
              </w:rPr>
            </w:pPr>
            <w:r>
              <w:rPr>
                <w:rFonts w:hint="eastAsia" w:ascii="仿宋" w:hAnsi="仿宋" w:eastAsia="仿宋" w:cs="仿宋"/>
                <w:sz w:val="24"/>
                <w:highlight w:val="none"/>
              </w:rPr>
              <w:t>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台式计算机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北京赛西认证有限责任公司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中国网络安全审查技术与认证中心</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便携式</w:t>
            </w:r>
          </w:p>
          <w:p>
            <w:pPr>
              <w:jc w:val="center"/>
              <w:rPr>
                <w:rFonts w:hint="eastAsia" w:ascii="仿宋" w:hAnsi="仿宋" w:eastAsia="仿宋" w:cs="仿宋"/>
                <w:sz w:val="24"/>
                <w:highlight w:val="none"/>
              </w:rPr>
            </w:pPr>
            <w:r>
              <w:rPr>
                <w:rFonts w:hint="eastAsia" w:ascii="仿宋" w:hAnsi="仿宋" w:eastAsia="仿宋" w:cs="仿宋"/>
                <w:sz w:val="24"/>
                <w:highlight w:val="none"/>
              </w:rPr>
              <w:t>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平板式</w:t>
            </w:r>
          </w:p>
          <w:p>
            <w:pPr>
              <w:jc w:val="center"/>
              <w:rPr>
                <w:rFonts w:hint="eastAsia" w:ascii="仿宋" w:hAnsi="仿宋" w:eastAsia="仿宋" w:cs="仿宋"/>
                <w:sz w:val="24"/>
                <w:highlight w:val="none"/>
              </w:rPr>
            </w:pPr>
            <w:r>
              <w:rPr>
                <w:rFonts w:hint="eastAsia" w:ascii="仿宋" w:hAnsi="仿宋" w:eastAsia="仿宋" w:cs="仿宋"/>
                <w:sz w:val="24"/>
                <w:highlight w:val="none"/>
              </w:rPr>
              <w:t>微型计算机</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输入输出设备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打印设备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A02010604</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显示设备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A02010609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图形图像</w:t>
            </w:r>
          </w:p>
          <w:p>
            <w:pPr>
              <w:jc w:val="center"/>
              <w:rPr>
                <w:rFonts w:hint="eastAsia" w:ascii="仿宋" w:hAnsi="仿宋" w:eastAsia="仿宋" w:cs="仿宋"/>
                <w:sz w:val="24"/>
                <w:highlight w:val="none"/>
              </w:rPr>
            </w:pPr>
            <w:r>
              <w:rPr>
                <w:rFonts w:hint="eastAsia" w:ascii="仿宋" w:hAnsi="仿宋" w:eastAsia="仿宋" w:cs="仿宋"/>
                <w:sz w:val="24"/>
                <w:highlight w:val="none"/>
              </w:rPr>
              <w:t>输入设备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投影仪</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A020204</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多功能</w:t>
            </w:r>
          </w:p>
          <w:p>
            <w:pPr>
              <w:jc w:val="center"/>
              <w:rPr>
                <w:rFonts w:hint="eastAsia" w:ascii="仿宋" w:hAnsi="仿宋" w:eastAsia="仿宋" w:cs="仿宋"/>
                <w:sz w:val="24"/>
                <w:highlight w:val="none"/>
              </w:rPr>
            </w:pPr>
            <w:r>
              <w:rPr>
                <w:rFonts w:hint="eastAsia" w:ascii="仿宋" w:hAnsi="仿宋" w:eastAsia="仿宋" w:cs="仿宋"/>
                <w:sz w:val="24"/>
                <w:highlight w:val="none"/>
              </w:rPr>
              <w:t>一体机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泵</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A02051901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离心泵</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制冷空调设备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制冷压缩机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A02052305</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空调机组</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A02052309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专用制冷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A02052399</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其他制冷</w:t>
            </w:r>
          </w:p>
          <w:p>
            <w:pPr>
              <w:jc w:val="center"/>
              <w:rPr>
                <w:rFonts w:hint="eastAsia" w:ascii="仿宋" w:hAnsi="仿宋" w:eastAsia="仿宋" w:cs="仿宋"/>
                <w:sz w:val="24"/>
                <w:highlight w:val="none"/>
              </w:rPr>
            </w:pPr>
            <w:r>
              <w:rPr>
                <w:rFonts w:hint="eastAsia" w:ascii="仿宋" w:hAnsi="仿宋" w:eastAsia="仿宋" w:cs="仿宋"/>
                <w:sz w:val="24"/>
                <w:highlight w:val="none"/>
              </w:rPr>
              <w:t>空调设备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电机</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A020602</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变压器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电能（北京）认证中心有限公司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A020609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镇流器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1151"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w:t>
            </w:r>
          </w:p>
        </w:tc>
        <w:tc>
          <w:tcPr>
            <w:tcW w:w="1196" w:type="dxa"/>
            <w:vMerge w:val="restart"/>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生活用</w:t>
            </w:r>
          </w:p>
          <w:p>
            <w:pPr>
              <w:jc w:val="center"/>
              <w:rPr>
                <w:rFonts w:hint="eastAsia" w:ascii="仿宋" w:hAnsi="仿宋" w:eastAsia="仿宋" w:cs="仿宋"/>
                <w:sz w:val="24"/>
                <w:highlight w:val="none"/>
              </w:rPr>
            </w:pPr>
            <w:r>
              <w:rPr>
                <w:rFonts w:hint="eastAsia" w:ascii="仿宋" w:hAnsi="仿宋" w:eastAsia="仿宋" w:cs="仿宋"/>
                <w:sz w:val="24"/>
                <w:highlight w:val="none"/>
              </w:rPr>
              <w:t>电器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A0206180101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电冰箱</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A0206180203</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空调机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A0206180301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洗衣机</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51"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196" w:type="dxa"/>
            <w:vMerge w:val="continue"/>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A02061808</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热水器</w:t>
            </w: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威凯认证检测有限公司</w:t>
            </w:r>
          </w:p>
          <w:p>
            <w:pPr>
              <w:rPr>
                <w:rFonts w:hint="eastAsia" w:ascii="仿宋" w:hAnsi="仿宋" w:eastAsia="仿宋" w:cs="仿宋"/>
                <w:sz w:val="24"/>
                <w:highlight w:val="none"/>
              </w:rPr>
            </w:pPr>
            <w:r>
              <w:rPr>
                <w:rFonts w:hint="eastAsia" w:ascii="仿宋" w:hAnsi="仿宋" w:eastAsia="仿宋" w:cs="仿宋"/>
                <w:sz w:val="24"/>
                <w:highlight w:val="none"/>
              </w:rPr>
              <w:t>中家院（北京）检测认证有限公司</w:t>
            </w:r>
          </w:p>
          <w:p>
            <w:pPr>
              <w:rPr>
                <w:rFonts w:hint="eastAsia" w:ascii="仿宋" w:hAnsi="仿宋" w:eastAsia="仿宋" w:cs="仿宋"/>
                <w:sz w:val="24"/>
                <w:highlight w:val="none"/>
              </w:rPr>
            </w:pPr>
            <w:r>
              <w:rPr>
                <w:rFonts w:hint="eastAsia" w:ascii="仿宋" w:hAnsi="仿宋" w:eastAsia="仿宋" w:cs="仿宋"/>
                <w:sz w:val="24"/>
                <w:highlight w:val="none"/>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A020619</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照明设备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深圳市计量质量检测研究院</w:t>
            </w:r>
          </w:p>
          <w:p>
            <w:pP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电视设备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A02091001</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普通电视设备（电视机）</w:t>
            </w: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北京泰瑞特认证有限责任公司</w:t>
            </w:r>
          </w:p>
          <w:p>
            <w:pPr>
              <w:rPr>
                <w:rFonts w:hint="eastAsia" w:ascii="仿宋" w:hAnsi="仿宋" w:eastAsia="仿宋" w:cs="仿宋"/>
                <w:sz w:val="24"/>
                <w:highlight w:val="none"/>
              </w:rPr>
            </w:pPr>
            <w:r>
              <w:rPr>
                <w:rFonts w:hint="eastAsia" w:ascii="仿宋" w:hAnsi="仿宋" w:eastAsia="仿宋" w:cs="仿宋"/>
                <w:sz w:val="24"/>
                <w:highlight w:val="none"/>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视频设备</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A02091107</w:t>
            </w: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视频监</w:t>
            </w:r>
          </w:p>
          <w:p>
            <w:pPr>
              <w:jc w:val="center"/>
              <w:rPr>
                <w:rFonts w:hint="eastAsia" w:ascii="仿宋" w:hAnsi="仿宋" w:eastAsia="仿宋" w:cs="仿宋"/>
                <w:sz w:val="24"/>
                <w:highlight w:val="none"/>
              </w:rPr>
            </w:pPr>
            <w:r>
              <w:rPr>
                <w:rFonts w:hint="eastAsia" w:ascii="仿宋" w:hAnsi="仿宋" w:eastAsia="仿宋" w:cs="仿宋"/>
                <w:sz w:val="24"/>
                <w:highlight w:val="none"/>
              </w:rPr>
              <w:t>控设备</w:t>
            </w: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14</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A031210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饮食炊</w:t>
            </w:r>
          </w:p>
          <w:p>
            <w:pPr>
              <w:jc w:val="center"/>
              <w:rPr>
                <w:rFonts w:hint="eastAsia" w:ascii="仿宋" w:hAnsi="仿宋" w:eastAsia="仿宋" w:cs="仿宋"/>
                <w:sz w:val="24"/>
                <w:highlight w:val="none"/>
              </w:rPr>
            </w:pPr>
            <w:r>
              <w:rPr>
                <w:rFonts w:hint="eastAsia" w:ascii="仿宋" w:hAnsi="仿宋" w:eastAsia="仿宋" w:cs="仿宋"/>
                <w:sz w:val="24"/>
                <w:highlight w:val="none"/>
              </w:rPr>
              <w:t>事机械</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北京鉴衡认证中心</w:t>
            </w:r>
          </w:p>
          <w:p>
            <w:pPr>
              <w:rPr>
                <w:rFonts w:hint="eastAsia" w:ascii="仿宋" w:hAnsi="仿宋" w:eastAsia="仿宋" w:cs="仿宋"/>
                <w:sz w:val="24"/>
                <w:highlight w:val="none"/>
              </w:rPr>
            </w:pPr>
            <w:r>
              <w:rPr>
                <w:rFonts w:hint="eastAsia" w:ascii="仿宋" w:hAnsi="仿宋" w:eastAsia="仿宋" w:cs="仿宋"/>
                <w:sz w:val="24"/>
                <w:highlight w:val="none"/>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15</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A060805</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restart"/>
            <w:shd w:val="clear" w:color="auto" w:fill="FFFFFF"/>
            <w:noWrap w:val="0"/>
            <w:tcMar>
              <w:left w:w="108" w:type="dxa"/>
              <w:right w:w="108" w:type="dxa"/>
            </w:tcMar>
            <w:vAlign w:val="center"/>
          </w:tcPr>
          <w:p>
            <w:pPr>
              <w:rPr>
                <w:rFonts w:hint="eastAsia" w:ascii="仿宋" w:hAnsi="仿宋" w:eastAsia="仿宋" w:cs="仿宋"/>
                <w:sz w:val="24"/>
                <w:highlight w:val="none"/>
              </w:rPr>
            </w:pPr>
            <w:r>
              <w:rPr>
                <w:rFonts w:hint="eastAsia" w:ascii="仿宋" w:hAnsi="仿宋" w:eastAsia="仿宋" w:cs="仿宋"/>
                <w:sz w:val="24"/>
                <w:highlight w:val="none"/>
              </w:rPr>
              <w:t>中国质量认证中心</w:t>
            </w:r>
          </w:p>
          <w:p>
            <w:pPr>
              <w:rPr>
                <w:rFonts w:hint="eastAsia" w:ascii="仿宋" w:hAnsi="仿宋" w:eastAsia="仿宋" w:cs="仿宋"/>
                <w:sz w:val="24"/>
                <w:highlight w:val="none"/>
              </w:rPr>
            </w:pPr>
            <w:r>
              <w:rPr>
                <w:rFonts w:hint="eastAsia" w:ascii="仿宋" w:hAnsi="仿宋" w:eastAsia="仿宋" w:cs="仿宋"/>
                <w:sz w:val="24"/>
                <w:highlight w:val="none"/>
              </w:rPr>
              <w:t>北京新华节水产品认证有限公司</w:t>
            </w:r>
          </w:p>
          <w:p>
            <w:pPr>
              <w:rPr>
                <w:rFonts w:hint="eastAsia" w:ascii="仿宋" w:hAnsi="仿宋" w:eastAsia="仿宋" w:cs="仿宋"/>
                <w:sz w:val="24"/>
                <w:highlight w:val="none"/>
              </w:rPr>
            </w:pPr>
            <w:r>
              <w:rPr>
                <w:rFonts w:hint="eastAsia" w:ascii="仿宋" w:hAnsi="仿宋" w:eastAsia="仿宋" w:cs="仿宋"/>
                <w:sz w:val="24"/>
                <w:highlight w:val="none"/>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A060806</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水嘴</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17</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A060807</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便器</w:t>
            </w:r>
          </w:p>
          <w:p>
            <w:pPr>
              <w:jc w:val="center"/>
              <w:rPr>
                <w:rFonts w:hint="eastAsia" w:ascii="仿宋" w:hAnsi="仿宋" w:eastAsia="仿宋" w:cs="仿宋"/>
                <w:sz w:val="24"/>
                <w:highlight w:val="none"/>
              </w:rPr>
            </w:pPr>
            <w:r>
              <w:rPr>
                <w:rFonts w:hint="eastAsia" w:ascii="仿宋" w:hAnsi="仿宋" w:eastAsia="仿宋" w:cs="仿宋"/>
                <w:sz w:val="24"/>
                <w:highlight w:val="none"/>
              </w:rPr>
              <w:t>冲洗阀</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0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18</w:t>
            </w:r>
          </w:p>
        </w:tc>
        <w:tc>
          <w:tcPr>
            <w:tcW w:w="1151"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A060810</w:t>
            </w:r>
          </w:p>
        </w:tc>
        <w:tc>
          <w:tcPr>
            <w:tcW w:w="119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淋浴器</w:t>
            </w:r>
          </w:p>
        </w:tc>
        <w:tc>
          <w:tcPr>
            <w:tcW w:w="134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1354"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p>
        </w:tc>
        <w:tc>
          <w:tcPr>
            <w:tcW w:w="3261" w:type="dxa"/>
            <w:vMerge w:val="continue"/>
            <w:shd w:val="clear" w:color="auto" w:fill="FFFFFF"/>
            <w:noWrap w:val="0"/>
            <w:tcMar>
              <w:left w:w="108" w:type="dxa"/>
              <w:right w:w="108" w:type="dxa"/>
            </w:tcMar>
            <w:vAlign w:val="center"/>
          </w:tcPr>
          <w:p>
            <w:pPr>
              <w:rPr>
                <w:rFonts w:hint="eastAsia" w:ascii="仿宋" w:hAnsi="仿宋" w:eastAsia="仿宋" w:cs="仿宋"/>
                <w:sz w:val="24"/>
                <w:highlight w:val="none"/>
              </w:rPr>
            </w:pPr>
          </w:p>
        </w:tc>
      </w:tr>
    </w:tbl>
    <w:p>
      <w:pPr>
        <w:rPr>
          <w:rFonts w:hint="eastAsia" w:ascii="仿宋" w:hAnsi="仿宋" w:eastAsia="仿宋" w:cs="仿宋"/>
          <w:highlight w:val="none"/>
        </w:rPr>
      </w:pPr>
      <w:r>
        <w:rPr>
          <w:rFonts w:hint="eastAsia" w:ascii="仿宋" w:hAnsi="仿宋" w:eastAsia="仿宋" w:cs="仿宋"/>
          <w:highlight w:val="none"/>
        </w:rPr>
        <w:br w:type="page"/>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附表3</w:t>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40"/>
          <w:szCs w:val="40"/>
          <w:highlight w:val="none"/>
        </w:rPr>
      </w:pPr>
      <w:r>
        <w:rPr>
          <w:rFonts w:hint="eastAsia" w:ascii="仿宋" w:hAnsi="仿宋" w:eastAsia="仿宋" w:cs="仿宋"/>
          <w:sz w:val="40"/>
          <w:szCs w:val="40"/>
          <w:highlight w:val="none"/>
        </w:rPr>
        <w:t>参与实施政府采购环境标志产品认证机构名录</w:t>
      </w:r>
    </w:p>
    <w:p>
      <w:pPr>
        <w:pStyle w:val="2"/>
        <w:jc w:val="center"/>
        <w:rPr>
          <w:rFonts w:hint="eastAsia" w:ascii="仿宋" w:hAnsi="仿宋" w:eastAsia="仿宋" w:cs="仿宋"/>
          <w:highlight w:val="none"/>
        </w:rPr>
      </w:pPr>
      <w:r>
        <w:rPr>
          <w:rFonts w:hint="eastAsia" w:ascii="仿宋" w:hAnsi="仿宋" w:eastAsia="仿宋" w:cs="仿宋"/>
          <w:highlight w:val="none"/>
        </w:rPr>
        <w:t>——摘自《节能产品政府采购品目清单》（财库〔2019〕19 号文件）</w:t>
      </w:r>
    </w:p>
    <w:p>
      <w:pPr>
        <w:pStyle w:val="2"/>
        <w:rPr>
          <w:rFonts w:hint="eastAsia" w:ascii="仿宋" w:hAnsi="仿宋" w:eastAsia="仿宋" w:cs="仿宋"/>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9"/>
        <w:gridCol w:w="2223"/>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目录</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6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326"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环境标志产品</w:t>
            </w:r>
          </w:p>
        </w:tc>
        <w:tc>
          <w:tcPr>
            <w:tcW w:w="9889" w:type="dxa"/>
            <w:shd w:val="clear" w:color="auto" w:fill="FFFFFF"/>
            <w:noWrap w:val="0"/>
            <w:tcMar>
              <w:left w:w="108" w:type="dxa"/>
              <w:right w:w="108" w:type="dxa"/>
            </w:tcMar>
            <w:vAlign w:val="center"/>
          </w:tcPr>
          <w:p>
            <w:pPr>
              <w:jc w:val="center"/>
              <w:rPr>
                <w:rFonts w:hint="eastAsia" w:ascii="仿宋" w:hAnsi="仿宋" w:eastAsia="仿宋" w:cs="仿宋"/>
                <w:sz w:val="24"/>
                <w:highlight w:val="none"/>
              </w:rPr>
            </w:pPr>
            <w:r>
              <w:rPr>
                <w:rFonts w:hint="eastAsia" w:ascii="仿宋" w:hAnsi="仿宋" w:eastAsia="仿宋" w:cs="仿宋"/>
                <w:sz w:val="24"/>
                <w:highlight w:val="none"/>
              </w:rPr>
              <w:t>中环联合（北京）认证中心有限公司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中标合信（北京）认证有限公司</w:t>
            </w:r>
          </w:p>
          <w:p>
            <w:pPr>
              <w:jc w:val="center"/>
              <w:rPr>
                <w:rFonts w:hint="eastAsia" w:ascii="仿宋" w:hAnsi="仿宋" w:eastAsia="仿宋" w:cs="仿宋"/>
                <w:sz w:val="24"/>
                <w:highlight w:val="none"/>
              </w:rPr>
            </w:pPr>
            <w:r>
              <w:rPr>
                <w:rFonts w:hint="eastAsia" w:ascii="仿宋" w:hAnsi="仿宋" w:eastAsia="仿宋" w:cs="仿宋"/>
                <w:sz w:val="24"/>
                <w:highlight w:val="none"/>
              </w:rPr>
              <w:t>中环协（北京）认证中心</w:t>
            </w:r>
          </w:p>
          <w:p>
            <w:pPr>
              <w:jc w:val="center"/>
              <w:rPr>
                <w:rFonts w:hint="eastAsia" w:ascii="仿宋" w:hAnsi="仿宋" w:eastAsia="仿宋" w:cs="仿宋"/>
                <w:sz w:val="24"/>
                <w:highlight w:val="none"/>
              </w:rPr>
            </w:pPr>
            <w:r>
              <w:rPr>
                <w:rFonts w:hint="eastAsia" w:ascii="仿宋" w:hAnsi="仿宋" w:eastAsia="仿宋" w:cs="仿宋"/>
                <w:sz w:val="24"/>
                <w:highlight w:val="none"/>
              </w:rPr>
              <w:t>天津华诚认证有限公司</w:t>
            </w:r>
          </w:p>
        </w:tc>
      </w:tr>
    </w:tbl>
    <w:p>
      <w:pPr>
        <w:pStyle w:val="9"/>
        <w:spacing w:line="480" w:lineRule="exact"/>
        <w:ind w:left="0" w:leftChars="0" w:firstLine="0" w:firstLineChars="0"/>
        <w:rPr>
          <w:rFonts w:hint="eastAsia" w:ascii="宋体" w:hAnsi="宋体" w:eastAsia="宋体" w:cs="宋体"/>
          <w:color w:val="000000"/>
          <w:highlight w:val="none"/>
        </w:rPr>
      </w:pPr>
    </w:p>
    <w:p>
      <w:pPr>
        <w:rPr>
          <w:highlight w:val="none"/>
        </w:rPr>
      </w:pPr>
    </w:p>
    <w:sectPr>
      <w:type w:val="continuous"/>
      <w:pgSz w:w="11907" w:h="16840"/>
      <w:pgMar w:top="1304" w:right="1418" w:bottom="1157" w:left="1418" w:header="851" w:footer="851" w:gutter="0"/>
      <w:pgNumType w:fmt="numberInDash"/>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8"/>
      </w:rPr>
    </w:pPr>
  </w:p>
  <w:p>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Fonts w:hint="eastAsia"/>
      </w:rPr>
      <w:t>２１</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12"/>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58005"/>
    <w:multiLevelType w:val="singleLevel"/>
    <w:tmpl w:val="A9758005"/>
    <w:lvl w:ilvl="0" w:tentative="0">
      <w:start w:val="1"/>
      <w:numFmt w:val="decimal"/>
      <w:lvlText w:val="(%1)"/>
      <w:lvlJc w:val="left"/>
      <w:pPr>
        <w:ind w:left="425" w:hanging="425"/>
      </w:pPr>
      <w:rPr>
        <w:rFonts w:hint="default"/>
      </w:rPr>
    </w:lvl>
  </w:abstractNum>
  <w:abstractNum w:abstractNumId="1">
    <w:nsid w:val="BDA6F62C"/>
    <w:multiLevelType w:val="singleLevel"/>
    <w:tmpl w:val="BDA6F62C"/>
    <w:lvl w:ilvl="0" w:tentative="0">
      <w:start w:val="1"/>
      <w:numFmt w:val="decimal"/>
      <w:lvlText w:val="%1"/>
      <w:lvlJc w:val="left"/>
      <w:pPr>
        <w:tabs>
          <w:tab w:val="left" w:pos="420"/>
        </w:tabs>
        <w:ind w:left="425" w:hanging="425"/>
      </w:pPr>
      <w:rPr>
        <w:rFonts w:hint="default"/>
      </w:rPr>
    </w:lvl>
  </w:abstractNum>
  <w:abstractNum w:abstractNumId="2">
    <w:nsid w:val="C076929A"/>
    <w:multiLevelType w:val="singleLevel"/>
    <w:tmpl w:val="C076929A"/>
    <w:lvl w:ilvl="0" w:tentative="0">
      <w:start w:val="2"/>
      <w:numFmt w:val="upperLetter"/>
      <w:suff w:val="nothing"/>
      <w:lvlText w:val="%1、"/>
      <w:lvlJc w:val="left"/>
    </w:lvl>
  </w:abstractNum>
  <w:abstractNum w:abstractNumId="3">
    <w:nsid w:val="D189E03F"/>
    <w:multiLevelType w:val="singleLevel"/>
    <w:tmpl w:val="D189E03F"/>
    <w:lvl w:ilvl="0" w:tentative="0">
      <w:start w:val="1"/>
      <w:numFmt w:val="decimal"/>
      <w:lvlText w:val="%1."/>
      <w:lvlJc w:val="left"/>
      <w:pPr>
        <w:ind w:left="425" w:hanging="425"/>
      </w:pPr>
      <w:rPr>
        <w:rFonts w:hint="default"/>
      </w:rPr>
    </w:lvl>
  </w:abstractNum>
  <w:abstractNum w:abstractNumId="4">
    <w:nsid w:val="09FD4165"/>
    <w:multiLevelType w:val="singleLevel"/>
    <w:tmpl w:val="09FD4165"/>
    <w:lvl w:ilvl="0" w:tentative="0">
      <w:start w:val="1"/>
      <w:numFmt w:val="decimal"/>
      <w:suff w:val="nothing"/>
      <w:lvlText w:val="（%1）"/>
      <w:lvlJc w:val="left"/>
    </w:lvl>
  </w:abstractNum>
  <w:abstractNum w:abstractNumId="5">
    <w:nsid w:val="1198D91C"/>
    <w:multiLevelType w:val="singleLevel"/>
    <w:tmpl w:val="1198D91C"/>
    <w:lvl w:ilvl="0" w:tentative="0">
      <w:start w:val="1"/>
      <w:numFmt w:val="decimal"/>
      <w:lvlText w:val="%1."/>
      <w:lvlJc w:val="left"/>
      <w:pPr>
        <w:ind w:left="425" w:hanging="425"/>
      </w:pPr>
      <w:rPr>
        <w:rFonts w:hint="default"/>
      </w:rPr>
    </w:lvl>
  </w:abstractNum>
  <w:abstractNum w:abstractNumId="6">
    <w:nsid w:val="1CAE17B4"/>
    <w:multiLevelType w:val="singleLevel"/>
    <w:tmpl w:val="1CAE17B4"/>
    <w:lvl w:ilvl="0" w:tentative="0">
      <w:start w:val="1"/>
      <w:numFmt w:val="decimal"/>
      <w:lvlText w:val="%1."/>
      <w:lvlJc w:val="left"/>
      <w:pPr>
        <w:ind w:left="425" w:hanging="425"/>
      </w:pPr>
      <w:rPr>
        <w:rFonts w:hint="default"/>
      </w:rPr>
    </w:lvl>
  </w:abstractNum>
  <w:abstractNum w:abstractNumId="7">
    <w:nsid w:val="2E6C82FE"/>
    <w:multiLevelType w:val="singleLevel"/>
    <w:tmpl w:val="2E6C82FE"/>
    <w:lvl w:ilvl="0" w:tentative="0">
      <w:start w:val="1"/>
      <w:numFmt w:val="chineseCounting"/>
      <w:suff w:val="nothing"/>
      <w:lvlText w:val="%1、"/>
      <w:lvlJc w:val="left"/>
      <w:pPr>
        <w:ind w:left="0"/>
      </w:pPr>
      <w:rPr>
        <w:rFonts w:hint="eastAsia"/>
      </w:rPr>
    </w:lvl>
  </w:abstractNum>
  <w:abstractNum w:abstractNumId="8">
    <w:nsid w:val="35456A6F"/>
    <w:multiLevelType w:val="singleLevel"/>
    <w:tmpl w:val="35456A6F"/>
    <w:lvl w:ilvl="0" w:tentative="0">
      <w:start w:val="3"/>
      <w:numFmt w:val="chineseCounting"/>
      <w:suff w:val="space"/>
      <w:lvlText w:val="第%1章"/>
      <w:lvlJc w:val="left"/>
      <w:rPr>
        <w:rFonts w:hint="eastAsia"/>
      </w:rPr>
    </w:lvl>
  </w:abstractNum>
  <w:abstractNum w:abstractNumId="9">
    <w:nsid w:val="3E3D6081"/>
    <w:multiLevelType w:val="singleLevel"/>
    <w:tmpl w:val="3E3D6081"/>
    <w:lvl w:ilvl="0" w:tentative="0">
      <w:start w:val="1"/>
      <w:numFmt w:val="decimal"/>
      <w:suff w:val="nothing"/>
      <w:lvlText w:val="（%1）"/>
      <w:lvlJc w:val="left"/>
    </w:lvl>
  </w:abstractNum>
  <w:abstractNum w:abstractNumId="10">
    <w:nsid w:val="48117AEE"/>
    <w:multiLevelType w:val="singleLevel"/>
    <w:tmpl w:val="48117AEE"/>
    <w:lvl w:ilvl="0" w:tentative="0">
      <w:start w:val="1"/>
      <w:numFmt w:val="chineseCounting"/>
      <w:suff w:val="nothing"/>
      <w:lvlText w:val="（%1）"/>
      <w:lvlJc w:val="left"/>
      <w:rPr>
        <w:rFonts w:hint="eastAsia"/>
      </w:rPr>
    </w:lvl>
  </w:abstractNum>
  <w:abstractNum w:abstractNumId="11">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6"/>
  </w:num>
  <w:num w:numId="3">
    <w:abstractNumId w:val="9"/>
  </w:num>
  <w:num w:numId="4">
    <w:abstractNumId w:val="0"/>
  </w:num>
  <w:num w:numId="5">
    <w:abstractNumId w:val="8"/>
  </w:num>
  <w:num w:numId="6">
    <w:abstractNumId w:val="7"/>
  </w:num>
  <w:num w:numId="7">
    <w:abstractNumId w:val="1"/>
  </w:num>
  <w:num w:numId="8">
    <w:abstractNumId w:val="10"/>
  </w:num>
  <w:num w:numId="9">
    <w:abstractNumId w:val="5"/>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WQyN2E3ZGYxN2QyNjc1NDgxNTczM2MyY2Q1MDUifQ=="/>
  </w:docVars>
  <w:rsids>
    <w:rsidRoot w:val="349C5A22"/>
    <w:rsid w:val="06927832"/>
    <w:rsid w:val="130F1346"/>
    <w:rsid w:val="140A7B16"/>
    <w:rsid w:val="1FCA0E37"/>
    <w:rsid w:val="20C92878"/>
    <w:rsid w:val="2F992837"/>
    <w:rsid w:val="349C5A22"/>
    <w:rsid w:val="35CB158F"/>
    <w:rsid w:val="4A4C19D0"/>
    <w:rsid w:val="4DC33ECE"/>
    <w:rsid w:val="578F2B77"/>
    <w:rsid w:val="58D70376"/>
    <w:rsid w:val="63275810"/>
    <w:rsid w:val="651A29B0"/>
    <w:rsid w:val="69DE70C1"/>
    <w:rsid w:val="6C426976"/>
    <w:rsid w:val="736841A9"/>
    <w:rsid w:val="73C043DB"/>
    <w:rsid w:val="7C141A94"/>
    <w:rsid w:val="7E6B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kern w:val="44"/>
      <w:sz w:val="44"/>
      <w:szCs w:val="20"/>
    </w:rPr>
  </w:style>
  <w:style w:type="paragraph" w:styleId="4">
    <w:name w:val="heading 2"/>
    <w:basedOn w:val="1"/>
    <w:next w:val="1"/>
    <w:qFormat/>
    <w:uiPriority w:val="99"/>
    <w:pPr>
      <w:keepNext/>
      <w:keepLines/>
      <w:spacing w:before="260" w:after="260" w:line="416" w:lineRule="auto"/>
      <w:outlineLvl w:val="1"/>
    </w:pPr>
    <w:rPr>
      <w:rFonts w:ascii="Cambria" w:hAnsi="Cambria"/>
      <w:b/>
      <w:kern w:val="0"/>
      <w:sz w:val="32"/>
      <w:szCs w:val="20"/>
    </w:rPr>
  </w:style>
  <w:style w:type="paragraph" w:styleId="5">
    <w:name w:val="heading 3"/>
    <w:basedOn w:val="1"/>
    <w:next w:val="1"/>
    <w:qFormat/>
    <w:uiPriority w:val="99"/>
    <w:pPr>
      <w:keepNext/>
      <w:keepLines/>
      <w:spacing w:before="260" w:after="260" w:line="416" w:lineRule="auto"/>
      <w:outlineLvl w:val="2"/>
    </w:pPr>
    <w:rPr>
      <w:b/>
      <w:kern w:val="0"/>
      <w:sz w:val="32"/>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6">
    <w:name w:val="List 3"/>
    <w:basedOn w:val="1"/>
    <w:qFormat/>
    <w:uiPriority w:val="99"/>
    <w:pPr>
      <w:ind w:left="100" w:leftChars="400" w:hanging="200" w:hangingChars="200"/>
    </w:pPr>
  </w:style>
  <w:style w:type="paragraph" w:styleId="7">
    <w:name w:val="caption"/>
    <w:basedOn w:val="1"/>
    <w:next w:val="1"/>
    <w:qFormat/>
    <w:uiPriority w:val="99"/>
    <w:pPr>
      <w:spacing w:before="152" w:after="160"/>
    </w:pPr>
    <w:rPr>
      <w:rFonts w:ascii="Arial" w:hAnsi="Arial" w:eastAsia="黑体" w:cs="Arial"/>
      <w:sz w:val="20"/>
      <w:szCs w:val="20"/>
    </w:rPr>
  </w:style>
  <w:style w:type="paragraph" w:styleId="8">
    <w:name w:val="Body Text"/>
    <w:basedOn w:val="1"/>
    <w:next w:val="1"/>
    <w:qFormat/>
    <w:uiPriority w:val="99"/>
    <w:pPr>
      <w:spacing w:after="120"/>
    </w:pPr>
    <w:rPr>
      <w:sz w:val="24"/>
      <w:szCs w:val="20"/>
    </w:rPr>
  </w:style>
  <w:style w:type="paragraph" w:styleId="9">
    <w:name w:val="Body Text Indent"/>
    <w:basedOn w:val="1"/>
    <w:qFormat/>
    <w:uiPriority w:val="99"/>
    <w:pPr>
      <w:spacing w:line="500" w:lineRule="exact"/>
      <w:ind w:left="1588" w:leftChars="832" w:firstLine="433" w:firstLineChars="196"/>
    </w:pPr>
    <w:rPr>
      <w:kern w:val="0"/>
      <w:sz w:val="24"/>
      <w:szCs w:val="20"/>
    </w:rPr>
  </w:style>
  <w:style w:type="paragraph" w:styleId="10">
    <w:name w:val="List 2"/>
    <w:basedOn w:val="1"/>
    <w:qFormat/>
    <w:uiPriority w:val="99"/>
    <w:pPr>
      <w:ind w:left="100" w:leftChars="200" w:hanging="200" w:hangingChars="200"/>
    </w:pPr>
  </w:style>
  <w:style w:type="paragraph" w:styleId="11">
    <w:name w:val="toc 3"/>
    <w:basedOn w:val="1"/>
    <w:next w:val="1"/>
    <w:unhideWhenUsed/>
    <w:qFormat/>
    <w:uiPriority w:val="39"/>
    <w:pPr>
      <w:ind w:left="840" w:leftChars="4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4">
    <w:name w:val="toc 2"/>
    <w:basedOn w:val="1"/>
    <w:next w:val="1"/>
    <w:qFormat/>
    <w:uiPriority w:val="39"/>
    <w:pPr>
      <w:ind w:left="200" w:leftChars="200"/>
    </w:p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99"/>
    <w:rPr>
      <w:rFonts w:cs="Times New Roman"/>
    </w:rPr>
  </w:style>
  <w:style w:type="paragraph" w:customStyle="1" w:styleId="19">
    <w:name w:val="表格文字"/>
    <w:basedOn w:val="1"/>
    <w:next w:val="8"/>
    <w:qFormat/>
    <w:uiPriority w:val="99"/>
    <w:pPr>
      <w:spacing w:before="25" w:after="25"/>
      <w:jc w:val="left"/>
    </w:pPr>
    <w:rPr>
      <w:bCs/>
      <w:spacing w:val="10"/>
      <w:kern w:val="0"/>
      <w:sz w:val="24"/>
    </w:rPr>
  </w:style>
  <w:style w:type="paragraph" w:customStyle="1" w:styleId="20">
    <w:name w:val="样式29"/>
    <w:basedOn w:val="21"/>
    <w:qFormat/>
    <w:uiPriority w:val="99"/>
    <w:rPr>
      <w:rFonts w:eastAsia="楷体_GB2312"/>
    </w:rPr>
  </w:style>
  <w:style w:type="paragraph" w:customStyle="1" w:styleId="21">
    <w:name w:val="样式9 Char"/>
    <w:basedOn w:val="1"/>
    <w:qFormat/>
    <w:uiPriority w:val="99"/>
    <w:pPr>
      <w:widowControl/>
      <w:spacing w:line="440" w:lineRule="exact"/>
      <w:ind w:firstLine="200" w:firstLineChars="200"/>
      <w:jc w:val="left"/>
    </w:pPr>
    <w:rPr>
      <w:spacing w:val="6"/>
      <w:sz w:val="24"/>
      <w:szCs w:val="20"/>
    </w:rPr>
  </w:style>
  <w:style w:type="paragraph" w:customStyle="1" w:styleId="2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35337</Words>
  <Characters>38020</Characters>
  <Lines>0</Lines>
  <Paragraphs>0</Paragraphs>
  <TotalTime>0</TotalTime>
  <ScaleCrop>false</ScaleCrop>
  <LinksUpToDate>false</LinksUpToDate>
  <CharactersWithSpaces>39291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2022-06-21T03:33:00Z</dcterms:created>
  <dc:creator>李本振</dc:creator>
  <cp:lastModifiedBy>李本振</cp:lastModifiedBy>
  <dcterms:modified xsi:type="dcterms:W3CDTF">2022-07-01T00:28:11Z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1E88EEA0DB934D2A81A22A01837FD9CD</vt:lpwstr>
  </property>
</Properties>
</file>