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700" w:lineRule="exact"/>
        <w:jc w:val="center"/>
        <w:rPr>
          <w:rFonts w:hint="eastAsia" w:ascii="宋体" w:hAnsi="宋体" w:eastAsia="宋体" w:cs="宋体"/>
          <w:color w:val="000000"/>
          <w:sz w:val="30"/>
          <w:szCs w:val="30"/>
          <w:highlight w:val="none"/>
        </w:rPr>
      </w:pPr>
    </w:p>
    <w:p>
      <w:pPr>
        <w:pStyle w:val="2"/>
        <w:spacing w:before="290" w:beforeLines="100" w:after="0"/>
        <w:jc w:val="center"/>
        <w:rPr>
          <w:rFonts w:hint="eastAsia" w:ascii="宋体" w:hAnsi="宋体" w:eastAsia="宋体" w:cs="宋体"/>
          <w:b/>
          <w:color w:val="000000"/>
          <w:spacing w:val="20"/>
          <w:sz w:val="44"/>
          <w:szCs w:val="44"/>
          <w:highlight w:val="none"/>
        </w:rPr>
      </w:pPr>
    </w:p>
    <w:p>
      <w:pPr>
        <w:pStyle w:val="2"/>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山东大学第二医院多功能肺功能仪采购</w:t>
      </w:r>
    </w:p>
    <w:p>
      <w:pPr>
        <w:pStyle w:val="2"/>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TCZX-HW-2022-031</w:t>
      </w:r>
    </w:p>
    <w:p>
      <w:pPr>
        <w:pStyle w:val="2"/>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2"/>
        <w:spacing w:after="0" w:line="700" w:lineRule="exact"/>
        <w:jc w:val="center"/>
        <w:rPr>
          <w:rFonts w:hint="eastAsia" w:ascii="宋体" w:hAnsi="宋体" w:eastAsia="宋体" w:cs="宋体"/>
          <w:color w:val="000000"/>
          <w:sz w:val="30"/>
          <w:szCs w:val="30"/>
          <w:highlight w:val="none"/>
        </w:rPr>
      </w:pPr>
    </w:p>
    <w:p>
      <w:pPr>
        <w:pStyle w:val="2"/>
        <w:spacing w:after="0" w:line="700" w:lineRule="exact"/>
        <w:jc w:val="both"/>
        <w:rPr>
          <w:rFonts w:hint="eastAsia" w:ascii="宋体" w:hAnsi="宋体" w:eastAsia="宋体" w:cs="宋体"/>
          <w:color w:val="000000"/>
          <w:sz w:val="30"/>
          <w:szCs w:val="30"/>
          <w:highlight w:val="none"/>
        </w:rPr>
      </w:pPr>
    </w:p>
    <w:p>
      <w:pPr>
        <w:pStyle w:val="2"/>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2"/>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2"/>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eastAsia" w:ascii="华文中宋" w:hAnsi="华文中宋" w:eastAsia="华文中宋" w:cs="华文中宋"/>
          <w:b w:val="0"/>
          <w:bCs/>
          <w:i w:val="0"/>
          <w:iCs w:val="0"/>
          <w:snapToGrid w:val="0"/>
          <w:spacing w:val="-2"/>
          <w:kern w:val="0"/>
          <w:sz w:val="32"/>
          <w:szCs w:val="32"/>
          <w:highlight w:val="none"/>
          <w:lang w:val="en-US" w:eastAsia="zh-CN"/>
        </w:rPr>
        <w:t>7</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2"/>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2"/>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2"/>
        <w:spacing w:after="0" w:line="360" w:lineRule="auto"/>
        <w:jc w:val="center"/>
        <w:rPr>
          <w:rFonts w:hint="eastAsia" w:ascii="宋体" w:hAnsi="宋体" w:eastAsia="宋体" w:cs="宋体"/>
          <w:highlight w:val="none"/>
        </w:rPr>
      </w:pP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第三章 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一、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二、 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三、 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- 51 -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- 56 -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- 56 -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- 57 -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- 58 -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- 60 -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- 65 -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- 66 -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- 75 -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- 79 -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keepNext w:val="0"/>
        <w:keepLines w:val="0"/>
        <w:pageBreakBefore w:val="0"/>
        <w:widowControl w:val="0"/>
        <w:tabs>
          <w:tab w:val="right" w:leader="dot" w:pos="9266"/>
        </w:tabs>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3"/>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3"/>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8"/>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山东大学第二医院多功能肺功能仪采购</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山东大学第二医院多功能肺功能仪采购</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eastAsia" w:ascii="仿宋" w:hAnsi="仿宋" w:cs="仿宋"/>
          <w:bCs/>
          <w:sz w:val="28"/>
          <w:szCs w:val="28"/>
          <w:highlight w:val="none"/>
          <w:u w:val="single"/>
          <w:lang w:val="en-US" w:eastAsia="zh-CN"/>
        </w:rPr>
        <w:t>07</w:t>
      </w:r>
      <w:r>
        <w:rPr>
          <w:rFonts w:hint="eastAsia" w:ascii="仿宋" w:hAnsi="仿宋" w:eastAsia="仿宋" w:cs="仿宋"/>
          <w:bCs/>
          <w:sz w:val="28"/>
          <w:szCs w:val="28"/>
          <w:highlight w:val="none"/>
          <w:u w:val="single"/>
          <w:lang w:val="en-US" w:eastAsia="zh-CN"/>
        </w:rPr>
        <w:t>月</w:t>
      </w:r>
      <w:r>
        <w:rPr>
          <w:rFonts w:hint="eastAsia" w:ascii="仿宋" w:hAnsi="仿宋" w:cs="仿宋"/>
          <w:bCs/>
          <w:sz w:val="28"/>
          <w:szCs w:val="28"/>
          <w:highlight w:val="none"/>
          <w:u w:val="single"/>
          <w:lang w:val="en-US" w:eastAsia="zh-CN"/>
        </w:rPr>
        <w:t>27</w:t>
      </w:r>
      <w:r>
        <w:rPr>
          <w:rFonts w:hint="eastAsia" w:ascii="仿宋" w:hAnsi="仿宋" w:eastAsia="仿宋" w:cs="仿宋"/>
          <w:bCs/>
          <w:sz w:val="28"/>
          <w:szCs w:val="28"/>
          <w:highlight w:val="none"/>
          <w:u w:val="single"/>
          <w:lang w:val="en-US" w:eastAsia="zh-CN"/>
        </w:rPr>
        <w:t>日</w:t>
      </w:r>
      <w:r>
        <w:rPr>
          <w:rFonts w:hint="eastAsia" w:ascii="仿宋" w:hAnsi="仿宋" w:eastAsia="仿宋" w:cs="仿宋"/>
          <w:bCs/>
          <w:sz w:val="28"/>
          <w:szCs w:val="28"/>
          <w:highlight w:val="none"/>
          <w:u w:val="single"/>
        </w:rPr>
        <w:t xml:space="preserve"> </w:t>
      </w:r>
      <w:r>
        <w:rPr>
          <w:rFonts w:hint="eastAsia" w:ascii="仿宋" w:hAnsi="仿宋" w:eastAsia="仿宋" w:cs="仿宋"/>
          <w:kern w:val="0"/>
          <w:sz w:val="28"/>
          <w:szCs w:val="28"/>
          <w:highlight w:val="none"/>
          <w:u w:val="single"/>
          <w:lang w:val="en-US" w:eastAsia="zh-CN"/>
        </w:rPr>
        <w:t>09</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rPr>
        <w:t xml:space="preserve">点 </w:t>
      </w:r>
      <w:r>
        <w:rPr>
          <w:rFonts w:hint="eastAsia" w:ascii="仿宋" w:hAnsi="仿宋" w:eastAsia="仿宋" w:cs="仿宋"/>
          <w:kern w:val="0"/>
          <w:sz w:val="28"/>
          <w:szCs w:val="28"/>
          <w:highlight w:val="none"/>
          <w:u w:val="single"/>
        </w:rPr>
        <w:t>00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TCZX-HW-2022-031</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山东大学第二医院多功能肺功能仪采购</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eastAsia" w:ascii="仿宋" w:hAnsi="仿宋" w:cs="仿宋"/>
          <w:sz w:val="28"/>
          <w:szCs w:val="28"/>
          <w:highlight w:val="none"/>
          <w:lang w:val="en-US" w:eastAsia="zh-CN"/>
        </w:rPr>
        <w:t>55</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eastAsia" w:ascii="仿宋" w:hAnsi="仿宋" w:cs="仿宋"/>
          <w:sz w:val="28"/>
          <w:szCs w:val="28"/>
          <w:highlight w:val="none"/>
          <w:lang w:val="en-US" w:eastAsia="zh-CN"/>
        </w:rPr>
        <w:t>55</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采购需求：山东大学第二医院根据需要需采购</w:t>
      </w:r>
      <w:r>
        <w:rPr>
          <w:rFonts w:hint="eastAsia" w:ascii="仿宋" w:hAnsi="仿宋" w:cs="仿宋"/>
          <w:sz w:val="28"/>
          <w:szCs w:val="28"/>
          <w:highlight w:val="none"/>
          <w:lang w:val="en-US" w:eastAsia="zh-CN"/>
        </w:rPr>
        <w:t>多功能肺功能仪1</w:t>
      </w:r>
      <w:r>
        <w:rPr>
          <w:rFonts w:hint="eastAsia" w:ascii="仿宋" w:hAnsi="仿宋" w:eastAsia="仿宋" w:cs="仿宋"/>
          <w:sz w:val="28"/>
          <w:szCs w:val="28"/>
          <w:highlight w:val="none"/>
          <w:lang w:val="en-US" w:eastAsia="zh-CN"/>
        </w:rPr>
        <w:t>套，可采进口，；使用科室</w:t>
      </w:r>
      <w:r>
        <w:rPr>
          <w:rFonts w:hint="eastAsia" w:ascii="仿宋" w:hAnsi="仿宋" w:cs="仿宋"/>
          <w:sz w:val="28"/>
          <w:szCs w:val="28"/>
          <w:highlight w:val="none"/>
          <w:lang w:val="en-US" w:eastAsia="zh-CN"/>
        </w:rPr>
        <w:t>呼吸内科</w:t>
      </w:r>
      <w:r>
        <w:rPr>
          <w:rFonts w:hint="eastAsia" w:ascii="仿宋" w:hAnsi="仿宋" w:eastAsia="仿宋" w:cs="仿宋"/>
          <w:sz w:val="28"/>
          <w:szCs w:val="28"/>
          <w:highlight w:val="none"/>
          <w:lang w:val="en-US" w:eastAsia="zh-CN"/>
        </w:rPr>
        <w:t>，具体详见采购要求。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（4）本项目部分设备可采进口产品，供应商所投产品为进口产品的，须提供制造商或可追溯到制造商合</w:t>
      </w:r>
      <w:r>
        <w:rPr>
          <w:rFonts w:hint="eastAsia"/>
          <w:highlight w:val="none"/>
          <w:lang w:val="en-US" w:eastAsia="zh-CN"/>
        </w:rPr>
        <w:t>法授权的</w:t>
      </w:r>
      <w:r>
        <w:rPr>
          <w:rFonts w:hint="eastAsia" w:ascii="仿宋" w:hAnsi="仿宋" w:eastAsia="仿宋" w:cs="仿宋"/>
          <w:sz w:val="28"/>
          <w:szCs w:val="28"/>
          <w:highlight w:val="none"/>
          <w:lang w:val="en-US" w:eastAsia="zh-CN"/>
        </w:rPr>
        <w:t>代理商出具的针对本项目的授权书（原件扫描件并加盖公章）；</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w:t>
      </w:r>
      <w:r>
        <w:rPr>
          <w:rFonts w:hint="eastAsia" w:ascii="仿宋" w:hAnsi="仿宋" w:cs="仿宋"/>
          <w:sz w:val="28"/>
          <w:szCs w:val="28"/>
          <w:highlight w:val="none"/>
          <w:lang w:val="en-US" w:eastAsia="zh-CN"/>
        </w:rPr>
        <w:t>07</w:t>
      </w:r>
      <w:r>
        <w:rPr>
          <w:rFonts w:hint="eastAsia" w:ascii="仿宋" w:hAnsi="仿宋" w:eastAsia="仿宋" w:cs="仿宋"/>
          <w:sz w:val="28"/>
          <w:szCs w:val="28"/>
          <w:highlight w:val="none"/>
          <w:lang w:val="en-US" w:eastAsia="zh-CN"/>
        </w:rPr>
        <w:t>月</w:t>
      </w:r>
      <w:r>
        <w:rPr>
          <w:rFonts w:hint="eastAsia" w:ascii="仿宋" w:hAnsi="仿宋" w:cs="仿宋"/>
          <w:sz w:val="28"/>
          <w:szCs w:val="28"/>
          <w:highlight w:val="none"/>
          <w:lang w:val="en-US" w:eastAsia="zh-CN"/>
        </w:rPr>
        <w:t>12</w:t>
      </w:r>
      <w:r>
        <w:rPr>
          <w:rFonts w:hint="eastAsia" w:ascii="仿宋" w:hAnsi="仿宋" w:eastAsia="仿宋" w:cs="仿宋"/>
          <w:sz w:val="28"/>
          <w:szCs w:val="28"/>
          <w:highlight w:val="none"/>
          <w:lang w:val="en-US" w:eastAsia="zh-CN"/>
        </w:rPr>
        <w:t>日至2022年</w:t>
      </w:r>
      <w:r>
        <w:rPr>
          <w:rFonts w:hint="eastAsia" w:ascii="仿宋" w:hAnsi="仿宋" w:cs="仿宋"/>
          <w:sz w:val="28"/>
          <w:szCs w:val="28"/>
          <w:highlight w:val="none"/>
          <w:lang w:val="en-US" w:eastAsia="zh-CN"/>
        </w:rPr>
        <w:t>07</w:t>
      </w:r>
      <w:r>
        <w:rPr>
          <w:rFonts w:hint="eastAsia" w:ascii="仿宋" w:hAnsi="仿宋" w:eastAsia="仿宋" w:cs="仿宋"/>
          <w:sz w:val="28"/>
          <w:szCs w:val="28"/>
          <w:highlight w:val="none"/>
          <w:lang w:val="en-US" w:eastAsia="zh-CN"/>
        </w:rPr>
        <w:t>月</w:t>
      </w:r>
      <w:r>
        <w:rPr>
          <w:rFonts w:hint="eastAsia" w:ascii="仿宋" w:hAnsi="仿宋" w:cs="仿宋"/>
          <w:sz w:val="28"/>
          <w:szCs w:val="28"/>
          <w:highlight w:val="none"/>
          <w:lang w:val="en-US" w:eastAsia="zh-CN"/>
        </w:rPr>
        <w:t>18</w:t>
      </w:r>
      <w:r>
        <w:rPr>
          <w:rFonts w:hint="eastAsia" w:ascii="仿宋" w:hAnsi="仿宋" w:eastAsia="仿宋" w:cs="仿宋"/>
          <w:sz w:val="28"/>
          <w:szCs w:val="28"/>
          <w:highlight w:val="none"/>
          <w:lang w:val="en-US" w:eastAsia="zh-CN"/>
        </w:rPr>
        <w:t>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文件的期限内联系代理机构（联系人：邵经理0531-88933166/18954549093）明确所投项目名称及项目确认，供应商项目确认后请访问中国政府采购网下载电子版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 年</w:t>
      </w:r>
      <w:r>
        <w:rPr>
          <w:rFonts w:hint="eastAsia" w:ascii="仿宋" w:hAnsi="仿宋" w:cs="仿宋"/>
          <w:sz w:val="28"/>
          <w:szCs w:val="28"/>
          <w:highlight w:val="none"/>
          <w:lang w:val="en-US" w:eastAsia="zh-CN"/>
        </w:rPr>
        <w:t>07</w:t>
      </w:r>
      <w:r>
        <w:rPr>
          <w:rFonts w:hint="eastAsia" w:ascii="仿宋" w:hAnsi="仿宋" w:eastAsia="仿宋" w:cs="仿宋"/>
          <w:sz w:val="28"/>
          <w:szCs w:val="28"/>
          <w:highlight w:val="none"/>
          <w:lang w:val="en-US" w:eastAsia="zh-CN"/>
        </w:rPr>
        <w:t>月</w:t>
      </w:r>
      <w:r>
        <w:rPr>
          <w:rFonts w:hint="eastAsia" w:ascii="仿宋" w:hAnsi="仿宋" w:cs="仿宋"/>
          <w:sz w:val="28"/>
          <w:szCs w:val="28"/>
          <w:highlight w:val="none"/>
          <w:lang w:val="en-US" w:eastAsia="zh-CN"/>
        </w:rPr>
        <w:t>27</w:t>
      </w:r>
      <w:r>
        <w:rPr>
          <w:rFonts w:hint="eastAsia" w:ascii="仿宋" w:hAnsi="仿宋" w:eastAsia="仿宋" w:cs="仿宋"/>
          <w:sz w:val="28"/>
          <w:szCs w:val="28"/>
          <w:highlight w:val="none"/>
          <w:lang w:val="en-US" w:eastAsia="zh-CN"/>
        </w:rPr>
        <w:t>日09:00（北京时间）；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地点：山东大学第二医院文会学堂一楼会议室（地址：济南市天桥区北园大街247号）；</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3"/>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4"/>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4028"/>
      <w:bookmarkStart w:id="13" w:name="_Toc30943"/>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184"/>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TCZX-HW-2022-031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eastAsia="zh-CN"/>
              </w:rPr>
              <w:t>山东大学第二医院多功能肺功能仪采购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cs="仿宋"/>
                <w:sz w:val="28"/>
                <w:szCs w:val="28"/>
                <w:highlight w:val="none"/>
                <w:lang w:val="en-US" w:eastAsia="zh-CN"/>
              </w:rPr>
              <w:t>55</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cs="仿宋"/>
                <w:sz w:val="28"/>
                <w:szCs w:val="28"/>
                <w:highlight w:val="none"/>
                <w:lang w:val="en-US" w:eastAsia="zh-CN"/>
              </w:rPr>
              <w:t>55</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（9）供应商所投产品为进口产品的，须提供制造商或可追溯到制造商合法授权的代理商出具的针对本项目的授权书（复印件并加盖公章）。</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（10）供应商符合法律、行政法规规定的其它要求。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eastAsia" w:ascii="仿宋" w:hAnsi="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cs="仿宋"/>
                <w:sz w:val="28"/>
                <w:szCs w:val="28"/>
                <w:highlight w:val="none"/>
                <w:lang w:val="en-US" w:eastAsia="zh-CN"/>
              </w:rPr>
              <w:t>18</w:t>
            </w:r>
            <w:r>
              <w:rPr>
                <w:rFonts w:hint="eastAsia" w:ascii="仿宋" w:hAnsi="仿宋" w:eastAsia="仿宋" w:cs="仿宋"/>
                <w:sz w:val="28"/>
                <w:szCs w:val="28"/>
                <w:highlight w:val="none"/>
              </w:rPr>
              <w:t>日上午11:00前。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5</w:t>
            </w:r>
            <w:r>
              <w:rPr>
                <w:rFonts w:hint="eastAsia" w:ascii="仿宋" w:hAnsi="仿宋" w:eastAsia="仿宋" w:cs="仿宋"/>
                <w:sz w:val="28"/>
                <w:szCs w:val="28"/>
                <w:highlight w:val="none"/>
              </w:rPr>
              <w:t>000.00元整(大写：</w:t>
            </w:r>
            <w:r>
              <w:rPr>
                <w:rFonts w:hint="eastAsia" w:ascii="仿宋" w:hAnsi="仿宋" w:cs="仿宋"/>
                <w:sz w:val="28"/>
                <w:szCs w:val="28"/>
                <w:highlight w:val="none"/>
                <w:lang w:val="en-US" w:eastAsia="zh-CN"/>
              </w:rPr>
              <w:t>伍仟</w:t>
            </w:r>
            <w:r>
              <w:rPr>
                <w:rFonts w:hint="eastAsia" w:ascii="仿宋" w:hAnsi="仿宋" w:eastAsia="仿宋" w:cs="仿宋"/>
                <w:sz w:val="28"/>
                <w:szCs w:val="28"/>
                <w:highlight w:val="none"/>
              </w:rPr>
              <w:t>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w:t>
            </w:r>
            <w:r>
              <w:rPr>
                <w:rFonts w:hint="eastAsia" w:ascii="仿宋" w:hAnsi="仿宋" w:cs="仿宋"/>
                <w:sz w:val="28"/>
                <w:szCs w:val="28"/>
                <w:highlight w:val="none"/>
                <w:lang w:val="en-US" w:eastAsia="zh-CN"/>
              </w:rPr>
              <w:t>账</w:t>
            </w:r>
            <w:r>
              <w:rPr>
                <w:rFonts w:hint="eastAsia" w:ascii="仿宋" w:hAnsi="仿宋" w:eastAsia="仿宋" w:cs="仿宋"/>
                <w:sz w:val="28"/>
                <w:szCs w:val="28"/>
                <w:highlight w:val="none"/>
              </w:rPr>
              <w:t>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338"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近三年：2019年1月1日至今；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cs="仿宋"/>
                <w:sz w:val="28"/>
                <w:szCs w:val="28"/>
                <w:highlight w:val="none"/>
                <w:lang w:val="en-US" w:eastAsia="zh-CN"/>
              </w:rPr>
              <w:t>无</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338" w:type="pct"/>
            <w:noWrap w:val="0"/>
            <w:vAlign w:val="center"/>
          </w:tcPr>
          <w:p>
            <w:pPr>
              <w:ind w:firstLine="560" w:firstLineChars="200"/>
              <w:jc w:val="left"/>
              <w:rPr>
                <w:rFonts w:hint="eastAsia" w:ascii="仿宋_GB2312" w:hAnsi="仿宋" w:eastAsia="仿宋_GB2312" w:cs="仿宋"/>
                <w:color w:val="auto"/>
                <w:szCs w:val="21"/>
                <w:highlight w:val="none"/>
                <w:lang w:eastAsia="zh-CN"/>
              </w:rPr>
            </w:pPr>
            <w:r>
              <w:rPr>
                <w:rFonts w:hint="eastAsia" w:ascii="仿宋_GB2312" w:hAnsi="仿宋" w:eastAsia="仿宋_GB2312" w:cs="仿宋"/>
                <w:color w:val="auto"/>
                <w:szCs w:val="21"/>
                <w:highlight w:val="none"/>
                <w:lang w:eastAsia="zh-CN"/>
              </w:rPr>
              <w:t>内贸：货物经双方验收合格签字确认交付入库后，甲方收到发票且财务入账三个月内，支付合同总金额90%，余款作为质量保证金，自财务入账之日起满12个月后，无质量问题，付总金额的10%。</w:t>
            </w:r>
          </w:p>
          <w:p>
            <w:pPr>
              <w:ind w:firstLine="560" w:firstLineChars="200"/>
              <w:jc w:val="left"/>
              <w:rPr>
                <w:rFonts w:hint="eastAsia" w:ascii="仿宋" w:hAnsi="仿宋" w:eastAsia="仿宋" w:cs="仿宋"/>
                <w:sz w:val="28"/>
                <w:szCs w:val="28"/>
                <w:highlight w:val="none"/>
              </w:rPr>
            </w:pPr>
            <w:r>
              <w:rPr>
                <w:rFonts w:hint="eastAsia" w:ascii="仿宋_GB2312" w:hAnsi="仿宋" w:eastAsia="仿宋_GB2312" w:cs="仿宋"/>
                <w:color w:val="auto"/>
                <w:szCs w:val="21"/>
                <w:highlight w:val="none"/>
                <w:lang w:eastAsia="zh-CN"/>
              </w:rPr>
              <w:t>外贸：双方签订合同后，外贸公司提供设备合同总金额的</w:t>
            </w:r>
            <w:r>
              <w:rPr>
                <w:rFonts w:hint="eastAsia" w:ascii="仿宋_GB2312" w:hAnsi="仿宋" w:eastAsia="仿宋_GB2312" w:cs="仿宋"/>
                <w:color w:val="auto"/>
                <w:szCs w:val="21"/>
                <w:highlight w:val="none"/>
                <w:lang w:val="en-US" w:eastAsia="zh-CN"/>
              </w:rPr>
              <w:t>100%发票，及30%的履约保函，</w:t>
            </w:r>
            <w:r>
              <w:rPr>
                <w:rFonts w:hint="eastAsia" w:ascii="仿宋_GB2312" w:hAnsi="仿宋" w:eastAsia="仿宋_GB2312" w:cs="仿宋"/>
                <w:color w:val="auto"/>
                <w:szCs w:val="21"/>
                <w:highlight w:val="none"/>
                <w:lang w:eastAsia="zh-CN"/>
              </w:rPr>
              <w:t>甲方在收到设备合同总金额的</w:t>
            </w:r>
            <w:r>
              <w:rPr>
                <w:rFonts w:hint="eastAsia" w:ascii="仿宋_GB2312" w:hAnsi="仿宋" w:eastAsia="仿宋_GB2312" w:cs="仿宋"/>
                <w:color w:val="auto"/>
                <w:szCs w:val="21"/>
                <w:highlight w:val="none"/>
                <w:lang w:val="en-US" w:eastAsia="zh-CN"/>
              </w:rPr>
              <w:t>100%发票及履约保函</w:t>
            </w:r>
            <w:r>
              <w:rPr>
                <w:rFonts w:hint="eastAsia" w:ascii="仿宋_GB2312" w:hAnsi="仿宋" w:eastAsia="仿宋_GB2312" w:cs="仿宋"/>
                <w:color w:val="auto"/>
                <w:szCs w:val="21"/>
                <w:highlight w:val="none"/>
                <w:lang w:eastAsia="zh-CN"/>
              </w:rPr>
              <w:t xml:space="preserve">后，支付指定外贸公司设备合同总金额的90%，外贸公司向乙方开具合同总金额90%的不可撤消信用证（L/C）。设备到货后撤销履约保函。验收合格签字且财务入账一年后无质量问题，甲方支付外贸公司10%余款（T/T）。所有款项以开具信用证当日汇率折算人民币结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不足 3000 元按 3000 元收取，由成交供应商向代理机构交纳</w:t>
            </w:r>
            <w:r>
              <w:rPr>
                <w:rFonts w:hint="eastAsia" w:ascii="仿宋" w:hAnsi="仿宋" w:eastAsia="仿宋" w:cs="仿宋"/>
                <w:sz w:val="28"/>
                <w:szCs w:val="28"/>
                <w:highlight w:val="none"/>
              </w:rPr>
              <w:t>。供应商报价时应考虑上述费用，但不得单列。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cs="仿宋"/>
                <w:sz w:val="28"/>
                <w:szCs w:val="28"/>
                <w:highlight w:val="none"/>
                <w:lang w:val="en-US" w:eastAsia="zh-CN"/>
              </w:rPr>
            </w:pPr>
            <w:r>
              <w:rPr>
                <w:rFonts w:hint="eastAsia" w:ascii="仿宋" w:hAnsi="仿宋" w:cs="仿宋"/>
                <w:sz w:val="28"/>
                <w:szCs w:val="28"/>
                <w:highlight w:val="none"/>
                <w:lang w:val="en-US" w:eastAsia="zh-CN"/>
              </w:rPr>
              <w:t>内贸：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52"/>
            </w: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pStyle w:val="2"/>
              <w:rPr>
                <w:rFonts w:hint="eastAsia" w:ascii="仿宋" w:hAnsi="仿宋" w:cs="仿宋"/>
                <w:sz w:val="28"/>
                <w:szCs w:val="28"/>
                <w:highlight w:val="none"/>
                <w:lang w:val="en-US" w:eastAsia="zh-CN"/>
              </w:rPr>
            </w:pPr>
            <w:r>
              <w:rPr>
                <w:rFonts w:hint="eastAsia" w:ascii="仿宋" w:hAnsi="仿宋" w:cs="仿宋"/>
                <w:sz w:val="28"/>
                <w:szCs w:val="28"/>
                <w:highlight w:val="none"/>
                <w:lang w:val="en-US" w:eastAsia="zh-CN"/>
              </w:rPr>
              <w:t>外贸：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52"/>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w:t>
            </w:r>
            <w:r>
              <w:rPr>
                <w:rFonts w:hint="eastAsia" w:ascii="仿宋" w:hAnsi="仿宋" w:cs="仿宋"/>
                <w:sz w:val="28"/>
                <w:szCs w:val="28"/>
                <w:highlight w:val="none"/>
                <w:u w:val="single"/>
                <w:lang w:val="en-US" w:eastAsia="zh-CN"/>
              </w:rPr>
              <w:t>30</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退还时间：设备到货后撤销履约保函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进口产品的需提供进口产品制造商授权书的说明</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所投产品为进口产品的需提供进口产品制造商授权书：（a）当产品国内总代理或涵盖采购人地区的总代理直接参与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时，需提供制造商对该代理的长期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文件；制造商或其已注册的分支机构出具的文件都被视为是制造商出具的文件；若</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338"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489"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9"/>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4"/>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6336"/>
      <w:bookmarkStart w:id="16" w:name="_Toc17782"/>
      <w:r>
        <w:rPr>
          <w:rFonts w:hint="eastAsia" w:ascii="宋体" w:hAnsi="宋体" w:eastAsia="宋体" w:cs="宋体"/>
          <w:b w:val="0"/>
          <w:kern w:val="2"/>
          <w:sz w:val="44"/>
          <w:szCs w:val="44"/>
          <w:highlight w:val="none"/>
          <w:lang w:val="en-US" w:eastAsia="zh-CN"/>
        </w:rPr>
        <w:t>供应商须知正文</w:t>
      </w:r>
      <w:bookmarkEnd w:id="15"/>
      <w:bookmarkEnd w:id="16"/>
    </w:p>
    <w:p>
      <w:pPr>
        <w:pStyle w:val="5"/>
        <w:keepNext w:val="0"/>
        <w:keepLines w:val="0"/>
        <w:numPr>
          <w:ilvl w:val="0"/>
          <w:numId w:val="0"/>
        </w:numPr>
        <w:spacing w:before="0" w:beforeLines="50" w:after="0" w:afterLines="50" w:line="240" w:lineRule="auto"/>
        <w:rPr>
          <w:rFonts w:hint="eastAsia" w:ascii="黑体" w:hAnsi="黑体" w:eastAsia="黑体" w:cs="黑体"/>
          <w:b w:val="0"/>
          <w:bCs/>
          <w:kern w:val="2"/>
          <w:sz w:val="36"/>
          <w:szCs w:val="36"/>
          <w:highlight w:val="none"/>
        </w:rPr>
      </w:pPr>
      <w:bookmarkStart w:id="17" w:name="_Toc2250"/>
      <w:bookmarkStart w:id="18" w:name="_Toc9323"/>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r>
        <w:rPr>
          <w:rFonts w:hint="eastAsia" w:ascii="仿宋" w:hAnsi="仿宋" w:cs="仿宋"/>
          <w:spacing w:val="0"/>
          <w:kern w:val="2"/>
          <w:sz w:val="28"/>
          <w:szCs w:val="28"/>
          <w:highlight w:val="none"/>
          <w:lang w:val="en-US" w:eastAsia="zh-CN" w:bidi="ar-SA"/>
        </w:rPr>
        <w:t>，不足 3000 元按 3000 元收取</w:t>
      </w:r>
      <w:r>
        <w:rPr>
          <w:rFonts w:hint="eastAsia" w:ascii="仿宋" w:hAnsi="仿宋" w:eastAsia="仿宋" w:cs="仿宋"/>
          <w:spacing w:val="0"/>
          <w:kern w:val="2"/>
          <w:sz w:val="28"/>
          <w:szCs w:val="28"/>
          <w:highlight w:val="none"/>
          <w:lang w:val="en-US" w:eastAsia="zh-CN" w:bidi="ar-SA"/>
        </w:rPr>
        <w:t>。</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磋商小组有权作出不利于供应商的认定。</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6"/>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技术条款（*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w:t>
      </w:r>
      <w:r>
        <w:rPr>
          <w:rFonts w:hint="eastAsia" w:ascii="仿宋" w:hAnsi="仿宋" w:cs="仿宋"/>
          <w:spacing w:val="0"/>
          <w:kern w:val="2"/>
          <w:sz w:val="28"/>
          <w:szCs w:val="28"/>
          <w:highlight w:val="none"/>
          <w:lang w:val="en-US" w:eastAsia="zh-CN" w:bidi="ar-SA"/>
        </w:rPr>
        <w:t>账户</w:t>
      </w:r>
      <w:r>
        <w:rPr>
          <w:rFonts w:hint="eastAsia" w:ascii="仿宋" w:hAnsi="仿宋" w:eastAsia="仿宋" w:cs="仿宋"/>
          <w:spacing w:val="0"/>
          <w:kern w:val="2"/>
          <w:sz w:val="28"/>
          <w:szCs w:val="28"/>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6"/>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25.5.4环保节能产品执行政府采购优惠政策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响应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其中，所报产品为政府强制采购产品的（《节能产品政府采购品目清单》中以“★”标注的产品品目）而未提供国家节能产品认证证书的，按无效报价处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详见前附表</w:t>
      </w:r>
      <w:r>
        <w:rPr>
          <w:rFonts w:hint="eastAsia" w:ascii="仿宋" w:hAnsi="仿宋" w:cs="仿宋"/>
          <w:spacing w:val="0"/>
          <w:kern w:val="2"/>
          <w:sz w:val="28"/>
          <w:szCs w:val="28"/>
          <w:highlight w:val="none"/>
          <w:lang w:val="en-US" w:eastAsia="zh-CN" w:bidi="ar-SA"/>
        </w:rPr>
        <w:t>。</w:t>
      </w:r>
      <w:bookmarkStart w:id="102" w:name="_GoBack"/>
      <w:bookmarkEnd w:id="102"/>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8"/>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3"/>
        <w:numPr>
          <w:ilvl w:val="0"/>
          <w:numId w:val="5"/>
        </w:numP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4"/>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19687"/>
      <w:bookmarkStart w:id="21" w:name="_Toc26963"/>
      <w:r>
        <w:rPr>
          <w:rFonts w:hint="eastAsia" w:ascii="Arial" w:hAnsi="Arial" w:eastAsia="黑体" w:cs="Times New Roman"/>
          <w:b w:val="0"/>
          <w:kern w:val="2"/>
          <w:sz w:val="36"/>
          <w:szCs w:val="28"/>
          <w:highlight w:val="none"/>
          <w:lang w:val="en-US" w:eastAsia="zh-CN"/>
        </w:rPr>
        <w:t>评审方法</w:t>
      </w:r>
      <w:bookmarkEnd w:id="20"/>
      <w:bookmarkEnd w:id="21"/>
    </w:p>
    <w:p>
      <w:pPr>
        <w:pStyle w:val="2"/>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2"/>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根据采购人授权直接确定成交供应商。</w:t>
      </w:r>
    </w:p>
    <w:p>
      <w:pPr>
        <w:pStyle w:val="4"/>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50"/>
      <w:bookmarkStart w:id="23" w:name="_Toc17688"/>
      <w:r>
        <w:rPr>
          <w:rFonts w:hint="eastAsia" w:ascii="Arial" w:hAnsi="Arial" w:eastAsia="黑体" w:cs="Times New Roman"/>
          <w:b w:val="0"/>
          <w:kern w:val="2"/>
          <w:sz w:val="36"/>
          <w:szCs w:val="28"/>
          <w:highlight w:val="none"/>
          <w:lang w:val="en-US" w:eastAsia="zh-CN"/>
        </w:rPr>
        <w:t>评审细则</w:t>
      </w:r>
      <w:bookmarkEnd w:id="22"/>
      <w:bookmarkEnd w:id="23"/>
    </w:p>
    <w:tbl>
      <w:tblPr>
        <w:tblStyle w:val="16"/>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17"/>
        <w:gridCol w:w="960"/>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408"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408" w:type="dxa"/>
            <w:noWrap w:val="0"/>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分；技术参数中每出现1条普通技术规格指标未实质性响应或负偏离的，扣</w:t>
            </w:r>
            <w:r>
              <w:rPr>
                <w:rFonts w:hint="eastAsia" w:ascii="仿宋" w:hAnsi="仿宋" w:cs="仿宋"/>
                <w:sz w:val="28"/>
                <w:szCs w:val="28"/>
                <w:highlight w:val="none"/>
                <w:lang w:val="en-US" w:eastAsia="zh-CN"/>
              </w:rPr>
              <w:t>1.5</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960" w:type="dxa"/>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rPr>
              <w:t>月1日至今）所投产品的业绩，每个项目得1分，最多得3分，没有业绩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5408"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w:t>
            </w:r>
            <w:r>
              <w:rPr>
                <w:rFonts w:hint="eastAsia" w:ascii="仿宋" w:hAnsi="仿宋" w:cs="仿宋"/>
                <w:sz w:val="28"/>
                <w:szCs w:val="28"/>
                <w:highlight w:val="none"/>
                <w:lang w:val="en-US" w:eastAsia="zh-CN"/>
              </w:rPr>
              <w:t>磋商小组</w:t>
            </w:r>
            <w:r>
              <w:rPr>
                <w:rFonts w:hint="eastAsia" w:ascii="仿宋" w:hAnsi="仿宋" w:eastAsia="仿宋" w:cs="仿宋"/>
                <w:sz w:val="28"/>
                <w:szCs w:val="28"/>
                <w:highlight w:val="none"/>
                <w:lang w:val="en-US" w:eastAsia="zh-CN"/>
              </w:rPr>
              <w:t>认可的实质性优惠条款，每提供一条得1分，最高得2分，无不得分。</w:t>
            </w:r>
          </w:p>
        </w:tc>
      </w:tr>
    </w:tbl>
    <w:p>
      <w:pPr>
        <w:pStyle w:val="19"/>
        <w:rPr>
          <w:rFonts w:hint="eastAsia"/>
          <w:highlight w:val="none"/>
          <w:lang w:val="en-US" w:eastAsia="zh-CN"/>
        </w:rPr>
      </w:pPr>
    </w:p>
    <w:p>
      <w:pPr>
        <w:pStyle w:val="4"/>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3782"/>
      <w:bookmarkStart w:id="25" w:name="_Toc21077"/>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7010"/>
      <w:bookmarkStart w:id="27" w:name="_Toc855"/>
      <w:bookmarkStart w:id="28" w:name="_Toc7284"/>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w:t>
      </w:r>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rPr>
        <w:t>%的价格扣除。如果联合体各方均为小型、微型企业的，联合体视同为小型、微型企业，但联合体各方均应按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19809"/>
      <w:bookmarkStart w:id="30" w:name="_Toc14175"/>
      <w:bookmarkStart w:id="31" w:name="_Toc6941"/>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1135"/>
      <w:bookmarkStart w:id="33" w:name="_Toc25000"/>
      <w:bookmarkStart w:id="34" w:name="_Toc30230"/>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5" w:name="_Toc31996"/>
      <w:bookmarkStart w:id="36" w:name="_Toc15087"/>
      <w:bookmarkStart w:id="37" w:name="_Toc9022"/>
      <w:r>
        <w:rPr>
          <w:rFonts w:hint="eastAsia" w:ascii="Calibri" w:hAnsi="Calibri" w:eastAsia="楷体" w:cs="Times New Roman"/>
          <w:b/>
          <w:kern w:val="2"/>
          <w:sz w:val="32"/>
          <w:szCs w:val="28"/>
          <w:highlight w:val="none"/>
        </w:rPr>
        <w:t>节能、环保产品</w:t>
      </w:r>
      <w:bookmarkEnd w:id="35"/>
      <w:bookmarkEnd w:id="36"/>
      <w:bookmarkEnd w:id="37"/>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8"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8"/>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375"/>
        <w:gridCol w:w="800"/>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6"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369"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599"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444"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86"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369"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pacing w:val="0"/>
                <w:kern w:val="2"/>
                <w:sz w:val="28"/>
                <w:szCs w:val="28"/>
                <w:highlight w:val="none"/>
                <w:lang w:val="en-US" w:eastAsia="zh-CN" w:bidi="ar-SA"/>
              </w:rPr>
              <w:t>多功能肺功能仪</w:t>
            </w:r>
          </w:p>
        </w:tc>
        <w:tc>
          <w:tcPr>
            <w:tcW w:w="599" w:type="pct"/>
            <w:noWrap/>
            <w:vAlign w:val="center"/>
          </w:tcPr>
          <w:p>
            <w:pPr>
              <w:spacing w:line="240" w:lineRule="auto"/>
              <w:jc w:val="center"/>
              <w:rPr>
                <w:rFonts w:hint="default"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1套</w:t>
            </w:r>
          </w:p>
        </w:tc>
        <w:tc>
          <w:tcPr>
            <w:tcW w:w="1444" w:type="pct"/>
            <w:noWrap/>
            <w:vAlign w:val="center"/>
          </w:tcPr>
          <w:p>
            <w:pPr>
              <w:spacing w:line="240" w:lineRule="auto"/>
              <w:jc w:val="center"/>
              <w:rPr>
                <w:rFonts w:hint="eastAsia" w:ascii="仿宋" w:hAnsi="仿宋" w:eastAsia="仿宋" w:cs="仿宋"/>
                <w:color w:val="000000"/>
                <w:sz w:val="28"/>
                <w:szCs w:val="28"/>
                <w:highlight w:val="none"/>
              </w:rPr>
            </w:pPr>
            <w:r>
              <w:rPr>
                <w:rFonts w:hint="eastAsia" w:ascii="宋体" w:hAnsi="宋体"/>
                <w:b/>
                <w:bCs/>
                <w:color w:val="000000"/>
                <w:sz w:val="24"/>
                <w:szCs w:val="24"/>
                <w:highlight w:val="none"/>
                <w:lang w:val="en-US" w:eastAsia="zh-CN"/>
              </w:rPr>
              <w:t>可采进口，填报人民币价格，进口品牌填报免税价</w:t>
            </w:r>
          </w:p>
        </w:tc>
      </w:tr>
    </w:tbl>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val="0"/>
          <w:bCs w:val="0"/>
          <w:sz w:val="28"/>
          <w:szCs w:val="28"/>
          <w:highlight w:val="none"/>
          <w:lang w:eastAsia="zh-CN"/>
        </w:rPr>
      </w:pPr>
      <w:r>
        <w:rPr>
          <w:rFonts w:hint="eastAsia" w:ascii="仿宋" w:hAnsi="仿宋" w:eastAsia="仿宋" w:cs="仿宋"/>
          <w:b w:val="0"/>
          <w:bCs w:val="0"/>
          <w:color w:val="000000"/>
          <w:sz w:val="28"/>
          <w:szCs w:val="28"/>
          <w:highlight w:val="none"/>
          <w:lang w:val="en-US" w:eastAsia="zh-CN"/>
        </w:rPr>
        <w:t>二、采购设备</w:t>
      </w:r>
      <w:r>
        <w:rPr>
          <w:rFonts w:hint="eastAsia" w:ascii="仿宋" w:hAnsi="仿宋" w:eastAsia="仿宋" w:cs="仿宋"/>
          <w:b w:val="0"/>
          <w:bCs w:val="0"/>
          <w:color w:val="000000"/>
          <w:sz w:val="28"/>
          <w:szCs w:val="28"/>
          <w:highlight w:val="none"/>
        </w:rPr>
        <w:t>技术参数</w:t>
      </w:r>
      <w:r>
        <w:rPr>
          <w:rFonts w:hint="eastAsia" w:ascii="仿宋" w:hAnsi="仿宋" w:eastAsia="仿宋" w:cs="仿宋"/>
          <w:b w:val="0"/>
          <w:bCs w:val="0"/>
          <w:color w:val="0D0D0D"/>
          <w:sz w:val="28"/>
          <w:szCs w:val="28"/>
          <w:highlight w:val="none"/>
        </w:rPr>
        <w:t>要求：</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一</w:t>
      </w: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 xml:space="preserve">、总体要求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1、通过 NMPA(CFDA)注册。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2、用途：检查人体肺部功能是否正常，早期检出肺、气道病变，反映肺活量气体的吸入和排出功能、肺泡内氧和二氧化碳的交换能力、气道内是否有炎症或气道痉挛。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二</w:t>
      </w: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 xml:space="preserve">、技术参数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1、流速容量传感器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1.1 流速测试 ：具备数字双向压差式流速传感器，内带金属筛网，可拆卸，支持浸泡或高温消毒；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1.2 范围：≥0～±20 L/s；精度：0.2～12 L/s ±2 %；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1.3 容量测试：数字积分法；范围：0～±20 L；精度：&lt; 5 mL；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1.4 口压范围：±20 kPa；精度：±2 %；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2、弥散气体分析器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2.1 多气体：红外，响应速度小于 100ms；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2.2 范围：0～0.3 % CO、0～0.3 % CH4,、0～0.3 % C2H2；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2.3 精度：≤±0.006 % CO、≤±0.006 % CH4、≤±0.006 % C2H。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3、强迫连续脉冲震荡 IOS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3.1 可测参数：R5、R10、R15、R20、R25、R35、R5～R35、X5、X10、X15、X20、X25、X35、Rp、Rc、Rt 等；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3.2 脉冲时间：0.1～6 秒，或手动可调；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3.3 脉冲宽度：45ms；</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 xml:space="preserve">3.4 频率范围：0～100Hz；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3.5 有连续的参数曲线图谱；</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3.6主要功能：呼吸阻抗的频谱分析、同时获得中心气道阻力和总气道阻力、同时获得周边弹性阻力、同时获得阻抗-容积分布；</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 xml:space="preserve">4、配备 BTPS 环境参数传感器；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5、配置气道激发试验模块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val="en-US" w:eastAsia="zh-CN" w:bidi="ar"/>
        </w:rPr>
        <w:t xml:space="preserve">6、支持慢肺活量（SVC）测试；流速容量环测试：具备流速容量环激励软件；具 备最大自主通气量（MVV）测试；支持一口气法弥散残气功能的测量；支持内呼吸弥散测试；具备支气管舒张试验软件；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7、中文 Windows10 及以上操作系统，软件免费升级；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8、系统对病人的测试参数进行统计分析，并具备图表显示；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9、多种预计值；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10、具备口腔压力等质量控制曲线；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11、配置工作站一套：专用工作站计算机，内存</w:t>
      </w:r>
      <w:r>
        <w:rPr>
          <w:rFonts w:hint="eastAsia" w:ascii="仿宋" w:hAnsi="仿宋" w:eastAsia="仿宋" w:cs="仿宋"/>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4G，</w:t>
      </w:r>
      <w:r>
        <w:rPr>
          <w:rFonts w:hint="eastAsia" w:ascii="仿宋" w:hAnsi="仿宋" w:eastAsia="仿宋" w:cs="仿宋"/>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 xml:space="preserve">19 寸显示器，≥320G硬盘，彩色喷墨打印机。 </w:t>
      </w:r>
    </w:p>
    <w:p>
      <w:pPr>
        <w:spacing w:line="440" w:lineRule="exact"/>
        <w:rPr>
          <w:rFonts w:hint="eastAsia" w:ascii="仿宋" w:hAnsi="仿宋" w:cs="仿宋"/>
          <w:b/>
          <w:bCs/>
          <w:color w:val="0D0D0D"/>
          <w:sz w:val="30"/>
          <w:szCs w:val="30"/>
          <w:highlight w:val="none"/>
          <w:lang w:val="en-US" w:eastAsia="zh-CN"/>
        </w:rPr>
      </w:pPr>
    </w:p>
    <w:p>
      <w:pP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三</w:t>
      </w:r>
      <w:r>
        <w:rPr>
          <w:rFonts w:hint="eastAsia" w:ascii="仿宋" w:hAnsi="仿宋" w:eastAsia="仿宋" w:cs="仿宋"/>
          <w:b/>
          <w:bCs/>
          <w:color w:val="0D0D0D"/>
          <w:sz w:val="30"/>
          <w:szCs w:val="30"/>
          <w:highlight w:val="none"/>
          <w:lang w:val="en-US" w:eastAsia="zh-CN"/>
        </w:rPr>
        <w:t>、其他说明</w:t>
      </w:r>
    </w:p>
    <w:p>
      <w:pPr>
        <w:pStyle w:val="2"/>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2"/>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2、技术规格要求</w:t>
      </w:r>
    </w:p>
    <w:p>
      <w:pPr>
        <w:pStyle w:val="2"/>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2"/>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2"/>
        <w:spacing w:after="0" w:line="480" w:lineRule="exact"/>
        <w:ind w:firstLine="700" w:firstLineChars="250"/>
        <w:jc w:val="left"/>
        <w:rPr>
          <w:rFonts w:hint="eastAsia" w:ascii="仿宋" w:hAnsi="仿宋" w:eastAsia="仿宋" w:cs="仿宋"/>
          <w:sz w:val="28"/>
          <w:szCs w:val="28"/>
          <w:highlight w:val="none"/>
        </w:rPr>
      </w:pPr>
    </w:p>
    <w:p>
      <w:pPr>
        <w:pStyle w:val="3"/>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9"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9"/>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19"/>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19"/>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0" w:name="_Toc14605"/>
      <w:bookmarkStart w:id="41" w:name="_Toc6202"/>
      <w:r>
        <w:rPr>
          <w:rFonts w:hint="eastAsia" w:ascii="Arial" w:hAnsi="Arial" w:eastAsia="黑体" w:cs="Times New Roman"/>
          <w:b w:val="0"/>
          <w:kern w:val="2"/>
          <w:sz w:val="36"/>
          <w:szCs w:val="28"/>
          <w:highlight w:val="none"/>
        </w:rPr>
        <w:t>一、合同文件</w:t>
      </w:r>
      <w:bookmarkEnd w:id="40"/>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2" w:name="_Toc32520"/>
      <w:bookmarkStart w:id="43" w:name="_Toc22929"/>
      <w:r>
        <w:rPr>
          <w:rFonts w:hint="eastAsia" w:ascii="Arial" w:hAnsi="Arial" w:eastAsia="黑体" w:cs="Times New Roman"/>
          <w:b w:val="0"/>
          <w:kern w:val="2"/>
          <w:sz w:val="36"/>
          <w:szCs w:val="28"/>
          <w:highlight w:val="none"/>
        </w:rPr>
        <w:t>二、合同的范围和条件</w:t>
      </w:r>
      <w:bookmarkEnd w:id="42"/>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4" w:name="_Toc23763"/>
      <w:bookmarkStart w:id="45" w:name="_Toc25344"/>
      <w:r>
        <w:rPr>
          <w:rFonts w:hint="eastAsia" w:ascii="Arial" w:hAnsi="Arial" w:eastAsia="黑体" w:cs="Times New Roman"/>
          <w:b w:val="0"/>
          <w:kern w:val="2"/>
          <w:sz w:val="36"/>
          <w:szCs w:val="28"/>
          <w:highlight w:val="none"/>
        </w:rPr>
        <w:t>三、货物、数量及规格</w:t>
      </w:r>
      <w:bookmarkEnd w:id="44"/>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6" w:name="_Toc272"/>
      <w:bookmarkStart w:id="47" w:name="_Toc8807"/>
      <w:r>
        <w:rPr>
          <w:rFonts w:hint="eastAsia" w:ascii="Arial" w:hAnsi="Arial" w:eastAsia="黑体" w:cs="Times New Roman"/>
          <w:b w:val="0"/>
          <w:kern w:val="2"/>
          <w:sz w:val="36"/>
          <w:szCs w:val="28"/>
          <w:highlight w:val="none"/>
        </w:rPr>
        <w:t>四、合同金额</w:t>
      </w:r>
      <w:bookmarkEnd w:id="46"/>
      <w:bookmarkEnd w:id="4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8" w:name="_Toc13328"/>
      <w:bookmarkStart w:id="49" w:name="_Toc17889"/>
      <w:r>
        <w:rPr>
          <w:rFonts w:hint="eastAsia" w:ascii="Arial" w:hAnsi="Arial" w:eastAsia="黑体" w:cs="Times New Roman"/>
          <w:b w:val="0"/>
          <w:kern w:val="2"/>
          <w:sz w:val="36"/>
          <w:szCs w:val="28"/>
          <w:highlight w:val="none"/>
        </w:rPr>
        <w:t>五、付款途径</w:t>
      </w:r>
      <w:bookmarkEnd w:id="48"/>
      <w:bookmarkEnd w:id="4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0" w:name="_Toc25500"/>
      <w:bookmarkStart w:id="51" w:name="_Toc9881"/>
      <w:r>
        <w:rPr>
          <w:rFonts w:hint="eastAsia" w:ascii="Arial" w:hAnsi="Arial" w:eastAsia="黑体" w:cs="Times New Roman"/>
          <w:b w:val="0"/>
          <w:kern w:val="2"/>
          <w:sz w:val="36"/>
          <w:szCs w:val="28"/>
          <w:highlight w:val="none"/>
        </w:rPr>
        <w:t>六、付款方式</w:t>
      </w:r>
      <w:bookmarkEnd w:id="50"/>
      <w:bookmarkEnd w:id="51"/>
    </w:p>
    <w:p>
      <w:pPr>
        <w:ind w:firstLine="560" w:firstLineChars="200"/>
        <w:jc w:val="left"/>
        <w:rPr>
          <w:rFonts w:hint="eastAsia" w:ascii="仿宋_GB2312" w:hAnsi="仿宋" w:eastAsia="仿宋_GB2312" w:cs="仿宋"/>
          <w:color w:val="auto"/>
          <w:szCs w:val="21"/>
          <w:highlight w:val="none"/>
          <w:lang w:eastAsia="zh-CN"/>
        </w:rPr>
      </w:pPr>
      <w:bookmarkStart w:id="52" w:name="_Toc11362"/>
      <w:r>
        <w:rPr>
          <w:rFonts w:hint="eastAsia" w:ascii="仿宋_GB2312" w:hAnsi="仿宋" w:eastAsia="仿宋_GB2312" w:cs="仿宋"/>
          <w:color w:val="auto"/>
          <w:szCs w:val="21"/>
          <w:highlight w:val="none"/>
          <w:lang w:eastAsia="zh-CN"/>
        </w:rPr>
        <w:t>内贸：货物经双方验收合格签字确认交付入库后，甲方收到发票且财务入账三个月内，支付合同总金额90%，余款作为质量保证金，自财务入账之日起满12个月后，无质量问题，付总金额的10%。</w:t>
      </w:r>
    </w:p>
    <w:p>
      <w:pPr>
        <w:ind w:firstLine="560" w:firstLineChars="200"/>
        <w:jc w:val="left"/>
        <w:rPr>
          <w:rFonts w:hint="eastAsia" w:ascii="仿宋_GB2312" w:hAnsi="仿宋" w:eastAsia="仿宋_GB2312" w:cs="仿宋"/>
          <w:color w:val="auto"/>
          <w:szCs w:val="21"/>
          <w:highlight w:val="none"/>
          <w:lang w:eastAsia="zh-CN"/>
        </w:rPr>
      </w:pPr>
      <w:r>
        <w:rPr>
          <w:rFonts w:hint="eastAsia" w:ascii="仿宋_GB2312" w:hAnsi="仿宋" w:eastAsia="仿宋_GB2312" w:cs="仿宋"/>
          <w:color w:val="auto"/>
          <w:szCs w:val="21"/>
          <w:highlight w:val="none"/>
          <w:lang w:eastAsia="zh-CN"/>
        </w:rPr>
        <w:t>外贸：双方签订合同后，外贸公司提供设备合同总金额的</w:t>
      </w:r>
      <w:r>
        <w:rPr>
          <w:rFonts w:hint="eastAsia" w:ascii="仿宋_GB2312" w:hAnsi="仿宋" w:eastAsia="仿宋_GB2312" w:cs="仿宋"/>
          <w:color w:val="auto"/>
          <w:szCs w:val="21"/>
          <w:highlight w:val="none"/>
          <w:lang w:val="en-US" w:eastAsia="zh-CN"/>
        </w:rPr>
        <w:t>100%发票，及30%的履约保函，</w:t>
      </w:r>
      <w:r>
        <w:rPr>
          <w:rFonts w:hint="eastAsia" w:ascii="仿宋_GB2312" w:hAnsi="仿宋" w:eastAsia="仿宋_GB2312" w:cs="仿宋"/>
          <w:color w:val="auto"/>
          <w:szCs w:val="21"/>
          <w:highlight w:val="none"/>
          <w:lang w:eastAsia="zh-CN"/>
        </w:rPr>
        <w:t>甲方在收到设备合同总金额的</w:t>
      </w:r>
      <w:r>
        <w:rPr>
          <w:rFonts w:hint="eastAsia" w:ascii="仿宋_GB2312" w:hAnsi="仿宋" w:eastAsia="仿宋_GB2312" w:cs="仿宋"/>
          <w:color w:val="auto"/>
          <w:szCs w:val="21"/>
          <w:highlight w:val="none"/>
          <w:lang w:val="en-US" w:eastAsia="zh-CN"/>
        </w:rPr>
        <w:t>100%发票及履约保函</w:t>
      </w:r>
      <w:r>
        <w:rPr>
          <w:rFonts w:hint="eastAsia" w:ascii="仿宋_GB2312" w:hAnsi="仿宋" w:eastAsia="仿宋_GB2312" w:cs="仿宋"/>
          <w:color w:val="auto"/>
          <w:szCs w:val="21"/>
          <w:highlight w:val="none"/>
          <w:lang w:eastAsia="zh-CN"/>
        </w:rPr>
        <w:t>后，支付指定外贸公司设备合同总金额的90%，外贸公司向乙方开具合同总金额90%的不可撤消信用证（L/C）。设备到货后撤销履约保函。验收合格签字且财务入账一年后无质量问题，甲方支付外贸公司10%余款（T/T）。所有款项以开具信用证当日汇率折算人民币结算。</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10832"/>
      <w:r>
        <w:rPr>
          <w:rFonts w:hint="eastAsia" w:ascii="Arial" w:hAnsi="Arial" w:eastAsia="黑体" w:cs="Times New Roman"/>
          <w:b w:val="0"/>
          <w:kern w:val="2"/>
          <w:sz w:val="36"/>
          <w:szCs w:val="28"/>
          <w:highlight w:val="none"/>
        </w:rPr>
        <w:t>七、交货日期、地点</w:t>
      </w:r>
      <w:bookmarkEnd w:id="52"/>
      <w:bookmarkEnd w:id="5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4" w:name="_Toc18187"/>
      <w:bookmarkStart w:id="55" w:name="_Toc2358"/>
      <w:r>
        <w:rPr>
          <w:rFonts w:hint="eastAsia" w:ascii="Arial" w:hAnsi="Arial" w:eastAsia="黑体" w:cs="Times New Roman"/>
          <w:b w:val="0"/>
          <w:kern w:val="2"/>
          <w:sz w:val="36"/>
          <w:szCs w:val="28"/>
          <w:highlight w:val="none"/>
        </w:rPr>
        <w:t>八、质量标准和验收</w:t>
      </w:r>
      <w:bookmarkEnd w:id="54"/>
      <w:bookmarkEnd w:id="5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6" w:name="_Toc26222"/>
      <w:bookmarkStart w:id="57" w:name="_Toc23410"/>
      <w:r>
        <w:rPr>
          <w:rFonts w:hint="eastAsia" w:ascii="Arial" w:hAnsi="Arial" w:eastAsia="黑体" w:cs="Times New Roman"/>
          <w:b w:val="0"/>
          <w:kern w:val="2"/>
          <w:sz w:val="36"/>
          <w:szCs w:val="28"/>
          <w:highlight w:val="none"/>
        </w:rPr>
        <w:t>九、履约保证金</w:t>
      </w:r>
      <w:bookmarkEnd w:id="56"/>
      <w:bookmarkEnd w:id="5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8" w:name="_Toc8157"/>
      <w:bookmarkStart w:id="59" w:name="_Toc16424"/>
      <w:r>
        <w:rPr>
          <w:rFonts w:hint="eastAsia" w:ascii="Arial" w:hAnsi="Arial" w:eastAsia="黑体" w:cs="Times New Roman"/>
          <w:b w:val="0"/>
          <w:kern w:val="2"/>
          <w:sz w:val="36"/>
          <w:szCs w:val="28"/>
          <w:highlight w:val="none"/>
        </w:rPr>
        <w:t>十、违约责任</w:t>
      </w:r>
      <w:bookmarkEnd w:id="58"/>
      <w:bookmarkEnd w:id="5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0" w:name="_Toc15291"/>
      <w:bookmarkStart w:id="61" w:name="_Toc18228"/>
      <w:r>
        <w:rPr>
          <w:rFonts w:hint="eastAsia" w:ascii="Arial" w:hAnsi="Arial" w:eastAsia="黑体" w:cs="Times New Roman"/>
          <w:b w:val="0"/>
          <w:kern w:val="2"/>
          <w:sz w:val="36"/>
          <w:szCs w:val="28"/>
          <w:highlight w:val="none"/>
        </w:rPr>
        <w:t>十一、争议解决</w:t>
      </w:r>
      <w:bookmarkEnd w:id="60"/>
      <w:bookmarkEnd w:id="6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2" w:name="_Toc8912"/>
      <w:bookmarkStart w:id="63" w:name="_Toc31796"/>
      <w:r>
        <w:rPr>
          <w:rFonts w:hint="eastAsia" w:ascii="Arial" w:hAnsi="Arial" w:eastAsia="黑体" w:cs="Times New Roman"/>
          <w:b w:val="0"/>
          <w:kern w:val="2"/>
          <w:sz w:val="36"/>
          <w:szCs w:val="28"/>
          <w:highlight w:val="none"/>
        </w:rPr>
        <w:t>十二、合同生效</w:t>
      </w:r>
      <w:bookmarkEnd w:id="62"/>
      <w:bookmarkEnd w:id="6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4" w:name="_Toc439"/>
      <w:bookmarkStart w:id="65" w:name="_Toc17395"/>
      <w:r>
        <w:rPr>
          <w:rFonts w:hint="eastAsia" w:ascii="Arial" w:hAnsi="Arial" w:eastAsia="黑体" w:cs="Times New Roman"/>
          <w:b w:val="0"/>
          <w:kern w:val="2"/>
          <w:sz w:val="36"/>
          <w:szCs w:val="28"/>
          <w:highlight w:val="none"/>
        </w:rPr>
        <w:t>十三、其他</w:t>
      </w:r>
      <w:bookmarkEnd w:id="64"/>
      <w:bookmarkEnd w:id="6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6" w:name="_Toc15058"/>
      <w:bookmarkStart w:id="67" w:name="_Toc2577"/>
      <w:r>
        <w:rPr>
          <w:rFonts w:hint="eastAsia" w:ascii="Arial" w:hAnsi="Arial" w:eastAsia="黑体" w:cs="Times New Roman"/>
          <w:b w:val="0"/>
          <w:kern w:val="2"/>
          <w:sz w:val="36"/>
          <w:szCs w:val="28"/>
          <w:highlight w:val="none"/>
        </w:rPr>
        <w:t>十四、合同保存</w:t>
      </w:r>
      <w:bookmarkEnd w:id="66"/>
      <w:bookmarkEnd w:id="6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3"/>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8"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8"/>
    </w:p>
    <w:p>
      <w:pPr>
        <w:pStyle w:val="4"/>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9" w:name="_Toc24896"/>
      <w:r>
        <w:rPr>
          <w:rFonts w:hint="eastAsia" w:ascii="Arial" w:hAnsi="Arial" w:eastAsia="黑体" w:cs="Times New Roman"/>
          <w:b w:val="0"/>
          <w:kern w:val="2"/>
          <w:sz w:val="32"/>
          <w:szCs w:val="32"/>
          <w:highlight w:val="none"/>
        </w:rPr>
        <w:t>附件一：报价函</w:t>
      </w:r>
      <w:bookmarkEnd w:id="69"/>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w:t>
      </w:r>
      <w:r>
        <w:rPr>
          <w:rFonts w:hint="eastAsia" w:ascii="仿宋" w:hAnsi="仿宋" w:cs="仿宋"/>
          <w:spacing w:val="0"/>
          <w:kern w:val="2"/>
          <w:sz w:val="28"/>
          <w:szCs w:val="28"/>
          <w:highlight w:val="none"/>
          <w:lang w:val="en-US" w:eastAsia="zh-CN" w:bidi="ar-SA"/>
        </w:rPr>
        <w:t>账号</w:t>
      </w:r>
      <w:r>
        <w:rPr>
          <w:rFonts w:hint="eastAsia" w:ascii="仿宋" w:hAnsi="仿宋" w:eastAsia="仿宋" w:cs="仿宋"/>
          <w:spacing w:val="0"/>
          <w:kern w:val="2"/>
          <w:sz w:val="28"/>
          <w:szCs w:val="28"/>
          <w:highlight w:val="none"/>
          <w:lang w:val="en-US" w:eastAsia="zh-CN" w:bidi="ar-SA"/>
        </w:rPr>
        <w:t>：</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4"/>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70" w:name="_Toc24306"/>
      <w:bookmarkStart w:id="71" w:name="_Toc15950"/>
      <w:r>
        <w:rPr>
          <w:rFonts w:hint="eastAsia" w:ascii="Arial" w:hAnsi="Arial" w:eastAsia="黑体" w:cs="Times New Roman"/>
          <w:b w:val="0"/>
          <w:kern w:val="2"/>
          <w:sz w:val="32"/>
          <w:szCs w:val="32"/>
          <w:highlight w:val="none"/>
          <w:lang w:val="en-US" w:eastAsia="zh-CN"/>
        </w:rPr>
        <w:t>附件二：法定代表人身份证明</w:t>
      </w:r>
      <w:bookmarkEnd w:id="70"/>
      <w:bookmarkEnd w:id="71"/>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72" w:name="_Toc7468"/>
      <w:r>
        <w:rPr>
          <w:rFonts w:hint="eastAsia" w:ascii="Arial" w:hAnsi="Arial" w:eastAsia="黑体" w:cs="Times New Roman"/>
          <w:b w:val="0"/>
          <w:kern w:val="2"/>
          <w:sz w:val="32"/>
          <w:szCs w:val="32"/>
          <w:highlight w:val="none"/>
          <w:lang w:val="en-US" w:eastAsia="zh-CN" w:bidi="ar-SA"/>
        </w:rPr>
        <w:t>附件三：授权委托书</w:t>
      </w:r>
      <w:bookmarkEnd w:id="72"/>
    </w:p>
    <w:p>
      <w:pPr>
        <w:pStyle w:val="2"/>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3" w:name="_Toc23170"/>
      <w:r>
        <w:rPr>
          <w:rFonts w:hint="eastAsia" w:ascii="Arial" w:hAnsi="Arial" w:eastAsia="黑体" w:cs="Times New Roman"/>
          <w:b w:val="0"/>
          <w:kern w:val="2"/>
          <w:sz w:val="32"/>
          <w:szCs w:val="32"/>
          <w:highlight w:val="none"/>
          <w:lang w:val="en-US" w:eastAsia="zh-CN" w:bidi="ar-SA"/>
        </w:rPr>
        <w:t>附件四：报价一览表</w:t>
      </w:r>
      <w:bookmarkEnd w:id="73"/>
    </w:p>
    <w:p>
      <w:pPr>
        <w:pStyle w:val="2"/>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产品名称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产地/品牌/型号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7"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7"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8355"/>
      <w:r>
        <w:rPr>
          <w:rFonts w:hint="eastAsia" w:ascii="Arial" w:hAnsi="Arial" w:eastAsia="黑体" w:cs="Times New Roman"/>
          <w:b w:val="0"/>
          <w:kern w:val="2"/>
          <w:sz w:val="32"/>
          <w:szCs w:val="32"/>
          <w:highlight w:val="none"/>
          <w:lang w:val="en-US" w:eastAsia="zh-CN" w:bidi="ar-SA"/>
        </w:rPr>
        <w:t>附件五：报价明细表</w:t>
      </w:r>
      <w:bookmarkEnd w:id="74"/>
    </w:p>
    <w:p>
      <w:pPr>
        <w:tabs>
          <w:tab w:val="left" w:pos="1785"/>
        </w:tabs>
        <w:spacing w:line="480" w:lineRule="exact"/>
        <w:rPr>
          <w:rFonts w:hint="eastAsia" w:ascii="仿宋" w:hAnsi="仿宋" w:eastAsia="仿宋" w:cs="仿宋"/>
          <w:color w:val="000000"/>
          <w:sz w:val="28"/>
          <w:szCs w:val="28"/>
          <w:highlight w:val="none"/>
        </w:rPr>
      </w:pPr>
      <w:bookmarkStart w:id="75" w:name="OLE_LINK3"/>
      <w:bookmarkStart w:id="76" w:name="OLE_LINK4"/>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5"/>
    <w:bookmarkEnd w:id="76"/>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24899"/>
      <w:r>
        <w:rPr>
          <w:rFonts w:hint="eastAsia" w:ascii="Arial" w:hAnsi="Arial" w:eastAsia="黑体" w:cs="Times New Roman"/>
          <w:b w:val="0"/>
          <w:kern w:val="2"/>
          <w:sz w:val="32"/>
          <w:szCs w:val="32"/>
          <w:highlight w:val="none"/>
          <w:lang w:val="en-US" w:eastAsia="zh-CN" w:bidi="ar-SA"/>
        </w:rPr>
        <w:t>附件六：技术规格响应/偏离表</w:t>
      </w:r>
      <w:bookmarkEnd w:id="77"/>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7"/>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8" w:name="_Toc32268"/>
      <w:r>
        <w:rPr>
          <w:rFonts w:hint="eastAsia" w:ascii="Arial" w:hAnsi="Arial" w:eastAsia="黑体" w:cs="Times New Roman"/>
          <w:b w:val="0"/>
          <w:kern w:val="2"/>
          <w:sz w:val="32"/>
          <w:szCs w:val="32"/>
          <w:highlight w:val="none"/>
          <w:lang w:val="en-US" w:eastAsia="zh-CN" w:bidi="ar-SA"/>
        </w:rPr>
        <w:t>附件七:商务条款响应/偏离表</w:t>
      </w:r>
      <w:bookmarkEnd w:id="78"/>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7"/>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9" w:name="_Toc1189"/>
      <w:r>
        <w:rPr>
          <w:rFonts w:hint="eastAsia" w:ascii="Arial" w:hAnsi="Arial" w:eastAsia="黑体" w:cs="Times New Roman"/>
          <w:b w:val="0"/>
          <w:kern w:val="2"/>
          <w:sz w:val="32"/>
          <w:szCs w:val="32"/>
          <w:highlight w:val="none"/>
          <w:lang w:val="en-US" w:eastAsia="zh-CN" w:bidi="ar-SA"/>
        </w:rPr>
        <w:t>附件八：产品性能描述一览表</w:t>
      </w:r>
      <w:bookmarkEnd w:id="79"/>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680"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61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0"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80"/>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1" w:name="_Toc13571"/>
      <w:r>
        <w:rPr>
          <w:rFonts w:hint="eastAsia" w:ascii="Arial" w:hAnsi="Arial" w:eastAsia="黑体" w:cs="Times New Roman"/>
          <w:b w:val="0"/>
          <w:kern w:val="2"/>
          <w:sz w:val="36"/>
          <w:szCs w:val="28"/>
          <w:highlight w:val="none"/>
          <w:lang w:val="en-US" w:eastAsia="zh-CN" w:bidi="ar-SA"/>
        </w:rPr>
        <w:t>（格式自定）</w:t>
      </w:r>
      <w:bookmarkEnd w:id="81"/>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2"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82"/>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3" w:name="_Toc29714"/>
      <w:r>
        <w:rPr>
          <w:rFonts w:hint="eastAsia" w:ascii="Arial" w:hAnsi="Arial" w:eastAsia="黑体" w:cs="Times New Roman"/>
          <w:b w:val="0"/>
          <w:kern w:val="2"/>
          <w:sz w:val="36"/>
          <w:szCs w:val="28"/>
          <w:highlight w:val="none"/>
          <w:lang w:val="en-US" w:eastAsia="zh-CN" w:bidi="ar-SA"/>
        </w:rPr>
        <w:t>（格式自定）</w:t>
      </w:r>
      <w:bookmarkEnd w:id="83"/>
    </w:p>
    <w:p>
      <w:pPr>
        <w:pStyle w:val="4"/>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4"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4"/>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5" w:name="_Toc29643"/>
      <w:r>
        <w:rPr>
          <w:rFonts w:hint="eastAsia" w:ascii="Arial" w:hAnsi="Arial" w:eastAsia="黑体" w:cs="Times New Roman"/>
          <w:b w:val="0"/>
          <w:kern w:val="2"/>
          <w:sz w:val="32"/>
          <w:szCs w:val="32"/>
          <w:highlight w:val="none"/>
          <w:lang w:val="en-US" w:eastAsia="zh-CN" w:bidi="ar-SA"/>
        </w:rPr>
        <w:t>附件十二：证明文件格式（参考）</w:t>
      </w:r>
      <w:bookmarkEnd w:id="85"/>
    </w:p>
    <w:p>
      <w:pPr>
        <w:pStyle w:val="13"/>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供应商所投产品为进口产品的，须提供制造商授权委托书。</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（10）供应商符合法律、行政法规规定的其它要求。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6" w:name="_Toc23872"/>
      <w:bookmarkStart w:id="87" w:name="_Toc32416"/>
      <w:r>
        <w:rPr>
          <w:rFonts w:hint="eastAsia" w:ascii="Calibri" w:hAnsi="Calibri" w:eastAsia="楷体" w:cs="Times New Roman"/>
          <w:b/>
          <w:kern w:val="2"/>
          <w:sz w:val="32"/>
          <w:szCs w:val="28"/>
          <w:highlight w:val="none"/>
          <w:lang w:val="en-US" w:eastAsia="zh-CN" w:bidi="ar-SA"/>
        </w:rPr>
        <w:t>格式2  供应商不存在关联关系声明</w:t>
      </w:r>
      <w:bookmarkEnd w:id="86"/>
      <w:bookmarkEnd w:id="8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8" w:name="_Toc11401"/>
      <w:bookmarkStart w:id="89" w:name="_Toc5286"/>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8"/>
      <w:bookmarkEnd w:id="8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90"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90"/>
      <w:r>
        <w:rPr>
          <w:rFonts w:hint="eastAsia" w:ascii="Calibri" w:hAnsi="Calibri" w:eastAsia="楷体" w:cs="Times New Roman"/>
          <w:b/>
          <w:kern w:val="2"/>
          <w:sz w:val="32"/>
          <w:szCs w:val="28"/>
          <w:highlight w:val="no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各应文件配备履行本合同所需设备及人员，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pacing w:line="360" w:lineRule="auto"/>
        <w:jc w:val="center"/>
        <w:rPr>
          <w:rFonts w:hint="eastAsia" w:ascii="仿宋" w:hAnsi="仿宋" w:eastAsia="仿宋" w:cs="仿宋"/>
          <w:b w:val="0"/>
          <w:bCs/>
          <w:kern w:val="2"/>
          <w:sz w:val="28"/>
          <w:szCs w:val="28"/>
          <w:highlight w:val="none"/>
          <w:lang w:val="en-US" w:eastAsia="zh-CN" w:bidi="ar-SA"/>
        </w:rPr>
      </w:pP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注：供应商应对其所声明内容的真实性负责。如供应商所声明内容不真实，则应承担相应的法律责任。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1"/>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1"/>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w:t>
      </w:r>
    </w:p>
    <w:p>
      <w:pPr>
        <w:pStyle w:val="21"/>
        <w:keepNext w:val="0"/>
        <w:keepLines w:val="0"/>
        <w:pageBreakBefore w:val="0"/>
        <w:kinsoku/>
        <w:wordWrap/>
        <w:overflowPunct/>
        <w:topLinePunct w:val="0"/>
        <w:autoSpaceDE/>
        <w:autoSpaceDN/>
        <w:bidi w:val="0"/>
        <w:adjustRightInd/>
        <w:snapToGrid/>
        <w:spacing w:before="240" w:after="145" w:line="360" w:lineRule="auto"/>
        <w:ind w:left="0" w:leftChars="0" w:firstLine="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（1）从业人员、营业收入、资产总额填报上一年度数据，无上一年度数据的新成立企业可不填报。</w:t>
      </w:r>
    </w:p>
    <w:p>
      <w:pPr>
        <w:spacing w:line="360" w:lineRule="auto"/>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p>
    <w:p>
      <w:pPr>
        <w:spacing w:line="360" w:lineRule="auto"/>
        <w:ind w:firstLine="960" w:firstLineChars="400"/>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pacing w:val="0"/>
          <w:kern w:val="2"/>
          <w:sz w:val="24"/>
          <w:szCs w:val="20"/>
          <w:highlight w:val="none"/>
          <w:lang w:val="en-US" w:eastAsia="zh-CN" w:bidi="ar-SA"/>
        </w:rPr>
        <w:br w:type="page"/>
      </w:r>
      <w:bookmarkStart w:id="91" w:name="_Toc492372156"/>
      <w:bookmarkStart w:id="92" w:name="_Toc499827580"/>
      <w:bookmarkStart w:id="93" w:name="_Toc499831025"/>
      <w:r>
        <w:rPr>
          <w:rFonts w:hint="eastAsia" w:ascii="Calibri" w:hAnsi="Calibri" w:eastAsia="楷体" w:cs="Times New Roman"/>
          <w:b/>
          <w:kern w:val="2"/>
          <w:sz w:val="32"/>
          <w:szCs w:val="28"/>
          <w:highlight w:val="none"/>
          <w:lang w:val="en-US" w:eastAsia="zh-CN" w:bidi="ar-SA"/>
        </w:rPr>
        <w:t xml:space="preserve">格式6  </w:t>
      </w:r>
      <w:bookmarkEnd w:id="91"/>
      <w:r>
        <w:rPr>
          <w:rFonts w:hint="eastAsia" w:ascii="Calibri" w:hAnsi="Calibri" w:eastAsia="楷体" w:cs="Times New Roman"/>
          <w:b/>
          <w:kern w:val="2"/>
          <w:sz w:val="32"/>
          <w:szCs w:val="28"/>
          <w:highlight w:val="none"/>
          <w:lang w:val="en-US" w:eastAsia="zh-CN" w:bidi="ar-SA"/>
        </w:rPr>
        <w:t>残疾人福利性单位声明函</w:t>
      </w:r>
      <w:bookmarkEnd w:id="92"/>
      <w:bookmarkEnd w:id="93"/>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4"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4"/>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5" w:name="_Toc514684734"/>
      <w:bookmarkStart w:id="96" w:name="_Toc514675542"/>
      <w:bookmarkStart w:id="97" w:name="_Toc13572220"/>
      <w:r>
        <w:rPr>
          <w:rFonts w:hint="eastAsia" w:ascii="仿宋" w:hAnsi="仿宋" w:eastAsia="仿宋" w:cs="仿宋"/>
          <w:color w:val="000000"/>
          <w:sz w:val="24"/>
          <w:highlight w:val="none"/>
        </w:rPr>
        <w:t>日   期：</w:t>
      </w:r>
      <w:bookmarkEnd w:id="95"/>
      <w:bookmarkEnd w:id="96"/>
      <w:bookmarkEnd w:id="97"/>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8" w:name="_Toc514684735"/>
      <w:bookmarkStart w:id="99" w:name="_Toc514675543"/>
      <w:bookmarkStart w:id="100" w:name="_Toc13572221"/>
      <w:r>
        <w:rPr>
          <w:rFonts w:hint="eastAsia" w:ascii="仿宋" w:hAnsi="仿宋" w:eastAsia="仿宋" w:cs="仿宋"/>
          <w:b/>
          <w:sz w:val="28"/>
          <w:szCs w:val="28"/>
          <w:highlight w:val="none"/>
        </w:rPr>
        <w:t>符合政府采购优惠政策的证明材料</w:t>
      </w:r>
      <w:bookmarkEnd w:id="98"/>
      <w:bookmarkEnd w:id="99"/>
      <w:bookmarkEnd w:id="100"/>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8"/>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8"/>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8"/>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8"/>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8"/>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8"/>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8"/>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101" w:name="_Toc19905"/>
      <w:r>
        <w:rPr>
          <w:rFonts w:hint="eastAsia" w:ascii="Arial" w:hAnsi="Arial" w:eastAsia="黑体" w:cs="Times New Roman"/>
          <w:b w:val="0"/>
          <w:kern w:val="2"/>
          <w:sz w:val="32"/>
          <w:szCs w:val="32"/>
          <w:highlight w:val="none"/>
          <w:lang w:val="en-US" w:eastAsia="zh-CN" w:bidi="ar-SA"/>
        </w:rPr>
        <w:t>附件十四：密封袋封面格式</w:t>
      </w:r>
      <w:bookmarkEnd w:id="101"/>
    </w:p>
    <w:p>
      <w:pPr>
        <w:pStyle w:val="8"/>
        <w:spacing w:line="480" w:lineRule="exact"/>
        <w:ind w:left="0" w:leftChars="0" w:firstLine="0" w:firstLineChars="0"/>
        <w:rPr>
          <w:rFonts w:hint="eastAsia" w:ascii="仿宋" w:hAnsi="仿宋" w:eastAsia="仿宋" w:cs="仿宋"/>
          <w:color w:val="000000"/>
          <w:highlight w:val="none"/>
        </w:rPr>
      </w:pPr>
    </w:p>
    <w:p>
      <w:pPr>
        <w:pStyle w:val="8"/>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8"/>
              <w:spacing w:line="480" w:lineRule="exact"/>
              <w:ind w:left="0" w:leftChars="0" w:firstLine="0" w:firstLineChars="0"/>
              <w:jc w:val="left"/>
              <w:rPr>
                <w:rFonts w:hint="eastAsia" w:ascii="仿宋" w:hAnsi="仿宋" w:eastAsia="仿宋" w:cs="仿宋"/>
                <w:color w:val="000000"/>
                <w:kern w:val="2"/>
                <w:szCs w:val="24"/>
                <w:highlight w:val="none"/>
              </w:rPr>
            </w:pPr>
          </w:p>
          <w:p>
            <w:pPr>
              <w:pStyle w:val="8"/>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8"/>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8"/>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8"/>
              <w:spacing w:line="480" w:lineRule="exact"/>
              <w:ind w:left="0" w:leftChars="0" w:firstLine="0" w:firstLineChars="0"/>
              <w:jc w:val="left"/>
              <w:rPr>
                <w:rFonts w:hint="eastAsia" w:ascii="仿宋" w:hAnsi="仿宋" w:eastAsia="仿宋" w:cs="仿宋"/>
                <w:color w:val="000000"/>
                <w:kern w:val="2"/>
                <w:szCs w:val="24"/>
                <w:highlight w:val="none"/>
              </w:rPr>
            </w:pPr>
          </w:p>
          <w:p>
            <w:pPr>
              <w:pStyle w:val="8"/>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8"/>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8"/>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8"/>
        <w:spacing w:line="480" w:lineRule="exact"/>
        <w:ind w:left="1747" w:firstLine="470"/>
        <w:rPr>
          <w:rFonts w:hint="eastAsia" w:ascii="仿宋" w:hAnsi="仿宋" w:eastAsia="仿宋" w:cs="仿宋"/>
          <w:color w:val="000000"/>
          <w:highlight w:val="none"/>
        </w:rPr>
      </w:pPr>
    </w:p>
    <w:tbl>
      <w:tblPr>
        <w:tblStyle w:val="1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8"/>
              <w:spacing w:line="480" w:lineRule="exact"/>
              <w:ind w:left="0" w:leftChars="0" w:firstLine="0" w:firstLineChars="0"/>
              <w:rPr>
                <w:rFonts w:hint="eastAsia" w:ascii="仿宋" w:hAnsi="仿宋" w:eastAsia="仿宋" w:cs="仿宋"/>
                <w:b/>
                <w:color w:val="000000"/>
                <w:kern w:val="2"/>
                <w:sz w:val="30"/>
                <w:szCs w:val="24"/>
                <w:highlight w:val="none"/>
              </w:rPr>
            </w:pPr>
          </w:p>
          <w:p>
            <w:pPr>
              <w:pStyle w:val="8"/>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8"/>
              <w:spacing w:line="480" w:lineRule="exact"/>
              <w:ind w:left="0" w:leftChars="0" w:firstLine="0" w:firstLineChars="0"/>
              <w:rPr>
                <w:rFonts w:hint="eastAsia" w:ascii="仿宋" w:hAnsi="仿宋" w:eastAsia="仿宋" w:cs="仿宋"/>
                <w:color w:val="000000"/>
                <w:kern w:val="2"/>
                <w:szCs w:val="24"/>
                <w:highlight w:val="none"/>
              </w:rPr>
            </w:pP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8"/>
              <w:spacing w:line="480" w:lineRule="exact"/>
              <w:ind w:left="0" w:leftChars="0" w:firstLine="0" w:firstLineChars="0"/>
              <w:jc w:val="left"/>
              <w:rPr>
                <w:rFonts w:hint="eastAsia" w:ascii="仿宋" w:hAnsi="仿宋" w:eastAsia="仿宋" w:cs="仿宋"/>
                <w:color w:val="000000"/>
                <w:kern w:val="2"/>
                <w:szCs w:val="24"/>
                <w:highlight w:val="none"/>
              </w:rPr>
            </w:pPr>
          </w:p>
          <w:p>
            <w:pPr>
              <w:pStyle w:val="8"/>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8"/>
              <w:spacing w:line="480" w:lineRule="exact"/>
              <w:ind w:left="0" w:leftChars="0" w:firstLine="0" w:firstLineChars="0"/>
              <w:rPr>
                <w:rFonts w:hint="eastAsia" w:ascii="仿宋" w:hAnsi="仿宋" w:eastAsia="仿宋" w:cs="仿宋"/>
                <w:b/>
                <w:kern w:val="2"/>
                <w:sz w:val="32"/>
                <w:szCs w:val="32"/>
                <w:highlight w:val="none"/>
              </w:rPr>
            </w:pPr>
          </w:p>
          <w:p>
            <w:pPr>
              <w:pStyle w:val="8"/>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8"/>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8"/>
        <w:spacing w:line="480" w:lineRule="exact"/>
        <w:ind w:left="1747" w:firstLine="470"/>
        <w:rPr>
          <w:rFonts w:hint="eastAsia" w:ascii="仿宋" w:hAnsi="仿宋" w:eastAsia="仿宋" w:cs="仿宋"/>
          <w:color w:val="000000"/>
          <w:highlight w:val="none"/>
        </w:rPr>
      </w:pPr>
    </w:p>
    <w:p>
      <w:pPr>
        <w:pStyle w:val="8"/>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5"/>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8"/>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3"/>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5"/>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noWrap w:val="0"/>
            <w:vAlign w:val="center"/>
          </w:tcPr>
          <w:p>
            <w:pPr>
              <w:pStyle w:val="22"/>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2"/>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2"/>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2"/>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2"/>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2"/>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2"/>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2"/>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2"/>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2"/>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2"/>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2"/>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2"/>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pStyle w:val="22"/>
              <w:jc w:val="center"/>
              <w:rPr>
                <w:rFonts w:hint="eastAsia" w:ascii="仿宋" w:hAnsi="仿宋" w:eastAsia="仿宋" w:cs="仿宋"/>
                <w:szCs w:val="32"/>
                <w:highlight w:val="none"/>
              </w:rPr>
            </w:pPr>
          </w:p>
        </w:tc>
        <w:tc>
          <w:tcPr>
            <w:tcW w:w="1167" w:type="dxa"/>
            <w:vMerge w:val="continue"/>
            <w:noWrap w:val="0"/>
            <w:vAlign w:val="center"/>
          </w:tcPr>
          <w:p>
            <w:pPr>
              <w:pStyle w:val="22"/>
              <w:jc w:val="center"/>
              <w:rPr>
                <w:rFonts w:hint="eastAsia" w:ascii="仿宋" w:hAnsi="仿宋" w:eastAsia="仿宋" w:cs="仿宋"/>
                <w:szCs w:val="32"/>
                <w:highlight w:val="none"/>
              </w:rPr>
            </w:pP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2"/>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2"/>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2"/>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2"/>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2"/>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2"/>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noWrap w:val="0"/>
            <w:vAlign w:val="center"/>
          </w:tcPr>
          <w:p>
            <w:pPr>
              <w:pStyle w:val="22"/>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3"/>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3"/>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3"/>
        <w:rPr>
          <w:rFonts w:hint="eastAsia" w:ascii="仿宋" w:hAnsi="仿宋" w:eastAsia="仿宋" w:cs="仿宋"/>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8"/>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p>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Fonts w:hint="eastAsia"/>
      </w:rPr>
      <w:t>２１</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09FD4165"/>
    <w:multiLevelType w:val="singleLevel"/>
    <w:tmpl w:val="09FD4165"/>
    <w:lvl w:ilvl="0" w:tentative="0">
      <w:start w:val="1"/>
      <w:numFmt w:val="decimal"/>
      <w:suff w:val="nothing"/>
      <w:lvlText w:val="（%1）"/>
      <w:lvlJc w:val="left"/>
    </w:lvl>
  </w:abstractNum>
  <w:abstractNum w:abstractNumId="4">
    <w:nsid w:val="1198D91C"/>
    <w:multiLevelType w:val="singleLevel"/>
    <w:tmpl w:val="1198D91C"/>
    <w:lvl w:ilvl="0" w:tentative="0">
      <w:start w:val="1"/>
      <w:numFmt w:val="decimal"/>
      <w:lvlText w:val="%1."/>
      <w:lvlJc w:val="left"/>
      <w:pPr>
        <w:ind w:left="425" w:hanging="425"/>
      </w:pPr>
      <w:rPr>
        <w:rFonts w:hint="default"/>
      </w:rPr>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7">
    <w:nsid w:val="35456A6F"/>
    <w:multiLevelType w:val="singleLevel"/>
    <w:tmpl w:val="35456A6F"/>
    <w:lvl w:ilvl="0" w:tentative="0">
      <w:start w:val="3"/>
      <w:numFmt w:val="chineseCounting"/>
      <w:suff w:val="space"/>
      <w:lvlText w:val="第%1章"/>
      <w:lvlJc w:val="left"/>
      <w:rPr>
        <w:rFonts w:hint="eastAsia"/>
      </w:rPr>
    </w:lvl>
  </w:abstractNum>
  <w:abstractNum w:abstractNumId="8">
    <w:nsid w:val="3E3D6081"/>
    <w:multiLevelType w:val="singleLevel"/>
    <w:tmpl w:val="3E3D6081"/>
    <w:lvl w:ilvl="0" w:tentative="0">
      <w:start w:val="1"/>
      <w:numFmt w:val="decimal"/>
      <w:suff w:val="nothing"/>
      <w:lvlText w:val="（%1）"/>
      <w:lvlJc w:val="left"/>
    </w:lvl>
  </w:abstractNum>
  <w:abstractNum w:abstractNumId="9">
    <w:nsid w:val="48117AEE"/>
    <w:multiLevelType w:val="singleLevel"/>
    <w:tmpl w:val="48117AEE"/>
    <w:lvl w:ilvl="0" w:tentative="0">
      <w:start w:val="1"/>
      <w:numFmt w:val="chineseCounting"/>
      <w:suff w:val="nothing"/>
      <w:lvlText w:val="（%1）"/>
      <w:lvlJc w:val="left"/>
      <w:rPr>
        <w:rFonts w:hint="eastAsia"/>
      </w:rPr>
    </w:lvl>
  </w:abstractNum>
  <w:abstractNum w:abstractNumId="10">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5"/>
  </w:num>
  <w:num w:numId="3">
    <w:abstractNumId w:val="8"/>
  </w:num>
  <w:num w:numId="4">
    <w:abstractNumId w:val="0"/>
  </w:num>
  <w:num w:numId="5">
    <w:abstractNumId w:val="7"/>
  </w:num>
  <w:num w:numId="6">
    <w:abstractNumId w:val="6"/>
  </w:num>
  <w:num w:numId="7">
    <w:abstractNumId w:val="1"/>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WQyN2E3ZGYxN2QyNjc1NDgxNTczM2MyY2Q1MDUifQ=="/>
  </w:docVars>
  <w:rsids>
    <w:rsidRoot w:val="349C5A22"/>
    <w:rsid w:val="04993371"/>
    <w:rsid w:val="06EB0639"/>
    <w:rsid w:val="0AE2148F"/>
    <w:rsid w:val="0C4E49E7"/>
    <w:rsid w:val="0D5E68B0"/>
    <w:rsid w:val="0E9450B9"/>
    <w:rsid w:val="129D2CB6"/>
    <w:rsid w:val="14066173"/>
    <w:rsid w:val="140A7B16"/>
    <w:rsid w:val="17162BCB"/>
    <w:rsid w:val="1BDB1C76"/>
    <w:rsid w:val="214C790F"/>
    <w:rsid w:val="215B688B"/>
    <w:rsid w:val="22CD4F7C"/>
    <w:rsid w:val="2367695C"/>
    <w:rsid w:val="24870C10"/>
    <w:rsid w:val="28966C95"/>
    <w:rsid w:val="2F1C47BA"/>
    <w:rsid w:val="2F992837"/>
    <w:rsid w:val="349C5A22"/>
    <w:rsid w:val="34D40275"/>
    <w:rsid w:val="371F3AFD"/>
    <w:rsid w:val="3AED7B12"/>
    <w:rsid w:val="424D08D4"/>
    <w:rsid w:val="42A33B1C"/>
    <w:rsid w:val="441120F1"/>
    <w:rsid w:val="44885424"/>
    <w:rsid w:val="44BB6512"/>
    <w:rsid w:val="493A7868"/>
    <w:rsid w:val="4A4C19D0"/>
    <w:rsid w:val="4DC33ECE"/>
    <w:rsid w:val="53B966A0"/>
    <w:rsid w:val="5BFE051E"/>
    <w:rsid w:val="5F2B57F5"/>
    <w:rsid w:val="64067710"/>
    <w:rsid w:val="66C67976"/>
    <w:rsid w:val="672F432D"/>
    <w:rsid w:val="6744549C"/>
    <w:rsid w:val="695E5DE8"/>
    <w:rsid w:val="6AA440E2"/>
    <w:rsid w:val="6D5B6740"/>
    <w:rsid w:val="70C4582E"/>
    <w:rsid w:val="77407D85"/>
    <w:rsid w:val="7A253755"/>
    <w:rsid w:val="7AE97230"/>
    <w:rsid w:val="7CF702EB"/>
    <w:rsid w:val="7E6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sz w:val="24"/>
      <w:szCs w:val="20"/>
    </w:rPr>
  </w:style>
  <w:style w:type="paragraph" w:styleId="6">
    <w:name w:val="List 3"/>
    <w:basedOn w:val="1"/>
    <w:qFormat/>
    <w:uiPriority w:val="99"/>
    <w:pPr>
      <w:ind w:left="100" w:leftChars="400" w:hanging="200" w:hangingChars="200"/>
    </w:p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Body Text Indent"/>
    <w:basedOn w:val="1"/>
    <w:qFormat/>
    <w:uiPriority w:val="99"/>
    <w:pPr>
      <w:spacing w:line="500" w:lineRule="exact"/>
      <w:ind w:left="1588" w:leftChars="832" w:firstLine="433" w:firstLineChars="196"/>
    </w:pPr>
    <w:rPr>
      <w:kern w:val="0"/>
      <w:sz w:val="24"/>
      <w:szCs w:val="20"/>
    </w:rPr>
  </w:style>
  <w:style w:type="paragraph" w:styleId="9">
    <w:name w:val="List 2"/>
    <w:basedOn w:val="1"/>
    <w:qFormat/>
    <w:uiPriority w:val="99"/>
    <w:pPr>
      <w:ind w:left="100" w:leftChars="200" w:hanging="200" w:hangingChars="200"/>
    </w:pPr>
  </w:style>
  <w:style w:type="paragraph" w:styleId="10">
    <w:name w:val="toc 3"/>
    <w:basedOn w:val="1"/>
    <w:next w:val="1"/>
    <w:unhideWhenUsed/>
    <w:qFormat/>
    <w:uiPriority w:val="39"/>
    <w:pPr>
      <w:ind w:left="840" w:leftChars="4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style>
  <w:style w:type="paragraph" w:styleId="14">
    <w:name w:val="toc 2"/>
    <w:basedOn w:val="1"/>
    <w:next w:val="1"/>
    <w:qFormat/>
    <w:uiPriority w:val="39"/>
    <w:pPr>
      <w:ind w:left="200" w:leftChars="200"/>
    </w:p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99"/>
    <w:rPr>
      <w:rFonts w:cs="Times New Roman"/>
    </w:rPr>
  </w:style>
  <w:style w:type="paragraph" w:customStyle="1" w:styleId="19">
    <w:name w:val="表格文字"/>
    <w:basedOn w:val="1"/>
    <w:next w:val="2"/>
    <w:qFormat/>
    <w:uiPriority w:val="99"/>
    <w:pPr>
      <w:spacing w:before="25" w:after="25"/>
      <w:jc w:val="left"/>
    </w:pPr>
    <w:rPr>
      <w:bCs/>
      <w:spacing w:val="10"/>
      <w:kern w:val="0"/>
      <w:sz w:val="24"/>
    </w:rPr>
  </w:style>
  <w:style w:type="paragraph" w:customStyle="1" w:styleId="20">
    <w:name w:val="样式29"/>
    <w:basedOn w:val="21"/>
    <w:qFormat/>
    <w:uiPriority w:val="99"/>
    <w:rPr>
      <w:rFonts w:eastAsia="楷体_GB2312"/>
    </w:rPr>
  </w:style>
  <w:style w:type="paragraph" w:customStyle="1" w:styleId="21">
    <w:name w:val="样式9 Char"/>
    <w:basedOn w:val="1"/>
    <w:qFormat/>
    <w:uiPriority w:val="99"/>
    <w:pPr>
      <w:widowControl/>
      <w:spacing w:line="440" w:lineRule="exact"/>
      <w:ind w:firstLine="200" w:firstLineChars="200"/>
      <w:jc w:val="left"/>
    </w:pPr>
    <w:rPr>
      <w:spacing w:val="6"/>
      <w:sz w:val="24"/>
      <w:szCs w:val="20"/>
    </w:rPr>
  </w:style>
  <w:style w:type="paragraph" w:customStyle="1" w:styleId="2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34693</Words>
  <Characters>37195</Characters>
  <Lines>0</Lines>
  <Paragraphs>0</Paragraphs>
  <TotalTime>1</TotalTime>
  <ScaleCrop>false</ScaleCrop>
  <LinksUpToDate>false</LinksUpToDate>
  <CharactersWithSpaces>38380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dcterms:modified xsi:type="dcterms:W3CDTF">2022-07-11T04:23:26Z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C34E96D608A945FCA4D11C667B0FCE0A</vt:lpwstr>
  </property>
</Properties>
</file>