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700" w:lineRule="exact"/>
        <w:jc w:val="center"/>
        <w:rPr>
          <w:rFonts w:hint="eastAsia" w:ascii="宋体" w:hAnsi="宋体" w:eastAsia="宋体" w:cs="宋体"/>
          <w:color w:val="000000"/>
          <w:sz w:val="30"/>
          <w:szCs w:val="30"/>
          <w:highlight w:val="none"/>
        </w:rPr>
      </w:pPr>
    </w:p>
    <w:p>
      <w:pPr>
        <w:pStyle w:val="3"/>
        <w:spacing w:before="290" w:beforeLines="100" w:after="0"/>
        <w:jc w:val="center"/>
        <w:rPr>
          <w:rFonts w:hint="eastAsia" w:ascii="宋体" w:hAnsi="宋体" w:eastAsia="宋体" w:cs="宋体"/>
          <w:b/>
          <w:color w:val="000000"/>
          <w:spacing w:val="20"/>
          <w:sz w:val="44"/>
          <w:szCs w:val="44"/>
          <w:highlight w:val="none"/>
        </w:rPr>
      </w:pPr>
    </w:p>
    <w:p>
      <w:pPr>
        <w:pStyle w:val="3"/>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山东大学第二医院院前急救科购置监护型救护车</w:t>
      </w:r>
    </w:p>
    <w:p>
      <w:pPr>
        <w:pStyle w:val="3"/>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TCZX-HW-2022-036</w:t>
      </w:r>
    </w:p>
    <w:p>
      <w:pPr>
        <w:pStyle w:val="3"/>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3"/>
        <w:spacing w:after="0" w:line="700" w:lineRule="exact"/>
        <w:jc w:val="center"/>
        <w:rPr>
          <w:rFonts w:hint="eastAsia" w:ascii="宋体" w:hAnsi="宋体" w:eastAsia="宋体" w:cs="宋体"/>
          <w:color w:val="000000"/>
          <w:sz w:val="30"/>
          <w:szCs w:val="30"/>
          <w:highlight w:val="none"/>
        </w:rPr>
      </w:pPr>
    </w:p>
    <w:p>
      <w:pPr>
        <w:pStyle w:val="3"/>
        <w:spacing w:after="0" w:line="700" w:lineRule="exact"/>
        <w:jc w:val="both"/>
        <w:rPr>
          <w:rFonts w:hint="eastAsia" w:ascii="宋体" w:hAnsi="宋体" w:eastAsia="宋体" w:cs="宋体"/>
          <w:color w:val="000000"/>
          <w:sz w:val="30"/>
          <w:szCs w:val="30"/>
          <w:highlight w:val="none"/>
        </w:rPr>
      </w:pP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default" w:ascii="华文中宋" w:hAnsi="华文中宋" w:eastAsia="华文中宋" w:cs="华文中宋"/>
          <w:b w:val="0"/>
          <w:bCs/>
          <w:i w:val="0"/>
          <w:iCs w:val="0"/>
          <w:snapToGrid w:val="0"/>
          <w:spacing w:val="-2"/>
          <w:kern w:val="0"/>
          <w:sz w:val="32"/>
          <w:szCs w:val="32"/>
          <w:highlight w:val="none"/>
          <w:lang w:val="en-US" w:eastAsia="zh-CN"/>
        </w:rPr>
        <w:t>9</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3"/>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3"/>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- 66 -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- 70 -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- 70 -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- 70 -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- 70 -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- 71 -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- 72 -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- 81 -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- 85 -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66"/>
        </w:tabs>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5"/>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5"/>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10"/>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山东大学第二医院院前急救科购置监护型救护车</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山东大学第二医院院前急救科购置监护型救护车</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default" w:ascii="仿宋" w:hAnsi="仿宋" w:cs="仿宋"/>
          <w:bCs/>
          <w:sz w:val="28"/>
          <w:szCs w:val="28"/>
          <w:highlight w:val="none"/>
          <w:u w:val="single"/>
          <w:lang w:val="en-US" w:eastAsia="zh-CN"/>
        </w:rPr>
        <w:t>1</w:t>
      </w:r>
      <w:r>
        <w:rPr>
          <w:rFonts w:hint="eastAsia" w:ascii="仿宋" w:hAnsi="仿宋" w:eastAsia="仿宋" w:cs="仿宋"/>
          <w:bCs/>
          <w:sz w:val="28"/>
          <w:szCs w:val="28"/>
          <w:highlight w:val="none"/>
          <w:u w:val="single"/>
          <w:lang w:val="en-US" w:eastAsia="zh-CN"/>
        </w:rPr>
        <w:t>0月</w:t>
      </w:r>
      <w:r>
        <w:rPr>
          <w:rFonts w:hint="default" w:ascii="仿宋" w:hAnsi="仿宋" w:cs="仿宋"/>
          <w:bCs/>
          <w:sz w:val="28"/>
          <w:szCs w:val="28"/>
          <w:highlight w:val="none"/>
          <w:u w:val="single"/>
          <w:lang w:val="en-US" w:eastAsia="zh-CN"/>
        </w:rPr>
        <w:t>12</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6"/>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TCZX-HW-2022-036</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山东大学第二医院院前急救科购置监护型救护车</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default" w:ascii="仿宋" w:hAnsi="仿宋" w:cs="仿宋"/>
          <w:sz w:val="28"/>
          <w:szCs w:val="28"/>
          <w:highlight w:val="none"/>
          <w:lang w:val="en-US" w:eastAsia="zh-CN"/>
        </w:rPr>
        <w:t>62</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default" w:ascii="仿宋" w:hAnsi="仿宋" w:cs="仿宋"/>
          <w:sz w:val="28"/>
          <w:szCs w:val="28"/>
          <w:highlight w:val="none"/>
          <w:lang w:val="en-US" w:eastAsia="zh-CN"/>
        </w:rPr>
        <w:t>62</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w:t>
      </w:r>
      <w:r>
        <w:rPr>
          <w:rFonts w:hint="eastAsia" w:ascii="仿宋" w:hAnsi="仿宋" w:cs="仿宋"/>
          <w:sz w:val="28"/>
          <w:szCs w:val="28"/>
          <w:highlight w:val="none"/>
          <w:lang w:val="en-US" w:eastAsia="zh-CN"/>
        </w:rPr>
        <w:t>监护型救护车一台，部分设备可采进口，</w:t>
      </w:r>
      <w:r>
        <w:rPr>
          <w:rFonts w:hint="eastAsia" w:ascii="仿宋" w:hAnsi="仿宋" w:eastAsia="仿宋" w:cs="仿宋"/>
          <w:sz w:val="28"/>
          <w:szCs w:val="28"/>
          <w:highlight w:val="none"/>
          <w:lang w:val="en-US" w:eastAsia="zh-CN"/>
        </w:rPr>
        <w:t>使用科室</w:t>
      </w:r>
      <w:r>
        <w:rPr>
          <w:rFonts w:hint="eastAsia" w:ascii="仿宋" w:hAnsi="仿宋" w:cs="仿宋"/>
          <w:sz w:val="28"/>
          <w:szCs w:val="28"/>
          <w:highlight w:val="none"/>
          <w:lang w:val="en-US" w:eastAsia="zh-CN"/>
        </w:rPr>
        <w:t>院前急救科</w:t>
      </w:r>
      <w:r>
        <w:rPr>
          <w:rFonts w:hint="eastAsia" w:ascii="仿宋" w:hAnsi="仿宋" w:eastAsia="仿宋" w:cs="仿宋"/>
          <w:sz w:val="28"/>
          <w:szCs w:val="28"/>
          <w:highlight w:val="none"/>
          <w:lang w:val="en-US" w:eastAsia="zh-CN"/>
        </w:rPr>
        <w:t>，具体详见采购要求。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合同履行期限（质保期）：车辆底盘质保期不低于两年或五万公里，改装部分一年，车载急救设备一年</w:t>
      </w:r>
      <w:r>
        <w:rPr>
          <w:rFonts w:hint="eastAsia" w:ascii="仿宋" w:hAnsi="仿宋" w:cs="仿宋"/>
          <w:sz w:val="28"/>
          <w:szCs w:val="28"/>
          <w:highlight w:val="none"/>
          <w:lang w:val="en-US" w:eastAsia="zh-CN"/>
        </w:rPr>
        <w:t>。</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6"/>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ind w:firstLine="560" w:firstLineChars="200"/>
        <w:rPr>
          <w:rFonts w:hint="eastAsia" w:ascii="仿宋" w:hAnsi="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供应商必须提供所投车辆国家工信部的车辆公告目录文件，并承诺提供的车辆能够纳入国家工信部改装目录，排放标准符合六及以上环保目录标准；承诺能够提供公安和车辆管理部门落户上牌所需要的完备、齐全、有效的一切文件，确保所投的车辆能够在使用地上牌</w:t>
      </w:r>
      <w:r>
        <w:rPr>
          <w:rFonts w:hint="eastAsia" w:ascii="仿宋" w:hAnsi="仿宋" w:cs="仿宋"/>
          <w:sz w:val="28"/>
          <w:szCs w:val="28"/>
          <w:highlight w:val="none"/>
          <w:lang w:val="en-US" w:eastAsia="zh-CN"/>
        </w:rPr>
        <w:t>；</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lang w:val="en-US" w:eastAsia="zh-CN"/>
        </w:rPr>
        <w:t>）本项目部分设备可采进口产品，供应商所投产品为进口产品的，须提供制造商或可追溯到制造商合</w:t>
      </w:r>
      <w:r>
        <w:rPr>
          <w:rFonts w:hint="eastAsia"/>
          <w:highlight w:val="none"/>
          <w:lang w:val="en-US" w:eastAsia="zh-CN"/>
        </w:rPr>
        <w:t>法授权的</w:t>
      </w:r>
      <w:r>
        <w:rPr>
          <w:rFonts w:hint="eastAsia" w:ascii="仿宋" w:hAnsi="仿宋" w:eastAsia="仿宋" w:cs="仿宋"/>
          <w:sz w:val="28"/>
          <w:szCs w:val="28"/>
          <w:highlight w:val="none"/>
          <w:lang w:val="en-US" w:eastAsia="zh-CN"/>
        </w:rPr>
        <w:t>代理商出具的针对本项目的授权书（原件扫描件并加盖公章）；</w:t>
      </w:r>
    </w:p>
    <w:p>
      <w:pPr>
        <w:pStyle w:val="2"/>
        <w:rPr>
          <w:rFonts w:hint="default"/>
          <w:highlight w:val="none"/>
          <w:lang w:val="en-US" w:eastAsia="zh-CN"/>
        </w:rPr>
      </w:pPr>
    </w:p>
    <w:p>
      <w:pPr>
        <w:pStyle w:val="6"/>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default" w:ascii="仿宋" w:hAnsi="仿宋" w:cs="仿宋"/>
          <w:sz w:val="28"/>
          <w:szCs w:val="28"/>
          <w:highlight w:val="none"/>
          <w:lang w:val="en-US" w:eastAsia="zh-CN"/>
        </w:rPr>
        <w:t>09</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21</w:t>
      </w:r>
      <w:r>
        <w:rPr>
          <w:rFonts w:hint="eastAsia" w:ascii="仿宋" w:hAnsi="仿宋" w:eastAsia="仿宋" w:cs="仿宋"/>
          <w:sz w:val="28"/>
          <w:szCs w:val="28"/>
          <w:highlight w:val="none"/>
          <w:lang w:val="en-US" w:eastAsia="zh-CN"/>
        </w:rPr>
        <w:t>日至2022年0</w:t>
      </w:r>
      <w:r>
        <w:rPr>
          <w:rFonts w:hint="default" w:ascii="仿宋" w:hAnsi="仿宋" w:cs="仿宋"/>
          <w:sz w:val="28"/>
          <w:szCs w:val="28"/>
          <w:highlight w:val="none"/>
          <w:lang w:val="en-US" w:eastAsia="zh-CN"/>
        </w:rPr>
        <w:t>9</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27</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文件的期限内联系代理机构（联系人：邵经理0531-88933166/18954549093）明确所投项目名称及项目确认，供应商项目确认后请访问中国政府采购网下载电子版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6"/>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w:t>
      </w:r>
      <w:r>
        <w:rPr>
          <w:rFonts w:hint="default" w:ascii="仿宋" w:hAnsi="仿宋" w:cs="仿宋"/>
          <w:sz w:val="28"/>
          <w:szCs w:val="28"/>
          <w:highlight w:val="none"/>
          <w:lang w:val="en-US" w:eastAsia="zh-CN"/>
        </w:rPr>
        <w:t>10</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lang w:val="en-US" w:eastAsia="zh-CN"/>
        </w:rPr>
        <w:t>日09:00（北京时间）；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6"/>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6"/>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6"/>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6"/>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5"/>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6"/>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30943"/>
      <w:bookmarkStart w:id="13" w:name="_Toc4028"/>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9"/>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218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49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TCZX-HW-2022-036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山东大学第二医院院前急救科购置监护型救护车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default" w:ascii="仿宋" w:hAnsi="仿宋" w:cs="仿宋"/>
                <w:sz w:val="28"/>
                <w:szCs w:val="28"/>
                <w:highlight w:val="none"/>
                <w:lang w:val="en-US" w:eastAsia="zh-CN"/>
              </w:rPr>
              <w:t>62</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default" w:ascii="仿宋" w:hAnsi="仿宋" w:cs="仿宋"/>
                <w:sz w:val="28"/>
                <w:szCs w:val="28"/>
                <w:highlight w:val="none"/>
                <w:lang w:val="en-US" w:eastAsia="zh-CN"/>
              </w:rPr>
              <w:t>62</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default" w:ascii="仿宋" w:hAnsi="仿宋" w:cs="仿宋"/>
                <w:sz w:val="28"/>
                <w:szCs w:val="28"/>
                <w:highlight w:val="none"/>
                <w:lang w:val="en-US"/>
              </w:rPr>
              <w:t>9</w:t>
            </w:r>
            <w:r>
              <w:rPr>
                <w:rFonts w:hint="eastAsia" w:ascii="仿宋" w:hAnsi="仿宋" w:eastAsia="仿宋" w:cs="仿宋"/>
                <w:sz w:val="28"/>
                <w:szCs w:val="28"/>
                <w:highlight w:val="none"/>
              </w:rPr>
              <w:t>）供应商必须提供所投车辆国家工信部的车辆公告目录文件</w:t>
            </w:r>
            <w:r>
              <w:rPr>
                <w:rFonts w:hint="eastAsia" w:ascii="仿宋" w:hAnsi="仿宋" w:cs="仿宋"/>
                <w:sz w:val="28"/>
                <w:szCs w:val="28"/>
                <w:highlight w:val="none"/>
                <w:lang w:eastAsia="zh-CN"/>
              </w:rPr>
              <w:t>（</w:t>
            </w:r>
            <w:r>
              <w:rPr>
                <w:rFonts w:hint="eastAsia" w:ascii="仿宋" w:hAnsi="仿宋" w:cs="仿宋"/>
                <w:sz w:val="28"/>
                <w:szCs w:val="28"/>
                <w:highlight w:val="none"/>
                <w:lang w:val="en-US" w:eastAsia="zh-CN"/>
              </w:rPr>
              <w:t>复印件）</w:t>
            </w:r>
            <w:r>
              <w:rPr>
                <w:rFonts w:hint="eastAsia" w:ascii="仿宋" w:hAnsi="仿宋" w:eastAsia="仿宋" w:cs="仿宋"/>
                <w:sz w:val="28"/>
                <w:szCs w:val="28"/>
                <w:highlight w:val="none"/>
              </w:rPr>
              <w:t>，并承诺提供的车辆能够纳入国家工信部改装目录，排放标准符合六及以上环保目录标准；承诺能够提供公安和车辆管理部门落户上牌所需要的完备、齐全、有效的一切文件，确保所投的车辆能够在使用地上牌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提供承诺书）</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default" w:ascii="仿宋" w:hAnsi="仿宋" w:eastAsia="仿宋" w:cs="仿宋"/>
                <w:sz w:val="28"/>
                <w:szCs w:val="28"/>
                <w:highlight w:val="none"/>
                <w:lang w:val="en-US" w:eastAsia="zh-CN"/>
              </w:rPr>
              <w:t>10</w:t>
            </w:r>
            <w:r>
              <w:rPr>
                <w:rFonts w:hint="eastAsia" w:ascii="仿宋" w:hAnsi="仿宋" w:eastAsia="仿宋" w:cs="仿宋"/>
                <w:sz w:val="28"/>
                <w:szCs w:val="28"/>
                <w:highlight w:val="none"/>
              </w:rPr>
              <w:t>）供应商所投产品为进口产品的，须提供制造商或可追溯到制造商合法授权的代理商出具的针对本项目的授权书（复印件并加盖公章）。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cs="仿宋"/>
                <w:sz w:val="28"/>
                <w:szCs w:val="28"/>
                <w:highlight w:val="none"/>
                <w:lang w:eastAsia="zh-CN"/>
              </w:rPr>
              <w:t>（</w:t>
            </w:r>
            <w:r>
              <w:rPr>
                <w:rFonts w:hint="default" w:ascii="仿宋" w:hAnsi="仿宋" w:cs="仿宋"/>
                <w:sz w:val="28"/>
                <w:szCs w:val="28"/>
                <w:highlight w:val="none"/>
                <w:lang w:val="en-US" w:eastAsia="zh-CN"/>
              </w:rPr>
              <w:t>11</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rPr>
              <w:t>供应商符合法律、行政法规规定的其它要求。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default" w:ascii="仿宋" w:hAnsi="仿宋" w:cs="仿宋"/>
                <w:sz w:val="28"/>
                <w:szCs w:val="28"/>
                <w:highlight w:val="none"/>
                <w:lang w:val="en-US" w:eastAsia="zh-CN"/>
              </w:rPr>
              <w:t>09</w:t>
            </w:r>
            <w:r>
              <w:rPr>
                <w:rFonts w:hint="eastAsia" w:ascii="仿宋" w:hAnsi="仿宋" w:eastAsia="仿宋" w:cs="仿宋"/>
                <w:sz w:val="28"/>
                <w:szCs w:val="28"/>
                <w:highlight w:val="none"/>
              </w:rPr>
              <w:t>月</w:t>
            </w:r>
            <w:r>
              <w:rPr>
                <w:rFonts w:hint="default" w:ascii="仿宋" w:hAnsi="仿宋" w:cs="仿宋"/>
                <w:sz w:val="28"/>
                <w:szCs w:val="28"/>
                <w:highlight w:val="none"/>
                <w:lang w:val="en-US" w:eastAsia="zh-CN"/>
              </w:rPr>
              <w:t>28</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壹</w:t>
            </w:r>
            <w:r>
              <w:rPr>
                <w:rFonts w:hint="eastAsia" w:ascii="仿宋" w:hAnsi="仿宋" w:eastAsia="仿宋" w:cs="仿宋"/>
                <w:sz w:val="28"/>
                <w:szCs w:val="28"/>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保证金不能按时到帐的按无效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372"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近三年：2019年1</w:t>
            </w:r>
            <w:r>
              <w:rPr>
                <w:rFonts w:hint="default" w:ascii="仿宋" w:hAnsi="仿宋" w:cs="仿宋"/>
                <w:sz w:val="28"/>
                <w:szCs w:val="28"/>
                <w:highlight w:val="none"/>
                <w:lang w:val="en-US"/>
              </w:rPr>
              <w:t>0</w:t>
            </w:r>
            <w:r>
              <w:rPr>
                <w:rFonts w:hint="eastAsia" w:ascii="仿宋" w:hAnsi="仿宋" w:eastAsia="仿宋" w:cs="仿宋"/>
                <w:sz w:val="28"/>
                <w:szCs w:val="28"/>
                <w:highlight w:val="none"/>
              </w:rPr>
              <w:t>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本项目核心产品为：救护车整车。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default" w:ascii="仿宋" w:hAnsi="仿宋" w:cs="仿宋"/>
                <w:sz w:val="28"/>
                <w:szCs w:val="28"/>
                <w:highlight w:val="none"/>
                <w:lang w:val="en-US"/>
              </w:rPr>
              <w:t>30</w:t>
            </w:r>
            <w:r>
              <w:rPr>
                <w:rFonts w:hint="eastAsia" w:ascii="仿宋" w:hAnsi="仿宋" w:cs="仿宋"/>
                <w:sz w:val="28"/>
                <w:szCs w:val="28"/>
                <w:highlight w:val="none"/>
                <w:lang w:val="en-US" w:eastAsia="zh-CN"/>
              </w:rPr>
              <w:t>天</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车辆底盘质保期不低于两年或五万公里，改装部分一年，车载急救设备一年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车辆改装完毕，运至采购方指定地点并验收合格签字后，凭清单及发票办理入库手续，甲方收到前述凭证三个月内支付合同总金额90%,余款作为质量保证金，自付款之日起满12个月后，无质量问题的，付总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服务费由成交供应商支付。供应商报价时应考虑上述费用，但不得单列。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部分</w:t>
            </w:r>
            <w:r>
              <w:rPr>
                <w:rFonts w:hint="eastAsia" w:ascii="仿宋" w:hAnsi="仿宋" w:cs="仿宋"/>
                <w:sz w:val="28"/>
                <w:szCs w:val="28"/>
                <w:highlight w:val="none"/>
                <w:lang w:val="en-US" w:eastAsia="zh-CN"/>
              </w:rPr>
              <w:t>产品</w:t>
            </w:r>
            <w:r>
              <w:rPr>
                <w:rFonts w:hint="eastAsia" w:ascii="仿宋" w:hAnsi="仿宋" w:eastAsia="仿宋" w:cs="仿宋"/>
                <w:sz w:val="28"/>
                <w:szCs w:val="28"/>
                <w:highlight w:val="none"/>
              </w:rPr>
              <w:t>可采进口</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337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可采进口的产品，若</w:t>
            </w:r>
            <w:r>
              <w:rPr>
                <w:rFonts w:hint="eastAsia" w:ascii="仿宋" w:hAnsi="仿宋" w:eastAsia="仿宋" w:cs="仿宋"/>
                <w:sz w:val="28"/>
                <w:szCs w:val="28"/>
                <w:highlight w:val="none"/>
              </w:rPr>
              <w:t>所投产品为进口产品</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需提供进口产品制造商授权书：（a）当产品国内总代理或涵盖采购人地区的总代理直接参与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时，需提供制造商对该代理的长期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文件；若</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2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372"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50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1"/>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6"/>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6336"/>
      <w:bookmarkStart w:id="16" w:name="_Toc17782"/>
      <w:r>
        <w:rPr>
          <w:rFonts w:hint="eastAsia" w:ascii="宋体" w:hAnsi="宋体" w:eastAsia="宋体" w:cs="宋体"/>
          <w:b w:val="0"/>
          <w:kern w:val="2"/>
          <w:sz w:val="44"/>
          <w:szCs w:val="44"/>
          <w:highlight w:val="none"/>
          <w:lang w:val="en-US" w:eastAsia="zh-CN"/>
        </w:rPr>
        <w:t>供应商须知正文</w:t>
      </w:r>
      <w:bookmarkEnd w:id="15"/>
      <w:bookmarkEnd w:id="16"/>
    </w:p>
    <w:p>
      <w:pPr>
        <w:pStyle w:val="7"/>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9323"/>
      <w:bookmarkStart w:id="18" w:name="_Toc2250"/>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8"/>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11.5供应商须如实响应磋商文件要求，在响应文件中如实提供其技术指标。供应商不得复制粘贴磋商文件中的技术及商务条款响应一览表中的参数及要求作为其响应文件的响应情况，否则，其报价按无效报价处理</w:t>
      </w:r>
      <w:r>
        <w:rPr>
          <w:rFonts w:hint="eastAsia" w:ascii="仿宋" w:hAnsi="仿宋" w:eastAsia="仿宋" w:cs="仿宋"/>
          <w:spacing w:val="0"/>
          <w:kern w:val="2"/>
          <w:sz w:val="28"/>
          <w:szCs w:val="28"/>
          <w:highlight w:val="none"/>
          <w:lang w:val="en-US" w:eastAsia="zh-CN" w:bidi="ar-SA"/>
        </w:rPr>
        <w:t>。</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8"/>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8"/>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磋商保证金采用电汇方式退还。若交款单位与供应商名称不一致，退款时，磋商保证金退至供应商帐户。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8"/>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default" w:ascii="仿宋" w:hAnsi="仿宋" w:eastAsia="仿宋" w:cs="仿宋"/>
          <w:b/>
          <w:bCs/>
          <w:spacing w:val="0"/>
          <w:kern w:val="2"/>
          <w:sz w:val="28"/>
          <w:szCs w:val="28"/>
          <w:highlight w:val="none"/>
          <w:lang w:val="en-US" w:eastAsia="zh-CN" w:bidi="ar-SA"/>
        </w:rPr>
      </w:pPr>
      <w:r>
        <w:rPr>
          <w:rFonts w:hint="default" w:ascii="仿宋" w:hAnsi="仿宋" w:eastAsia="仿宋" w:cs="仿宋"/>
          <w:b/>
          <w:bCs/>
          <w:spacing w:val="0"/>
          <w:kern w:val="2"/>
          <w:sz w:val="28"/>
          <w:szCs w:val="28"/>
          <w:highlight w:val="none"/>
          <w:lang w:val="en-US" w:eastAsia="zh-CN" w:bidi="ar-SA"/>
        </w:rPr>
        <w:t xml:space="preserve">25.5.1.8 </w:t>
      </w:r>
      <w:r>
        <w:rPr>
          <w:rFonts w:hint="eastAsia" w:ascii="仿宋" w:hAnsi="仿宋" w:eastAsia="仿宋" w:cs="仿宋"/>
          <w:b/>
          <w:bCs/>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25.5.4优采、强采、节能、环境标志产品：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（1）供应商</w:t>
      </w:r>
      <w:r>
        <w:rPr>
          <w:rFonts w:hint="eastAsia" w:ascii="仿宋" w:hAnsi="仿宋" w:eastAsia="仿宋" w:cs="仿宋"/>
          <w:spacing w:val="0"/>
          <w:kern w:val="2"/>
          <w:sz w:val="28"/>
          <w:szCs w:val="28"/>
          <w:highlight w:val="none"/>
          <w:lang w:val="en-US" w:eastAsia="zh-CN" w:bidi="ar-SA"/>
        </w:rPr>
        <w:t>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产品属于强制采购的节能产品，不享受鼓励优惠政策；属于强制采购的节能产品需在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文件中提供国家确定的认证机构出具的、处于有效期之内的所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产品的节能认证证书复印件，未按规定使用强制节能产品的或未提供强制采购节能产品认证证书复印件的，按无效</w:t>
      </w:r>
      <w:r>
        <w:rPr>
          <w:rFonts w:hint="eastAsia" w:ascii="仿宋" w:hAnsi="仿宋" w:cs="仿宋"/>
          <w:spacing w:val="0"/>
          <w:kern w:val="2"/>
          <w:sz w:val="28"/>
          <w:szCs w:val="28"/>
          <w:highlight w:val="none"/>
          <w:lang w:val="en-US" w:eastAsia="zh-CN" w:bidi="ar-SA"/>
        </w:rPr>
        <w:t>报价</w:t>
      </w:r>
      <w:r>
        <w:rPr>
          <w:rFonts w:hint="eastAsia" w:ascii="仿宋" w:hAnsi="仿宋" w:eastAsia="仿宋" w:cs="仿宋"/>
          <w:spacing w:val="0"/>
          <w:kern w:val="2"/>
          <w:sz w:val="28"/>
          <w:szCs w:val="28"/>
          <w:highlight w:val="none"/>
          <w:lang w:val="en-US" w:eastAsia="zh-CN" w:bidi="ar-SA"/>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（2）供应商</w:t>
      </w:r>
      <w:r>
        <w:rPr>
          <w:rFonts w:hint="eastAsia" w:ascii="仿宋" w:hAnsi="仿宋" w:eastAsia="仿宋" w:cs="仿宋"/>
          <w:spacing w:val="0"/>
          <w:kern w:val="2"/>
          <w:sz w:val="28"/>
          <w:szCs w:val="28"/>
          <w:highlight w:val="none"/>
          <w:lang w:val="en-US" w:eastAsia="zh-CN" w:bidi="ar-SA"/>
        </w:rPr>
        <w:t>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文件中对所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10"/>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5"/>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6"/>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26963"/>
      <w:bookmarkStart w:id="21" w:name="_Toc19687"/>
      <w:r>
        <w:rPr>
          <w:rFonts w:hint="eastAsia" w:ascii="Arial" w:hAnsi="Arial" w:eastAsia="黑体" w:cs="Times New Roman"/>
          <w:b w:val="0"/>
          <w:kern w:val="2"/>
          <w:sz w:val="36"/>
          <w:szCs w:val="28"/>
          <w:highlight w:val="none"/>
          <w:lang w:val="en-US" w:eastAsia="zh-CN"/>
        </w:rPr>
        <w:t>评审方法</w:t>
      </w:r>
      <w:bookmarkEnd w:id="20"/>
      <w:bookmarkEnd w:id="21"/>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根据采购人授权直接确定成交供应商。</w:t>
      </w:r>
    </w:p>
    <w:p>
      <w:pPr>
        <w:pStyle w:val="6"/>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688"/>
      <w:bookmarkStart w:id="23" w:name="_Toc1750"/>
      <w:r>
        <w:rPr>
          <w:rFonts w:hint="eastAsia" w:ascii="Arial" w:hAnsi="Arial" w:eastAsia="黑体" w:cs="Times New Roman"/>
          <w:b w:val="0"/>
          <w:kern w:val="2"/>
          <w:sz w:val="36"/>
          <w:szCs w:val="28"/>
          <w:highlight w:val="none"/>
          <w:lang w:val="en-US" w:eastAsia="zh-CN"/>
        </w:rPr>
        <w:t>评审细则</w:t>
      </w:r>
      <w:bookmarkEnd w:id="22"/>
      <w:bookmarkEnd w:id="23"/>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57"/>
        <w:gridCol w:w="105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93"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313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3130" w:type="pct"/>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cs="仿宋"/>
                <w:sz w:val="28"/>
                <w:szCs w:val="28"/>
                <w:highlight w:val="none"/>
                <w:lang w:val="en-US" w:eastAsia="zh-CN"/>
              </w:rPr>
              <w:t>1</w:t>
            </w:r>
            <w:r>
              <w:rPr>
                <w:rFonts w:hint="eastAsia" w:ascii="仿宋" w:hAnsi="仿宋" w:eastAsia="仿宋" w:cs="仿宋"/>
                <w:sz w:val="28"/>
                <w:szCs w:val="28"/>
                <w:highlight w:val="none"/>
              </w:rPr>
              <w:t>分；技术参数中每出现1条普通技术规格指标未实质性响应或负偏离的，扣0.</w:t>
            </w: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555"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救护车改装部分质保期在满足磋商文件最低要求情况下，质保每增加一年得2分，本项最多得4分；需提供原厂质保函，否则不得分。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rPr>
              <w:t>10</w:t>
            </w:r>
            <w:r>
              <w:rPr>
                <w:rFonts w:hint="eastAsia" w:ascii="仿宋" w:hAnsi="仿宋" w:eastAsia="仿宋" w:cs="仿宋"/>
                <w:sz w:val="28"/>
                <w:szCs w:val="28"/>
                <w:highlight w:val="none"/>
              </w:rPr>
              <w:t>月1日至今）所投产品（多种产品采购以核心产品为准）的业绩，每个项目得1分，最多得3分，没有业绩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由磋商小组认可的实质性优惠条款，每提供一条得1分，最高得2分，无不得分。</w:t>
            </w:r>
          </w:p>
        </w:tc>
      </w:tr>
    </w:tbl>
    <w:p>
      <w:pPr>
        <w:pStyle w:val="22"/>
        <w:rPr>
          <w:rFonts w:hint="eastAsia"/>
          <w:highlight w:val="none"/>
          <w:lang w:val="en-US" w:eastAsia="zh-CN"/>
        </w:rPr>
      </w:pPr>
    </w:p>
    <w:p>
      <w:pPr>
        <w:pStyle w:val="6"/>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21077"/>
      <w:bookmarkStart w:id="25" w:name="_Toc3782"/>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010"/>
      <w:bookmarkStart w:id="27" w:name="_Toc7284"/>
      <w:bookmarkStart w:id="28" w:name="_Toc855"/>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6941"/>
      <w:bookmarkStart w:id="30" w:name="_Toc14175"/>
      <w:bookmarkStart w:id="31" w:name="_Toc19809"/>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30230"/>
      <w:bookmarkStart w:id="33" w:name="_Toc25000"/>
      <w:bookmarkStart w:id="34" w:name="_Toc1135"/>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r>
        <w:rPr>
          <w:rFonts w:hint="eastAsia" w:ascii="Calibri" w:hAnsi="Calibri" w:eastAsia="楷体" w:cs="Times New Roman"/>
          <w:b/>
          <w:kern w:val="2"/>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hint="eastAsia" w:ascii="仿宋" w:hAnsi="仿宋" w:eastAsia="仿宋" w:cs="仿宋"/>
          <w:sz w:val="28"/>
          <w:szCs w:val="28"/>
          <w:highlight w:val="none"/>
        </w:rPr>
        <w:t>。</w:t>
      </w:r>
    </w:p>
    <w:p>
      <w:pPr>
        <w:pStyle w:val="5"/>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5"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5"/>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4625"/>
        <w:gridCol w:w="126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2" w:type="pct"/>
            <w:noWrap/>
            <w:vAlign w:val="center"/>
          </w:tcPr>
          <w:p>
            <w:pPr>
              <w:pStyle w:val="23"/>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5" w:type="pct"/>
            <w:noWrap/>
            <w:vAlign w:val="center"/>
          </w:tcPr>
          <w:p>
            <w:pPr>
              <w:pStyle w:val="23"/>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3"/>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3"/>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2"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435"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pacing w:val="0"/>
                <w:kern w:val="2"/>
                <w:sz w:val="28"/>
                <w:szCs w:val="28"/>
                <w:highlight w:val="none"/>
                <w:lang w:val="en-US" w:eastAsia="zh-CN" w:bidi="ar-SA"/>
              </w:rPr>
              <w:t>监护型救护车</w:t>
            </w:r>
          </w:p>
        </w:tc>
        <w:tc>
          <w:tcPr>
            <w:tcW w:w="665" w:type="pct"/>
            <w:noWrap/>
            <w:vAlign w:val="center"/>
          </w:tcPr>
          <w:p>
            <w:pPr>
              <w:spacing w:line="240" w:lineRule="auto"/>
              <w:jc w:val="center"/>
              <w:rPr>
                <w:rFonts w:hint="default"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1</w:t>
            </w:r>
            <w:r>
              <w:rPr>
                <w:rFonts w:hint="eastAsia" w:ascii="仿宋" w:hAnsi="仿宋" w:cs="仿宋"/>
                <w:sz w:val="28"/>
                <w:szCs w:val="28"/>
                <w:highlight w:val="none"/>
                <w:lang w:val="en-US" w:eastAsia="zh-CN"/>
              </w:rPr>
              <w:t>台</w:t>
            </w:r>
          </w:p>
        </w:tc>
        <w:tc>
          <w:tcPr>
            <w:tcW w:w="1246" w:type="pct"/>
            <w:noWrap/>
            <w:vAlign w:val="center"/>
          </w:tcPr>
          <w:p>
            <w:pPr>
              <w:spacing w:line="240" w:lineRule="auto"/>
              <w:jc w:val="center"/>
              <w:rPr>
                <w:rFonts w:hint="eastAsia" w:ascii="仿宋" w:hAnsi="仿宋" w:eastAsia="仿宋" w:cs="仿宋"/>
                <w:color w:val="000000"/>
                <w:sz w:val="28"/>
                <w:szCs w:val="28"/>
                <w:highlight w:val="none"/>
              </w:rPr>
            </w:pP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sz w:val="30"/>
          <w:szCs w:val="30"/>
          <w:highlight w:val="none"/>
          <w:lang w:eastAsia="zh-CN"/>
        </w:rPr>
      </w:pPr>
      <w:r>
        <w:rPr>
          <w:rFonts w:hint="eastAsia" w:ascii="仿宋" w:hAnsi="仿宋" w:eastAsia="仿宋" w:cs="仿宋"/>
          <w:b/>
          <w:bCs/>
          <w:color w:val="000000"/>
          <w:sz w:val="30"/>
          <w:szCs w:val="30"/>
          <w:highlight w:val="none"/>
          <w:lang w:val="en-US" w:eastAsia="zh-CN"/>
        </w:rPr>
        <w:t>二、采购设备</w:t>
      </w:r>
      <w:r>
        <w:rPr>
          <w:rFonts w:hint="eastAsia" w:ascii="仿宋" w:hAnsi="仿宋" w:eastAsia="仿宋" w:cs="仿宋"/>
          <w:b/>
          <w:bCs/>
          <w:color w:val="000000"/>
          <w:sz w:val="30"/>
          <w:szCs w:val="30"/>
          <w:highlight w:val="none"/>
        </w:rPr>
        <w:t>技术参数</w:t>
      </w:r>
      <w:r>
        <w:rPr>
          <w:rFonts w:hint="eastAsia" w:ascii="仿宋" w:hAnsi="仿宋" w:eastAsia="仿宋" w:cs="仿宋"/>
          <w:b/>
          <w:bCs/>
          <w:color w:val="0D0D0D"/>
          <w:sz w:val="30"/>
          <w:szCs w:val="30"/>
          <w:highlight w:val="none"/>
        </w:rPr>
        <w:t>要求：</w:t>
      </w:r>
    </w:p>
    <w:p>
      <w:pPr>
        <w:rPr>
          <w:rFonts w:hint="eastAsia"/>
          <w:highlight w:val="none"/>
        </w:rPr>
      </w:pPr>
    </w:p>
    <w:tbl>
      <w:tblPr>
        <w:tblStyle w:val="1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2"/>
        <w:gridCol w:w="1959"/>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rPr>
              <w:t>序号</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rPr>
              <w:t>项目名称</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1</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rPr>
              <w:t>整车基本要求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工作条件</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（1）适应环境：车辆应适应各种自然条件，适应户外长时期作业的需求；</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（2）车辆适应气温-35℃到60℃之间（自然环境）；</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（3）相对湿度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总体要求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（1）投标车型应入选国家工业和信息化部《</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"http://www.miit.gov.cn/n1146295/n1652858/n1652930/n4509607/c7677871/part/7677887.doc" </w:instrText>
            </w:r>
            <w:r>
              <w:rPr>
                <w:rFonts w:hint="eastAsia" w:ascii="仿宋" w:hAnsi="仿宋" w:eastAsia="仿宋" w:cs="仿宋"/>
                <w:sz w:val="24"/>
                <w:szCs w:val="24"/>
                <w:highlight w:val="none"/>
              </w:rPr>
              <w:fldChar w:fldCharType="separate"/>
            </w:r>
            <w:r>
              <w:rPr>
                <w:rFonts w:hint="eastAsia" w:ascii="仿宋" w:hAnsi="仿宋" w:eastAsia="仿宋" w:cs="仿宋"/>
                <w:color w:val="000000"/>
                <w:kern w:val="0"/>
                <w:sz w:val="24"/>
                <w:szCs w:val="24"/>
                <w:highlight w:val="none"/>
              </w:rPr>
              <w:t>道路机动车辆生产企业及产品</w:t>
            </w:r>
            <w:r>
              <w:rPr>
                <w:rFonts w:hint="eastAsia" w:ascii="仿宋" w:hAnsi="仿宋" w:eastAsia="仿宋" w:cs="仿宋"/>
                <w:color w:val="000000"/>
                <w:kern w:val="0"/>
                <w:sz w:val="24"/>
                <w:szCs w:val="24"/>
                <w:highlight w:val="none"/>
              </w:rPr>
              <w:fldChar w:fldCharType="end"/>
            </w:r>
            <w:r>
              <w:rPr>
                <w:rFonts w:hint="eastAsia" w:ascii="仿宋" w:hAnsi="仿宋" w:eastAsia="仿宋" w:cs="仿宋"/>
                <w:color w:val="000000"/>
                <w:kern w:val="0"/>
                <w:sz w:val="24"/>
                <w:szCs w:val="24"/>
                <w:highlight w:val="none"/>
              </w:rPr>
              <w:t>公告》目录。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rPr>
              <w:t>2</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rPr>
              <w:t>车辆技术要求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外形尺寸</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长5000mm-5400mm， 宽1900mm-2000mm， 高2300mm-2400mm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医疗舱尺度</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长≥2600mm，宽≥1600mm，高≥1700mm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轴距</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2.1.4</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最小转弯半径</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2.1.5</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最高时速</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default" w:ascii="仿宋" w:hAnsi="仿宋" w:cs="仿宋"/>
                <w:b/>
                <w:bCs/>
                <w:color w:val="000000"/>
                <w:kern w:val="0"/>
                <w:sz w:val="24"/>
                <w:szCs w:val="24"/>
                <w:highlight w:val="none"/>
                <w:lang w:val="en-US"/>
              </w:rPr>
              <w:t>#</w:t>
            </w:r>
            <w:r>
              <w:rPr>
                <w:rFonts w:hint="eastAsia" w:ascii="仿宋" w:hAnsi="仿宋" w:eastAsia="仿宋" w:cs="仿宋"/>
                <w:b/>
                <w:bCs/>
                <w:color w:val="000000"/>
                <w:kern w:val="0"/>
                <w:sz w:val="24"/>
                <w:szCs w:val="24"/>
                <w:highlight w:val="none"/>
              </w:rPr>
              <w:t>2.1.6</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驱动方式</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前置，后驱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2.1.7</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整备质量</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2.1.8</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总质量</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2.2</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2.2.1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排量 </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≥1.9L，涡轮增压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2.2.2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燃油</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2.2.3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8" w:leftChars="-3" w:right="-73" w:rightChars="-26"/>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发动机额定功率</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2.2.4</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最大扭矩</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2.2.5</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型式</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水冷直列式电喷汽油发动机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2.2.6</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尾气排放标准</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满足国家第六阶段排放标准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default" w:ascii="仿宋" w:hAnsi="仿宋" w:cs="仿宋"/>
                <w:b/>
                <w:bCs/>
                <w:color w:val="000000"/>
                <w:kern w:val="0"/>
                <w:sz w:val="24"/>
                <w:szCs w:val="24"/>
                <w:highlight w:val="none"/>
                <w:lang w:val="en-US"/>
              </w:rPr>
              <w:t>#</w:t>
            </w:r>
            <w:r>
              <w:rPr>
                <w:rFonts w:hint="eastAsia" w:ascii="仿宋" w:hAnsi="仿宋" w:eastAsia="仿宋" w:cs="仿宋"/>
                <w:b/>
                <w:bCs/>
                <w:color w:val="000000"/>
                <w:kern w:val="0"/>
                <w:sz w:val="24"/>
                <w:szCs w:val="24"/>
                <w:highlight w:val="none"/>
              </w:rPr>
              <w:t>2.3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变速箱</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九速自动变速箱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2.4</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发电机</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发电机发电量14V/≥120A，在保证车辆自身最大用电情况下，需额外提供12V/50-75A（包括逆变成220V）的电量，以备警灯、警报、通讯，医疗等设备用电需要。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2.5</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制动系统</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ABS调节液压制动，前通风盘式，后实心盘式。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2.6</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2.6.1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基本要求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冷暖空调，前后双空调/双恒温，独立控制。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2.6.2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制热要求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hanging="105"/>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在环境温度-20摄氏度时，启动加热系统在15分钟内使车内温度至少达到16摄氏度以上。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2.6.3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制冷要求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在环境温度40摄氏度时，使车内温度至少低于环境温度7摄氏度以上。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2.7</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2.7.1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水温</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在高温环境中（自然温度60摄氏度）和驻车状态下发动机连续工作时，其水温在95摄氏度以下。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2.7.2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安全气囊</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正、副驾驶座均配备安全气囊。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2.7.3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中门窗户</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医疗舱右侧侧拉门上为可移动式玻璃窗，玻璃窗移动幅度根据用户需要多档可调，每档带限位锁紧装置。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2.8</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外观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救护车车身外表颜色为白色，贴红色彩条，</w:t>
            </w:r>
            <w:r>
              <w:rPr>
                <w:rFonts w:hint="eastAsia" w:ascii="仿宋" w:hAnsi="仿宋" w:eastAsia="仿宋" w:cs="仿宋"/>
                <w:color w:val="000000"/>
                <w:kern w:val="0"/>
                <w:sz w:val="24"/>
                <w:szCs w:val="24"/>
                <w:highlight w:val="none"/>
                <w:lang w:eastAsia="zh-CN"/>
              </w:rPr>
              <w:t>按照济南市120急救中心标准粘贴。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3</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医疗舱及改装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3.1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内饰</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医疗舱整体内饰，医疗舱内饰全部采用耐寒、阻燃的ABS复合材料，模具吸塑成型，造型美观实用，阻燃性能符合UL94-2017标准要求，具有CNAS认可的检测报告。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color w:val="000000"/>
                <w:kern w:val="0"/>
                <w:sz w:val="24"/>
                <w:szCs w:val="24"/>
                <w:highlight w:val="none"/>
              </w:rPr>
              <w:t>3.1.1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工艺</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应采用模具一次成型工艺， 功能布局清晰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3.1.2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材料</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应采用优质可再生的环保材料，医疗舱内所有内饰需无异味。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3.1.3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材料特性</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防霉、防菌、防潮、阻燃、易清洗、易消毒，高强度、高韧性、抗老化、无异味、无毒、安全性强。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3.1.4</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环保性能</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环保无毒，无重金属（铅、镉、铬、汞）残留，苯质量分数≤100mg/kg。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3.1.5</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防火性能</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车厢内结构及装饰材料的防火性能应符合GB8410－2006《汽车内饰材料的燃烧特性》的要求。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3.1.6</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安装要求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医疗舱内饰安装需与救护车车身结构件或连接件牢固连接，并具有良好密封性和保温性。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3.2</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监护型医疗舱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3.2.1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地板</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医疗舱地面应环保无毒，重金属（铅、镉、铬、汞）残留应达到内饰环保要求，防水、耐磨、耐冲击、耐酸碱、耐化学品（消毒水等），防静电，具有CNAS认可的检测机构出具的检验报告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3.2.2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中隔墙</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中隔墙将驾驶舱和急救舱完全隔离。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3.2.2.1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材料工艺</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采用优质高分子复合材料一次性吸塑成形。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3.2.2.2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推拉窗</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中隔墙上配有可开启移动式透明推拉窗，推拉窗玻璃带有锁定装置。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3.2.2.3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密封隔离</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中隔墙四周与车身连接处有专用密封条密封。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3.2.3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药品柜</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可分别放置药品盒、针剂、注射用品、外伤包扎用品、手套等药品和辅料。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3.2.3.1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材料工艺</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柜体需采用复合材料制作，防潮、表面易清洗，边角均应采用圆角过度，封边及接口处不可有触手感。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3.2.3.2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布局要求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药品柜的布置要便于医护人员的取放操作并有明显标识。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3.2.4</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设备墙</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左侧设备墙内做预埋，安装2层设备托盘，应能够放置监护仪、心电图机、呼吸机、除颤仪等急救设备，安装牢固，便于医护人员的观察和操作。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3.2.5</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储物柜</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医疗舱顶部储物吊柜不少于5个，模具一次性成型，带有锁扣装置，可存急救耗材等物品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3.2.6</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氧气瓶柜</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安装于左侧后门位置，模具一次性成型，造型结构便于医护人员对氧气阀的操作和对压力表的观察、装卸。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3.2.7</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医生座椅</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应位于担架前部右侧，朝前安装，附安全带。应符合GB 15083汽车座椅、座椅固定装置及头枕强度要求。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3.2.8</w:t>
            </w:r>
          </w:p>
        </w:tc>
        <w:tc>
          <w:tcPr>
            <w:tcW w:w="1959"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长排柜式座椅</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布置于医疗舱右侧，采用高分子复合材料制作，座垫为超纤皮包裹冷发泡海绵，乘坐舒适，座垫可开启，内部为储物空间。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3.2.9</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扶手</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在上下车门处及顶部应安装相应的安全扶手。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3.3</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3.3.1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屏幕规格</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显示控制屏≥10英寸，电容屏。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3.3.2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操作方式</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功能集成控制，直接在电容屏上触摸操作。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default" w:ascii="仿宋" w:hAnsi="仿宋" w:cs="仿宋"/>
                <w:b/>
                <w:bCs/>
                <w:color w:val="000000"/>
                <w:kern w:val="0"/>
                <w:sz w:val="24"/>
                <w:szCs w:val="24"/>
                <w:highlight w:val="none"/>
                <w:lang w:val="en-US"/>
              </w:rPr>
              <w:t>#</w:t>
            </w:r>
            <w:r>
              <w:rPr>
                <w:rFonts w:hint="eastAsia" w:ascii="仿宋" w:hAnsi="仿宋" w:eastAsia="仿宋" w:cs="仿宋"/>
                <w:b/>
                <w:bCs/>
                <w:color w:val="000000"/>
                <w:kern w:val="0"/>
                <w:sz w:val="24"/>
                <w:szCs w:val="24"/>
                <w:highlight w:val="none"/>
              </w:rPr>
              <w:t>3.3.3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功能界面</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控制屏上能够显示电压等，并能触屏控制车内灯光、对讲机、换气扇等工作状态，能够使工作人员直观的掌握用电设备工作状态并及时发现故障。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3.3.</w:t>
            </w:r>
            <w:r>
              <w:rPr>
                <w:rFonts w:hint="eastAsia" w:ascii="仿宋" w:hAnsi="仿宋" w:eastAsia="仿宋" w:cs="仿宋"/>
                <w:color w:val="000000"/>
                <w:kern w:val="0"/>
                <w:sz w:val="24"/>
                <w:szCs w:val="24"/>
                <w:highlight w:val="none"/>
                <w:lang w:eastAsia="zh-CN"/>
              </w:rPr>
              <w:t>4</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备用控制系统</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备用控制系统，确保在故障状态下，仍能使用医疗舱内电器设施。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3.4</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电源系统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color w:val="000000"/>
                <w:kern w:val="0"/>
                <w:sz w:val="24"/>
                <w:szCs w:val="24"/>
                <w:highlight w:val="none"/>
              </w:rPr>
              <w:t>3.4.1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基本要求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24小时不间断供电，可输出220V，</w:t>
            </w:r>
            <w:r>
              <w:rPr>
                <w:rFonts w:hint="eastAsia" w:ascii="仿宋" w:hAnsi="仿宋" w:eastAsia="仿宋" w:cs="仿宋"/>
                <w:color w:val="000000"/>
                <w:kern w:val="0"/>
                <w:sz w:val="24"/>
                <w:szCs w:val="24"/>
                <w:highlight w:val="none"/>
                <w:lang w:eastAsia="zh-CN"/>
              </w:rPr>
              <w:t>200</w:t>
            </w:r>
            <w:r>
              <w:rPr>
                <w:rFonts w:hint="eastAsia" w:ascii="仿宋" w:hAnsi="仿宋" w:eastAsia="仿宋" w:cs="仿宋"/>
                <w:color w:val="000000"/>
                <w:kern w:val="0"/>
                <w:sz w:val="24"/>
                <w:szCs w:val="24"/>
                <w:highlight w:val="none"/>
              </w:rPr>
              <w:t>0W纯正弦波电源可供精密医疗设备使用，并在相应的位置安置 12V及220V电源插座。在220V电源输出端安置 漏电及短路保护器。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专用电瓶</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免维护汽车专用电瓶，容量不小于65AH，在驻车时可供一些医疗器械使用。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逆变器</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智能逆变，12V输入，输出为220V、</w:t>
            </w:r>
            <w:r>
              <w:rPr>
                <w:rFonts w:hint="eastAsia" w:ascii="仿宋" w:hAnsi="仿宋" w:eastAsia="仿宋" w:cs="仿宋"/>
                <w:color w:val="000000"/>
                <w:kern w:val="0"/>
                <w:sz w:val="24"/>
                <w:szCs w:val="24"/>
                <w:highlight w:val="none"/>
                <w:lang w:eastAsia="zh-CN"/>
              </w:rPr>
              <w:t>2000</w:t>
            </w:r>
            <w:r>
              <w:rPr>
                <w:rFonts w:hint="eastAsia" w:ascii="仿宋" w:hAnsi="仿宋" w:eastAsia="仿宋" w:cs="仿宋"/>
                <w:color w:val="000000"/>
                <w:kern w:val="0"/>
                <w:sz w:val="24"/>
                <w:szCs w:val="24"/>
                <w:highlight w:val="none"/>
              </w:rPr>
              <w:t>W纯正弦波电源。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3.4.4</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供电要求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在车辆启动状态下，可实现24小时不间断供电，可输出220V，</w:t>
            </w:r>
            <w:r>
              <w:rPr>
                <w:rFonts w:hint="eastAsia" w:ascii="仿宋" w:hAnsi="仿宋" w:eastAsia="仿宋" w:cs="仿宋"/>
                <w:color w:val="000000"/>
                <w:kern w:val="0"/>
                <w:sz w:val="24"/>
                <w:szCs w:val="24"/>
                <w:highlight w:val="none"/>
                <w:lang w:eastAsia="zh-CN"/>
              </w:rPr>
              <w:t>20</w:t>
            </w:r>
            <w:r>
              <w:rPr>
                <w:rFonts w:hint="eastAsia" w:ascii="仿宋" w:hAnsi="仿宋" w:eastAsia="仿宋" w:cs="仿宋"/>
                <w:color w:val="000000"/>
                <w:kern w:val="0"/>
                <w:sz w:val="24"/>
                <w:szCs w:val="24"/>
                <w:highlight w:val="none"/>
              </w:rPr>
              <w:t>00W纯正弦波电源可供医疗设备使用，并在相应的位置安置12V电源插座5只和220V电源插座5只。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3.4.5</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双电瓶管理</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right="-137" w:rightChars="-49"/>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自动连接或断开。确保救护车原车电瓶处于最佳状态，不会因为原车电瓶亏电而影响出车。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3.4.6</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外接充电系统</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长时间驻车时，可外接市电对车载电瓶充电，也可直接为车载设备供电。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3.4.7</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安全保护</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电路设有相应规范的过载保护装置，以确保医疗救护设备、电器正常使用。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3.4.8</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线束</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采用锁紧线束、接插件，有效防止接触不良、信号干扰及自燃，充分保证救护车的供电系统的安全性和稳定性。（需提供图片相关说明材料）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3.5</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担架系统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3.5.1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lang w:eastAsia="zh-CN"/>
              </w:rPr>
            </w:pPr>
            <w:r>
              <w:rPr>
                <w:rFonts w:hint="eastAsia" w:ascii="仿宋" w:hAnsi="仿宋" w:eastAsia="仿宋" w:cs="仿宋"/>
                <w:bCs/>
                <w:color w:val="000000"/>
                <w:kern w:val="0"/>
                <w:sz w:val="24"/>
                <w:szCs w:val="24"/>
                <w:highlight w:val="none"/>
                <w:lang w:eastAsia="zh-CN"/>
              </w:rPr>
              <w:t>自动上车担架1套（可采进口）</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1.整体采用高强度铝合金材质，加厚管状结构设计，担架车自重≤37kg；</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2.采用荧光醒目警示色设计，表面做喷丸硬化和粉末喷涂加工，夜间可见，并便于清洗，床体可耐高压水枪冲洗；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 xml:space="preserve">3. </w:t>
            </w:r>
            <w:r>
              <w:rPr>
                <w:rFonts w:hint="default" w:ascii="仿宋" w:hAnsi="仿宋" w:cs="仿宋"/>
                <w:b/>
                <w:bCs/>
                <w:color w:val="000000"/>
                <w:kern w:val="0"/>
                <w:sz w:val="24"/>
                <w:szCs w:val="24"/>
                <w:highlight w:val="none"/>
                <w:lang w:val="en-US"/>
              </w:rPr>
              <w:t>#</w:t>
            </w:r>
            <w:r>
              <w:rPr>
                <w:rFonts w:hint="eastAsia" w:ascii="仿宋" w:hAnsi="仿宋" w:eastAsia="仿宋" w:cs="仿宋"/>
                <w:b/>
                <w:bCs/>
                <w:sz w:val="24"/>
                <w:szCs w:val="24"/>
                <w:highlight w:val="none"/>
                <w:lang w:eastAsia="zh-CN"/>
              </w:rPr>
              <w:t>基座采用 X 型结构及防震设计，具有与担架床体等长的主梁设计；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 xml:space="preserve">4. </w:t>
            </w:r>
            <w:r>
              <w:rPr>
                <w:rFonts w:hint="default" w:ascii="仿宋" w:hAnsi="仿宋" w:cs="仿宋"/>
                <w:b/>
                <w:bCs/>
                <w:color w:val="000000"/>
                <w:kern w:val="0"/>
                <w:sz w:val="24"/>
                <w:szCs w:val="24"/>
                <w:highlight w:val="none"/>
                <w:lang w:val="en-US"/>
              </w:rPr>
              <w:t>#</w:t>
            </w:r>
            <w:r>
              <w:rPr>
                <w:rFonts w:hint="eastAsia" w:ascii="仿宋" w:hAnsi="仿宋" w:eastAsia="仿宋" w:cs="仿宋"/>
                <w:b/>
                <w:bCs/>
                <w:sz w:val="24"/>
                <w:szCs w:val="24"/>
                <w:highlight w:val="none"/>
                <w:lang w:eastAsia="zh-CN"/>
              </w:rPr>
              <w:t>担架高度≥7 种可调，升降幅度 33-97cm 之间，装载位置提升高度≥5 种，未装载病人情况下，可单人脚端及侧向调整担架车高度；</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5.具有可向下折叠的床边护栏；</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6.担架垫采用密封高密度聚乙烯涂层尼龙材质，可牢固联接担架托板；</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7.三组锁扣设计尼龙固定带，配有防锈及抗腐蚀的快速固定锁扣，可调节长度，可达到完整约束患者胸部、肩部、腕部和脚部交叉锁扣的目的；</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8.气体助力头端靠背，头端背板调节角度范围 0°—73°；</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9.担架脚端具有牵拉把手，配有脚撑，脚端背板可抬升 14°；</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10. 装载轮端部分可分档位向下、向上折叠，最大调节角度≥90 度，满足狭小空间操作的灵活度；</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11.</w:t>
            </w:r>
            <w:r>
              <w:rPr>
                <w:rFonts w:hint="default" w:ascii="仿宋" w:hAnsi="仿宋" w:cs="仿宋"/>
                <w:b/>
                <w:bCs/>
                <w:color w:val="000000"/>
                <w:kern w:val="0"/>
                <w:sz w:val="24"/>
                <w:szCs w:val="24"/>
                <w:highlight w:val="none"/>
                <w:lang w:val="en-US"/>
              </w:rPr>
              <w:t>#</w:t>
            </w:r>
            <w:r>
              <w:rPr>
                <w:rFonts w:hint="eastAsia" w:ascii="仿宋" w:hAnsi="仿宋" w:eastAsia="仿宋" w:cs="仿宋"/>
                <w:b/>
                <w:bCs/>
                <w:sz w:val="24"/>
                <w:szCs w:val="24"/>
                <w:highlight w:val="none"/>
                <w:lang w:eastAsia="zh-CN"/>
              </w:rPr>
              <w:t>担架轮采用 U 型纹设计，四个直径≥15cm 的万向轮；</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12.</w:t>
            </w:r>
            <w:r>
              <w:rPr>
                <w:rFonts w:hint="default" w:ascii="仿宋" w:hAnsi="仿宋" w:cs="仿宋"/>
                <w:b/>
                <w:bCs/>
                <w:color w:val="000000"/>
                <w:kern w:val="0"/>
                <w:sz w:val="24"/>
                <w:szCs w:val="24"/>
                <w:highlight w:val="none"/>
                <w:lang w:val="en-US"/>
              </w:rPr>
              <w:t>#</w:t>
            </w:r>
            <w:r>
              <w:rPr>
                <w:rFonts w:hint="eastAsia" w:ascii="仿宋" w:hAnsi="仿宋" w:eastAsia="仿宋" w:cs="仿宋"/>
                <w:b/>
                <w:bCs/>
                <w:sz w:val="24"/>
                <w:szCs w:val="24"/>
                <w:highlight w:val="none"/>
                <w:lang w:eastAsia="zh-CN"/>
              </w:rPr>
              <w:t>地固定装置：不影响救护车内空间高度，便于本项目及我中心现有的救护车之间担架互换，需提供安装图纸方案；</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13. 担架床最大长度≥200cm；担架变位最小长度≤160cm；床宽≤60cm；</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eastAsia="zh-CN"/>
              </w:rPr>
              <w:t>14.</w:t>
            </w:r>
            <w:r>
              <w:rPr>
                <w:rFonts w:hint="default" w:ascii="仿宋" w:hAnsi="仿宋" w:cs="仿宋"/>
                <w:b/>
                <w:bCs/>
                <w:color w:val="000000"/>
                <w:kern w:val="0"/>
                <w:sz w:val="24"/>
                <w:szCs w:val="24"/>
                <w:highlight w:val="none"/>
                <w:lang w:val="en-US"/>
              </w:rPr>
              <w:t>#</w:t>
            </w:r>
            <w:r>
              <w:rPr>
                <w:rFonts w:hint="eastAsia" w:ascii="仿宋" w:hAnsi="仿宋" w:eastAsia="仿宋" w:cs="仿宋"/>
                <w:b/>
                <w:bCs/>
                <w:sz w:val="24"/>
                <w:szCs w:val="24"/>
                <w:highlight w:val="none"/>
                <w:lang w:eastAsia="zh-CN"/>
              </w:rPr>
              <w:t>担架承重≥295 公斤</w:t>
            </w:r>
            <w:r>
              <w:rPr>
                <w:rFonts w:hint="eastAsia" w:ascii="仿宋" w:hAnsi="仿宋" w:cs="仿宋"/>
                <w:b/>
                <w:bCs/>
                <w:sz w:val="24"/>
                <w:szCs w:val="24"/>
                <w:highlight w:val="none"/>
                <w:lang w:val="en-US" w:eastAsia="zh-CN"/>
              </w:rPr>
              <w:t>；</w:t>
            </w:r>
            <w:r>
              <w:rPr>
                <w:rFonts w:hint="eastAsia" w:ascii="仿宋" w:hAnsi="仿宋" w:eastAsia="仿宋" w:cs="仿宋"/>
                <w:b/>
                <w:bCs/>
                <w:sz w:val="24"/>
                <w:szCs w:val="24"/>
                <w:highlight w:val="none"/>
                <w:lang w:eastAsia="zh-CN"/>
              </w:rPr>
              <w:br w:type="textWrapping"/>
            </w:r>
            <w:r>
              <w:rPr>
                <w:rFonts w:hint="default" w:ascii="仿宋" w:hAnsi="仿宋" w:cs="仿宋"/>
                <w:b/>
                <w:bCs/>
                <w:sz w:val="24"/>
                <w:szCs w:val="24"/>
                <w:highlight w:val="none"/>
                <w:lang w:val="en-US" w:eastAsia="zh-CN"/>
              </w:rPr>
              <w:t>15.</w:t>
            </w:r>
            <w:r>
              <w:rPr>
                <w:rFonts w:hint="default" w:ascii="仿宋" w:hAnsi="仿宋" w:cs="仿宋"/>
                <w:b/>
                <w:bCs/>
                <w:color w:val="000000"/>
                <w:kern w:val="0"/>
                <w:sz w:val="24"/>
                <w:szCs w:val="24"/>
                <w:highlight w:val="none"/>
                <w:lang w:val="en-US"/>
              </w:rPr>
              <w:t>#</w:t>
            </w:r>
            <w:r>
              <w:rPr>
                <w:rFonts w:hint="default" w:ascii="仿宋" w:hAnsi="仿宋" w:cs="仿宋"/>
                <w:b/>
                <w:bCs/>
                <w:sz w:val="24"/>
                <w:szCs w:val="24"/>
                <w:highlight w:val="none"/>
                <w:lang w:val="en-US" w:eastAsia="zh-CN"/>
              </w:rPr>
              <w:t>提供生产厂家或总代理针对本项目的授权书原件。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3.5.2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铲式担架</w:t>
            </w:r>
          </w:p>
        </w:tc>
        <w:tc>
          <w:tcPr>
            <w:tcW w:w="6493"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1.产品尺寸：长1635±10mm，宽435±10mm，高65±5mm；</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2.折叠尺寸：长1150±10mm；宽435±10mm；高65±5mm；</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val="0"/>
                <w:color w:val="000000"/>
                <w:kern w:val="0"/>
                <w:sz w:val="24"/>
                <w:szCs w:val="24"/>
                <w:highlight w:val="none"/>
              </w:rPr>
            </w:pPr>
            <w:r>
              <w:rPr>
                <w:rFonts w:hint="eastAsia" w:ascii="仿宋" w:hAnsi="仿宋" w:eastAsia="仿宋" w:cs="仿宋"/>
                <w:b/>
                <w:bCs w:val="0"/>
                <w:color w:val="000000"/>
                <w:kern w:val="0"/>
                <w:sz w:val="24"/>
                <w:szCs w:val="24"/>
                <w:highlight w:val="none"/>
              </w:rPr>
              <w:t>3.</w:t>
            </w:r>
            <w:r>
              <w:rPr>
                <w:rFonts w:hint="default" w:ascii="仿宋" w:hAnsi="仿宋" w:cs="仿宋"/>
                <w:b/>
                <w:bCs w:val="0"/>
                <w:color w:val="000000"/>
                <w:kern w:val="0"/>
                <w:sz w:val="24"/>
                <w:szCs w:val="24"/>
                <w:highlight w:val="none"/>
                <w:lang w:val="en-US"/>
              </w:rPr>
              <w:t>#</w:t>
            </w:r>
            <w:r>
              <w:rPr>
                <w:rFonts w:hint="eastAsia" w:ascii="仿宋" w:hAnsi="仿宋" w:eastAsia="仿宋" w:cs="仿宋"/>
                <w:b/>
                <w:bCs w:val="0"/>
                <w:color w:val="000000"/>
                <w:kern w:val="0"/>
                <w:sz w:val="24"/>
                <w:szCs w:val="24"/>
                <w:highlight w:val="none"/>
              </w:rPr>
              <w:t>自重≤4.5kg，需要有效降低急救人员工作强度；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4.担架两端具有卡扣装置，可分离为左右两部分；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val="0"/>
                <w:color w:val="000000"/>
                <w:kern w:val="0"/>
                <w:sz w:val="24"/>
                <w:szCs w:val="24"/>
                <w:highlight w:val="none"/>
              </w:rPr>
            </w:pPr>
            <w:r>
              <w:rPr>
                <w:rFonts w:hint="eastAsia" w:ascii="仿宋" w:hAnsi="仿宋" w:eastAsia="仿宋" w:cs="仿宋"/>
                <w:b/>
                <w:bCs w:val="0"/>
                <w:color w:val="000000"/>
                <w:kern w:val="0"/>
                <w:sz w:val="24"/>
                <w:szCs w:val="24"/>
                <w:highlight w:val="none"/>
              </w:rPr>
              <w:t>5.</w:t>
            </w:r>
            <w:r>
              <w:rPr>
                <w:rFonts w:hint="default" w:ascii="仿宋" w:hAnsi="仿宋" w:cs="仿宋"/>
                <w:b/>
                <w:bCs w:val="0"/>
                <w:color w:val="000000"/>
                <w:kern w:val="0"/>
                <w:sz w:val="24"/>
                <w:szCs w:val="24"/>
                <w:highlight w:val="none"/>
                <w:lang w:val="en-US"/>
              </w:rPr>
              <w:t>#</w:t>
            </w:r>
            <w:r>
              <w:rPr>
                <w:rFonts w:hint="eastAsia" w:ascii="仿宋" w:hAnsi="仿宋" w:eastAsia="仿宋" w:cs="仿宋"/>
                <w:b/>
                <w:bCs w:val="0"/>
                <w:color w:val="000000"/>
                <w:kern w:val="0"/>
                <w:sz w:val="24"/>
                <w:szCs w:val="24"/>
                <w:highlight w:val="none"/>
              </w:rPr>
              <w:t>最大可载重≥230kg；</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6.担架材质：航空级碳纤维材料，耐腐蚀、耐重压，强度好、重量轻；</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val="0"/>
                <w:color w:val="000000"/>
                <w:kern w:val="0"/>
                <w:sz w:val="24"/>
                <w:szCs w:val="24"/>
                <w:highlight w:val="none"/>
              </w:rPr>
            </w:pPr>
            <w:r>
              <w:rPr>
                <w:rFonts w:hint="eastAsia" w:ascii="仿宋" w:hAnsi="仿宋" w:eastAsia="仿宋" w:cs="仿宋"/>
                <w:b/>
                <w:bCs w:val="0"/>
                <w:color w:val="000000"/>
                <w:kern w:val="0"/>
                <w:sz w:val="24"/>
                <w:szCs w:val="24"/>
                <w:highlight w:val="none"/>
              </w:rPr>
              <w:t>7.</w:t>
            </w:r>
            <w:r>
              <w:rPr>
                <w:rFonts w:hint="default" w:ascii="仿宋" w:hAnsi="仿宋" w:cs="仿宋"/>
                <w:b/>
                <w:bCs w:val="0"/>
                <w:color w:val="000000"/>
                <w:kern w:val="0"/>
                <w:sz w:val="24"/>
                <w:szCs w:val="24"/>
                <w:highlight w:val="none"/>
                <w:lang w:val="en-US"/>
              </w:rPr>
              <w:t>#</w:t>
            </w:r>
            <w:r>
              <w:rPr>
                <w:rFonts w:hint="eastAsia" w:ascii="仿宋" w:hAnsi="仿宋" w:eastAsia="仿宋" w:cs="仿宋"/>
                <w:b/>
                <w:bCs w:val="0"/>
                <w:color w:val="000000"/>
                <w:kern w:val="0"/>
                <w:sz w:val="24"/>
                <w:szCs w:val="24"/>
                <w:highlight w:val="none"/>
              </w:rPr>
              <w:t>可用于X光、CT、核磁共振医学影像下检查使用。</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8.在不移动病人的情况下，可将病人铲入或从病人体下抽出担架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rPr>
              <w:t>9.担架一端（脚部）采用窄框架结构</w:t>
            </w:r>
            <w:r>
              <w:rPr>
                <w:rFonts w:hint="eastAsia" w:ascii="仿宋" w:hAnsi="仿宋" w:cs="仿宋"/>
                <w:bCs/>
                <w:color w:val="000000"/>
                <w:kern w:val="0"/>
                <w:sz w:val="24"/>
                <w:szCs w:val="24"/>
                <w:highlight w:val="none"/>
                <w:lang w:val="en-US" w:eastAsia="zh-CN"/>
              </w:rPr>
              <w:t>；</w:t>
            </w:r>
            <w:r>
              <w:rPr>
                <w:rFonts w:hint="eastAsia" w:ascii="仿宋" w:hAnsi="仿宋" w:cs="仿宋"/>
                <w:bCs/>
                <w:color w:val="000000"/>
                <w:kern w:val="0"/>
                <w:sz w:val="24"/>
                <w:szCs w:val="24"/>
                <w:highlight w:val="none"/>
                <w:lang w:val="en-US" w:eastAsia="zh-CN"/>
              </w:rPr>
              <w:br w:type="textWrapping"/>
            </w:r>
            <w:r>
              <w:rPr>
                <w:rFonts w:hint="default" w:ascii="仿宋" w:hAnsi="仿宋" w:cs="仿宋"/>
                <w:bCs/>
                <w:color w:val="000000"/>
                <w:kern w:val="0"/>
                <w:sz w:val="24"/>
                <w:szCs w:val="24"/>
                <w:highlight w:val="none"/>
                <w:lang w:val="en-US" w:eastAsia="zh-CN"/>
              </w:rPr>
              <w:t>10.</w:t>
            </w:r>
            <w:r>
              <w:rPr>
                <w:rFonts w:hint="default" w:ascii="仿宋" w:hAnsi="仿宋" w:cs="仿宋"/>
                <w:b/>
                <w:bCs/>
                <w:color w:val="000000"/>
                <w:kern w:val="0"/>
                <w:sz w:val="24"/>
                <w:szCs w:val="24"/>
                <w:highlight w:val="none"/>
                <w:lang w:val="en-US"/>
              </w:rPr>
              <w:t>#</w:t>
            </w:r>
            <w:r>
              <w:rPr>
                <w:rFonts w:hint="default" w:ascii="仿宋" w:hAnsi="仿宋" w:cs="仿宋"/>
                <w:b/>
                <w:bCs/>
                <w:sz w:val="24"/>
                <w:szCs w:val="24"/>
                <w:highlight w:val="none"/>
                <w:lang w:val="en-US" w:eastAsia="zh-CN"/>
              </w:rPr>
              <w:t>提供生产厂家或总代理针对本项目的授权书原件。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3.5.3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履带式楼梯椅</w:t>
            </w:r>
          </w:p>
        </w:tc>
        <w:tc>
          <w:tcPr>
            <w:tcW w:w="6493"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适用于无电梯的多层建筑、厂房的拯救，转运及逃生时使用的转运病员的履带式楼梯担架椅；</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采用履带式结构下楼时，只需要一个操作人员就可以将病员从楼梯上推下来，避免操作人员在搬运病员时的腰肌损伤；</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采用管状结构，材料主要为高强度合金；</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履带采用高分子热塑性橡胶，无需硫化、耐磨、耐水、耐油、耐老化，耐化学品（酸、碱）耐低温、无异味、使用寿命长，以保证产品的经久耐用；带涨紧调节机构；</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产品可以折叠放入救护车，以满足降低储存空间的要求；</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配备4个车轮，提高移动病人的安全性。2个在前方带转向的车轮，直径≥80mm；2个后方车轮，直径≥125mm配备刹车控制；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靠背和座垫可便拆卸清洗、易消毒；</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肩腰部配备2根交叉式安全固定带，脚部位置配备一根安全固定带；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靠背可根据人体高度进行升降调节，靠背处配有折叠扶手、脚部位置设有伸缩拉杆扶手，方便抬运；</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10</w:t>
            </w:r>
            <w:r>
              <w:rPr>
                <w:rFonts w:hint="eastAsia" w:ascii="仿宋" w:hAnsi="仿宋" w:eastAsia="仿宋" w:cs="仿宋"/>
                <w:b/>
                <w:bCs/>
                <w:sz w:val="24"/>
                <w:szCs w:val="24"/>
                <w:highlight w:val="none"/>
                <w:lang w:eastAsia="zh-CN"/>
              </w:rPr>
              <w:t>.</w:t>
            </w:r>
            <w:r>
              <w:rPr>
                <w:rFonts w:hint="default" w:ascii="仿宋" w:hAnsi="仿宋" w:cs="仿宋"/>
                <w:b/>
                <w:bCs/>
                <w:color w:val="000000"/>
                <w:kern w:val="0"/>
                <w:sz w:val="24"/>
                <w:szCs w:val="24"/>
                <w:highlight w:val="none"/>
                <w:lang w:val="en-US"/>
              </w:rPr>
              <w:t>#</w:t>
            </w:r>
            <w:r>
              <w:rPr>
                <w:rFonts w:hint="eastAsia" w:ascii="仿宋" w:hAnsi="仿宋" w:eastAsia="仿宋" w:cs="仿宋"/>
                <w:b/>
                <w:bCs/>
                <w:sz w:val="24"/>
                <w:szCs w:val="24"/>
                <w:highlight w:val="none"/>
              </w:rPr>
              <w:t>重量：≤13Kg；</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w:t>
            </w:r>
            <w:r>
              <w:rPr>
                <w:rFonts w:hint="eastAsia" w:ascii="仿宋" w:hAnsi="仿宋" w:eastAsia="仿宋" w:cs="仿宋"/>
                <w:b/>
                <w:bCs/>
                <w:sz w:val="24"/>
                <w:szCs w:val="24"/>
                <w:highlight w:val="none"/>
                <w:lang w:eastAsia="zh-CN"/>
              </w:rPr>
              <w:t>.</w:t>
            </w:r>
            <w:r>
              <w:rPr>
                <w:rFonts w:hint="default" w:ascii="仿宋" w:hAnsi="仿宋" w:cs="仿宋"/>
                <w:b/>
                <w:bCs/>
                <w:color w:val="000000"/>
                <w:kern w:val="0"/>
                <w:sz w:val="24"/>
                <w:szCs w:val="24"/>
                <w:highlight w:val="none"/>
                <w:lang w:val="en-US"/>
              </w:rPr>
              <w:t>#</w:t>
            </w:r>
            <w:r>
              <w:rPr>
                <w:rFonts w:hint="eastAsia" w:ascii="仿宋" w:hAnsi="仿宋" w:eastAsia="仿宋" w:cs="仿宋"/>
                <w:b/>
                <w:bCs/>
                <w:sz w:val="24"/>
                <w:szCs w:val="24"/>
                <w:highlight w:val="none"/>
              </w:rPr>
              <w:t>承重：≥220Kg；</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展开尺寸：宽度：≥500mm，高度≥1300mm；</w:t>
            </w:r>
          </w:p>
          <w:p>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折叠后尺寸：（高）≤1000、（厚）≤280mm；</w:t>
            </w:r>
            <w:r>
              <w:rPr>
                <w:rFonts w:hint="eastAsia" w:ascii="仿宋" w:hAnsi="仿宋" w:eastAsia="仿宋" w:cs="仿宋"/>
                <w:sz w:val="24"/>
                <w:szCs w:val="24"/>
                <w:highlight w:val="none"/>
              </w:rPr>
              <w:br w:type="textWrapping"/>
            </w:r>
            <w:r>
              <w:rPr>
                <w:rFonts w:hint="default" w:ascii="仿宋" w:hAnsi="仿宋" w:cs="仿宋"/>
                <w:sz w:val="24"/>
                <w:szCs w:val="24"/>
                <w:highlight w:val="none"/>
                <w:lang w:val="en-US"/>
              </w:rPr>
              <w:t>14.</w:t>
            </w:r>
            <w:r>
              <w:rPr>
                <w:rFonts w:hint="default" w:ascii="仿宋" w:hAnsi="仿宋" w:cs="仿宋"/>
                <w:b/>
                <w:bCs/>
                <w:color w:val="000000"/>
                <w:kern w:val="0"/>
                <w:sz w:val="24"/>
                <w:szCs w:val="24"/>
                <w:highlight w:val="none"/>
                <w:lang w:val="en-US"/>
              </w:rPr>
              <w:t>#</w:t>
            </w:r>
            <w:r>
              <w:rPr>
                <w:rFonts w:hint="default" w:ascii="仿宋" w:hAnsi="仿宋" w:cs="仿宋"/>
                <w:b/>
                <w:bCs/>
                <w:sz w:val="24"/>
                <w:szCs w:val="24"/>
                <w:highlight w:val="none"/>
                <w:lang w:val="en-US" w:eastAsia="zh-CN"/>
              </w:rPr>
              <w:t>提供生产厂家或总代理针对本项目的授权书原件。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3.5.4</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固定装置</w:t>
            </w:r>
          </w:p>
        </w:tc>
        <w:tc>
          <w:tcPr>
            <w:tcW w:w="6493"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脊椎固定板、头部固定器、颈托各1套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3.6</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警示系统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3.6.1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LED警灯</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前顶安装嵌入式蓝色LED爆闪警灯总成1套：LED蓝色爆闪灯，由左、中、右三盏嵌入式灯具组成。</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后顶尾翼安装嵌入式蓝色LED爆闪警灯总成1套：LED蓝色爆闪灯，左、右两盏灯具组成。</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车身左右两侧顶部安装爆闪照明一体灯4只：集成蓝色LED爆闪、白色场地照明两种功能。</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车头中网安装长方型蓝色爆闪灯</w:t>
            </w:r>
            <w:r>
              <w:rPr>
                <w:rFonts w:hint="eastAsia"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rPr>
              <w:t>只。</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灯具PC注塑成型工艺，安装牢固，密封严密，保证不漏、不渗雨水。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3.6.2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ind w:left="-28" w:leftChars="-10" w:right="-36" w:rightChars="-13"/>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控制器</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警报控制器主机安装于隐蔽位置，检修方便；</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控制器手柄安装于驾驶员的方便操作的位置，且便于观察，易取易放。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3.6.3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警报器</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双电喇叭，</w:t>
            </w:r>
            <w:r>
              <w:rPr>
                <w:rFonts w:hint="eastAsia" w:ascii="仿宋" w:hAnsi="仿宋" w:eastAsia="仿宋" w:cs="仿宋"/>
                <w:color w:val="000000"/>
                <w:kern w:val="0"/>
                <w:sz w:val="24"/>
                <w:szCs w:val="24"/>
                <w:highlight w:val="none"/>
                <w:lang w:eastAsia="zh-CN"/>
              </w:rPr>
              <w:t>2组2</w:t>
            </w:r>
            <w:r>
              <w:rPr>
                <w:rFonts w:hint="eastAsia" w:ascii="仿宋" w:hAnsi="仿宋" w:eastAsia="仿宋" w:cs="仿宋"/>
                <w:color w:val="000000"/>
                <w:kern w:val="0"/>
                <w:sz w:val="24"/>
                <w:szCs w:val="24"/>
                <w:highlight w:val="none"/>
              </w:rPr>
              <w:t>00W警报器。符合GB/T 13954和GB 8108规定。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3.7</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供氧系统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color w:val="000000"/>
                <w:kern w:val="0"/>
                <w:sz w:val="24"/>
                <w:szCs w:val="24"/>
                <w:highlight w:val="none"/>
              </w:rPr>
              <w:t>3.7.1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基本要求</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隐藏式密闭管道氧气，带快速接口，即插即用，也可供其它用气设备使用。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3.7.2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color w:val="000000"/>
                <w:kern w:val="0"/>
                <w:sz w:val="24"/>
                <w:szCs w:val="24"/>
                <w:highlight w:val="none"/>
              </w:rPr>
              <w:t>供氧控制面板</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供氧控制面板可通过液晶屏显示氧气压力和氧气容量，实现高低压转换，无需调节氧气压力。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3.7.3</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管道</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隐藏式管氧气，需安装、检测便捷，预留呼吸机用气接口。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3.7.4</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氧气瓶</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两只10升公制氧气瓶可进行切换使用，带固定装置。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3.7.5</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湿化瓶</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双路即插即用湿化瓶。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Cs/>
                <w:color w:val="000000"/>
                <w:kern w:val="0"/>
                <w:sz w:val="24"/>
                <w:szCs w:val="24"/>
                <w:highlight w:val="none"/>
              </w:rPr>
              <w:t>3.8</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Cs/>
                <w:color w:val="000000"/>
                <w:kern w:val="0"/>
                <w:sz w:val="24"/>
                <w:szCs w:val="24"/>
                <w:highlight w:val="none"/>
              </w:rPr>
              <w:t>换气系统</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采用顶置式换气扇，可吸气和排气。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3.9</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杀菌系统</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紫外线消毒灯，可定时控制。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3.10</w:t>
            </w:r>
          </w:p>
        </w:tc>
        <w:tc>
          <w:tcPr>
            <w:tcW w:w="8452" w:type="dxa"/>
            <w:gridSpan w:val="2"/>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bCs/>
                <w:color w:val="000000"/>
                <w:kern w:val="0"/>
                <w:sz w:val="24"/>
                <w:szCs w:val="24"/>
                <w:highlight w:val="none"/>
              </w:rPr>
              <w:t>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3.10.1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工作灯</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采用LED照明灯，光线明亮、柔和，照明灯可分别控制。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3.10.2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后射灯</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左侧尾部应设有朝外照的LED后射灯，方便尾门人员上下灯光照明。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3.11</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对讲系统</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前后对讲，单向控制。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3.12</w:t>
            </w:r>
          </w:p>
        </w:tc>
        <w:tc>
          <w:tcPr>
            <w:tcW w:w="1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输液固定系统</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在担架车上方安装2组输液挂架，输液挂钩能同时满足3袋以上的输液需要。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3.13</w:t>
            </w:r>
          </w:p>
        </w:tc>
        <w:tc>
          <w:tcPr>
            <w:tcW w:w="1959"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其他</w:t>
            </w:r>
          </w:p>
        </w:tc>
        <w:tc>
          <w:tcPr>
            <w:tcW w:w="6493"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前后舱各配置灭火器1个；医疗舱配垃圾桶一只。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lang w:eastAsia="zh-CN"/>
              </w:rPr>
            </w:pPr>
            <w:r>
              <w:rPr>
                <w:rFonts w:hint="eastAsia" w:ascii="仿宋" w:hAnsi="仿宋" w:eastAsia="仿宋" w:cs="仿宋"/>
                <w:bCs/>
                <w:color w:val="000000"/>
                <w:kern w:val="0"/>
                <w:sz w:val="24"/>
                <w:szCs w:val="24"/>
                <w:highlight w:val="none"/>
                <w:lang w:eastAsia="zh-CN"/>
              </w:rPr>
              <w:t>3.14</w:t>
            </w:r>
          </w:p>
        </w:tc>
        <w:tc>
          <w:tcPr>
            <w:tcW w:w="1959"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监控系统</w:t>
            </w:r>
          </w:p>
        </w:tc>
        <w:tc>
          <w:tcPr>
            <w:tcW w:w="6493" w:type="dxa"/>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 w:hAnsi="仿宋" w:eastAsia="仿宋" w:cs="仿宋"/>
                <w:bCs/>
                <w:color w:val="000000"/>
                <w:kern w:val="0"/>
                <w:sz w:val="24"/>
                <w:szCs w:val="24"/>
                <w:highlight w:val="none"/>
                <w:lang w:eastAsia="zh-CN"/>
              </w:rPr>
            </w:pPr>
            <w:r>
              <w:rPr>
                <w:rFonts w:hint="eastAsia" w:ascii="仿宋" w:hAnsi="仿宋" w:eastAsia="仿宋" w:cs="仿宋"/>
                <w:bCs/>
                <w:color w:val="000000"/>
                <w:kern w:val="0"/>
                <w:sz w:val="24"/>
                <w:szCs w:val="24"/>
                <w:highlight w:val="none"/>
                <w:lang w:eastAsia="zh-CN"/>
              </w:rPr>
              <w:t>2</w:t>
            </w:r>
            <w:r>
              <w:rPr>
                <w:rFonts w:hint="eastAsia" w:ascii="仿宋" w:hAnsi="仿宋" w:eastAsia="仿宋" w:cs="仿宋"/>
                <w:color w:val="000000"/>
                <w:kern w:val="0"/>
                <w:sz w:val="24"/>
                <w:szCs w:val="24"/>
                <w:highlight w:val="none"/>
                <w:lang w:val="en-US" w:eastAsia="zh-CN" w:bidi="ar-SA"/>
              </w:rPr>
              <w:t>个医疗舱监控摄像头，500G存储硬盘。安装行车记录仪、倒车影像。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18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3.1</w:t>
            </w:r>
            <w:r>
              <w:rPr>
                <w:rFonts w:hint="eastAsia" w:ascii="仿宋" w:hAnsi="仿宋" w:eastAsia="仿宋" w:cs="仿宋"/>
                <w:bCs/>
                <w:color w:val="000000"/>
                <w:kern w:val="0"/>
                <w:sz w:val="24"/>
                <w:szCs w:val="24"/>
                <w:highlight w:val="none"/>
                <w:lang w:eastAsia="zh-CN"/>
              </w:rPr>
              <w:t>5</w:t>
            </w:r>
          </w:p>
        </w:tc>
        <w:tc>
          <w:tcPr>
            <w:tcW w:w="1959" w:type="dxa"/>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低温等离子消毒机</w:t>
            </w:r>
          </w:p>
        </w:tc>
        <w:tc>
          <w:tcPr>
            <w:tcW w:w="649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 尺寸：≤240×150×68mm。</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2</w:t>
            </w:r>
            <w:r>
              <w:rPr>
                <w:rFonts w:hint="default" w:ascii="仿宋" w:hAnsi="仿宋" w:cs="仿宋"/>
                <w:b/>
                <w:bCs/>
                <w:color w:val="000000"/>
                <w:kern w:val="0"/>
                <w:sz w:val="24"/>
                <w:szCs w:val="24"/>
                <w:highlight w:val="none"/>
                <w:lang w:val="en-US" w:eastAsia="zh-CN" w:bidi="ar-SA"/>
              </w:rPr>
              <w:t>.</w:t>
            </w:r>
            <w:r>
              <w:rPr>
                <w:rFonts w:hint="default" w:ascii="仿宋" w:hAnsi="仿宋" w:cs="仿宋"/>
                <w:b/>
                <w:bCs/>
                <w:color w:val="000000"/>
                <w:kern w:val="0"/>
                <w:sz w:val="24"/>
                <w:szCs w:val="24"/>
                <w:highlight w:val="none"/>
                <w:lang w:val="en-US"/>
              </w:rPr>
              <w:t>#</w:t>
            </w:r>
            <w:r>
              <w:rPr>
                <w:rFonts w:hint="eastAsia" w:ascii="仿宋" w:hAnsi="仿宋" w:eastAsia="仿宋" w:cs="仿宋"/>
                <w:b/>
                <w:bCs/>
                <w:color w:val="000000"/>
                <w:kern w:val="0"/>
                <w:sz w:val="24"/>
                <w:szCs w:val="24"/>
                <w:highlight w:val="none"/>
                <w:lang w:val="en-US" w:eastAsia="zh-CN" w:bidi="ar-SA"/>
              </w:rPr>
              <w:t>灭菌空间：≥20m³。（出具所有检测报告上全部使用的实验舱为20m³）</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电源：12V。</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风量：≥110m³/h。</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功率：≤15W。</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噪音：≤56db(A)</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7</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工作环境条件：温度5C40,湿度≤90%，大气压力：常压</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8</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等离子体模块电子密度值：5.12×1015m-3（必须出具检测报告）</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9</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空气消毒效果模拟现场试验：20 m³实验舱白色葡萄球菌≥99.99%。（必须出具CMA认证的检测报告）</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10</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空气消毒效果现场试验：20 m³实验舱自然菌消亡率≥91.12%。（必须出具CMA认证的检测报告）</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11</w:t>
            </w:r>
            <w:r>
              <w:rPr>
                <w:rFonts w:hint="default" w:ascii="仿宋" w:hAnsi="仿宋" w:cs="仿宋"/>
                <w:b/>
                <w:bCs/>
                <w:color w:val="000000"/>
                <w:kern w:val="0"/>
                <w:sz w:val="24"/>
                <w:szCs w:val="24"/>
                <w:highlight w:val="none"/>
                <w:lang w:val="en-US" w:eastAsia="zh-CN" w:bidi="ar-SA"/>
              </w:rPr>
              <w:t>.</w:t>
            </w:r>
            <w:r>
              <w:rPr>
                <w:rFonts w:hint="default" w:ascii="仿宋" w:hAnsi="仿宋" w:cs="仿宋"/>
                <w:b/>
                <w:bCs/>
                <w:color w:val="000000"/>
                <w:kern w:val="0"/>
                <w:sz w:val="24"/>
                <w:szCs w:val="24"/>
                <w:highlight w:val="none"/>
                <w:lang w:val="en-US"/>
              </w:rPr>
              <w:t>#</w:t>
            </w:r>
            <w:r>
              <w:rPr>
                <w:rFonts w:hint="eastAsia" w:ascii="仿宋" w:hAnsi="仿宋" w:eastAsia="仿宋" w:cs="仿宋"/>
                <w:b/>
                <w:bCs/>
                <w:color w:val="000000"/>
                <w:kern w:val="0"/>
                <w:sz w:val="24"/>
                <w:szCs w:val="24"/>
                <w:highlight w:val="none"/>
                <w:lang w:val="en-US" w:eastAsia="zh-CN" w:bidi="ar-SA"/>
              </w:rPr>
              <w:t>臭氧浓度泄漏测定结果：20 m³实验舱臭氧浓度泄漏0.001mg/ m³。（必须出具CMA认证的检测报告）</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12</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核心等离子体模块使用寿命50000小时。</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13</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灭菌技术：低温等离子体杀菌技术。</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14</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本品为非过滤式净化技术，无耗材。</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15</w:t>
            </w:r>
            <w:r>
              <w:rPr>
                <w:rFonts w:hint="default" w:ascii="仿宋" w:hAnsi="仿宋" w:cs="仿宋"/>
                <w:color w:val="000000"/>
                <w:kern w:val="0"/>
                <w:sz w:val="24"/>
                <w:szCs w:val="24"/>
                <w:highlight w:val="none"/>
                <w:lang w:val="en-US" w:eastAsia="zh-CN" w:bidi="ar-SA"/>
              </w:rPr>
              <w:t>.</w:t>
            </w:r>
            <w:r>
              <w:rPr>
                <w:rFonts w:hint="default" w:ascii="仿宋" w:hAnsi="仿宋" w:cs="仿宋"/>
                <w:b/>
                <w:bCs/>
                <w:color w:val="000000"/>
                <w:kern w:val="0"/>
                <w:sz w:val="24"/>
                <w:szCs w:val="24"/>
                <w:highlight w:val="none"/>
                <w:lang w:val="en-US"/>
              </w:rPr>
              <w:t>#</w:t>
            </w:r>
            <w:r>
              <w:rPr>
                <w:rFonts w:hint="eastAsia" w:ascii="仿宋" w:hAnsi="仿宋" w:eastAsia="仿宋" w:cs="仿宋"/>
                <w:b/>
                <w:bCs/>
                <w:color w:val="000000"/>
                <w:kern w:val="0"/>
                <w:sz w:val="24"/>
                <w:szCs w:val="24"/>
                <w:highlight w:val="none"/>
                <w:lang w:val="en-US" w:eastAsia="zh-CN" w:bidi="ar-SA"/>
              </w:rPr>
              <w:t>设备使用方式：1、语音控制电源开关；</w:t>
            </w:r>
            <w:r>
              <w:rPr>
                <w:rFonts w:hint="eastAsia" w:ascii="仿宋" w:hAnsi="仿宋" w:eastAsia="仿宋" w:cs="仿宋"/>
                <w:color w:val="000000"/>
                <w:kern w:val="0"/>
                <w:sz w:val="24"/>
                <w:szCs w:val="24"/>
                <w:highlight w:val="none"/>
                <w:lang w:val="en-US" w:eastAsia="zh-CN" w:bidi="ar-SA"/>
              </w:rPr>
              <w:t>2、按键式电源开关。</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16</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欧盟CE认证。（出具欧盟CE认证的检测报告）</w:t>
            </w:r>
          </w:p>
          <w:p>
            <w:pPr>
              <w:pStyle w:val="17"/>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firstLine="0"/>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17</w:t>
            </w:r>
            <w:r>
              <w:rPr>
                <w:rFonts w:hint="default" w:ascii="仿宋" w:hAnsi="仿宋" w:cs="仿宋"/>
                <w:b/>
                <w:bCs/>
                <w:color w:val="000000"/>
                <w:kern w:val="0"/>
                <w:sz w:val="24"/>
                <w:szCs w:val="24"/>
                <w:highlight w:val="none"/>
                <w:lang w:val="en-US" w:eastAsia="zh-CN" w:bidi="ar-SA"/>
              </w:rPr>
              <w:t>.</w:t>
            </w:r>
            <w:r>
              <w:rPr>
                <w:rFonts w:hint="default" w:ascii="仿宋" w:hAnsi="仿宋" w:cs="仿宋"/>
                <w:b/>
                <w:bCs/>
                <w:color w:val="000000"/>
                <w:kern w:val="0"/>
                <w:sz w:val="24"/>
                <w:szCs w:val="24"/>
                <w:highlight w:val="none"/>
                <w:lang w:val="en-US"/>
              </w:rPr>
              <w:t>#</w:t>
            </w:r>
            <w:r>
              <w:rPr>
                <w:rFonts w:hint="eastAsia" w:ascii="仿宋" w:hAnsi="仿宋" w:eastAsia="仿宋" w:cs="仿宋"/>
                <w:b/>
                <w:bCs/>
                <w:color w:val="000000"/>
                <w:kern w:val="0"/>
                <w:sz w:val="24"/>
                <w:szCs w:val="24"/>
                <w:highlight w:val="none"/>
                <w:lang w:val="en-US" w:eastAsia="zh-CN" w:bidi="ar-SA"/>
              </w:rPr>
              <w:t>设备所有检测指标参照标准和方法：</w:t>
            </w:r>
          </w:p>
          <w:p>
            <w:pPr>
              <w:pStyle w:val="17"/>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firstLine="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①</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中华人民共和国卫生部《消毒卫生标准2002版》 </w:t>
            </w:r>
          </w:p>
          <w:p>
            <w:pPr>
              <w:pStyle w:val="17"/>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firstLine="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②</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国家质量技术监督局《GB/T18202-2000室内空气臭氧卫生标准的要求》 </w:t>
            </w:r>
          </w:p>
          <w:p>
            <w:pPr>
              <w:pStyle w:val="17"/>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firstLine="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③</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国家卫生健康委员会《WS/T648-2019空气消毒机通用卫生要求》 </w:t>
            </w:r>
          </w:p>
          <w:p>
            <w:pPr>
              <w:pStyle w:val="17"/>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right="0" w:firstLine="0" w:firstLineChars="0"/>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④</w:t>
            </w:r>
            <w:r>
              <w:rPr>
                <w:rFonts w:hint="default" w:ascii="仿宋" w:hAnsi="仿宋" w:cs="仿宋"/>
                <w:color w:val="000000"/>
                <w:kern w:val="0"/>
                <w:sz w:val="24"/>
                <w:szCs w:val="24"/>
                <w:highlight w:val="none"/>
                <w:lang w:val="en-US" w:eastAsia="zh-CN" w:bidi="ar-SA"/>
              </w:rPr>
              <w:t>.</w:t>
            </w:r>
            <w:r>
              <w:rPr>
                <w:rFonts w:hint="eastAsia" w:ascii="仿宋" w:hAnsi="仿宋" w:eastAsia="仿宋" w:cs="仿宋"/>
                <w:color w:val="000000"/>
                <w:kern w:val="0"/>
                <w:sz w:val="24"/>
                <w:szCs w:val="24"/>
                <w:highlight w:val="none"/>
                <w:lang w:val="en-US" w:eastAsia="zh-CN" w:bidi="ar-SA"/>
              </w:rPr>
              <w:t>国家质量监督检验检疫总局/国家标准化管理委员会《GB-15982-2012医院消毒卫生标准》 </w:t>
            </w:r>
          </w:p>
          <w:p>
            <w:pPr>
              <w:pStyle w:val="17"/>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right="0" w:firstLine="0" w:firstLineChars="0"/>
              <w:textAlignment w:val="auto"/>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⑤</w:t>
            </w:r>
            <w:r>
              <w:rPr>
                <w:rFonts w:hint="default" w:ascii="仿宋" w:hAnsi="仿宋" w:cs="仿宋"/>
                <w:b w:val="0"/>
                <w:bCs w:val="0"/>
                <w:color w:val="000000"/>
                <w:kern w:val="0"/>
                <w:sz w:val="24"/>
                <w:szCs w:val="24"/>
                <w:highlight w:val="none"/>
                <w:lang w:val="en-US" w:eastAsia="zh-CN" w:bidi="ar-SA"/>
              </w:rPr>
              <w:t>.</w:t>
            </w:r>
            <w:r>
              <w:rPr>
                <w:rFonts w:hint="eastAsia" w:ascii="仿宋" w:hAnsi="仿宋" w:eastAsia="仿宋" w:cs="仿宋"/>
                <w:b w:val="0"/>
                <w:bCs w:val="0"/>
                <w:color w:val="000000"/>
                <w:kern w:val="0"/>
                <w:sz w:val="24"/>
                <w:szCs w:val="24"/>
                <w:highlight w:val="none"/>
                <w:lang w:val="en-US" w:eastAsia="zh-CN" w:bidi="ar-SA"/>
              </w:rPr>
              <w:t>需提供复旦大学电光源研究所（基于氢原子Balmer系谱线的Stark展宽理论）在真空腔内进行等离子体等效电子密度测试</w:t>
            </w:r>
            <w:r>
              <w:rPr>
                <w:rFonts w:hint="default" w:ascii="仿宋" w:hAnsi="仿宋" w:cs="仿宋"/>
                <w:b w:val="0"/>
                <w:bCs w:val="0"/>
                <w:color w:val="000000"/>
                <w:kern w:val="0"/>
                <w:sz w:val="24"/>
                <w:szCs w:val="24"/>
                <w:highlight w:val="none"/>
                <w:lang w:val="en-US" w:eastAsia="zh-CN" w:bidi="ar-SA"/>
              </w:rPr>
              <w:t>;</w:t>
            </w:r>
            <w:r>
              <w:rPr>
                <w:rFonts w:hint="default" w:ascii="仿宋" w:hAnsi="仿宋" w:cs="仿宋"/>
                <w:b/>
                <w:bCs/>
                <w:color w:val="000000"/>
                <w:kern w:val="0"/>
                <w:sz w:val="24"/>
                <w:szCs w:val="24"/>
                <w:highlight w:val="none"/>
                <w:lang w:val="en-US" w:eastAsia="zh-CN" w:bidi="ar-SA"/>
              </w:rPr>
              <w:br w:type="textWrapping"/>
            </w:r>
            <w:r>
              <w:rPr>
                <w:rFonts w:hint="default" w:ascii="仿宋" w:hAnsi="仿宋" w:cs="仿宋"/>
                <w:b/>
                <w:bCs/>
                <w:color w:val="000000"/>
                <w:kern w:val="0"/>
                <w:sz w:val="24"/>
                <w:szCs w:val="24"/>
                <w:highlight w:val="none"/>
                <w:lang w:val="en-US" w:eastAsia="zh-CN" w:bidi="ar-SA"/>
              </w:rPr>
              <w:t>18.</w:t>
            </w:r>
            <w:r>
              <w:rPr>
                <w:rFonts w:hint="default" w:ascii="仿宋" w:hAnsi="仿宋" w:cs="仿宋"/>
                <w:b/>
                <w:bCs/>
                <w:color w:val="000000"/>
                <w:kern w:val="0"/>
                <w:sz w:val="24"/>
                <w:szCs w:val="24"/>
                <w:highlight w:val="none"/>
                <w:lang w:val="en-US"/>
              </w:rPr>
              <w:t>#</w:t>
            </w:r>
            <w:r>
              <w:rPr>
                <w:rFonts w:hint="eastAsia" w:ascii="仿宋" w:hAnsi="仿宋" w:cs="仿宋"/>
                <w:b/>
                <w:bCs/>
                <w:color w:val="000000"/>
                <w:kern w:val="0"/>
                <w:sz w:val="24"/>
                <w:szCs w:val="24"/>
                <w:highlight w:val="none"/>
                <w:lang w:val="en-US" w:eastAsia="zh-CN"/>
              </w:rPr>
              <w:t>国产产品</w:t>
            </w:r>
            <w:r>
              <w:rPr>
                <w:rFonts w:hint="default" w:ascii="仿宋" w:hAnsi="仿宋" w:cs="仿宋"/>
                <w:b/>
                <w:bCs/>
                <w:sz w:val="24"/>
                <w:szCs w:val="24"/>
                <w:highlight w:val="none"/>
                <w:lang w:val="en-US" w:eastAsia="zh-CN"/>
              </w:rPr>
              <w:t>提供生产厂家或总代理针对本项目的授权书原件</w:t>
            </w:r>
            <w:r>
              <w:rPr>
                <w:rFonts w:hint="eastAsia" w:ascii="仿宋" w:hAnsi="仿宋" w:cs="仿宋"/>
                <w:b/>
                <w:bCs/>
                <w:sz w:val="24"/>
                <w:szCs w:val="24"/>
                <w:highlight w:val="none"/>
                <w:lang w:val="en-US" w:eastAsia="zh-CN"/>
              </w:rPr>
              <w:t>（进口产品需符合前附表</w:t>
            </w:r>
            <w:r>
              <w:rPr>
                <w:rFonts w:hint="default" w:ascii="仿宋" w:hAnsi="仿宋" w:cs="仿宋"/>
                <w:b/>
                <w:bCs/>
                <w:sz w:val="24"/>
                <w:szCs w:val="24"/>
                <w:highlight w:val="none"/>
                <w:lang w:val="en-US" w:eastAsia="zh-CN"/>
              </w:rPr>
              <w:t>28</w:t>
            </w:r>
            <w:r>
              <w:rPr>
                <w:rFonts w:hint="eastAsia" w:ascii="仿宋" w:hAnsi="仿宋" w:cs="仿宋"/>
                <w:b/>
                <w:bCs/>
                <w:sz w:val="24"/>
                <w:szCs w:val="24"/>
                <w:highlight w:val="none"/>
                <w:lang w:val="en-US" w:eastAsia="zh-CN"/>
              </w:rPr>
              <w:t>条要求）</w:t>
            </w:r>
            <w:r>
              <w:rPr>
                <w:rFonts w:hint="default" w:ascii="仿宋" w:hAnsi="仿宋" w:cs="仿宋"/>
                <w:b/>
                <w:bCs/>
                <w:sz w:val="24"/>
                <w:szCs w:val="24"/>
                <w:highlight w:val="no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仿宋" w:hAnsi="仿宋" w:cs="仿宋"/>
          <w:b/>
          <w:bCs/>
          <w:color w:val="0D0D0D"/>
          <w:sz w:val="30"/>
          <w:szCs w:val="30"/>
          <w:highlight w:val="none"/>
          <w:lang w:val="en-US" w:eastAsia="zh-CN"/>
        </w:rPr>
      </w:pP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bookmarkStart w:id="99" w:name="_GoBack"/>
      <w:bookmarkEnd w:id="99"/>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2、技术规格要求</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3"/>
        <w:spacing w:after="0" w:line="480" w:lineRule="exact"/>
        <w:ind w:firstLine="700" w:firstLineChars="250"/>
        <w:jc w:val="left"/>
        <w:rPr>
          <w:rFonts w:hint="eastAsia" w:ascii="仿宋" w:hAnsi="仿宋" w:eastAsia="仿宋" w:cs="仿宋"/>
          <w:sz w:val="28"/>
          <w:szCs w:val="28"/>
          <w:highlight w:val="none"/>
        </w:rPr>
      </w:pPr>
    </w:p>
    <w:p>
      <w:pPr>
        <w:pStyle w:val="5"/>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6"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6"/>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22"/>
        <w:rPr>
          <w:rFonts w:hint="eastAsia" w:ascii="宋体" w:hAnsi="宋体" w:eastAsia="宋体" w:cs="宋体"/>
          <w:highlight w:val="none"/>
        </w:rPr>
      </w:pPr>
    </w:p>
    <w:p>
      <w:pPr>
        <w:pStyle w:val="3"/>
        <w:rPr>
          <w:rFonts w:hint="eastAsia" w:ascii="宋体" w:hAnsi="宋体" w:eastAsia="宋体" w:cs="宋体"/>
          <w:highlight w:val="none"/>
        </w:rPr>
      </w:pPr>
    </w:p>
    <w:p>
      <w:pPr>
        <w:rPr>
          <w:rFonts w:hint="eastAsia" w:ascii="宋体" w:hAnsi="宋体" w:eastAsia="宋体" w:cs="宋体"/>
          <w:highlight w:val="none"/>
        </w:rPr>
      </w:pPr>
    </w:p>
    <w:p>
      <w:pPr>
        <w:pStyle w:val="22"/>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7" w:name="_Toc14605"/>
      <w:bookmarkStart w:id="38" w:name="_Toc6202"/>
      <w:r>
        <w:rPr>
          <w:rFonts w:hint="eastAsia" w:ascii="Arial" w:hAnsi="Arial" w:eastAsia="黑体" w:cs="Times New Roman"/>
          <w:b w:val="0"/>
          <w:kern w:val="2"/>
          <w:sz w:val="36"/>
          <w:szCs w:val="28"/>
          <w:highlight w:val="none"/>
        </w:rPr>
        <w:t>一、合同文件</w:t>
      </w:r>
      <w:bookmarkEnd w:id="37"/>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9" w:name="_Toc22929"/>
      <w:bookmarkStart w:id="40" w:name="_Toc32520"/>
      <w:r>
        <w:rPr>
          <w:rFonts w:hint="eastAsia" w:ascii="Arial" w:hAnsi="Arial" w:eastAsia="黑体" w:cs="Times New Roman"/>
          <w:b w:val="0"/>
          <w:kern w:val="2"/>
          <w:sz w:val="36"/>
          <w:szCs w:val="28"/>
          <w:highlight w:val="none"/>
        </w:rPr>
        <w:t>二、合同的范围和条件</w:t>
      </w:r>
      <w:bookmarkEnd w:id="39"/>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1" w:name="_Toc25344"/>
      <w:bookmarkStart w:id="42" w:name="_Toc23763"/>
      <w:r>
        <w:rPr>
          <w:rFonts w:hint="eastAsia" w:ascii="Arial" w:hAnsi="Arial" w:eastAsia="黑体" w:cs="Times New Roman"/>
          <w:b w:val="0"/>
          <w:kern w:val="2"/>
          <w:sz w:val="36"/>
          <w:szCs w:val="28"/>
          <w:highlight w:val="none"/>
        </w:rPr>
        <w:t>三、货物、数量及规格</w:t>
      </w:r>
      <w:bookmarkEnd w:id="41"/>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3" w:name="_Toc272"/>
      <w:bookmarkStart w:id="44" w:name="_Toc8807"/>
      <w:r>
        <w:rPr>
          <w:rFonts w:hint="eastAsia" w:ascii="Arial" w:hAnsi="Arial" w:eastAsia="黑体" w:cs="Times New Roman"/>
          <w:b w:val="0"/>
          <w:kern w:val="2"/>
          <w:sz w:val="36"/>
          <w:szCs w:val="28"/>
          <w:highlight w:val="none"/>
        </w:rPr>
        <w:t>四、合同金额</w:t>
      </w:r>
      <w:bookmarkEnd w:id="43"/>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5" w:name="_Toc17889"/>
      <w:bookmarkStart w:id="46" w:name="_Toc13328"/>
      <w:r>
        <w:rPr>
          <w:rFonts w:hint="eastAsia" w:ascii="Arial" w:hAnsi="Arial" w:eastAsia="黑体" w:cs="Times New Roman"/>
          <w:b w:val="0"/>
          <w:kern w:val="2"/>
          <w:sz w:val="36"/>
          <w:szCs w:val="28"/>
          <w:highlight w:val="none"/>
        </w:rPr>
        <w:t>五、付款途径</w:t>
      </w:r>
      <w:bookmarkEnd w:id="45"/>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7" w:name="_Toc9881"/>
      <w:bookmarkStart w:id="48" w:name="_Toc25500"/>
      <w:r>
        <w:rPr>
          <w:rFonts w:hint="eastAsia" w:ascii="Arial" w:hAnsi="Arial" w:eastAsia="黑体" w:cs="Times New Roman"/>
          <w:b w:val="0"/>
          <w:kern w:val="2"/>
          <w:sz w:val="36"/>
          <w:szCs w:val="28"/>
          <w:highlight w:val="none"/>
        </w:rPr>
        <w:t>六、付款方式</w:t>
      </w:r>
      <w:bookmarkEnd w:id="47"/>
      <w:bookmarkEnd w:id="48"/>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仿宋" w:hAnsi="仿宋" w:eastAsia="仿宋" w:cs="仿宋"/>
          <w:sz w:val="28"/>
          <w:szCs w:val="28"/>
          <w:highlight w:val="none"/>
        </w:rPr>
      </w:pPr>
      <w:bookmarkStart w:id="49" w:name="_Toc10832"/>
      <w:bookmarkStart w:id="50" w:name="_Toc11362"/>
      <w:r>
        <w:rPr>
          <w:rFonts w:hint="eastAsia" w:ascii="仿宋" w:hAnsi="仿宋" w:eastAsia="仿宋" w:cs="仿宋"/>
          <w:sz w:val="28"/>
          <w:szCs w:val="28"/>
          <w:highlight w:val="none"/>
        </w:rPr>
        <w:t>车辆改装完毕，运至采购方指定地点并验收合格签字后，凭清单及发票办理入库手续，甲方收到前述凭证三个月内支付合同总金额90%,余款作为质量保证金，自付款之日起满12个月后，无质量问题的，付总金额的10%。</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r>
        <w:rPr>
          <w:rFonts w:hint="eastAsia" w:ascii="Arial" w:hAnsi="Arial" w:eastAsia="黑体" w:cs="Times New Roman"/>
          <w:b w:val="0"/>
          <w:kern w:val="2"/>
          <w:sz w:val="36"/>
          <w:szCs w:val="28"/>
          <w:highlight w:val="none"/>
        </w:rPr>
        <w:t>七、交货日期、地点</w:t>
      </w:r>
      <w:bookmarkEnd w:id="49"/>
      <w:bookmarkEnd w:id="5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1" w:name="_Toc2358"/>
      <w:bookmarkStart w:id="52" w:name="_Toc18187"/>
      <w:r>
        <w:rPr>
          <w:rFonts w:hint="eastAsia" w:ascii="Arial" w:hAnsi="Arial" w:eastAsia="黑体" w:cs="Times New Roman"/>
          <w:b w:val="0"/>
          <w:kern w:val="2"/>
          <w:sz w:val="36"/>
          <w:szCs w:val="28"/>
          <w:highlight w:val="none"/>
        </w:rPr>
        <w:t>八、质量标准和验收</w:t>
      </w:r>
      <w:bookmarkEnd w:id="51"/>
      <w:bookmarkEnd w:id="5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23410"/>
      <w:bookmarkStart w:id="54" w:name="_Toc26222"/>
      <w:r>
        <w:rPr>
          <w:rFonts w:hint="eastAsia" w:ascii="Arial" w:hAnsi="Arial" w:eastAsia="黑体" w:cs="Times New Roman"/>
          <w:b w:val="0"/>
          <w:kern w:val="2"/>
          <w:sz w:val="36"/>
          <w:szCs w:val="28"/>
          <w:highlight w:val="none"/>
        </w:rPr>
        <w:t>九、履约保证金</w:t>
      </w:r>
      <w:bookmarkEnd w:id="53"/>
      <w:bookmarkEnd w:id="5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5" w:name="_Toc8157"/>
      <w:bookmarkStart w:id="56" w:name="_Toc16424"/>
      <w:r>
        <w:rPr>
          <w:rFonts w:hint="eastAsia" w:ascii="Arial" w:hAnsi="Arial" w:eastAsia="黑体" w:cs="Times New Roman"/>
          <w:b w:val="0"/>
          <w:kern w:val="2"/>
          <w:sz w:val="36"/>
          <w:szCs w:val="28"/>
          <w:highlight w:val="none"/>
        </w:rPr>
        <w:t>十、违约责任</w:t>
      </w:r>
      <w:bookmarkEnd w:id="55"/>
      <w:bookmarkEnd w:id="5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7" w:name="_Toc18228"/>
      <w:bookmarkStart w:id="58" w:name="_Toc15291"/>
      <w:r>
        <w:rPr>
          <w:rFonts w:hint="eastAsia" w:ascii="Arial" w:hAnsi="Arial" w:eastAsia="黑体" w:cs="Times New Roman"/>
          <w:b w:val="0"/>
          <w:kern w:val="2"/>
          <w:sz w:val="36"/>
          <w:szCs w:val="28"/>
          <w:highlight w:val="none"/>
        </w:rPr>
        <w:t>十一、争议解决</w:t>
      </w:r>
      <w:bookmarkEnd w:id="57"/>
      <w:bookmarkEnd w:id="5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9" w:name="_Toc31796"/>
      <w:bookmarkStart w:id="60" w:name="_Toc8912"/>
      <w:r>
        <w:rPr>
          <w:rFonts w:hint="eastAsia" w:ascii="Arial" w:hAnsi="Arial" w:eastAsia="黑体" w:cs="Times New Roman"/>
          <w:b w:val="0"/>
          <w:kern w:val="2"/>
          <w:sz w:val="36"/>
          <w:szCs w:val="28"/>
          <w:highlight w:val="none"/>
        </w:rPr>
        <w:t>十二、合同生效</w:t>
      </w:r>
      <w:bookmarkEnd w:id="59"/>
      <w:bookmarkEnd w:id="6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1" w:name="_Toc439"/>
      <w:bookmarkStart w:id="62" w:name="_Toc17395"/>
      <w:r>
        <w:rPr>
          <w:rFonts w:hint="eastAsia" w:ascii="Arial" w:hAnsi="Arial" w:eastAsia="黑体" w:cs="Times New Roman"/>
          <w:b w:val="0"/>
          <w:kern w:val="2"/>
          <w:sz w:val="36"/>
          <w:szCs w:val="28"/>
          <w:highlight w:val="none"/>
        </w:rPr>
        <w:t>十三、其他</w:t>
      </w:r>
      <w:bookmarkEnd w:id="61"/>
      <w:bookmarkEnd w:id="6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3" w:name="_Toc2577"/>
      <w:bookmarkStart w:id="64" w:name="_Toc15058"/>
      <w:r>
        <w:rPr>
          <w:rFonts w:hint="eastAsia" w:ascii="Arial" w:hAnsi="Arial" w:eastAsia="黑体" w:cs="Times New Roman"/>
          <w:b w:val="0"/>
          <w:kern w:val="2"/>
          <w:sz w:val="36"/>
          <w:szCs w:val="28"/>
          <w:highlight w:val="none"/>
        </w:rPr>
        <w:t>十四、合同保存</w:t>
      </w:r>
      <w:bookmarkEnd w:id="63"/>
      <w:bookmarkEnd w:id="6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5"/>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5"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5"/>
    </w:p>
    <w:p>
      <w:pPr>
        <w:pStyle w:val="6"/>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6" w:name="_Toc24896"/>
      <w:r>
        <w:rPr>
          <w:rFonts w:hint="eastAsia" w:ascii="Arial" w:hAnsi="Arial" w:eastAsia="黑体" w:cs="Times New Roman"/>
          <w:b w:val="0"/>
          <w:kern w:val="2"/>
          <w:sz w:val="32"/>
          <w:szCs w:val="32"/>
          <w:highlight w:val="none"/>
        </w:rPr>
        <w:t>附件一：报价函</w:t>
      </w:r>
      <w:bookmarkEnd w:id="66"/>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银行帐号：</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6"/>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67" w:name="_Toc15950"/>
      <w:bookmarkStart w:id="68" w:name="_Toc24306"/>
      <w:r>
        <w:rPr>
          <w:rFonts w:hint="eastAsia" w:ascii="Arial" w:hAnsi="Arial" w:eastAsia="黑体" w:cs="Times New Roman"/>
          <w:b w:val="0"/>
          <w:kern w:val="2"/>
          <w:sz w:val="32"/>
          <w:szCs w:val="32"/>
          <w:highlight w:val="none"/>
          <w:lang w:val="en-US" w:eastAsia="zh-CN"/>
        </w:rPr>
        <w:t>附件二：法定代表人身份证明</w:t>
      </w:r>
      <w:bookmarkEnd w:id="67"/>
      <w:bookmarkEnd w:id="68"/>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69" w:name="_Toc7468"/>
      <w:r>
        <w:rPr>
          <w:rFonts w:hint="eastAsia" w:ascii="Arial" w:hAnsi="Arial" w:eastAsia="黑体" w:cs="Times New Roman"/>
          <w:b w:val="0"/>
          <w:kern w:val="2"/>
          <w:sz w:val="32"/>
          <w:szCs w:val="32"/>
          <w:highlight w:val="none"/>
          <w:lang w:val="en-US" w:eastAsia="zh-CN" w:bidi="ar-SA"/>
        </w:rPr>
        <w:t>附件三：授权委托书</w:t>
      </w:r>
      <w:bookmarkEnd w:id="69"/>
    </w:p>
    <w:p>
      <w:pPr>
        <w:pStyle w:val="3"/>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6"/>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0" w:name="_Toc23170"/>
      <w:r>
        <w:rPr>
          <w:rFonts w:hint="eastAsia" w:ascii="Arial" w:hAnsi="Arial" w:eastAsia="黑体" w:cs="Times New Roman"/>
          <w:b w:val="0"/>
          <w:kern w:val="2"/>
          <w:sz w:val="32"/>
          <w:szCs w:val="32"/>
          <w:highlight w:val="none"/>
          <w:lang w:val="en-US" w:eastAsia="zh-CN" w:bidi="ar-SA"/>
        </w:rPr>
        <w:t>附件四：报价一览表</w:t>
      </w:r>
      <w:bookmarkEnd w:id="70"/>
    </w:p>
    <w:p>
      <w:pPr>
        <w:pStyle w:val="3"/>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货物名称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产地/品牌/型号（多种产品的仅提供核心产品品牌型号）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
                <w:color w:val="000000"/>
                <w:sz w:val="28"/>
                <w:szCs w:val="28"/>
                <w:highlight w:val="none"/>
                <w:u w:val="singl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w:t>
            </w:r>
            <w:r>
              <w:rPr>
                <w:rFonts w:hint="eastAsia" w:ascii="仿宋" w:hAnsi="仿宋" w:cs="仿宋"/>
                <w:bCs/>
                <w:color w:val="000000"/>
                <w:sz w:val="28"/>
                <w:szCs w:val="28"/>
                <w:highlight w:val="none"/>
                <w:lang w:val="en-US" w:eastAsia="zh-CN"/>
              </w:rPr>
              <w:t>货</w:t>
            </w:r>
            <w:r>
              <w:rPr>
                <w:rFonts w:hint="eastAsia" w:ascii="仿宋" w:hAnsi="仿宋" w:eastAsia="仿宋" w:cs="仿宋"/>
                <w:bCs/>
                <w:color w:val="000000"/>
                <w:sz w:val="28"/>
                <w:szCs w:val="28"/>
                <w:highlight w:val="none"/>
              </w:rPr>
              <w:t>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6"/>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1" w:name="_Toc8355"/>
      <w:r>
        <w:rPr>
          <w:rFonts w:hint="eastAsia" w:ascii="Arial" w:hAnsi="Arial" w:eastAsia="黑体" w:cs="Times New Roman"/>
          <w:b w:val="0"/>
          <w:kern w:val="2"/>
          <w:sz w:val="32"/>
          <w:szCs w:val="32"/>
          <w:highlight w:val="none"/>
          <w:lang w:val="en-US" w:eastAsia="zh-CN" w:bidi="ar-SA"/>
        </w:rPr>
        <w:t>附件五：报价明细表</w:t>
      </w:r>
      <w:bookmarkEnd w:id="71"/>
    </w:p>
    <w:p>
      <w:pPr>
        <w:tabs>
          <w:tab w:val="left" w:pos="1785"/>
        </w:tabs>
        <w:spacing w:line="480" w:lineRule="exact"/>
        <w:rPr>
          <w:rFonts w:hint="eastAsia" w:ascii="仿宋" w:hAnsi="仿宋" w:eastAsia="仿宋" w:cs="仿宋"/>
          <w:color w:val="000000"/>
          <w:sz w:val="28"/>
          <w:szCs w:val="28"/>
          <w:highlight w:val="none"/>
        </w:rPr>
      </w:pPr>
      <w:bookmarkStart w:id="72" w:name="OLE_LINK3"/>
      <w:bookmarkStart w:id="73" w:name="OLE_LINK4"/>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4"/>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4"/>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2"/>
    <w:bookmarkEnd w:id="73"/>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6"/>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24899"/>
      <w:r>
        <w:rPr>
          <w:rFonts w:hint="eastAsia" w:ascii="Arial" w:hAnsi="Arial" w:eastAsia="黑体" w:cs="Times New Roman"/>
          <w:b w:val="0"/>
          <w:kern w:val="2"/>
          <w:sz w:val="32"/>
          <w:szCs w:val="32"/>
          <w:highlight w:val="none"/>
          <w:lang w:val="en-US" w:eastAsia="zh-CN" w:bidi="ar-SA"/>
        </w:rPr>
        <w:t>附件六：技术规格响应/偏离表</w:t>
      </w:r>
      <w:bookmarkEnd w:id="74"/>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4"/>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4"/>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9"/>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6"/>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5" w:name="_Toc32268"/>
      <w:r>
        <w:rPr>
          <w:rFonts w:hint="eastAsia" w:ascii="Arial" w:hAnsi="Arial" w:eastAsia="黑体" w:cs="Times New Roman"/>
          <w:b w:val="0"/>
          <w:kern w:val="2"/>
          <w:sz w:val="32"/>
          <w:szCs w:val="32"/>
          <w:highlight w:val="none"/>
          <w:lang w:val="en-US" w:eastAsia="zh-CN" w:bidi="ar-SA"/>
        </w:rPr>
        <w:t>附件七:商务条款响应/偏离表</w:t>
      </w:r>
      <w:bookmarkEnd w:id="75"/>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4"/>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4"/>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9"/>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6"/>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6" w:name="_Toc1189"/>
      <w:r>
        <w:rPr>
          <w:rFonts w:hint="eastAsia" w:ascii="Arial" w:hAnsi="Arial" w:eastAsia="黑体" w:cs="Times New Roman"/>
          <w:b w:val="0"/>
          <w:kern w:val="2"/>
          <w:sz w:val="32"/>
          <w:szCs w:val="32"/>
          <w:highlight w:val="none"/>
          <w:lang w:val="en-US" w:eastAsia="zh-CN" w:bidi="ar-SA"/>
        </w:rPr>
        <w:t>附件八：产品性能描述一览表</w:t>
      </w:r>
      <w:bookmarkEnd w:id="76"/>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6"/>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77"/>
    </w:p>
    <w:p>
      <w:pPr>
        <w:pStyle w:val="6"/>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78" w:name="_Toc13571"/>
      <w:r>
        <w:rPr>
          <w:rFonts w:hint="eastAsia" w:ascii="Arial" w:hAnsi="Arial" w:eastAsia="黑体" w:cs="Times New Roman"/>
          <w:b w:val="0"/>
          <w:kern w:val="2"/>
          <w:sz w:val="36"/>
          <w:szCs w:val="28"/>
          <w:highlight w:val="none"/>
          <w:lang w:val="en-US" w:eastAsia="zh-CN" w:bidi="ar-SA"/>
        </w:rPr>
        <w:t>（格式自定）</w:t>
      </w:r>
      <w:bookmarkEnd w:id="78"/>
    </w:p>
    <w:p>
      <w:pPr>
        <w:pStyle w:val="6"/>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6"/>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6"/>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9"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79"/>
    </w:p>
    <w:p>
      <w:pPr>
        <w:pStyle w:val="6"/>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0" w:name="_Toc29714"/>
      <w:r>
        <w:rPr>
          <w:rFonts w:hint="eastAsia" w:ascii="Arial" w:hAnsi="Arial" w:eastAsia="黑体" w:cs="Times New Roman"/>
          <w:b w:val="0"/>
          <w:kern w:val="2"/>
          <w:sz w:val="36"/>
          <w:szCs w:val="28"/>
          <w:highlight w:val="none"/>
          <w:lang w:val="en-US" w:eastAsia="zh-CN" w:bidi="ar-SA"/>
        </w:rPr>
        <w:t>（格式自定）</w:t>
      </w:r>
      <w:bookmarkEnd w:id="80"/>
    </w:p>
    <w:p>
      <w:pPr>
        <w:pStyle w:val="6"/>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1"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1"/>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0"/>
              </w:numPr>
              <w:spacing w:line="440" w:lineRule="exact"/>
              <w:ind w:leftChars="0"/>
              <w:rPr>
                <w:rFonts w:hint="eastAsia" w:ascii="仿宋" w:hAnsi="仿宋" w:eastAsia="仿宋" w:cs="仿宋"/>
                <w:color w:val="000000"/>
                <w:sz w:val="28"/>
                <w:szCs w:val="28"/>
                <w:highlight w:val="none"/>
              </w:rPr>
            </w:pPr>
            <w:r>
              <w:rPr>
                <w:rFonts w:hint="default" w:ascii="仿宋" w:hAnsi="仿宋" w:cs="仿宋"/>
                <w:color w:val="000000"/>
                <w:sz w:val="28"/>
                <w:szCs w:val="28"/>
                <w:highlight w:val="none"/>
                <w:lang w:val="en-US"/>
              </w:rPr>
              <w:t>1</w:t>
            </w:r>
            <w:r>
              <w:rPr>
                <w:rFonts w:hint="eastAsia" w:ascii="仿宋" w:hAnsi="仿宋" w:cs="仿宋"/>
                <w:color w:val="000000"/>
                <w:sz w:val="28"/>
                <w:szCs w:val="28"/>
                <w:highlight w:val="none"/>
                <w:lang w:val="en-US" w:eastAsia="zh-CN"/>
              </w:rPr>
              <w:t>、</w:t>
            </w: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0"/>
              </w:numPr>
              <w:spacing w:line="440" w:lineRule="exact"/>
              <w:ind w:leftChars="0"/>
              <w:rPr>
                <w:rFonts w:hint="eastAsia" w:ascii="仿宋" w:hAnsi="仿宋" w:eastAsia="仿宋" w:cs="仿宋"/>
                <w:color w:val="000000"/>
                <w:sz w:val="28"/>
                <w:szCs w:val="28"/>
                <w:highlight w:val="none"/>
              </w:rPr>
            </w:pPr>
            <w:r>
              <w:rPr>
                <w:rFonts w:hint="default" w:ascii="仿宋" w:hAnsi="仿宋" w:cs="仿宋"/>
                <w:color w:val="000000"/>
                <w:sz w:val="28"/>
                <w:szCs w:val="28"/>
                <w:highlight w:val="none"/>
                <w:lang w:val="en-US"/>
              </w:rPr>
              <w:t>2</w:t>
            </w:r>
            <w:r>
              <w:rPr>
                <w:rFonts w:hint="eastAsia" w:ascii="仿宋" w:hAnsi="仿宋" w:cs="仿宋"/>
                <w:color w:val="000000"/>
                <w:sz w:val="28"/>
                <w:szCs w:val="28"/>
                <w:highlight w:val="none"/>
                <w:lang w:val="en-US" w:eastAsia="zh-CN"/>
              </w:rPr>
              <w:t>、</w:t>
            </w: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2" w:name="_Toc29643"/>
      <w:r>
        <w:rPr>
          <w:rFonts w:hint="eastAsia" w:ascii="Arial" w:hAnsi="Arial" w:eastAsia="黑体" w:cs="Times New Roman"/>
          <w:b w:val="0"/>
          <w:kern w:val="2"/>
          <w:sz w:val="32"/>
          <w:szCs w:val="32"/>
          <w:highlight w:val="none"/>
          <w:lang w:val="en-US" w:eastAsia="zh-CN" w:bidi="ar-SA"/>
        </w:rPr>
        <w:t>附件十二：证明文件格式（参考）</w:t>
      </w:r>
      <w:bookmarkEnd w:id="82"/>
    </w:p>
    <w:p>
      <w:pPr>
        <w:pStyle w:val="15"/>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w:t>
      </w:r>
      <w:r>
        <w:rPr>
          <w:rFonts w:hint="eastAsia" w:ascii="仿宋" w:hAnsi="仿宋" w:cs="仿宋"/>
          <w:b w:val="0"/>
          <w:kern w:val="2"/>
          <w:sz w:val="28"/>
          <w:szCs w:val="28"/>
          <w:highlight w:val="none"/>
          <w:lang w:val="en-US" w:eastAsia="zh-CN" w:bidi="ar-SA"/>
        </w:rPr>
        <w:t>9</w:t>
      </w:r>
      <w:r>
        <w:rPr>
          <w:rFonts w:hint="eastAsia" w:ascii="仿宋" w:hAnsi="仿宋" w:eastAsia="仿宋" w:cs="仿宋"/>
          <w:b w:val="0"/>
          <w:kern w:val="2"/>
          <w:sz w:val="28"/>
          <w:szCs w:val="28"/>
          <w:highlight w:val="none"/>
          <w:lang w:val="en-US" w:eastAsia="zh-CN" w:bidi="ar-SA"/>
        </w:rPr>
        <w:t>）供应商必须提供所投车辆国家工信部的车辆公告目录文件，并承诺提供的车辆能够纳入国家工信部改装目录，排放标准符合六及以上环保目录标准；承诺能够提供公安和车辆管理部门落户上牌所需要的完备、齐全、有效的一切文件，确保所投的车辆能够在使用地上牌；</w:t>
      </w:r>
    </w:p>
    <w:p>
      <w:pPr>
        <w:numPr>
          <w:ilvl w:val="0"/>
          <w:numId w:val="0"/>
        </w:numPr>
        <w:snapToGrid w:val="0"/>
        <w:spacing w:line="360" w:lineRule="auto"/>
        <w:rPr>
          <w:rFonts w:hint="eastAsia" w:ascii="仿宋" w:hAnsi="仿宋" w:cs="仿宋"/>
          <w:b w:val="0"/>
          <w:kern w:val="2"/>
          <w:sz w:val="28"/>
          <w:szCs w:val="28"/>
          <w:highlight w:val="none"/>
          <w:lang w:val="en-US" w:eastAsia="zh-CN" w:bidi="ar-SA"/>
        </w:rPr>
      </w:pPr>
      <w:r>
        <w:rPr>
          <w:rFonts w:hint="eastAsia" w:ascii="仿宋" w:hAnsi="仿宋" w:cs="仿宋"/>
          <w:b w:val="0"/>
          <w:kern w:val="2"/>
          <w:sz w:val="28"/>
          <w:szCs w:val="28"/>
          <w:highlight w:val="none"/>
          <w:lang w:val="en-US" w:eastAsia="zh-CN" w:bidi="ar-SA"/>
        </w:rPr>
        <w:t>（</w:t>
      </w:r>
      <w:r>
        <w:rPr>
          <w:rFonts w:hint="default" w:ascii="仿宋" w:hAnsi="仿宋" w:cs="仿宋"/>
          <w:b w:val="0"/>
          <w:kern w:val="2"/>
          <w:sz w:val="28"/>
          <w:szCs w:val="28"/>
          <w:highlight w:val="none"/>
          <w:lang w:val="en-US" w:eastAsia="zh-CN" w:bidi="ar-SA"/>
        </w:rPr>
        <w:t>10</w:t>
      </w:r>
      <w:r>
        <w:rPr>
          <w:rFonts w:hint="eastAsia" w:ascii="仿宋" w:hAnsi="仿宋" w:cs="仿宋"/>
          <w:b w:val="0"/>
          <w:kern w:val="2"/>
          <w:sz w:val="28"/>
          <w:szCs w:val="28"/>
          <w:highlight w:val="none"/>
          <w:lang w:val="en-US" w:eastAsia="zh-CN" w:bidi="ar-SA"/>
        </w:rPr>
        <w:t>）</w:t>
      </w:r>
      <w:r>
        <w:rPr>
          <w:rFonts w:hint="eastAsia" w:ascii="仿宋" w:hAnsi="仿宋" w:eastAsia="仿宋" w:cs="仿宋"/>
          <w:sz w:val="28"/>
          <w:szCs w:val="28"/>
          <w:highlight w:val="none"/>
        </w:rPr>
        <w:t>供应商所投产品为进口产品的，须提供制造商授权委托书。</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cs="仿宋"/>
          <w:b w:val="0"/>
          <w:kern w:val="2"/>
          <w:sz w:val="28"/>
          <w:szCs w:val="28"/>
          <w:highlight w:val="none"/>
          <w:lang w:val="en-US" w:eastAsia="zh-CN" w:bidi="ar-SA"/>
        </w:rPr>
        <w:t>（</w:t>
      </w:r>
      <w:r>
        <w:rPr>
          <w:rFonts w:hint="default" w:ascii="仿宋" w:hAnsi="仿宋" w:cs="仿宋"/>
          <w:b w:val="0"/>
          <w:kern w:val="2"/>
          <w:sz w:val="28"/>
          <w:szCs w:val="28"/>
          <w:highlight w:val="none"/>
          <w:lang w:val="en-US" w:eastAsia="zh-CN" w:bidi="ar-SA"/>
        </w:rPr>
        <w:t>11</w:t>
      </w:r>
      <w:r>
        <w:rPr>
          <w:rFonts w:hint="eastAsia" w:ascii="仿宋" w:hAnsi="仿宋" w:cs="仿宋"/>
          <w:b w:val="0"/>
          <w:kern w:val="2"/>
          <w:sz w:val="28"/>
          <w:szCs w:val="28"/>
          <w:highlight w:val="none"/>
          <w:lang w:val="en-US" w:eastAsia="zh-CN" w:bidi="ar-SA"/>
        </w:rPr>
        <w:t>）</w:t>
      </w:r>
      <w:r>
        <w:rPr>
          <w:rFonts w:hint="eastAsia" w:ascii="仿宋" w:hAnsi="仿宋" w:eastAsia="仿宋" w:cs="仿宋"/>
          <w:b w:val="0"/>
          <w:kern w:val="2"/>
          <w:sz w:val="28"/>
          <w:szCs w:val="28"/>
          <w:highlight w:val="none"/>
          <w:lang w:val="en-US" w:eastAsia="zh-CN" w:bidi="ar-SA"/>
        </w:rPr>
        <w:t>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3" w:name="_Toc23872"/>
      <w:bookmarkStart w:id="84"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5" w:name="_Toc5286"/>
      <w:bookmarkStart w:id="86" w:name="_Toc11401"/>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7"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8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cs="仿宋"/>
          <w:b w:val="0"/>
          <w:bCs/>
          <w:kern w:val="2"/>
          <w:sz w:val="28"/>
          <w:szCs w:val="28"/>
          <w:highlight w:val="none"/>
          <w:lang w:val="en-US" w:eastAsia="zh-CN" w:bidi="ar-SA"/>
        </w:rPr>
      </w:pPr>
      <w:r>
        <w:rPr>
          <w:rFonts w:hint="default" w:ascii="仿宋" w:hAnsi="仿宋" w:cs="仿宋"/>
          <w:b w:val="0"/>
          <w:bCs/>
          <w:kern w:val="2"/>
          <w:sz w:val="28"/>
          <w:szCs w:val="28"/>
          <w:highlight w:val="none"/>
          <w:lang w:val="en-US" w:eastAsia="zh-CN" w:bidi="ar-SA"/>
        </w:rPr>
        <w:t>1</w:t>
      </w:r>
      <w:r>
        <w:rPr>
          <w:rFonts w:hint="eastAsia" w:ascii="仿宋" w:hAnsi="仿宋" w:cs="仿宋"/>
          <w:b w:val="0"/>
          <w:bCs/>
          <w:kern w:val="2"/>
          <w:sz w:val="28"/>
          <w:szCs w:val="28"/>
          <w:highlight w:val="none"/>
          <w:lang w:val="en-US" w:eastAsia="zh-CN" w:bidi="ar-SA"/>
        </w:rPr>
        <w:t>、</w:t>
      </w:r>
      <w:r>
        <w:rPr>
          <w:rFonts w:hint="eastAsia" w:ascii="仿宋" w:hAnsi="仿宋" w:eastAsia="仿宋" w:cs="仿宋"/>
          <w:b w:val="0"/>
          <w:bCs/>
          <w:kern w:val="2"/>
          <w:sz w:val="28"/>
          <w:szCs w:val="28"/>
          <w:highlight w:val="none"/>
          <w:lang w:val="en-US" w:eastAsia="zh-CN" w:bidi="ar-SA"/>
        </w:rPr>
        <w:t>本公司承诺提供的车辆能够纳入国家工信部改装目录，排放标准符合六及以上环保目录标准；承诺能够提供公安和车辆管理部门落户上牌所需要的完备、齐全、有效的一切文件，确保所投的车辆能够在使用地上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default" w:ascii="仿宋" w:hAnsi="仿宋" w:cs="仿宋"/>
          <w:b w:val="0"/>
          <w:bCs/>
          <w:kern w:val="2"/>
          <w:sz w:val="28"/>
          <w:szCs w:val="28"/>
          <w:highlight w:val="none"/>
          <w:lang w:val="en-US" w:eastAsia="zh-CN" w:bidi="ar-SA"/>
        </w:rPr>
        <w:t>2</w:t>
      </w:r>
      <w:r>
        <w:rPr>
          <w:rFonts w:hint="eastAsia" w:ascii="仿宋" w:hAnsi="仿宋" w:cs="仿宋"/>
          <w:b w:val="0"/>
          <w:bCs/>
          <w:kern w:val="2"/>
          <w:sz w:val="28"/>
          <w:szCs w:val="28"/>
          <w:highlight w:val="none"/>
          <w:lang w:val="en-US" w:eastAsia="zh-CN" w:bidi="ar-SA"/>
        </w:rPr>
        <w:t>、</w:t>
      </w: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w:t>
      </w:r>
      <w:r>
        <w:rPr>
          <w:rFonts w:hint="eastAsia" w:ascii="仿宋" w:hAnsi="仿宋" w:cs="仿宋"/>
          <w:b w:val="0"/>
          <w:bCs/>
          <w:kern w:val="2"/>
          <w:sz w:val="28"/>
          <w:szCs w:val="28"/>
          <w:highlight w:val="none"/>
          <w:lang w:val="en-US" w:eastAsia="zh-CN" w:bidi="ar-SA"/>
        </w:rPr>
        <w:t>响</w:t>
      </w:r>
      <w:r>
        <w:rPr>
          <w:rFonts w:hint="eastAsia" w:ascii="仿宋" w:hAnsi="仿宋" w:eastAsia="仿宋" w:cs="仿宋"/>
          <w:b w:val="0"/>
          <w:bCs/>
          <w:kern w:val="2"/>
          <w:sz w:val="28"/>
          <w:szCs w:val="28"/>
          <w:highlight w:val="none"/>
          <w:lang w:val="en-US" w:eastAsia="zh-CN" w:bidi="ar-SA"/>
        </w:rPr>
        <w:t>应文件配备履行本合同所需设备及人员。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4"/>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4"/>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注：（1）从业人员、营业收入、资产总额填报上一年度数据，无上一年度数据的新成立企业可不填报。</w:t>
      </w:r>
    </w:p>
    <w:p>
      <w:pPr>
        <w:spacing w:line="360" w:lineRule="auto"/>
        <w:ind w:firstLine="1120" w:firstLineChars="400"/>
        <w:jc w:val="center"/>
        <w:rPr>
          <w:rFonts w:hint="eastAsia" w:ascii="Calibri" w:hAnsi="Calibri" w:eastAsia="楷体" w:cs="Times New Roman"/>
          <w:b/>
          <w:kern w:val="2"/>
          <w:sz w:val="32"/>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r>
        <w:rPr>
          <w:rFonts w:hint="eastAsia" w:ascii="宋体" w:hAnsi="宋体" w:eastAsia="宋体" w:cs="宋体"/>
          <w:spacing w:val="0"/>
          <w:kern w:val="2"/>
          <w:sz w:val="24"/>
          <w:szCs w:val="20"/>
          <w:highlight w:val="none"/>
          <w:lang w:val="en-US" w:eastAsia="zh-CN" w:bidi="ar-SA"/>
        </w:rPr>
        <w:br w:type="page"/>
      </w:r>
      <w:bookmarkStart w:id="88" w:name="_Toc492372156"/>
      <w:bookmarkStart w:id="89" w:name="_Toc499827580"/>
      <w:bookmarkStart w:id="90" w:name="_Toc499831025"/>
      <w:r>
        <w:rPr>
          <w:rFonts w:hint="eastAsia" w:ascii="Calibri" w:hAnsi="Calibri" w:eastAsia="楷体" w:cs="Times New Roman"/>
          <w:b/>
          <w:kern w:val="2"/>
          <w:sz w:val="32"/>
          <w:szCs w:val="28"/>
          <w:highlight w:val="none"/>
          <w:lang w:val="en-US" w:eastAsia="zh-CN" w:bidi="ar-SA"/>
        </w:rPr>
        <w:t xml:space="preserve">格式6  </w:t>
      </w:r>
      <w:bookmarkEnd w:id="88"/>
      <w:r>
        <w:rPr>
          <w:rFonts w:hint="eastAsia" w:ascii="Calibri" w:hAnsi="Calibri" w:eastAsia="楷体" w:cs="Times New Roman"/>
          <w:b/>
          <w:kern w:val="2"/>
          <w:sz w:val="32"/>
          <w:szCs w:val="28"/>
          <w:highlight w:val="none"/>
          <w:lang w:val="en-US" w:eastAsia="zh-CN" w:bidi="ar-SA"/>
        </w:rPr>
        <w:t>残疾人福利性单位声明函</w:t>
      </w:r>
      <w:bookmarkEnd w:id="89"/>
      <w:bookmarkEnd w:id="90"/>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4"/>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1"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1"/>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default" w:ascii="仿宋" w:hAnsi="仿宋" w:eastAsia="仿宋" w:cs="仿宋"/>
                <w:highlight w:val="none"/>
                <w:lang w:val="en-US" w:eastAsia="zh-CN"/>
              </w:rPr>
            </w:pPr>
            <w:r>
              <w:rPr>
                <w:rFonts w:hint="eastAsia" w:ascii="仿宋" w:hAnsi="仿宋" w:eastAsia="仿宋" w:cs="仿宋"/>
                <w:highlight w:val="none"/>
              </w:rPr>
              <w:t>节能产品</w:t>
            </w:r>
            <w:r>
              <w:rPr>
                <w:rFonts w:hint="eastAsia" w:ascii="仿宋" w:hAnsi="仿宋" w:cs="仿宋"/>
                <w:highlight w:val="none"/>
                <w:lang w:eastAsia="zh-CN"/>
              </w:rPr>
              <w:t>（</w:t>
            </w:r>
            <w:r>
              <w:rPr>
                <w:rFonts w:hint="eastAsia" w:ascii="仿宋" w:hAnsi="仿宋" w:cs="仿宋"/>
                <w:highlight w:val="none"/>
                <w:lang w:val="en-US" w:eastAsia="zh-CN"/>
              </w:rPr>
              <w:t>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2" w:name="_Toc13572220"/>
      <w:bookmarkStart w:id="93" w:name="_Toc514675542"/>
      <w:bookmarkStart w:id="94" w:name="_Toc514684734"/>
      <w:r>
        <w:rPr>
          <w:rFonts w:hint="eastAsia" w:ascii="仿宋" w:hAnsi="仿宋" w:eastAsia="仿宋" w:cs="仿宋"/>
          <w:color w:val="000000"/>
          <w:sz w:val="24"/>
          <w:highlight w:val="none"/>
        </w:rPr>
        <w:t>日   期：</w:t>
      </w:r>
      <w:bookmarkEnd w:id="92"/>
      <w:bookmarkEnd w:id="93"/>
      <w:bookmarkEnd w:id="94"/>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5" w:name="_Toc514675543"/>
      <w:bookmarkStart w:id="96" w:name="_Toc514684735"/>
      <w:bookmarkStart w:id="97" w:name="_Toc13572221"/>
      <w:r>
        <w:rPr>
          <w:rFonts w:hint="eastAsia" w:ascii="仿宋" w:hAnsi="仿宋" w:eastAsia="仿宋" w:cs="仿宋"/>
          <w:b/>
          <w:sz w:val="28"/>
          <w:szCs w:val="28"/>
          <w:highlight w:val="none"/>
        </w:rPr>
        <w:t>符合政府采购优惠政策的证明材料</w:t>
      </w:r>
      <w:bookmarkEnd w:id="95"/>
      <w:bookmarkEnd w:id="96"/>
      <w:bookmarkEnd w:id="97"/>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10"/>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10"/>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10"/>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0"/>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0"/>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0"/>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10"/>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10"/>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98" w:name="_Toc19905"/>
      <w:r>
        <w:rPr>
          <w:rFonts w:hint="eastAsia" w:ascii="Arial" w:hAnsi="Arial" w:eastAsia="黑体" w:cs="Times New Roman"/>
          <w:b w:val="0"/>
          <w:kern w:val="2"/>
          <w:sz w:val="32"/>
          <w:szCs w:val="32"/>
          <w:highlight w:val="none"/>
          <w:lang w:val="en-US" w:eastAsia="zh-CN" w:bidi="ar-SA"/>
        </w:rPr>
        <w:t>附件十四：密封袋封面格式</w:t>
      </w:r>
      <w:bookmarkEnd w:id="98"/>
    </w:p>
    <w:p>
      <w:pPr>
        <w:pStyle w:val="10"/>
        <w:spacing w:line="480" w:lineRule="exact"/>
        <w:ind w:left="0" w:leftChars="0" w:firstLine="0" w:firstLineChars="0"/>
        <w:rPr>
          <w:rFonts w:hint="eastAsia" w:ascii="仿宋" w:hAnsi="仿宋" w:eastAsia="仿宋" w:cs="仿宋"/>
          <w:color w:val="000000"/>
          <w:highlight w:val="none"/>
        </w:rPr>
      </w:pPr>
    </w:p>
    <w:p>
      <w:pPr>
        <w:pStyle w:val="10"/>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8"/>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10"/>
              <w:spacing w:line="480" w:lineRule="exact"/>
              <w:ind w:left="0" w:leftChars="0" w:firstLine="0" w:firstLineChars="0"/>
              <w:jc w:val="left"/>
              <w:rPr>
                <w:rFonts w:hint="eastAsia" w:ascii="仿宋" w:hAnsi="仿宋" w:eastAsia="仿宋" w:cs="仿宋"/>
                <w:color w:val="000000"/>
                <w:kern w:val="2"/>
                <w:szCs w:val="24"/>
                <w:highlight w:val="none"/>
              </w:rPr>
            </w:pPr>
          </w:p>
          <w:p>
            <w:pPr>
              <w:pStyle w:val="10"/>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10"/>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10"/>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10"/>
              <w:spacing w:line="480" w:lineRule="exact"/>
              <w:ind w:left="0" w:leftChars="0" w:firstLine="0" w:firstLineChars="0"/>
              <w:jc w:val="left"/>
              <w:rPr>
                <w:rFonts w:hint="eastAsia" w:ascii="仿宋" w:hAnsi="仿宋" w:eastAsia="仿宋" w:cs="仿宋"/>
                <w:color w:val="000000"/>
                <w:kern w:val="2"/>
                <w:szCs w:val="24"/>
                <w:highlight w:val="none"/>
              </w:rPr>
            </w:pPr>
          </w:p>
          <w:p>
            <w:pPr>
              <w:pStyle w:val="10"/>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10"/>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10"/>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10"/>
        <w:spacing w:line="480" w:lineRule="exact"/>
        <w:ind w:left="1747" w:firstLine="470"/>
        <w:rPr>
          <w:rFonts w:hint="eastAsia" w:ascii="仿宋" w:hAnsi="仿宋" w:eastAsia="仿宋" w:cs="仿宋"/>
          <w:color w:val="000000"/>
          <w:highlight w:val="none"/>
        </w:rPr>
      </w:pPr>
    </w:p>
    <w:tbl>
      <w:tblPr>
        <w:tblStyle w:val="18"/>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10"/>
              <w:spacing w:line="480" w:lineRule="exact"/>
              <w:ind w:left="0" w:leftChars="0" w:firstLine="0" w:firstLineChars="0"/>
              <w:rPr>
                <w:rFonts w:hint="eastAsia" w:ascii="仿宋" w:hAnsi="仿宋" w:eastAsia="仿宋" w:cs="仿宋"/>
                <w:b/>
                <w:color w:val="000000"/>
                <w:kern w:val="2"/>
                <w:sz w:val="30"/>
                <w:szCs w:val="24"/>
                <w:highlight w:val="none"/>
              </w:rPr>
            </w:pPr>
          </w:p>
          <w:p>
            <w:pPr>
              <w:pStyle w:val="10"/>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10"/>
              <w:spacing w:line="480" w:lineRule="exact"/>
              <w:ind w:left="0" w:leftChars="0" w:firstLine="0" w:firstLineChars="0"/>
              <w:rPr>
                <w:rFonts w:hint="eastAsia" w:ascii="仿宋" w:hAnsi="仿宋" w:eastAsia="仿宋" w:cs="仿宋"/>
                <w:color w:val="000000"/>
                <w:kern w:val="2"/>
                <w:szCs w:val="24"/>
                <w:highlight w:val="none"/>
              </w:rPr>
            </w:pP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10"/>
              <w:spacing w:line="480" w:lineRule="exact"/>
              <w:ind w:left="0" w:leftChars="0" w:firstLine="0" w:firstLineChars="0"/>
              <w:jc w:val="left"/>
              <w:rPr>
                <w:rFonts w:hint="eastAsia" w:ascii="仿宋" w:hAnsi="仿宋" w:eastAsia="仿宋" w:cs="仿宋"/>
                <w:color w:val="000000"/>
                <w:kern w:val="2"/>
                <w:szCs w:val="24"/>
                <w:highlight w:val="none"/>
              </w:rPr>
            </w:pPr>
          </w:p>
          <w:p>
            <w:pPr>
              <w:pStyle w:val="10"/>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10"/>
              <w:spacing w:line="480" w:lineRule="exact"/>
              <w:ind w:left="0" w:leftChars="0" w:firstLine="0" w:firstLineChars="0"/>
              <w:rPr>
                <w:rFonts w:hint="eastAsia" w:ascii="仿宋" w:hAnsi="仿宋" w:eastAsia="仿宋" w:cs="仿宋"/>
                <w:b/>
                <w:kern w:val="2"/>
                <w:sz w:val="32"/>
                <w:szCs w:val="32"/>
                <w:highlight w:val="none"/>
              </w:rPr>
            </w:pPr>
          </w:p>
          <w:p>
            <w:pPr>
              <w:pStyle w:val="10"/>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10"/>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10"/>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10"/>
        <w:spacing w:line="480" w:lineRule="exact"/>
        <w:ind w:left="1747" w:firstLine="470"/>
        <w:rPr>
          <w:rFonts w:hint="eastAsia" w:ascii="仿宋" w:hAnsi="仿宋" w:eastAsia="仿宋" w:cs="仿宋"/>
          <w:color w:val="000000"/>
          <w:highlight w:val="none"/>
        </w:rPr>
      </w:pPr>
    </w:p>
    <w:p>
      <w:pPr>
        <w:pStyle w:val="10"/>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8"/>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10"/>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5"/>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8"/>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5"/>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5"/>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5"/>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5"/>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5"/>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5"/>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5"/>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5"/>
              <w:jc w:val="center"/>
              <w:rPr>
                <w:rFonts w:hint="eastAsia" w:ascii="仿宋" w:hAnsi="仿宋" w:eastAsia="仿宋" w:cs="仿宋"/>
                <w:sz w:val="22"/>
                <w:szCs w:val="32"/>
                <w:highlight w:val="none"/>
              </w:rPr>
            </w:pPr>
          </w:p>
        </w:tc>
        <w:tc>
          <w:tcPr>
            <w:tcW w:w="2967" w:type="dxa"/>
            <w:noWrap w:val="0"/>
            <w:vAlign w:val="center"/>
          </w:tcPr>
          <w:p>
            <w:pPr>
              <w:pStyle w:val="25"/>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5"/>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5"/>
              <w:jc w:val="center"/>
              <w:rPr>
                <w:rFonts w:hint="eastAsia" w:ascii="仿宋" w:hAnsi="仿宋" w:eastAsia="仿宋" w:cs="仿宋"/>
                <w:sz w:val="22"/>
                <w:szCs w:val="32"/>
                <w:highlight w:val="none"/>
              </w:rPr>
            </w:pPr>
          </w:p>
        </w:tc>
        <w:tc>
          <w:tcPr>
            <w:tcW w:w="2967" w:type="dxa"/>
            <w:noWrap w:val="0"/>
            <w:vAlign w:val="center"/>
          </w:tcPr>
          <w:p>
            <w:pPr>
              <w:pStyle w:val="25"/>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5"/>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5"/>
              <w:jc w:val="center"/>
              <w:rPr>
                <w:rFonts w:hint="eastAsia" w:ascii="仿宋" w:hAnsi="仿宋" w:eastAsia="仿宋" w:cs="仿宋"/>
                <w:sz w:val="22"/>
                <w:szCs w:val="32"/>
                <w:highlight w:val="none"/>
              </w:rPr>
            </w:pPr>
          </w:p>
        </w:tc>
        <w:tc>
          <w:tcPr>
            <w:tcW w:w="2967" w:type="dxa"/>
            <w:noWrap w:val="0"/>
            <w:vAlign w:val="center"/>
          </w:tcPr>
          <w:p>
            <w:pPr>
              <w:pStyle w:val="25"/>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5"/>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5"/>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5"/>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5"/>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5"/>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5"/>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5"/>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5"/>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5"/>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5"/>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5"/>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5"/>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5"/>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5"/>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5"/>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5"/>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5"/>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5"/>
              <w:jc w:val="center"/>
              <w:rPr>
                <w:rFonts w:hint="eastAsia" w:ascii="仿宋" w:hAnsi="仿宋" w:eastAsia="仿宋" w:cs="仿宋"/>
                <w:sz w:val="22"/>
                <w:szCs w:val="32"/>
                <w:highlight w:val="none"/>
              </w:rPr>
            </w:pPr>
          </w:p>
        </w:tc>
        <w:tc>
          <w:tcPr>
            <w:tcW w:w="1916" w:type="dxa"/>
            <w:noWrap w:val="0"/>
            <w:vAlign w:val="center"/>
          </w:tcPr>
          <w:p>
            <w:pPr>
              <w:pStyle w:val="25"/>
              <w:jc w:val="center"/>
              <w:rPr>
                <w:rFonts w:hint="eastAsia" w:ascii="仿宋" w:hAnsi="仿宋" w:eastAsia="仿宋" w:cs="仿宋"/>
                <w:sz w:val="22"/>
                <w:szCs w:val="32"/>
                <w:highlight w:val="none"/>
              </w:rPr>
            </w:pPr>
          </w:p>
        </w:tc>
        <w:tc>
          <w:tcPr>
            <w:tcW w:w="2967" w:type="dxa"/>
            <w:noWrap w:val="0"/>
            <w:vAlign w:val="center"/>
          </w:tcPr>
          <w:p>
            <w:pPr>
              <w:pStyle w:val="25"/>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5"/>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5"/>
              <w:jc w:val="center"/>
              <w:rPr>
                <w:rFonts w:hint="eastAsia" w:ascii="仿宋" w:hAnsi="仿宋" w:eastAsia="仿宋" w:cs="仿宋"/>
                <w:sz w:val="22"/>
                <w:szCs w:val="32"/>
                <w:highlight w:val="none"/>
              </w:rPr>
            </w:pPr>
          </w:p>
        </w:tc>
        <w:tc>
          <w:tcPr>
            <w:tcW w:w="1916" w:type="dxa"/>
            <w:noWrap w:val="0"/>
            <w:vAlign w:val="center"/>
          </w:tcPr>
          <w:p>
            <w:pPr>
              <w:pStyle w:val="25"/>
              <w:jc w:val="center"/>
              <w:rPr>
                <w:rFonts w:hint="eastAsia" w:ascii="仿宋" w:hAnsi="仿宋" w:eastAsia="仿宋" w:cs="仿宋"/>
                <w:sz w:val="22"/>
                <w:szCs w:val="32"/>
                <w:highlight w:val="none"/>
              </w:rPr>
            </w:pPr>
          </w:p>
        </w:tc>
        <w:tc>
          <w:tcPr>
            <w:tcW w:w="2967" w:type="dxa"/>
            <w:noWrap w:val="0"/>
            <w:vAlign w:val="center"/>
          </w:tcPr>
          <w:p>
            <w:pPr>
              <w:pStyle w:val="25"/>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5"/>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5"/>
              <w:jc w:val="center"/>
              <w:rPr>
                <w:rFonts w:hint="eastAsia" w:ascii="仿宋" w:hAnsi="仿宋" w:eastAsia="仿宋" w:cs="仿宋"/>
                <w:sz w:val="22"/>
                <w:szCs w:val="32"/>
                <w:highlight w:val="none"/>
              </w:rPr>
            </w:pPr>
          </w:p>
        </w:tc>
        <w:tc>
          <w:tcPr>
            <w:tcW w:w="2967" w:type="dxa"/>
            <w:noWrap w:val="0"/>
            <w:vAlign w:val="center"/>
          </w:tcPr>
          <w:p>
            <w:pPr>
              <w:pStyle w:val="25"/>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5"/>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5"/>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5"/>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5"/>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5"/>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5"/>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5"/>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5"/>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5"/>
              <w:jc w:val="center"/>
              <w:rPr>
                <w:rFonts w:hint="eastAsia" w:ascii="仿宋" w:hAnsi="仿宋" w:eastAsia="仿宋" w:cs="仿宋"/>
                <w:szCs w:val="32"/>
                <w:highlight w:val="none"/>
              </w:rPr>
            </w:pPr>
          </w:p>
        </w:tc>
        <w:tc>
          <w:tcPr>
            <w:tcW w:w="1916" w:type="dxa"/>
            <w:noWrap w:val="0"/>
            <w:vAlign w:val="center"/>
          </w:tcPr>
          <w:p>
            <w:pPr>
              <w:pStyle w:val="25"/>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5"/>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5"/>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5"/>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5"/>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5"/>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5"/>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5"/>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5"/>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5"/>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5"/>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5"/>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5"/>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5"/>
              <w:jc w:val="center"/>
              <w:rPr>
                <w:rFonts w:hint="eastAsia" w:ascii="仿宋" w:hAnsi="仿宋" w:eastAsia="仿宋" w:cs="仿宋"/>
                <w:szCs w:val="32"/>
                <w:highlight w:val="none"/>
              </w:rPr>
            </w:pP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5"/>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5"/>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5"/>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5"/>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5"/>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5"/>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5"/>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5"/>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5"/>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5"/>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5"/>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5"/>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5"/>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5"/>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5"/>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5"/>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5"/>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5"/>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5"/>
              <w:jc w:val="center"/>
              <w:rPr>
                <w:rFonts w:hint="eastAsia" w:ascii="仿宋" w:hAnsi="仿宋" w:eastAsia="仿宋" w:cs="仿宋"/>
                <w:szCs w:val="32"/>
                <w:highlight w:val="none"/>
              </w:rPr>
            </w:pPr>
          </w:p>
        </w:tc>
        <w:tc>
          <w:tcPr>
            <w:tcW w:w="1167" w:type="dxa"/>
            <w:vMerge w:val="continue"/>
            <w:noWrap w:val="0"/>
            <w:vAlign w:val="center"/>
          </w:tcPr>
          <w:p>
            <w:pPr>
              <w:pStyle w:val="25"/>
              <w:jc w:val="center"/>
              <w:rPr>
                <w:rFonts w:hint="eastAsia" w:ascii="仿宋" w:hAnsi="仿宋" w:eastAsia="仿宋" w:cs="仿宋"/>
                <w:szCs w:val="32"/>
                <w:highlight w:val="none"/>
              </w:rPr>
            </w:pPr>
          </w:p>
        </w:tc>
        <w:tc>
          <w:tcPr>
            <w:tcW w:w="1801" w:type="dxa"/>
            <w:vMerge w:val="restart"/>
            <w:noWrap w:val="0"/>
            <w:vAlign w:val="center"/>
          </w:tcPr>
          <w:p>
            <w:pPr>
              <w:pStyle w:val="25"/>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5"/>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5"/>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5"/>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5"/>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5"/>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5"/>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5"/>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5"/>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5"/>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5"/>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5"/>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5"/>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5"/>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5"/>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5"/>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5"/>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5"/>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5"/>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5"/>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5"/>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5"/>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5"/>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5"/>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5"/>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5"/>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5"/>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5"/>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5"/>
              <w:jc w:val="center"/>
              <w:rPr>
                <w:rFonts w:hint="eastAsia" w:ascii="仿宋" w:hAnsi="仿宋" w:eastAsia="仿宋" w:cs="仿宋"/>
                <w:szCs w:val="32"/>
                <w:highlight w:val="none"/>
              </w:rPr>
            </w:pPr>
          </w:p>
        </w:tc>
        <w:tc>
          <w:tcPr>
            <w:tcW w:w="2967" w:type="dxa"/>
            <w:noWrap w:val="0"/>
            <w:vAlign w:val="center"/>
          </w:tcPr>
          <w:p>
            <w:pPr>
              <w:pStyle w:val="25"/>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5"/>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5"/>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5"/>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5"/>
              <w:jc w:val="center"/>
              <w:rPr>
                <w:rFonts w:hint="eastAsia" w:ascii="仿宋" w:hAnsi="仿宋" w:eastAsia="仿宋" w:cs="仿宋"/>
                <w:sz w:val="22"/>
                <w:szCs w:val="32"/>
                <w:highlight w:val="none"/>
              </w:rPr>
            </w:pPr>
          </w:p>
        </w:tc>
        <w:tc>
          <w:tcPr>
            <w:tcW w:w="1916" w:type="dxa"/>
            <w:noWrap w:val="0"/>
            <w:vAlign w:val="center"/>
          </w:tcPr>
          <w:p>
            <w:pPr>
              <w:pStyle w:val="25"/>
              <w:jc w:val="center"/>
              <w:rPr>
                <w:rFonts w:hint="eastAsia" w:ascii="仿宋" w:hAnsi="仿宋" w:eastAsia="仿宋" w:cs="仿宋"/>
                <w:sz w:val="22"/>
                <w:szCs w:val="32"/>
                <w:highlight w:val="none"/>
              </w:rPr>
            </w:pPr>
          </w:p>
        </w:tc>
        <w:tc>
          <w:tcPr>
            <w:tcW w:w="2967" w:type="dxa"/>
            <w:noWrap w:val="0"/>
            <w:vAlign w:val="center"/>
          </w:tcPr>
          <w:p>
            <w:pPr>
              <w:pStyle w:val="25"/>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5"/>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5"/>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5"/>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5"/>
              <w:jc w:val="center"/>
              <w:rPr>
                <w:rFonts w:hint="eastAsia" w:ascii="仿宋" w:hAnsi="仿宋" w:eastAsia="仿宋" w:cs="仿宋"/>
                <w:sz w:val="22"/>
                <w:szCs w:val="32"/>
                <w:highlight w:val="none"/>
              </w:rPr>
            </w:pPr>
          </w:p>
        </w:tc>
        <w:tc>
          <w:tcPr>
            <w:tcW w:w="1916" w:type="dxa"/>
            <w:noWrap w:val="0"/>
            <w:vAlign w:val="center"/>
          </w:tcPr>
          <w:p>
            <w:pPr>
              <w:pStyle w:val="25"/>
              <w:jc w:val="center"/>
              <w:rPr>
                <w:rFonts w:hint="eastAsia" w:ascii="仿宋" w:hAnsi="仿宋" w:eastAsia="仿宋" w:cs="仿宋"/>
                <w:sz w:val="22"/>
                <w:szCs w:val="32"/>
                <w:highlight w:val="none"/>
              </w:rPr>
            </w:pPr>
          </w:p>
        </w:tc>
        <w:tc>
          <w:tcPr>
            <w:tcW w:w="2967" w:type="dxa"/>
            <w:noWrap w:val="0"/>
            <w:vAlign w:val="center"/>
          </w:tcPr>
          <w:p>
            <w:pPr>
              <w:pStyle w:val="25"/>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5"/>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5"/>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5"/>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5"/>
              <w:jc w:val="center"/>
              <w:rPr>
                <w:rFonts w:hint="eastAsia" w:ascii="仿宋" w:hAnsi="仿宋" w:eastAsia="仿宋" w:cs="仿宋"/>
                <w:sz w:val="22"/>
                <w:szCs w:val="32"/>
                <w:highlight w:val="none"/>
              </w:rPr>
            </w:pPr>
          </w:p>
        </w:tc>
        <w:tc>
          <w:tcPr>
            <w:tcW w:w="1916" w:type="dxa"/>
            <w:noWrap w:val="0"/>
            <w:vAlign w:val="center"/>
          </w:tcPr>
          <w:p>
            <w:pPr>
              <w:pStyle w:val="25"/>
              <w:jc w:val="center"/>
              <w:rPr>
                <w:rFonts w:hint="eastAsia" w:ascii="仿宋" w:hAnsi="仿宋" w:eastAsia="仿宋" w:cs="仿宋"/>
                <w:sz w:val="22"/>
                <w:szCs w:val="32"/>
                <w:highlight w:val="none"/>
              </w:rPr>
            </w:pPr>
          </w:p>
        </w:tc>
        <w:tc>
          <w:tcPr>
            <w:tcW w:w="2967" w:type="dxa"/>
            <w:noWrap w:val="0"/>
            <w:vAlign w:val="center"/>
          </w:tcPr>
          <w:p>
            <w:pPr>
              <w:pStyle w:val="25"/>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5"/>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5"/>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5"/>
        <w:rPr>
          <w:rFonts w:hint="eastAsia" w:ascii="仿宋" w:hAnsi="仿宋" w:eastAsia="仿宋" w:cs="仿宋"/>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10"/>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p>
  <w:p>
    <w:pPr>
      <w:pStyle w:val="1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Fonts w:hint="eastAsia"/>
      </w:rPr>
      <w:t>２１</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349C5A22"/>
    <w:rsid w:val="00455153"/>
    <w:rsid w:val="016A35F9"/>
    <w:rsid w:val="020F0755"/>
    <w:rsid w:val="02F1515D"/>
    <w:rsid w:val="03C83D35"/>
    <w:rsid w:val="0929131C"/>
    <w:rsid w:val="0A7065E8"/>
    <w:rsid w:val="0B66615E"/>
    <w:rsid w:val="0C3B51E3"/>
    <w:rsid w:val="0E917BAA"/>
    <w:rsid w:val="11697278"/>
    <w:rsid w:val="11D40853"/>
    <w:rsid w:val="13916571"/>
    <w:rsid w:val="140A7B16"/>
    <w:rsid w:val="19263E75"/>
    <w:rsid w:val="1E6E5015"/>
    <w:rsid w:val="1EBC2968"/>
    <w:rsid w:val="208149F4"/>
    <w:rsid w:val="2287246B"/>
    <w:rsid w:val="22F552B5"/>
    <w:rsid w:val="249B6123"/>
    <w:rsid w:val="27E50006"/>
    <w:rsid w:val="28405EC2"/>
    <w:rsid w:val="289E2361"/>
    <w:rsid w:val="2BA30331"/>
    <w:rsid w:val="2D111CD6"/>
    <w:rsid w:val="2E955BC7"/>
    <w:rsid w:val="2EEC6D49"/>
    <w:rsid w:val="2F992837"/>
    <w:rsid w:val="31B6678B"/>
    <w:rsid w:val="349C5A22"/>
    <w:rsid w:val="34B14DE6"/>
    <w:rsid w:val="378E0FC0"/>
    <w:rsid w:val="387707D4"/>
    <w:rsid w:val="395C2DFE"/>
    <w:rsid w:val="3DEF5FDE"/>
    <w:rsid w:val="3FB36B3A"/>
    <w:rsid w:val="3FBD42D5"/>
    <w:rsid w:val="406239A7"/>
    <w:rsid w:val="42582A16"/>
    <w:rsid w:val="42584FAD"/>
    <w:rsid w:val="426A2EA1"/>
    <w:rsid w:val="428624F7"/>
    <w:rsid w:val="42F440B5"/>
    <w:rsid w:val="45EB4B20"/>
    <w:rsid w:val="466958DA"/>
    <w:rsid w:val="486C327A"/>
    <w:rsid w:val="496230F0"/>
    <w:rsid w:val="4A156715"/>
    <w:rsid w:val="4A4C19D0"/>
    <w:rsid w:val="4A9E093D"/>
    <w:rsid w:val="4B634FF2"/>
    <w:rsid w:val="4CD5490D"/>
    <w:rsid w:val="4DC33ECE"/>
    <w:rsid w:val="50DE1FEB"/>
    <w:rsid w:val="57E5531B"/>
    <w:rsid w:val="580A6C7A"/>
    <w:rsid w:val="5943366B"/>
    <w:rsid w:val="5F0542B5"/>
    <w:rsid w:val="62294B54"/>
    <w:rsid w:val="644766F1"/>
    <w:rsid w:val="67437D94"/>
    <w:rsid w:val="68BB35F0"/>
    <w:rsid w:val="6A8D1E82"/>
    <w:rsid w:val="6BA6430D"/>
    <w:rsid w:val="6BDD384D"/>
    <w:rsid w:val="6CD1171C"/>
    <w:rsid w:val="6FB45B33"/>
    <w:rsid w:val="71A7679B"/>
    <w:rsid w:val="74BA447F"/>
    <w:rsid w:val="78D427FE"/>
    <w:rsid w:val="79723144"/>
    <w:rsid w:val="7C0965BC"/>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5">
    <w:name w:val="heading 1"/>
    <w:basedOn w:val="1"/>
    <w:next w:val="1"/>
    <w:qFormat/>
    <w:uiPriority w:val="99"/>
    <w:pPr>
      <w:keepNext/>
      <w:keepLines/>
      <w:spacing w:before="340" w:after="330" w:line="578" w:lineRule="auto"/>
      <w:outlineLvl w:val="0"/>
    </w:pPr>
    <w:rPr>
      <w:b/>
      <w:kern w:val="44"/>
      <w:sz w:val="44"/>
      <w:szCs w:val="20"/>
    </w:rPr>
  </w:style>
  <w:style w:type="paragraph" w:styleId="6">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7">
    <w:name w:val="heading 3"/>
    <w:basedOn w:val="1"/>
    <w:next w:val="1"/>
    <w:qFormat/>
    <w:uiPriority w:val="99"/>
    <w:pPr>
      <w:keepNext/>
      <w:keepLines/>
      <w:spacing w:before="260" w:after="260" w:line="416" w:lineRule="auto"/>
      <w:outlineLvl w:val="2"/>
    </w:pPr>
    <w:rPr>
      <w:b/>
      <w:kern w:val="0"/>
      <w:sz w:val="32"/>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rFonts w:ascii="Times New Roman" w:hAnsi="Times New Roman"/>
      <w:szCs w:val="20"/>
    </w:rPr>
  </w:style>
  <w:style w:type="paragraph" w:styleId="3">
    <w:name w:val="Body Text"/>
    <w:basedOn w:val="1"/>
    <w:next w:val="4"/>
    <w:qFormat/>
    <w:uiPriority w:val="99"/>
    <w:pPr>
      <w:spacing w:after="120"/>
    </w:pPr>
    <w:rPr>
      <w:sz w:val="24"/>
      <w:szCs w:val="20"/>
    </w:rPr>
  </w:style>
  <w:style w:type="paragraph" w:styleId="4">
    <w:name w:val="Body Text 2"/>
    <w:basedOn w:val="1"/>
    <w:qFormat/>
    <w:uiPriority w:val="0"/>
    <w:rPr>
      <w:rFonts w:eastAsia="楷体_GB2312"/>
      <w:sz w:val="32"/>
      <w:szCs w:val="24"/>
    </w:rPr>
  </w:style>
  <w:style w:type="paragraph" w:styleId="8">
    <w:name w:val="List 3"/>
    <w:basedOn w:val="1"/>
    <w:qFormat/>
    <w:uiPriority w:val="99"/>
    <w:pPr>
      <w:ind w:left="100" w:leftChars="400" w:hanging="200" w:hangingChars="200"/>
    </w:p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Body Text Indent"/>
    <w:basedOn w:val="1"/>
    <w:qFormat/>
    <w:uiPriority w:val="99"/>
    <w:pPr>
      <w:spacing w:line="500" w:lineRule="exact"/>
      <w:ind w:left="1588" w:leftChars="832" w:firstLine="433" w:firstLineChars="196"/>
    </w:pPr>
    <w:rPr>
      <w:kern w:val="0"/>
      <w:sz w:val="24"/>
      <w:szCs w:val="20"/>
    </w:rPr>
  </w:style>
  <w:style w:type="paragraph" w:styleId="11">
    <w:name w:val="List 2"/>
    <w:basedOn w:val="1"/>
    <w:qFormat/>
    <w:uiPriority w:val="99"/>
    <w:pPr>
      <w:ind w:left="100" w:leftChars="200" w:hanging="200" w:hangingChars="200"/>
    </w:pPr>
  </w:style>
  <w:style w:type="paragraph" w:styleId="12">
    <w:name w:val="toc 3"/>
    <w:basedOn w:val="1"/>
    <w:next w:val="1"/>
    <w:unhideWhenUsed/>
    <w:qFormat/>
    <w:uiPriority w:val="39"/>
    <w:pPr>
      <w:ind w:left="840" w:leftChars="400"/>
    </w:p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style>
  <w:style w:type="paragraph" w:styleId="16">
    <w:name w:val="toc 2"/>
    <w:basedOn w:val="1"/>
    <w:next w:val="1"/>
    <w:qFormat/>
    <w:uiPriority w:val="39"/>
    <w:pPr>
      <w:ind w:left="200" w:leftChars="200"/>
    </w:pPr>
  </w:style>
  <w:style w:type="paragraph" w:styleId="17">
    <w:name w:val="Normal (Web)"/>
    <w:basedOn w:val="1"/>
    <w:qFormat/>
    <w:uiPriority w:val="0"/>
    <w:pPr>
      <w:spacing w:beforeAutospacing="1" w:after="0" w:afterAutospacing="1"/>
      <w:ind w:left="0" w:right="0"/>
      <w:jc w:val="left"/>
    </w:pPr>
    <w:rPr>
      <w:kern w:val="0"/>
      <w:sz w:val="24"/>
      <w:lang w:val="en-US" w:eastAsia="zh-CN" w:bidi="ar"/>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paragraph" w:customStyle="1" w:styleId="22">
    <w:name w:val="表格文字"/>
    <w:basedOn w:val="1"/>
    <w:next w:val="3"/>
    <w:qFormat/>
    <w:uiPriority w:val="99"/>
    <w:pPr>
      <w:spacing w:before="25" w:after="25"/>
      <w:jc w:val="left"/>
    </w:pPr>
    <w:rPr>
      <w:bCs/>
      <w:spacing w:val="10"/>
      <w:kern w:val="0"/>
      <w:sz w:val="24"/>
    </w:rPr>
  </w:style>
  <w:style w:type="paragraph" w:customStyle="1" w:styleId="23">
    <w:name w:val="样式29"/>
    <w:basedOn w:val="24"/>
    <w:qFormat/>
    <w:uiPriority w:val="99"/>
    <w:rPr>
      <w:rFonts w:eastAsia="楷体_GB2312"/>
    </w:rPr>
  </w:style>
  <w:style w:type="paragraph" w:customStyle="1" w:styleId="24">
    <w:name w:val="样式9 Char"/>
    <w:basedOn w:val="1"/>
    <w:qFormat/>
    <w:uiPriority w:val="99"/>
    <w:pPr>
      <w:widowControl/>
      <w:spacing w:line="440" w:lineRule="exact"/>
      <w:ind w:firstLine="200" w:firstLineChars="200"/>
      <w:jc w:val="left"/>
    </w:pPr>
    <w:rPr>
      <w:spacing w:val="6"/>
      <w:sz w:val="24"/>
      <w:szCs w:val="20"/>
    </w:rPr>
  </w:style>
  <w:style w:type="paragraph" w:customStyle="1" w:styleId="2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2022-09-20T02:19:31Z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C34E96D608A945FCA4D11C667B0FCE0A</vt:lpwstr>
  </property>
</Properties>
</file>