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700" w:lineRule="exact"/>
        <w:jc w:val="center"/>
        <w:rPr>
          <w:rFonts w:hint="eastAsia" w:ascii="宋体" w:hAnsi="宋体" w:eastAsia="宋体" w:cs="宋体"/>
          <w:color w:val="000000"/>
          <w:sz w:val="30"/>
          <w:szCs w:val="30"/>
          <w:highlight w:val="none"/>
        </w:rPr>
      </w:pPr>
    </w:p>
    <w:p>
      <w:pPr>
        <w:pStyle w:val="3"/>
        <w:spacing w:before="290" w:beforeLines="100" w:after="0"/>
        <w:jc w:val="center"/>
        <w:rPr>
          <w:rFonts w:hint="eastAsia" w:ascii="宋体" w:hAnsi="宋体" w:eastAsia="宋体" w:cs="宋体"/>
          <w:b/>
          <w:color w:val="000000"/>
          <w:spacing w:val="20"/>
          <w:sz w:val="44"/>
          <w:szCs w:val="44"/>
          <w:highlight w:val="none"/>
        </w:rPr>
      </w:pPr>
    </w:p>
    <w:p>
      <w:pPr>
        <w:pStyle w:val="3"/>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山东大学第二医院床旁血滤机采购</w:t>
      </w:r>
    </w:p>
    <w:p>
      <w:pPr>
        <w:pStyle w:val="3"/>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TCZX-HW-2022-038</w:t>
      </w:r>
    </w:p>
    <w:p>
      <w:pPr>
        <w:pStyle w:val="3"/>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3"/>
        <w:spacing w:after="0" w:line="700" w:lineRule="exact"/>
        <w:jc w:val="center"/>
        <w:rPr>
          <w:rFonts w:hint="eastAsia" w:ascii="宋体" w:hAnsi="宋体" w:eastAsia="宋体" w:cs="宋体"/>
          <w:color w:val="000000"/>
          <w:sz w:val="30"/>
          <w:szCs w:val="30"/>
          <w:highlight w:val="none"/>
        </w:rPr>
      </w:pPr>
    </w:p>
    <w:p>
      <w:pPr>
        <w:pStyle w:val="3"/>
        <w:spacing w:after="0" w:line="700" w:lineRule="exact"/>
        <w:jc w:val="both"/>
        <w:rPr>
          <w:rFonts w:hint="eastAsia" w:ascii="宋体" w:hAnsi="宋体" w:eastAsia="宋体" w:cs="宋体"/>
          <w:color w:val="000000"/>
          <w:sz w:val="30"/>
          <w:szCs w:val="30"/>
          <w:highlight w:val="none"/>
        </w:rPr>
      </w:pP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default" w:ascii="华文中宋" w:hAnsi="华文中宋" w:eastAsia="华文中宋" w:cs="华文中宋"/>
          <w:b w:val="0"/>
          <w:bCs/>
          <w:i w:val="0"/>
          <w:iCs w:val="0"/>
          <w:snapToGrid w:val="0"/>
          <w:spacing w:val="-2"/>
          <w:kern w:val="0"/>
          <w:sz w:val="32"/>
          <w:szCs w:val="32"/>
          <w:highlight w:val="none"/>
          <w:lang w:val="en-US" w:eastAsia="zh-CN"/>
        </w:rPr>
        <w:t>9</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3"/>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3"/>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- 49 -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- 53 -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- 53 -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- 54 -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- 56 -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- 57 -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- 58 -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- 72 -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- 76 -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66"/>
        </w:tabs>
        <w:kinsoku/>
        <w:wordWrap/>
        <w:overflowPunct/>
        <w:topLinePunct w:val="0"/>
        <w:autoSpaceDE/>
        <w:autoSpaceDN/>
        <w:bidi w:val="0"/>
        <w:adjustRightInd/>
        <w:snapToGrid/>
        <w:spacing w:line="48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4"/>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4"/>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9"/>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山东大学第二医院床旁血滤机采购</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山东大学第二医院床旁血滤机采购</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default" w:ascii="仿宋" w:hAnsi="仿宋" w:cs="仿宋"/>
          <w:bCs/>
          <w:sz w:val="28"/>
          <w:szCs w:val="28"/>
          <w:highlight w:val="none"/>
          <w:u w:val="single"/>
          <w:lang w:val="en-US" w:eastAsia="zh-CN"/>
        </w:rPr>
        <w:t>1</w:t>
      </w:r>
      <w:r>
        <w:rPr>
          <w:rFonts w:hint="eastAsia" w:ascii="仿宋" w:hAnsi="仿宋" w:cs="仿宋"/>
          <w:bCs/>
          <w:sz w:val="28"/>
          <w:szCs w:val="28"/>
          <w:highlight w:val="none"/>
          <w:u w:val="single"/>
          <w:lang w:val="en-US" w:eastAsia="zh-CN"/>
        </w:rPr>
        <w:t>0</w:t>
      </w:r>
      <w:r>
        <w:rPr>
          <w:rFonts w:hint="eastAsia" w:ascii="仿宋" w:hAnsi="仿宋" w:eastAsia="仿宋" w:cs="仿宋"/>
          <w:bCs/>
          <w:sz w:val="28"/>
          <w:szCs w:val="28"/>
          <w:highlight w:val="none"/>
          <w:u w:val="single"/>
          <w:lang w:val="en-US" w:eastAsia="zh-CN"/>
        </w:rPr>
        <w:t>月</w:t>
      </w:r>
      <w:r>
        <w:rPr>
          <w:rFonts w:hint="default" w:ascii="仿宋" w:hAnsi="仿宋" w:cs="仿宋"/>
          <w:bCs/>
          <w:sz w:val="28"/>
          <w:szCs w:val="28"/>
          <w:highlight w:val="none"/>
          <w:u w:val="single"/>
          <w:lang w:val="en-US" w:eastAsia="zh-CN"/>
        </w:rPr>
        <w:t>19</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eastAsia" w:ascii="仿宋" w:hAnsi="仿宋" w:eastAsia="仿宋" w:cs="仿宋"/>
          <w:kern w:val="0"/>
          <w:sz w:val="28"/>
          <w:szCs w:val="28"/>
          <w:highlight w:val="none"/>
          <w:u w:val="single"/>
          <w:lang w:val="en-US" w:eastAsia="zh-CN"/>
        </w:rPr>
        <w:t>09</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rPr>
        <w:t xml:space="preserve">点 </w:t>
      </w:r>
      <w:r>
        <w:rPr>
          <w:rFonts w:hint="eastAsia" w:ascii="仿宋" w:hAnsi="仿宋" w:eastAsia="仿宋" w:cs="仿宋"/>
          <w:kern w:val="0"/>
          <w:sz w:val="28"/>
          <w:szCs w:val="28"/>
          <w:highlight w:val="none"/>
          <w:u w:val="single"/>
        </w:rPr>
        <w:t>00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TCZX-HW-2022-038</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山东大学第二医院床旁血滤机采购</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default" w:ascii="仿宋" w:hAnsi="仿宋" w:cs="仿宋"/>
          <w:sz w:val="28"/>
          <w:szCs w:val="28"/>
          <w:highlight w:val="none"/>
          <w:lang w:val="en-US" w:eastAsia="zh-CN"/>
        </w:rPr>
        <w:t>38</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default" w:ascii="仿宋" w:hAnsi="仿宋" w:cs="仿宋"/>
          <w:sz w:val="28"/>
          <w:szCs w:val="28"/>
          <w:highlight w:val="none"/>
          <w:lang w:val="en-US" w:eastAsia="zh-CN"/>
        </w:rPr>
        <w:t>38</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w:t>
      </w:r>
      <w:r>
        <w:rPr>
          <w:rFonts w:hint="eastAsia" w:ascii="仿宋" w:hAnsi="仿宋" w:cs="仿宋"/>
          <w:sz w:val="28"/>
          <w:szCs w:val="28"/>
          <w:highlight w:val="none"/>
          <w:lang w:val="en-US" w:eastAsia="zh-CN"/>
        </w:rPr>
        <w:t>床旁血滤机</w:t>
      </w:r>
      <w:r>
        <w:rPr>
          <w:rFonts w:hint="default"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套，可采进口，具体详见采购要求。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w:t>
      </w:r>
      <w:r>
        <w:rPr>
          <w:rFonts w:hint="default"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（4）本项目部分设备可采进口产品，供应商所投产品为进口产品的，须提供制造商或可追溯到制造商合</w:t>
      </w:r>
      <w:r>
        <w:rPr>
          <w:rFonts w:hint="eastAsia"/>
          <w:highlight w:val="none"/>
          <w:lang w:val="en-US" w:eastAsia="zh-CN"/>
        </w:rPr>
        <w:t>法授权的</w:t>
      </w:r>
      <w:r>
        <w:rPr>
          <w:rFonts w:hint="eastAsia" w:ascii="仿宋" w:hAnsi="仿宋" w:eastAsia="仿宋" w:cs="仿宋"/>
          <w:sz w:val="28"/>
          <w:szCs w:val="28"/>
          <w:highlight w:val="none"/>
          <w:lang w:val="en-US" w:eastAsia="zh-CN"/>
        </w:rPr>
        <w:t>代理商出具的针对本项目的授权书（原件扫描件并加盖公章）；</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eastAsia" w:ascii="仿宋" w:hAnsi="仿宋" w:cs="仿宋"/>
          <w:sz w:val="28"/>
          <w:szCs w:val="28"/>
          <w:highlight w:val="none"/>
          <w:lang w:val="en-US" w:eastAsia="zh-CN"/>
        </w:rPr>
        <w:t>0</w:t>
      </w:r>
      <w:r>
        <w:rPr>
          <w:rFonts w:hint="default" w:ascii="仿宋" w:hAnsi="仿宋" w:cs="仿宋"/>
          <w:sz w:val="28"/>
          <w:szCs w:val="28"/>
          <w:highlight w:val="none"/>
          <w:lang w:val="en-US" w:eastAsia="zh-CN"/>
        </w:rPr>
        <w:t>9</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29</w:t>
      </w:r>
      <w:r>
        <w:rPr>
          <w:rFonts w:hint="eastAsia" w:ascii="仿宋" w:hAnsi="仿宋" w:eastAsia="仿宋" w:cs="仿宋"/>
          <w:sz w:val="28"/>
          <w:szCs w:val="28"/>
          <w:highlight w:val="none"/>
          <w:lang w:val="en-US" w:eastAsia="zh-CN"/>
        </w:rPr>
        <w:t>日至2022年</w:t>
      </w:r>
      <w:r>
        <w:rPr>
          <w:rFonts w:hint="default" w:ascii="仿宋" w:hAnsi="仿宋" w:cs="仿宋"/>
          <w:sz w:val="28"/>
          <w:szCs w:val="28"/>
          <w:highlight w:val="none"/>
          <w:lang w:val="en-US" w:eastAsia="zh-CN"/>
        </w:rPr>
        <w:t>1</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lang w:val="en-US" w:eastAsia="zh-CN"/>
        </w:rPr>
        <w:t>月</w:t>
      </w:r>
      <w:bookmarkStart w:id="99" w:name="_GoBack"/>
      <w:bookmarkEnd w:id="99"/>
      <w:r>
        <w:rPr>
          <w:rFonts w:hint="default" w:ascii="仿宋" w:hAnsi="仿宋" w:cs="仿宋"/>
          <w:sz w:val="28"/>
          <w:szCs w:val="28"/>
          <w:highlight w:val="none"/>
          <w:lang w:val="en-US" w:eastAsia="zh-CN"/>
        </w:rPr>
        <w:t>1</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lang w:val="en-US" w:eastAsia="zh-CN"/>
        </w:rPr>
        <w:t>日，</w:t>
      </w:r>
      <w:r>
        <w:rPr>
          <w:rFonts w:hint="eastAsia" w:ascii="仿宋" w:hAnsi="仿宋" w:eastAsia="仿宋" w:cs="仿宋"/>
          <w:sz w:val="28"/>
          <w:szCs w:val="28"/>
          <w:highlight w:val="none"/>
          <w:lang w:val="en-US" w:eastAsia="zh-CN"/>
        </w:rPr>
        <w:t>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文件的期限内联系代理机构（联系人：邵经理0531-88933166/18954549093）明确所投项目名称及项目确认，供应商项目确认后请访问中国政府采购网下载电子版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w:t>
      </w:r>
      <w:r>
        <w:rPr>
          <w:rFonts w:hint="eastAsia" w:ascii="仿宋" w:hAnsi="仿宋" w:eastAsia="仿宋" w:cs="仿宋"/>
          <w:sz w:val="28"/>
          <w:szCs w:val="28"/>
          <w:highlight w:val="none"/>
          <w:lang w:val="en-US" w:eastAsia="zh-CN"/>
        </w:rPr>
        <w:t>2022 年</w:t>
      </w:r>
      <w:r>
        <w:rPr>
          <w:rFonts w:hint="default" w:ascii="仿宋" w:hAnsi="仿宋" w:cs="仿宋"/>
          <w:sz w:val="28"/>
          <w:szCs w:val="28"/>
          <w:highlight w:val="none"/>
          <w:lang w:val="en-US" w:eastAsia="zh-CN"/>
        </w:rPr>
        <w:t>1</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19</w:t>
      </w:r>
      <w:r>
        <w:rPr>
          <w:rFonts w:hint="eastAsia" w:ascii="仿宋" w:hAnsi="仿宋" w:eastAsia="仿宋" w:cs="仿宋"/>
          <w:sz w:val="28"/>
          <w:szCs w:val="28"/>
          <w:highlight w:val="none"/>
          <w:lang w:val="en-US" w:eastAsia="zh-CN"/>
        </w:rPr>
        <w:t>日09:00（北京时间）</w:t>
      </w:r>
      <w:r>
        <w:rPr>
          <w:rFonts w:hint="eastAsia" w:ascii="仿宋" w:hAnsi="仿宋" w:eastAsia="仿宋" w:cs="仿宋"/>
          <w:sz w:val="28"/>
          <w:szCs w:val="28"/>
          <w:highlight w:val="none"/>
          <w:lang w:val="en-US" w:eastAsia="zh-CN"/>
        </w:rPr>
        <w:t>；</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5"/>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4"/>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5"/>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4028"/>
      <w:bookmarkStart w:id="13" w:name="_Toc30943"/>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7"/>
        <w:tblW w:w="51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182"/>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49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TCZX-HW-2022-038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山东大学第二医院床旁血滤机采购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default" w:ascii="仿宋" w:hAnsi="仿宋" w:cs="仿宋"/>
                <w:sz w:val="28"/>
                <w:szCs w:val="28"/>
                <w:highlight w:val="none"/>
                <w:lang w:val="en-US" w:eastAsia="zh-CN"/>
              </w:rPr>
              <w:t>38</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default" w:ascii="仿宋" w:hAnsi="仿宋" w:cs="仿宋"/>
                <w:sz w:val="28"/>
                <w:szCs w:val="28"/>
                <w:highlight w:val="none"/>
                <w:lang w:val="en-US" w:eastAsia="zh-CN"/>
              </w:rPr>
              <w:t>38</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（9）供应商所投产品为进口产品的，须提供制造商或可追溯到制造商合法授权的代理商出具的针对本项目的授权书（复印件并加盖公章）。</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（10）供应商符合法律、行政法规规定的其它要求。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default" w:ascii="仿宋" w:hAnsi="仿宋" w:cs="仿宋"/>
                <w:sz w:val="28"/>
                <w:szCs w:val="28"/>
                <w:highlight w:val="none"/>
                <w:lang w:val="en-US" w:eastAsia="zh-CN"/>
              </w:rPr>
              <w:t>1</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rPr>
              <w:t>月</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5</w:t>
            </w:r>
            <w:r>
              <w:rPr>
                <w:rFonts w:hint="eastAsia" w:ascii="仿宋" w:hAnsi="仿宋" w:eastAsia="仿宋" w:cs="仿宋"/>
                <w:sz w:val="28"/>
                <w:szCs w:val="28"/>
                <w:highlight w:val="none"/>
              </w:rPr>
              <w:t>000.00元整(大写：</w:t>
            </w:r>
            <w:r>
              <w:rPr>
                <w:rFonts w:hint="eastAsia" w:ascii="仿宋" w:hAnsi="仿宋" w:cs="仿宋"/>
                <w:sz w:val="28"/>
                <w:szCs w:val="28"/>
                <w:highlight w:val="none"/>
                <w:lang w:val="en-US" w:eastAsia="zh-CN"/>
              </w:rPr>
              <w:t>伍仟</w:t>
            </w:r>
            <w:r>
              <w:rPr>
                <w:rFonts w:hint="eastAsia" w:ascii="仿宋" w:hAnsi="仿宋" w:eastAsia="仿宋" w:cs="仿宋"/>
                <w:sz w:val="28"/>
                <w:szCs w:val="28"/>
                <w:highlight w:val="none"/>
              </w:rPr>
              <w:t>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w:t>
            </w:r>
            <w:r>
              <w:rPr>
                <w:rFonts w:hint="eastAsia" w:ascii="仿宋" w:hAnsi="仿宋" w:cs="仿宋"/>
                <w:sz w:val="28"/>
                <w:szCs w:val="28"/>
                <w:highlight w:val="none"/>
                <w:lang w:val="en-US" w:eastAsia="zh-CN"/>
              </w:rPr>
              <w:t>账</w:t>
            </w:r>
            <w:r>
              <w:rPr>
                <w:rFonts w:hint="eastAsia" w:ascii="仿宋" w:hAnsi="仿宋" w:eastAsia="仿宋" w:cs="仿宋"/>
                <w:sz w:val="28"/>
                <w:szCs w:val="28"/>
                <w:highlight w:val="none"/>
              </w:rPr>
              <w:t>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376"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近三年：2019年1</w:t>
            </w:r>
            <w:r>
              <w:rPr>
                <w:rFonts w:hint="default" w:ascii="仿宋" w:hAnsi="仿宋" w:cs="仿宋"/>
                <w:sz w:val="28"/>
                <w:szCs w:val="28"/>
                <w:highlight w:val="none"/>
                <w:lang w:val="en-US"/>
              </w:rPr>
              <w:t>0</w:t>
            </w:r>
            <w:r>
              <w:rPr>
                <w:rFonts w:hint="eastAsia" w:ascii="仿宋" w:hAnsi="仿宋" w:eastAsia="仿宋" w:cs="仿宋"/>
                <w:sz w:val="28"/>
                <w:szCs w:val="28"/>
                <w:highlight w:val="none"/>
              </w:rPr>
              <w:t>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default" w:ascii="仿宋" w:hAnsi="仿宋" w:cs="仿宋"/>
                <w:sz w:val="28"/>
                <w:szCs w:val="28"/>
                <w:highlight w:val="none"/>
                <w:lang w:val="en-US" w:eastAsia="zh-CN"/>
              </w:rPr>
              <w:t>3</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不足 3000 元按 3000 元收取，由成交供应商向代理机构交纳</w:t>
            </w:r>
            <w:r>
              <w:rPr>
                <w:rFonts w:hint="eastAsia" w:ascii="仿宋" w:hAnsi="仿宋" w:eastAsia="仿宋" w:cs="仿宋"/>
                <w:sz w:val="28"/>
                <w:szCs w:val="28"/>
                <w:highlight w:val="none"/>
              </w:rPr>
              <w:t>。供应商报价时应考虑上述费用，但不得单列。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52"/>
            </w: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33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所投产品为进口产品的需提供进口产品制造商授权书：（a）当产品国内总代理或涵盖采购人地区的总代理直接参与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时，需提供制造商对该代理的长期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文件；若</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376"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8"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501"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5"/>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7782"/>
      <w:bookmarkStart w:id="16" w:name="_Toc16336"/>
      <w:r>
        <w:rPr>
          <w:rFonts w:hint="eastAsia" w:ascii="宋体" w:hAnsi="宋体" w:eastAsia="宋体" w:cs="宋体"/>
          <w:b w:val="0"/>
          <w:kern w:val="2"/>
          <w:sz w:val="44"/>
          <w:szCs w:val="44"/>
          <w:highlight w:val="none"/>
          <w:lang w:val="en-US" w:eastAsia="zh-CN"/>
        </w:rPr>
        <w:t>供应商须知正文</w:t>
      </w:r>
      <w:bookmarkEnd w:id="15"/>
      <w:bookmarkEnd w:id="16"/>
    </w:p>
    <w:p>
      <w:pPr>
        <w:pStyle w:val="6"/>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9323"/>
      <w:bookmarkStart w:id="18" w:name="_Toc2250"/>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r>
        <w:rPr>
          <w:rFonts w:hint="eastAsia" w:ascii="仿宋" w:hAnsi="仿宋" w:cs="仿宋"/>
          <w:spacing w:val="0"/>
          <w:kern w:val="2"/>
          <w:sz w:val="28"/>
          <w:szCs w:val="28"/>
          <w:highlight w:val="none"/>
          <w:lang w:val="en-US" w:eastAsia="zh-CN" w:bidi="ar-SA"/>
        </w:rPr>
        <w:t>，不足 3000 元按 3000 元收取</w:t>
      </w:r>
      <w:r>
        <w:rPr>
          <w:rFonts w:hint="eastAsia" w:ascii="仿宋" w:hAnsi="仿宋" w:eastAsia="仿宋" w:cs="仿宋"/>
          <w:spacing w:val="0"/>
          <w:kern w:val="2"/>
          <w:sz w:val="28"/>
          <w:szCs w:val="28"/>
          <w:highlight w:val="none"/>
          <w:lang w:val="en-US" w:eastAsia="zh-CN" w:bidi="ar-SA"/>
        </w:rPr>
        <w:t>。</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其报价按无效报价处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w:t>
      </w:r>
      <w:r>
        <w:rPr>
          <w:rFonts w:hint="eastAsia" w:ascii="仿宋" w:hAnsi="仿宋" w:cs="仿宋"/>
          <w:spacing w:val="0"/>
          <w:kern w:val="2"/>
          <w:sz w:val="28"/>
          <w:szCs w:val="28"/>
          <w:highlight w:val="none"/>
          <w:lang w:val="en-US" w:eastAsia="zh-CN" w:bidi="ar-SA"/>
        </w:rPr>
        <w:t>账户</w:t>
      </w:r>
      <w:r>
        <w:rPr>
          <w:rFonts w:hint="eastAsia" w:ascii="仿宋" w:hAnsi="仿宋" w:eastAsia="仿宋" w:cs="仿宋"/>
          <w:spacing w:val="0"/>
          <w:kern w:val="2"/>
          <w:sz w:val="28"/>
          <w:szCs w:val="28"/>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7"/>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25.5.1.8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25.5.4优采、强采、节能、环境标志产品：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（1）供应商</w:t>
      </w:r>
      <w:r>
        <w:rPr>
          <w:rFonts w:hint="eastAsia" w:ascii="仿宋" w:hAnsi="仿宋" w:eastAsia="仿宋" w:cs="仿宋"/>
          <w:spacing w:val="0"/>
          <w:kern w:val="2"/>
          <w:sz w:val="28"/>
          <w:szCs w:val="28"/>
          <w:highlight w:val="none"/>
          <w:lang w:val="en-US" w:eastAsia="zh-CN" w:bidi="ar-SA"/>
        </w:rPr>
        <w:t>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产品属于强制采购的节能产品，不享受鼓励优惠政策；属于强制采购的节能产品需在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文件中提供国家确定的认证机构出具的、处于有效期之内的所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产品的节能认证证书复印件，未按规定使用强制节能产品的或未提供强制采购节能产品认证证书复印件的，按无效</w:t>
      </w:r>
      <w:r>
        <w:rPr>
          <w:rFonts w:hint="eastAsia" w:ascii="仿宋" w:hAnsi="仿宋" w:cs="仿宋"/>
          <w:spacing w:val="0"/>
          <w:kern w:val="2"/>
          <w:sz w:val="28"/>
          <w:szCs w:val="28"/>
          <w:highlight w:val="none"/>
          <w:lang w:val="en-US" w:eastAsia="zh-CN" w:bidi="ar-SA"/>
        </w:rPr>
        <w:t>报价</w:t>
      </w:r>
      <w:r>
        <w:rPr>
          <w:rFonts w:hint="eastAsia" w:ascii="仿宋" w:hAnsi="仿宋" w:eastAsia="仿宋" w:cs="仿宋"/>
          <w:spacing w:val="0"/>
          <w:kern w:val="2"/>
          <w:sz w:val="28"/>
          <w:szCs w:val="28"/>
          <w:highlight w:val="none"/>
          <w:lang w:val="en-US" w:eastAsia="zh-CN" w:bidi="ar-SA"/>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（2）供应商</w:t>
      </w:r>
      <w:r>
        <w:rPr>
          <w:rFonts w:hint="eastAsia" w:ascii="仿宋" w:hAnsi="仿宋" w:eastAsia="仿宋" w:cs="仿宋"/>
          <w:spacing w:val="0"/>
          <w:kern w:val="2"/>
          <w:sz w:val="28"/>
          <w:szCs w:val="28"/>
          <w:highlight w:val="none"/>
          <w:lang w:val="en-US" w:eastAsia="zh-CN" w:bidi="ar-SA"/>
        </w:rPr>
        <w:t>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文件中对所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9"/>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4"/>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19687"/>
      <w:bookmarkStart w:id="21" w:name="_Toc26963"/>
      <w:r>
        <w:rPr>
          <w:rFonts w:hint="eastAsia" w:ascii="Arial" w:hAnsi="Arial" w:eastAsia="黑体" w:cs="Times New Roman"/>
          <w:b w:val="0"/>
          <w:kern w:val="2"/>
          <w:sz w:val="36"/>
          <w:szCs w:val="28"/>
          <w:highlight w:val="none"/>
          <w:lang w:val="en-US" w:eastAsia="zh-CN"/>
        </w:rPr>
        <w:t>评审方法</w:t>
      </w:r>
      <w:bookmarkEnd w:id="20"/>
      <w:bookmarkEnd w:id="21"/>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根据采购人授权直接确定成交供应商。</w:t>
      </w: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50"/>
      <w:bookmarkStart w:id="23" w:name="_Toc17688"/>
      <w:r>
        <w:rPr>
          <w:rFonts w:hint="eastAsia" w:ascii="Arial" w:hAnsi="Arial" w:eastAsia="黑体" w:cs="Times New Roman"/>
          <w:b w:val="0"/>
          <w:kern w:val="2"/>
          <w:sz w:val="36"/>
          <w:szCs w:val="28"/>
          <w:highlight w:val="none"/>
          <w:lang w:val="en-US" w:eastAsia="zh-CN"/>
        </w:rPr>
        <w:t>评审细则</w:t>
      </w:r>
      <w:bookmarkEnd w:id="22"/>
      <w:bookmarkEnd w:id="23"/>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57"/>
        <w:gridCol w:w="1054"/>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493"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313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3130" w:type="pct"/>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rPr>
              <w:t>分；技术参数中每出现1条普通技术规格指标未实质性响应或负偏离的，扣</w:t>
            </w:r>
            <w:r>
              <w:rPr>
                <w:rFonts w:hint="default" w:ascii="仿宋" w:hAnsi="仿宋" w:cs="仿宋"/>
                <w:sz w:val="28"/>
                <w:szCs w:val="28"/>
                <w:highlight w:val="none"/>
                <w:lang w:val="en-US" w:eastAsia="zh-CN"/>
              </w:rPr>
              <w:t>4</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555"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cs="仿宋"/>
                <w:sz w:val="28"/>
                <w:szCs w:val="28"/>
                <w:highlight w:val="none"/>
                <w:lang w:val="en-US" w:eastAsia="zh-CN"/>
              </w:rPr>
              <w:t>10</w:t>
            </w:r>
            <w:r>
              <w:rPr>
                <w:rFonts w:hint="eastAsia" w:ascii="仿宋" w:hAnsi="仿宋" w:eastAsia="仿宋" w:cs="仿宋"/>
                <w:sz w:val="28"/>
                <w:szCs w:val="28"/>
                <w:highlight w:val="none"/>
              </w:rPr>
              <w:t>月1日至今）所</w:t>
            </w:r>
            <w:r>
              <w:rPr>
                <w:rFonts w:hint="eastAsia" w:ascii="仿宋" w:hAnsi="仿宋" w:eastAsia="仿宋" w:cs="仿宋"/>
                <w:sz w:val="28"/>
                <w:szCs w:val="28"/>
                <w:highlight w:val="none"/>
              </w:rPr>
              <w:t>投产品的业绩，每个项目得1分，最多得3分，没有业绩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w:t>
            </w:r>
            <w:r>
              <w:rPr>
                <w:rFonts w:hint="eastAsia" w:ascii="仿宋" w:hAnsi="仿宋" w:cs="仿宋"/>
                <w:sz w:val="28"/>
                <w:szCs w:val="28"/>
                <w:highlight w:val="none"/>
                <w:lang w:val="en-US" w:eastAsia="zh-CN"/>
              </w:rPr>
              <w:t>磋商小组</w:t>
            </w:r>
            <w:r>
              <w:rPr>
                <w:rFonts w:hint="eastAsia" w:ascii="仿宋" w:hAnsi="仿宋" w:eastAsia="仿宋" w:cs="仿宋"/>
                <w:sz w:val="28"/>
                <w:szCs w:val="28"/>
                <w:highlight w:val="none"/>
                <w:lang w:val="en-US" w:eastAsia="zh-CN"/>
              </w:rPr>
              <w:t>认可的实质性优惠条款，每提供一条得1分，最高得2分，无不得分。</w:t>
            </w:r>
          </w:p>
        </w:tc>
      </w:tr>
    </w:tbl>
    <w:p>
      <w:pPr>
        <w:pStyle w:val="2"/>
        <w:rPr>
          <w:rFonts w:hint="eastAsia"/>
          <w:highlight w:val="none"/>
          <w:lang w:val="en-US" w:eastAsia="zh-CN"/>
        </w:rPr>
      </w:pP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21077"/>
      <w:bookmarkStart w:id="25" w:name="_Toc3782"/>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7284"/>
      <w:bookmarkStart w:id="27" w:name="_Toc855"/>
      <w:bookmarkStart w:id="28" w:name="_Toc7010"/>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w:t>
      </w:r>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rPr>
        <w:t>%的价格扣除。如果联合体各方均为小型、微型企业的，联合体视同为小型、微型企业，但联合体各方均应按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19809"/>
      <w:bookmarkStart w:id="30" w:name="_Toc14175"/>
      <w:bookmarkStart w:id="31" w:name="_Toc6941"/>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1135"/>
      <w:bookmarkStart w:id="33" w:name="_Toc25000"/>
      <w:bookmarkStart w:id="34" w:name="_Toc30230"/>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r>
        <w:rPr>
          <w:rFonts w:hint="eastAsia" w:ascii="Calibri" w:hAnsi="Calibri" w:eastAsia="楷体" w:cs="Times New Roman"/>
          <w:b/>
          <w:kern w:val="2"/>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hint="eastAsia" w:ascii="仿宋" w:hAnsi="仿宋" w:eastAsia="仿宋" w:cs="仿宋"/>
          <w:sz w:val="28"/>
          <w:szCs w:val="28"/>
          <w:highlight w:val="none"/>
        </w:rPr>
        <w:t>。</w:t>
      </w:r>
    </w:p>
    <w:p>
      <w:pPr>
        <w:pStyle w:val="4"/>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5"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5"/>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4499"/>
        <w:gridCol w:w="1138"/>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6"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369"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599"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444"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86"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369"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pacing w:val="0"/>
                <w:kern w:val="2"/>
                <w:sz w:val="28"/>
                <w:szCs w:val="28"/>
                <w:highlight w:val="none"/>
                <w:lang w:val="en-US" w:eastAsia="zh-CN" w:bidi="ar-SA"/>
              </w:rPr>
              <w:t>床旁血滤机</w:t>
            </w:r>
          </w:p>
        </w:tc>
        <w:tc>
          <w:tcPr>
            <w:tcW w:w="599" w:type="pct"/>
            <w:noWrap/>
            <w:vAlign w:val="center"/>
          </w:tcPr>
          <w:p>
            <w:pPr>
              <w:spacing w:line="240" w:lineRule="auto"/>
              <w:jc w:val="center"/>
              <w:rPr>
                <w:rFonts w:hint="default"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2</w:t>
            </w:r>
            <w:r>
              <w:rPr>
                <w:rFonts w:hint="eastAsia" w:ascii="仿宋" w:hAnsi="仿宋" w:cs="仿宋"/>
                <w:sz w:val="28"/>
                <w:szCs w:val="28"/>
                <w:highlight w:val="none"/>
                <w:lang w:val="en-US" w:eastAsia="zh-CN"/>
              </w:rPr>
              <w:t>套</w:t>
            </w:r>
          </w:p>
        </w:tc>
        <w:tc>
          <w:tcPr>
            <w:tcW w:w="1444" w:type="pct"/>
            <w:noWrap/>
            <w:vAlign w:val="center"/>
          </w:tcPr>
          <w:p>
            <w:pPr>
              <w:spacing w:line="240" w:lineRule="auto"/>
              <w:jc w:val="center"/>
              <w:rPr>
                <w:rFonts w:hint="eastAsia" w:ascii="仿宋" w:hAnsi="仿宋" w:eastAsia="仿宋" w:cs="仿宋"/>
                <w:color w:val="000000"/>
                <w:sz w:val="28"/>
                <w:szCs w:val="28"/>
                <w:highlight w:val="none"/>
              </w:rPr>
            </w:pPr>
            <w:r>
              <w:rPr>
                <w:rFonts w:hint="eastAsia" w:ascii="宋体" w:hAnsi="宋体"/>
                <w:b/>
                <w:bCs/>
                <w:color w:val="000000"/>
                <w:sz w:val="24"/>
                <w:szCs w:val="24"/>
                <w:highlight w:val="none"/>
                <w:lang w:val="en-US" w:eastAsia="zh-CN"/>
              </w:rPr>
              <w:t>可采进口</w:t>
            </w:r>
          </w:p>
        </w:tc>
      </w:tr>
    </w:tbl>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val="0"/>
          <w:bCs w:val="0"/>
          <w:sz w:val="28"/>
          <w:szCs w:val="28"/>
          <w:highlight w:val="none"/>
          <w:lang w:eastAsia="zh-CN"/>
        </w:rPr>
      </w:pPr>
      <w:r>
        <w:rPr>
          <w:rFonts w:hint="eastAsia" w:ascii="仿宋" w:hAnsi="仿宋" w:eastAsia="仿宋" w:cs="仿宋"/>
          <w:b w:val="0"/>
          <w:bCs w:val="0"/>
          <w:color w:val="000000"/>
          <w:sz w:val="28"/>
          <w:szCs w:val="28"/>
          <w:highlight w:val="none"/>
          <w:lang w:val="en-US" w:eastAsia="zh-CN"/>
        </w:rPr>
        <w:t>二、采购设备</w:t>
      </w:r>
      <w:r>
        <w:rPr>
          <w:rFonts w:hint="eastAsia" w:ascii="仿宋" w:hAnsi="仿宋" w:eastAsia="仿宋" w:cs="仿宋"/>
          <w:b w:val="0"/>
          <w:bCs w:val="0"/>
          <w:color w:val="000000"/>
          <w:sz w:val="28"/>
          <w:szCs w:val="28"/>
          <w:highlight w:val="none"/>
        </w:rPr>
        <w:t>技术参数</w:t>
      </w:r>
      <w:r>
        <w:rPr>
          <w:rFonts w:hint="eastAsia" w:ascii="仿宋" w:hAnsi="仿宋" w:eastAsia="仿宋" w:cs="仿宋"/>
          <w:b w:val="0"/>
          <w:bCs w:val="0"/>
          <w:color w:val="0D0D0D"/>
          <w:sz w:val="28"/>
          <w:szCs w:val="28"/>
          <w:highlight w:val="none"/>
        </w:rPr>
        <w:t>要求：</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一</w:t>
      </w: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、治疗模式</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color w:val="000000"/>
          <w:kern w:val="0"/>
          <w:sz w:val="28"/>
          <w:szCs w:val="28"/>
          <w:highlight w:val="none"/>
          <w:lang w:val="en-US" w:eastAsia="zh-CN" w:bidi="ar"/>
        </w:rPr>
        <w:t xml:space="preserve">SCUF（缓慢连续单纯超滤）、CVVH（连续性静脉-静脉血液滤过）、CVVHD（连续性静脉-静脉血液透析）、CVVHDF（连续性静脉-静脉血液透析滤过）、TPE（血浆置换）、HP （血液灌流）。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二</w:t>
      </w: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 xml:space="preserve">、结构功能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 ≥10英寸彩色可旋转的屏幕，配合内置智能软件方便使用；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 中文操作界面，图文显示操作指引；</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3. 具有再循环模式，方便临床因检查或疾病转变暂时性的中断治疗，节约治疗成本；</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4. 设备≥2个高精度称重计，总称重计的称重范围：最大承重不少于40kg，电子秤的线性精度至少达到0.14%，具有零点校准功能；</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5. 每套设备至少配置血滤机管路+血液滤过器套装28套，整套耗材限价1780元</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6. 具备置换液加热系统，温度范围≥35～39℃，置换液温度控制精度：±1℃；</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7. 具备实时显示达成肾剂量功能：帮助操作者制定治疗处方，内置剂量计算器可实时结算，帮助了解治疗有效性，评估达成剂量，提高CRRT治疗质量；</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8. 连续记录患者治疗详细信息≥95小时；</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9. 为保证治疗病人的液体容量管理安全，要求设备具备精密的液体平衡管理措施，单次治疗允许设备最大平衡偏差50ml。</w:t>
      </w:r>
    </w:p>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2、技术规格要求</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3"/>
        <w:spacing w:after="0" w:line="480" w:lineRule="exact"/>
        <w:ind w:firstLine="700" w:firstLineChars="250"/>
        <w:jc w:val="left"/>
        <w:rPr>
          <w:rFonts w:hint="eastAsia" w:ascii="仿宋" w:hAnsi="仿宋" w:eastAsia="仿宋" w:cs="仿宋"/>
          <w:sz w:val="28"/>
          <w:szCs w:val="28"/>
          <w:highlight w:val="none"/>
        </w:rPr>
      </w:pPr>
    </w:p>
    <w:p>
      <w:pPr>
        <w:pStyle w:val="4"/>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6"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6"/>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2"/>
        <w:rPr>
          <w:rFonts w:hint="eastAsia" w:ascii="宋体" w:hAnsi="宋体" w:eastAsia="宋体" w:cs="宋体"/>
          <w:highlight w:val="none"/>
        </w:rPr>
      </w:pPr>
    </w:p>
    <w:p>
      <w:pPr>
        <w:pStyle w:val="3"/>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7" w:name="_Toc14605"/>
      <w:bookmarkStart w:id="38" w:name="_Toc6202"/>
      <w:r>
        <w:rPr>
          <w:rFonts w:hint="eastAsia" w:ascii="Arial" w:hAnsi="Arial" w:eastAsia="黑体" w:cs="Times New Roman"/>
          <w:b w:val="0"/>
          <w:kern w:val="2"/>
          <w:sz w:val="36"/>
          <w:szCs w:val="28"/>
          <w:highlight w:val="none"/>
        </w:rPr>
        <w:t>一、合同文件</w:t>
      </w:r>
      <w:bookmarkEnd w:id="37"/>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9" w:name="_Toc32520"/>
      <w:bookmarkStart w:id="40" w:name="_Toc22929"/>
      <w:r>
        <w:rPr>
          <w:rFonts w:hint="eastAsia" w:ascii="Arial" w:hAnsi="Arial" w:eastAsia="黑体" w:cs="Times New Roman"/>
          <w:b w:val="0"/>
          <w:kern w:val="2"/>
          <w:sz w:val="36"/>
          <w:szCs w:val="28"/>
          <w:highlight w:val="none"/>
        </w:rPr>
        <w:t>二、合同的范围和条件</w:t>
      </w:r>
      <w:bookmarkEnd w:id="39"/>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1" w:name="_Toc25344"/>
      <w:bookmarkStart w:id="42" w:name="_Toc23763"/>
      <w:r>
        <w:rPr>
          <w:rFonts w:hint="eastAsia" w:ascii="Arial" w:hAnsi="Arial" w:eastAsia="黑体" w:cs="Times New Roman"/>
          <w:b w:val="0"/>
          <w:kern w:val="2"/>
          <w:sz w:val="36"/>
          <w:szCs w:val="28"/>
          <w:highlight w:val="none"/>
        </w:rPr>
        <w:t>三、货物、数量及规格</w:t>
      </w:r>
      <w:bookmarkEnd w:id="41"/>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3" w:name="_Toc8807"/>
      <w:bookmarkStart w:id="44" w:name="_Toc272"/>
      <w:r>
        <w:rPr>
          <w:rFonts w:hint="eastAsia" w:ascii="Arial" w:hAnsi="Arial" w:eastAsia="黑体" w:cs="Times New Roman"/>
          <w:b w:val="0"/>
          <w:kern w:val="2"/>
          <w:sz w:val="36"/>
          <w:szCs w:val="28"/>
          <w:highlight w:val="none"/>
        </w:rPr>
        <w:t>四、合同金额</w:t>
      </w:r>
      <w:bookmarkEnd w:id="43"/>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5" w:name="_Toc13328"/>
      <w:bookmarkStart w:id="46" w:name="_Toc17889"/>
      <w:r>
        <w:rPr>
          <w:rFonts w:hint="eastAsia" w:ascii="Arial" w:hAnsi="Arial" w:eastAsia="黑体" w:cs="Times New Roman"/>
          <w:b w:val="0"/>
          <w:kern w:val="2"/>
          <w:sz w:val="36"/>
          <w:szCs w:val="28"/>
          <w:highlight w:val="none"/>
        </w:rPr>
        <w:t>五、付款途径</w:t>
      </w:r>
      <w:bookmarkEnd w:id="45"/>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7" w:name="_Toc25500"/>
      <w:bookmarkStart w:id="48" w:name="_Toc9881"/>
      <w:r>
        <w:rPr>
          <w:rFonts w:hint="eastAsia" w:ascii="Arial" w:hAnsi="Arial" w:eastAsia="黑体" w:cs="Times New Roman"/>
          <w:b w:val="0"/>
          <w:kern w:val="2"/>
          <w:sz w:val="36"/>
          <w:szCs w:val="28"/>
          <w:highlight w:val="none"/>
        </w:rPr>
        <w:t>六、付款方式</w:t>
      </w:r>
      <w:bookmarkEnd w:id="47"/>
      <w:bookmarkEnd w:id="4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49" w:name="_Toc11362"/>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10832"/>
      <w:r>
        <w:rPr>
          <w:rFonts w:hint="eastAsia" w:ascii="Arial" w:hAnsi="Arial" w:eastAsia="黑体" w:cs="Times New Roman"/>
          <w:b w:val="0"/>
          <w:kern w:val="2"/>
          <w:sz w:val="36"/>
          <w:szCs w:val="28"/>
          <w:highlight w:val="none"/>
        </w:rPr>
        <w:t>七、交货日期、地点</w:t>
      </w:r>
      <w:bookmarkEnd w:id="49"/>
      <w:bookmarkEnd w:id="5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1" w:name="_Toc2358"/>
      <w:bookmarkStart w:id="52" w:name="_Toc18187"/>
      <w:r>
        <w:rPr>
          <w:rFonts w:hint="eastAsia" w:ascii="Arial" w:hAnsi="Arial" w:eastAsia="黑体" w:cs="Times New Roman"/>
          <w:b w:val="0"/>
          <w:kern w:val="2"/>
          <w:sz w:val="36"/>
          <w:szCs w:val="28"/>
          <w:highlight w:val="none"/>
        </w:rPr>
        <w:t>八、质量标准和验收</w:t>
      </w:r>
      <w:bookmarkEnd w:id="51"/>
      <w:bookmarkEnd w:id="5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23410"/>
      <w:bookmarkStart w:id="54" w:name="_Toc26222"/>
      <w:r>
        <w:rPr>
          <w:rFonts w:hint="eastAsia" w:ascii="Arial" w:hAnsi="Arial" w:eastAsia="黑体" w:cs="Times New Roman"/>
          <w:b w:val="0"/>
          <w:kern w:val="2"/>
          <w:sz w:val="36"/>
          <w:szCs w:val="28"/>
          <w:highlight w:val="none"/>
        </w:rPr>
        <w:t>九、履约保证金</w:t>
      </w:r>
      <w:bookmarkEnd w:id="53"/>
      <w:bookmarkEnd w:id="5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5" w:name="_Toc8157"/>
      <w:bookmarkStart w:id="56" w:name="_Toc16424"/>
      <w:r>
        <w:rPr>
          <w:rFonts w:hint="eastAsia" w:ascii="Arial" w:hAnsi="Arial" w:eastAsia="黑体" w:cs="Times New Roman"/>
          <w:b w:val="0"/>
          <w:kern w:val="2"/>
          <w:sz w:val="36"/>
          <w:szCs w:val="28"/>
          <w:highlight w:val="none"/>
        </w:rPr>
        <w:t>十、违约责任</w:t>
      </w:r>
      <w:bookmarkEnd w:id="55"/>
      <w:bookmarkEnd w:id="5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7" w:name="_Toc18228"/>
      <w:bookmarkStart w:id="58" w:name="_Toc15291"/>
      <w:r>
        <w:rPr>
          <w:rFonts w:hint="eastAsia" w:ascii="Arial" w:hAnsi="Arial" w:eastAsia="黑体" w:cs="Times New Roman"/>
          <w:b w:val="0"/>
          <w:kern w:val="2"/>
          <w:sz w:val="36"/>
          <w:szCs w:val="28"/>
          <w:highlight w:val="none"/>
        </w:rPr>
        <w:t>十一、争议解决</w:t>
      </w:r>
      <w:bookmarkEnd w:id="57"/>
      <w:bookmarkEnd w:id="5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9" w:name="_Toc31796"/>
      <w:bookmarkStart w:id="60" w:name="_Toc8912"/>
      <w:r>
        <w:rPr>
          <w:rFonts w:hint="eastAsia" w:ascii="Arial" w:hAnsi="Arial" w:eastAsia="黑体" w:cs="Times New Roman"/>
          <w:b w:val="0"/>
          <w:kern w:val="2"/>
          <w:sz w:val="36"/>
          <w:szCs w:val="28"/>
          <w:highlight w:val="none"/>
        </w:rPr>
        <w:t>十二、合同生效</w:t>
      </w:r>
      <w:bookmarkEnd w:id="59"/>
      <w:bookmarkEnd w:id="6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1" w:name="_Toc439"/>
      <w:bookmarkStart w:id="62" w:name="_Toc17395"/>
      <w:r>
        <w:rPr>
          <w:rFonts w:hint="eastAsia" w:ascii="Arial" w:hAnsi="Arial" w:eastAsia="黑体" w:cs="Times New Roman"/>
          <w:b w:val="0"/>
          <w:kern w:val="2"/>
          <w:sz w:val="36"/>
          <w:szCs w:val="28"/>
          <w:highlight w:val="none"/>
        </w:rPr>
        <w:t>十三、其他</w:t>
      </w:r>
      <w:bookmarkEnd w:id="61"/>
      <w:bookmarkEnd w:id="6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3" w:name="_Toc15058"/>
      <w:bookmarkStart w:id="64" w:name="_Toc2577"/>
      <w:r>
        <w:rPr>
          <w:rFonts w:hint="eastAsia" w:ascii="Arial" w:hAnsi="Arial" w:eastAsia="黑体" w:cs="Times New Roman"/>
          <w:b w:val="0"/>
          <w:kern w:val="2"/>
          <w:sz w:val="36"/>
          <w:szCs w:val="28"/>
          <w:highlight w:val="none"/>
        </w:rPr>
        <w:t>十四、合同保存</w:t>
      </w:r>
      <w:bookmarkEnd w:id="63"/>
      <w:bookmarkEnd w:id="6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4"/>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5"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5"/>
    </w:p>
    <w:p>
      <w:pPr>
        <w:pStyle w:val="5"/>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6" w:name="_Toc24896"/>
      <w:r>
        <w:rPr>
          <w:rFonts w:hint="eastAsia" w:ascii="Arial" w:hAnsi="Arial" w:eastAsia="黑体" w:cs="Times New Roman"/>
          <w:b w:val="0"/>
          <w:kern w:val="2"/>
          <w:sz w:val="32"/>
          <w:szCs w:val="32"/>
          <w:highlight w:val="none"/>
        </w:rPr>
        <w:t>附件一：报价函</w:t>
      </w:r>
      <w:bookmarkEnd w:id="66"/>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w:t>
      </w:r>
      <w:r>
        <w:rPr>
          <w:rFonts w:hint="eastAsia" w:ascii="仿宋" w:hAnsi="仿宋" w:cs="仿宋"/>
          <w:spacing w:val="0"/>
          <w:kern w:val="2"/>
          <w:sz w:val="28"/>
          <w:szCs w:val="28"/>
          <w:highlight w:val="none"/>
          <w:lang w:val="en-US" w:eastAsia="zh-CN" w:bidi="ar-SA"/>
        </w:rPr>
        <w:t>账号</w:t>
      </w:r>
      <w:r>
        <w:rPr>
          <w:rFonts w:hint="eastAsia" w:ascii="仿宋" w:hAnsi="仿宋" w:eastAsia="仿宋" w:cs="仿宋"/>
          <w:spacing w:val="0"/>
          <w:kern w:val="2"/>
          <w:sz w:val="28"/>
          <w:szCs w:val="28"/>
          <w:highlight w:val="none"/>
          <w:lang w:val="en-US" w:eastAsia="zh-CN" w:bidi="ar-SA"/>
        </w:rPr>
        <w:t>：</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5"/>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67" w:name="_Toc15950"/>
      <w:bookmarkStart w:id="68" w:name="_Toc24306"/>
      <w:r>
        <w:rPr>
          <w:rFonts w:hint="eastAsia" w:ascii="Arial" w:hAnsi="Arial" w:eastAsia="黑体" w:cs="Times New Roman"/>
          <w:b w:val="0"/>
          <w:kern w:val="2"/>
          <w:sz w:val="32"/>
          <w:szCs w:val="32"/>
          <w:highlight w:val="none"/>
          <w:lang w:val="en-US" w:eastAsia="zh-CN"/>
        </w:rPr>
        <w:t>附件二：法定代表人身份证明</w:t>
      </w:r>
      <w:bookmarkEnd w:id="67"/>
      <w:bookmarkEnd w:id="68"/>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69" w:name="_Toc7468"/>
      <w:r>
        <w:rPr>
          <w:rFonts w:hint="eastAsia" w:ascii="Arial" w:hAnsi="Arial" w:eastAsia="黑体" w:cs="Times New Roman"/>
          <w:b w:val="0"/>
          <w:kern w:val="2"/>
          <w:sz w:val="32"/>
          <w:szCs w:val="32"/>
          <w:highlight w:val="none"/>
          <w:lang w:val="en-US" w:eastAsia="zh-CN" w:bidi="ar-SA"/>
        </w:rPr>
        <w:t>附件三：授权委托书</w:t>
      </w:r>
      <w:bookmarkEnd w:id="69"/>
    </w:p>
    <w:p>
      <w:pPr>
        <w:pStyle w:val="3"/>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0" w:name="_Toc23170"/>
      <w:r>
        <w:rPr>
          <w:rFonts w:hint="eastAsia" w:ascii="Arial" w:hAnsi="Arial" w:eastAsia="黑体" w:cs="Times New Roman"/>
          <w:b w:val="0"/>
          <w:kern w:val="2"/>
          <w:sz w:val="32"/>
          <w:szCs w:val="32"/>
          <w:highlight w:val="none"/>
          <w:lang w:val="en-US" w:eastAsia="zh-CN" w:bidi="ar-SA"/>
        </w:rPr>
        <w:t>附件四：报价一览表</w:t>
      </w:r>
      <w:bookmarkEnd w:id="70"/>
    </w:p>
    <w:p>
      <w:pPr>
        <w:pStyle w:val="3"/>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产品名称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1" w:name="_Toc8355"/>
      <w:r>
        <w:rPr>
          <w:rFonts w:hint="eastAsia" w:ascii="Arial" w:hAnsi="Arial" w:eastAsia="黑体" w:cs="Times New Roman"/>
          <w:b w:val="0"/>
          <w:kern w:val="2"/>
          <w:sz w:val="32"/>
          <w:szCs w:val="32"/>
          <w:highlight w:val="none"/>
          <w:lang w:val="en-US" w:eastAsia="zh-CN" w:bidi="ar-SA"/>
        </w:rPr>
        <w:t>附件五：报价明细表</w:t>
      </w:r>
      <w:bookmarkEnd w:id="71"/>
    </w:p>
    <w:p>
      <w:pPr>
        <w:tabs>
          <w:tab w:val="left" w:pos="1785"/>
        </w:tabs>
        <w:spacing w:line="480" w:lineRule="exact"/>
        <w:rPr>
          <w:rFonts w:hint="eastAsia" w:ascii="仿宋" w:hAnsi="仿宋" w:eastAsia="仿宋" w:cs="仿宋"/>
          <w:color w:val="000000"/>
          <w:sz w:val="28"/>
          <w:szCs w:val="28"/>
          <w:highlight w:val="none"/>
        </w:rPr>
      </w:pPr>
      <w:bookmarkStart w:id="72" w:name="OLE_LINK3"/>
      <w:bookmarkStart w:id="73" w:name="OLE_LINK4"/>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2"/>
    <w:bookmarkEnd w:id="73"/>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24899"/>
      <w:r>
        <w:rPr>
          <w:rFonts w:hint="eastAsia" w:ascii="Arial" w:hAnsi="Arial" w:eastAsia="黑体" w:cs="Times New Roman"/>
          <w:b w:val="0"/>
          <w:kern w:val="2"/>
          <w:sz w:val="32"/>
          <w:szCs w:val="32"/>
          <w:highlight w:val="none"/>
          <w:lang w:val="en-US" w:eastAsia="zh-CN" w:bidi="ar-SA"/>
        </w:rPr>
        <w:t>附件六：技术规格响应/偏离表</w:t>
      </w:r>
      <w:bookmarkEnd w:id="74"/>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5" w:name="_Toc32268"/>
      <w:r>
        <w:rPr>
          <w:rFonts w:hint="eastAsia" w:ascii="Arial" w:hAnsi="Arial" w:eastAsia="黑体" w:cs="Times New Roman"/>
          <w:b w:val="0"/>
          <w:kern w:val="2"/>
          <w:sz w:val="32"/>
          <w:szCs w:val="32"/>
          <w:highlight w:val="none"/>
          <w:lang w:val="en-US" w:eastAsia="zh-CN" w:bidi="ar-SA"/>
        </w:rPr>
        <w:t>附件七:商务条款响应/偏离表</w:t>
      </w:r>
      <w:bookmarkEnd w:id="75"/>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6" w:name="_Toc1189"/>
      <w:r>
        <w:rPr>
          <w:rFonts w:hint="eastAsia" w:ascii="Arial" w:hAnsi="Arial" w:eastAsia="黑体" w:cs="Times New Roman"/>
          <w:b w:val="0"/>
          <w:kern w:val="2"/>
          <w:sz w:val="32"/>
          <w:szCs w:val="32"/>
          <w:highlight w:val="none"/>
          <w:lang w:val="en-US" w:eastAsia="zh-CN" w:bidi="ar-SA"/>
        </w:rPr>
        <w:t>附件八：产品性能描述一览表</w:t>
      </w:r>
      <w:bookmarkEnd w:id="76"/>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77"/>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78" w:name="_Toc13571"/>
      <w:r>
        <w:rPr>
          <w:rFonts w:hint="eastAsia" w:ascii="Arial" w:hAnsi="Arial" w:eastAsia="黑体" w:cs="Times New Roman"/>
          <w:b w:val="0"/>
          <w:kern w:val="2"/>
          <w:sz w:val="36"/>
          <w:szCs w:val="28"/>
          <w:highlight w:val="none"/>
          <w:lang w:val="en-US" w:eastAsia="zh-CN" w:bidi="ar-SA"/>
        </w:rPr>
        <w:t>（格式自定）</w:t>
      </w:r>
      <w:bookmarkEnd w:id="78"/>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9"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79"/>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0" w:name="_Toc29714"/>
      <w:r>
        <w:rPr>
          <w:rFonts w:hint="eastAsia" w:ascii="Arial" w:hAnsi="Arial" w:eastAsia="黑体" w:cs="Times New Roman"/>
          <w:b w:val="0"/>
          <w:kern w:val="2"/>
          <w:sz w:val="36"/>
          <w:szCs w:val="28"/>
          <w:highlight w:val="none"/>
          <w:lang w:val="en-US" w:eastAsia="zh-CN" w:bidi="ar-SA"/>
        </w:rPr>
        <w:t>（格式自定）</w:t>
      </w:r>
      <w:bookmarkEnd w:id="80"/>
    </w:p>
    <w:p>
      <w:pPr>
        <w:pStyle w:val="5"/>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1"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1"/>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2" w:name="_Toc29643"/>
      <w:r>
        <w:rPr>
          <w:rFonts w:hint="eastAsia" w:ascii="Arial" w:hAnsi="Arial" w:eastAsia="黑体" w:cs="Times New Roman"/>
          <w:b w:val="0"/>
          <w:kern w:val="2"/>
          <w:sz w:val="32"/>
          <w:szCs w:val="32"/>
          <w:highlight w:val="none"/>
          <w:lang w:val="en-US" w:eastAsia="zh-CN" w:bidi="ar-SA"/>
        </w:rPr>
        <w:t>附件十二：证明文件格式（参考）</w:t>
      </w:r>
      <w:bookmarkEnd w:id="82"/>
    </w:p>
    <w:p>
      <w:pPr>
        <w:pStyle w:val="14"/>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供应商所投产品为进口产品的，须提供制造商授权委托书。</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（10）供应商符合法律、行政法规规定的其它要求。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3" w:name="_Toc32416"/>
      <w:bookmarkStart w:id="84" w:name="_Toc23872"/>
      <w:r>
        <w:rPr>
          <w:rFonts w:hint="eastAsia" w:ascii="Calibri" w:hAnsi="Calibri" w:eastAsia="楷体" w:cs="Times New Roman"/>
          <w:b/>
          <w:kern w:val="2"/>
          <w:sz w:val="32"/>
          <w:szCs w:val="28"/>
          <w:highlight w:val="none"/>
          <w:lang w:val="en-US" w:eastAsia="zh-CN" w:bidi="ar-SA"/>
        </w:rPr>
        <w:t>格式2  供应商不存在关联关系声明</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5" w:name="_Toc11401"/>
      <w:bookmarkStart w:id="86" w:name="_Toc5286"/>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7"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87"/>
      <w:r>
        <w:rPr>
          <w:rFonts w:hint="eastAsia" w:ascii="Calibri" w:hAnsi="Calibri" w:eastAsia="楷体" w:cs="Times New Roman"/>
          <w:b/>
          <w:kern w:val="2"/>
          <w:sz w:val="32"/>
          <w:szCs w:val="28"/>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w:t>
      </w:r>
      <w:r>
        <w:rPr>
          <w:rFonts w:hint="eastAsia" w:ascii="仿宋" w:hAnsi="仿宋" w:cs="仿宋"/>
          <w:b w:val="0"/>
          <w:bCs/>
          <w:kern w:val="2"/>
          <w:sz w:val="28"/>
          <w:szCs w:val="28"/>
          <w:highlight w:val="none"/>
          <w:lang w:val="en-US" w:eastAsia="zh-CN" w:bidi="ar-SA"/>
        </w:rPr>
        <w:t>响</w:t>
      </w:r>
      <w:r>
        <w:rPr>
          <w:rFonts w:hint="eastAsia" w:ascii="仿宋" w:hAnsi="仿宋" w:eastAsia="仿宋" w:cs="仿宋"/>
          <w:b w:val="0"/>
          <w:bCs/>
          <w:kern w:val="2"/>
          <w:sz w:val="28"/>
          <w:szCs w:val="28"/>
          <w:highlight w:val="none"/>
          <w:lang w:val="en-US" w:eastAsia="zh-CN" w:bidi="ar-SA"/>
        </w:rPr>
        <w:t>应文件配备履行本合同所需设备及人员，如违反上述承诺，本公司将按照政府采购法有关规定接受处罚。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1"/>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1"/>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w:t>
      </w:r>
    </w:p>
    <w:p>
      <w:pPr>
        <w:pStyle w:val="21"/>
        <w:keepNext w:val="0"/>
        <w:keepLines w:val="0"/>
        <w:pageBreakBefore w:val="0"/>
        <w:kinsoku/>
        <w:wordWrap/>
        <w:overflowPunct/>
        <w:topLinePunct w:val="0"/>
        <w:autoSpaceDE/>
        <w:autoSpaceDN/>
        <w:bidi w:val="0"/>
        <w:adjustRightInd/>
        <w:snapToGrid/>
        <w:spacing w:before="240" w:after="145" w:line="360" w:lineRule="auto"/>
        <w:ind w:left="0" w:leftChars="0" w:firstLine="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（1）从业人员、营业收入、资产总额填报上一年度数据，无上一年度数据的新成立企业可不填报。</w:t>
      </w:r>
    </w:p>
    <w:p>
      <w:pPr>
        <w:spacing w:line="360" w:lineRule="auto"/>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p>
    <w:p>
      <w:pPr>
        <w:spacing w:line="360" w:lineRule="auto"/>
        <w:ind w:firstLine="960" w:firstLineChars="400"/>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pacing w:val="0"/>
          <w:kern w:val="2"/>
          <w:sz w:val="24"/>
          <w:szCs w:val="20"/>
          <w:highlight w:val="none"/>
          <w:lang w:val="en-US" w:eastAsia="zh-CN" w:bidi="ar-SA"/>
        </w:rPr>
        <w:br w:type="page"/>
      </w:r>
      <w:bookmarkStart w:id="88" w:name="_Toc492372156"/>
      <w:bookmarkStart w:id="89" w:name="_Toc499827580"/>
      <w:bookmarkStart w:id="90" w:name="_Toc499831025"/>
      <w:r>
        <w:rPr>
          <w:rFonts w:hint="eastAsia" w:ascii="Calibri" w:hAnsi="Calibri" w:eastAsia="楷体" w:cs="Times New Roman"/>
          <w:b/>
          <w:kern w:val="2"/>
          <w:sz w:val="32"/>
          <w:szCs w:val="28"/>
          <w:highlight w:val="none"/>
          <w:lang w:val="en-US" w:eastAsia="zh-CN" w:bidi="ar-SA"/>
        </w:rPr>
        <w:t xml:space="preserve">格式6  </w:t>
      </w:r>
      <w:bookmarkEnd w:id="88"/>
      <w:r>
        <w:rPr>
          <w:rFonts w:hint="eastAsia" w:ascii="Calibri" w:hAnsi="Calibri" w:eastAsia="楷体" w:cs="Times New Roman"/>
          <w:b/>
          <w:kern w:val="2"/>
          <w:sz w:val="32"/>
          <w:szCs w:val="28"/>
          <w:highlight w:val="none"/>
          <w:lang w:val="en-US" w:eastAsia="zh-CN" w:bidi="ar-SA"/>
        </w:rPr>
        <w:t>残疾人福利性单位声明函</w:t>
      </w:r>
      <w:bookmarkEnd w:id="89"/>
      <w:bookmarkEnd w:id="90"/>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1"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1"/>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default" w:ascii="仿宋" w:hAnsi="仿宋" w:eastAsia="仿宋" w:cs="仿宋"/>
                <w:highlight w:val="none"/>
                <w:lang w:val="en-US" w:eastAsia="zh-CN"/>
              </w:rPr>
            </w:pPr>
            <w:r>
              <w:rPr>
                <w:rFonts w:hint="eastAsia" w:ascii="仿宋" w:hAnsi="仿宋" w:eastAsia="仿宋" w:cs="仿宋"/>
                <w:highlight w:val="none"/>
              </w:rPr>
              <w:t>节能产品</w:t>
            </w:r>
            <w:r>
              <w:rPr>
                <w:rFonts w:hint="eastAsia" w:ascii="仿宋" w:hAnsi="仿宋" w:cs="仿宋"/>
                <w:highlight w:val="none"/>
                <w:lang w:eastAsia="zh-CN"/>
              </w:rPr>
              <w:t>（</w:t>
            </w:r>
            <w:r>
              <w:rPr>
                <w:rFonts w:hint="eastAsia" w:ascii="仿宋" w:hAnsi="仿宋" w:cs="仿宋"/>
                <w:highlight w:val="none"/>
                <w:lang w:val="en-US" w:eastAsia="zh-CN"/>
              </w:rPr>
              <w:t>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2" w:name="_Toc514675542"/>
      <w:bookmarkStart w:id="93" w:name="_Toc13572220"/>
      <w:bookmarkStart w:id="94" w:name="_Toc514684734"/>
      <w:r>
        <w:rPr>
          <w:rFonts w:hint="eastAsia" w:ascii="仿宋" w:hAnsi="仿宋" w:eastAsia="仿宋" w:cs="仿宋"/>
          <w:color w:val="000000"/>
          <w:sz w:val="24"/>
          <w:highlight w:val="none"/>
        </w:rPr>
        <w:t>日   期：</w:t>
      </w:r>
      <w:bookmarkEnd w:id="92"/>
      <w:bookmarkEnd w:id="93"/>
      <w:bookmarkEnd w:id="94"/>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5" w:name="_Toc514675543"/>
      <w:bookmarkStart w:id="96" w:name="_Toc514684735"/>
      <w:bookmarkStart w:id="97" w:name="_Toc13572221"/>
      <w:r>
        <w:rPr>
          <w:rFonts w:hint="eastAsia" w:ascii="仿宋" w:hAnsi="仿宋" w:eastAsia="仿宋" w:cs="仿宋"/>
          <w:b/>
          <w:sz w:val="28"/>
          <w:szCs w:val="28"/>
          <w:highlight w:val="none"/>
        </w:rPr>
        <w:t>符合政府采购优惠政策的证明材料</w:t>
      </w:r>
      <w:bookmarkEnd w:id="95"/>
      <w:bookmarkEnd w:id="96"/>
      <w:bookmarkEnd w:id="97"/>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9"/>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98" w:name="_Toc19905"/>
      <w:r>
        <w:rPr>
          <w:rFonts w:hint="eastAsia" w:ascii="Arial" w:hAnsi="Arial" w:eastAsia="黑体" w:cs="Times New Roman"/>
          <w:b w:val="0"/>
          <w:kern w:val="2"/>
          <w:sz w:val="32"/>
          <w:szCs w:val="32"/>
          <w:highlight w:val="none"/>
          <w:lang w:val="en-US" w:eastAsia="zh-CN" w:bidi="ar-SA"/>
        </w:rPr>
        <w:t>附件十四：密封袋封面格式</w:t>
      </w:r>
      <w:bookmarkEnd w:id="98"/>
    </w:p>
    <w:p>
      <w:pPr>
        <w:pStyle w:val="9"/>
        <w:spacing w:line="480" w:lineRule="exact"/>
        <w:ind w:left="0" w:leftChars="0" w:firstLine="0" w:firstLineChars="0"/>
        <w:rPr>
          <w:rFonts w:hint="eastAsia" w:ascii="仿宋" w:hAnsi="仿宋" w:eastAsia="仿宋" w:cs="仿宋"/>
          <w:color w:val="000000"/>
          <w:highlight w:val="none"/>
        </w:rPr>
      </w:pPr>
    </w:p>
    <w:p>
      <w:pPr>
        <w:pStyle w:val="9"/>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9"/>
        <w:spacing w:line="480" w:lineRule="exact"/>
        <w:ind w:left="1747" w:firstLine="470"/>
        <w:rPr>
          <w:rFonts w:hint="eastAsia" w:ascii="仿宋" w:hAnsi="仿宋" w:eastAsia="仿宋" w:cs="仿宋"/>
          <w:color w:val="000000"/>
          <w:highlight w:val="none"/>
        </w:r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9"/>
              <w:spacing w:line="480" w:lineRule="exact"/>
              <w:ind w:left="0" w:leftChars="0" w:firstLine="0" w:firstLineChars="0"/>
              <w:rPr>
                <w:rFonts w:hint="eastAsia" w:ascii="仿宋" w:hAnsi="仿宋" w:eastAsia="仿宋" w:cs="仿宋"/>
                <w:b/>
                <w:color w:val="000000"/>
                <w:kern w:val="2"/>
                <w:sz w:val="30"/>
                <w:szCs w:val="24"/>
                <w:highlight w:val="none"/>
              </w:rPr>
            </w:pPr>
          </w:p>
          <w:p>
            <w:pPr>
              <w:pStyle w:val="9"/>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9"/>
              <w:spacing w:line="480" w:lineRule="exact"/>
              <w:ind w:left="0" w:leftChars="0" w:firstLine="0" w:firstLineChars="0"/>
              <w:rPr>
                <w:rFonts w:hint="eastAsia" w:ascii="仿宋" w:hAnsi="仿宋" w:eastAsia="仿宋" w:cs="仿宋"/>
                <w:color w:val="000000"/>
                <w:kern w:val="2"/>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9"/>
              <w:spacing w:line="480" w:lineRule="exact"/>
              <w:ind w:left="0" w:leftChars="0" w:firstLine="0" w:firstLineChars="0"/>
              <w:rPr>
                <w:rFonts w:hint="eastAsia" w:ascii="仿宋" w:hAnsi="仿宋" w:eastAsia="仿宋" w:cs="仿宋"/>
                <w:b/>
                <w:kern w:val="2"/>
                <w:sz w:val="32"/>
                <w:szCs w:val="32"/>
                <w:highlight w:val="none"/>
              </w:rPr>
            </w:pP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9"/>
        <w:spacing w:line="480" w:lineRule="exact"/>
        <w:ind w:left="1747" w:firstLine="470"/>
        <w:rPr>
          <w:rFonts w:hint="eastAsia" w:ascii="仿宋" w:hAnsi="仿宋" w:eastAsia="仿宋" w:cs="仿宋"/>
          <w:color w:val="000000"/>
          <w:highlight w:val="none"/>
        </w:rPr>
      </w:pPr>
    </w:p>
    <w:p>
      <w:pPr>
        <w:pStyle w:val="9"/>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9"/>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2"/>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2"/>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2"/>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2"/>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2"/>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2"/>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2"/>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2"/>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2"/>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2"/>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2"/>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2"/>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2"/>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2"/>
              <w:jc w:val="center"/>
              <w:rPr>
                <w:rFonts w:hint="eastAsia" w:ascii="仿宋" w:hAnsi="仿宋" w:eastAsia="仿宋" w:cs="仿宋"/>
                <w:szCs w:val="32"/>
                <w:highlight w:val="none"/>
              </w:rPr>
            </w:pPr>
          </w:p>
        </w:tc>
        <w:tc>
          <w:tcPr>
            <w:tcW w:w="1167" w:type="dxa"/>
            <w:vMerge w:val="continue"/>
            <w:noWrap w:val="0"/>
            <w:vAlign w:val="center"/>
          </w:tcPr>
          <w:p>
            <w:pPr>
              <w:pStyle w:val="22"/>
              <w:jc w:val="center"/>
              <w:rPr>
                <w:rFonts w:hint="eastAsia" w:ascii="仿宋" w:hAnsi="仿宋" w:eastAsia="仿宋" w:cs="仿宋"/>
                <w:szCs w:val="32"/>
                <w:highlight w:val="none"/>
              </w:rPr>
            </w:pP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2"/>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2"/>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2"/>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2"/>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2"/>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2"/>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2"/>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4"/>
        <w:rPr>
          <w:rFonts w:hint="eastAsia" w:ascii="仿宋" w:hAnsi="仿宋" w:eastAsia="仿宋" w:cs="仿宋"/>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9"/>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Fonts w:hint="eastAsia"/>
      </w:rPr>
      <w:t>２１</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9FD4165"/>
    <w:multiLevelType w:val="singleLevel"/>
    <w:tmpl w:val="09FD4165"/>
    <w:lvl w:ilvl="0" w:tentative="0">
      <w:start w:val="1"/>
      <w:numFmt w:val="decimal"/>
      <w:suff w:val="nothing"/>
      <w:lvlText w:val="（%1）"/>
      <w:lvlJc w:val="left"/>
    </w:lvl>
  </w:abstractNum>
  <w:abstractNum w:abstractNumId="4">
    <w:nsid w:val="1198D91C"/>
    <w:multiLevelType w:val="singleLevel"/>
    <w:tmpl w:val="1198D91C"/>
    <w:lvl w:ilvl="0" w:tentative="0">
      <w:start w:val="1"/>
      <w:numFmt w:val="decimal"/>
      <w:lvlText w:val="%1."/>
      <w:lvlJc w:val="left"/>
      <w:pPr>
        <w:ind w:left="425" w:hanging="425"/>
      </w:pPr>
      <w:rPr>
        <w:rFonts w:hint="default"/>
      </w:rPr>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abstractNum w:abstractNumId="10">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349C5A22"/>
    <w:rsid w:val="033A7EF9"/>
    <w:rsid w:val="04993371"/>
    <w:rsid w:val="062D358E"/>
    <w:rsid w:val="06EB0639"/>
    <w:rsid w:val="0AE2148F"/>
    <w:rsid w:val="0C4E49E7"/>
    <w:rsid w:val="0C862B1A"/>
    <w:rsid w:val="0D5E68B0"/>
    <w:rsid w:val="10CA0E55"/>
    <w:rsid w:val="129D2CB6"/>
    <w:rsid w:val="14066173"/>
    <w:rsid w:val="140A7B16"/>
    <w:rsid w:val="15845268"/>
    <w:rsid w:val="169546CA"/>
    <w:rsid w:val="17162BCB"/>
    <w:rsid w:val="1B342ADF"/>
    <w:rsid w:val="1BDB1C76"/>
    <w:rsid w:val="206E2EC7"/>
    <w:rsid w:val="22CD4F7C"/>
    <w:rsid w:val="28350DD2"/>
    <w:rsid w:val="2AF8116E"/>
    <w:rsid w:val="2C7835C4"/>
    <w:rsid w:val="2F1C47BA"/>
    <w:rsid w:val="2F992837"/>
    <w:rsid w:val="30533A30"/>
    <w:rsid w:val="349C5A22"/>
    <w:rsid w:val="34D40275"/>
    <w:rsid w:val="3693005A"/>
    <w:rsid w:val="3AA6233D"/>
    <w:rsid w:val="3AED7B12"/>
    <w:rsid w:val="3DFF7BC3"/>
    <w:rsid w:val="3E2C68B4"/>
    <w:rsid w:val="40151D49"/>
    <w:rsid w:val="424D08D4"/>
    <w:rsid w:val="42A33B1C"/>
    <w:rsid w:val="44BB6512"/>
    <w:rsid w:val="493A7868"/>
    <w:rsid w:val="49412B56"/>
    <w:rsid w:val="4A4C19D0"/>
    <w:rsid w:val="4ABF5218"/>
    <w:rsid w:val="4CDD6429"/>
    <w:rsid w:val="4DC33ECE"/>
    <w:rsid w:val="528B4A19"/>
    <w:rsid w:val="5349501A"/>
    <w:rsid w:val="53B966A0"/>
    <w:rsid w:val="583F6A70"/>
    <w:rsid w:val="58EF1580"/>
    <w:rsid w:val="5C9F6026"/>
    <w:rsid w:val="5F2B57F5"/>
    <w:rsid w:val="5FF76275"/>
    <w:rsid w:val="64067710"/>
    <w:rsid w:val="66C67976"/>
    <w:rsid w:val="672F432D"/>
    <w:rsid w:val="6744549C"/>
    <w:rsid w:val="6AA440E2"/>
    <w:rsid w:val="6D4224B3"/>
    <w:rsid w:val="6D5B6740"/>
    <w:rsid w:val="6F4F21E6"/>
    <w:rsid w:val="702E3D5F"/>
    <w:rsid w:val="70C4582E"/>
    <w:rsid w:val="7AE97230"/>
    <w:rsid w:val="7CB4078A"/>
    <w:rsid w:val="7DFF6232"/>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kern w:val="44"/>
      <w:sz w:val="44"/>
      <w:szCs w:val="20"/>
    </w:rPr>
  </w:style>
  <w:style w:type="paragraph" w:styleId="5">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6">
    <w:name w:val="heading 3"/>
    <w:basedOn w:val="1"/>
    <w:next w:val="1"/>
    <w:qFormat/>
    <w:uiPriority w:val="99"/>
    <w:pPr>
      <w:keepNext/>
      <w:keepLines/>
      <w:spacing w:before="260" w:after="260" w:line="416" w:lineRule="auto"/>
      <w:outlineLvl w:val="2"/>
    </w:pPr>
    <w:rPr>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99"/>
    <w:pPr>
      <w:spacing w:after="120"/>
    </w:pPr>
    <w:rPr>
      <w:sz w:val="24"/>
      <w:szCs w:val="20"/>
    </w:rPr>
  </w:style>
  <w:style w:type="paragraph" w:styleId="7">
    <w:name w:val="List 3"/>
    <w:basedOn w:val="1"/>
    <w:qFormat/>
    <w:uiPriority w:val="99"/>
    <w:pPr>
      <w:ind w:left="100" w:leftChars="400" w:hanging="200" w:hangingChars="200"/>
    </w:p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toc 3"/>
    <w:basedOn w:val="1"/>
    <w:next w:val="1"/>
    <w:unhideWhenUsed/>
    <w:qFormat/>
    <w:uiPriority w:val="39"/>
    <w:pPr>
      <w:ind w:left="840" w:leftChars="4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paragraph" w:styleId="15">
    <w:name w:val="toc 2"/>
    <w:basedOn w:val="1"/>
    <w:next w:val="1"/>
    <w:qFormat/>
    <w:uiPriority w:val="39"/>
    <w:pPr>
      <w:ind w:left="200" w:left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99"/>
    <w:rPr>
      <w:rFonts w:cs="Times New Roman"/>
    </w:rPr>
  </w:style>
  <w:style w:type="paragraph" w:customStyle="1" w:styleId="20">
    <w:name w:val="样式29"/>
    <w:basedOn w:val="21"/>
    <w:qFormat/>
    <w:uiPriority w:val="99"/>
    <w:rPr>
      <w:rFonts w:eastAsia="楷体_GB2312"/>
    </w:rPr>
  </w:style>
  <w:style w:type="paragraph" w:customStyle="1" w:styleId="21">
    <w:name w:val="样式9 Char"/>
    <w:basedOn w:val="1"/>
    <w:qFormat/>
    <w:uiPriority w:val="99"/>
    <w:pPr>
      <w:widowControl/>
      <w:spacing w:line="440" w:lineRule="exact"/>
      <w:ind w:firstLine="200" w:firstLineChars="200"/>
      <w:jc w:val="left"/>
    </w:pPr>
    <w:rPr>
      <w:spacing w:val="6"/>
      <w:sz w:val="24"/>
      <w:szCs w:val="20"/>
    </w:rPr>
  </w:style>
  <w:style w:type="paragraph" w:customStyle="1" w:styleId="2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34693</Words>
  <Characters>37195</Characters>
  <Lines>0</Lines>
  <Paragraphs>0</Paragraphs>
  <TotalTime>63</TotalTime>
  <ScaleCrop>false</ScaleCrop>
  <LinksUpToDate>false</LinksUpToDate>
  <CharactersWithSpaces>38380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dcterms:modified xsi:type="dcterms:W3CDTF">2022-09-28T01:51:44Z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C34E96D608A945FCA4D11C667B0FCE0A</vt:lpwstr>
  </property>
</Properties>
</file>