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76"/>
          <w:tab w:val="left" w:pos="6585"/>
        </w:tabs>
        <w:spacing w:line="360" w:lineRule="auto"/>
        <w:rPr>
          <w:rFonts w:hint="default" w:eastAsia="宋体"/>
          <w:b/>
          <w:snapToGrid w:val="0"/>
          <w:szCs w:val="30"/>
          <w:highlight w:val="yellow"/>
          <w:lang w:val="en-US" w:eastAsia="zh-CN"/>
        </w:rPr>
      </w:pPr>
    </w:p>
    <w:p>
      <w:pPr>
        <w:pStyle w:val="20"/>
        <w:spacing w:after="0" w:line="360" w:lineRule="auto"/>
        <w:rPr>
          <w:rFonts w:ascii="宋体" w:hAnsi="宋体"/>
          <w:b/>
          <w:sz w:val="32"/>
          <w:szCs w:val="32"/>
        </w:rPr>
      </w:pPr>
      <w:r>
        <w:rPr>
          <w:rFonts w:hint="eastAsia" w:ascii="宋体" w:hAnsi="宋体"/>
          <w:b/>
          <w:sz w:val="32"/>
          <w:szCs w:val="32"/>
        </w:rPr>
        <w:tab/>
      </w:r>
    </w:p>
    <w:p>
      <w:pPr>
        <w:spacing w:line="360" w:lineRule="auto"/>
        <w:jc w:val="center"/>
        <w:rPr>
          <w:b/>
          <w:sz w:val="48"/>
          <w:szCs w:val="28"/>
        </w:rPr>
      </w:pPr>
      <w:r>
        <w:rPr>
          <w:rFonts w:hint="eastAsia"/>
          <w:b/>
          <w:sz w:val="56"/>
          <w:szCs w:val="48"/>
          <w:lang w:val="en-US" w:eastAsia="zh-CN"/>
        </w:rPr>
        <w:t>山东大学第二医院周边道路拥堵治理系统</w:t>
      </w:r>
      <w:r>
        <w:rPr>
          <w:rFonts w:hint="eastAsia"/>
          <w:b/>
          <w:sz w:val="56"/>
          <w:szCs w:val="48"/>
        </w:rPr>
        <w:t xml:space="preserve">采购 </w:t>
      </w:r>
    </w:p>
    <w:p>
      <w:pPr>
        <w:spacing w:line="360" w:lineRule="auto"/>
        <w:jc w:val="center"/>
        <w:rPr>
          <w:b/>
          <w:sz w:val="48"/>
          <w:szCs w:val="28"/>
        </w:rPr>
      </w:pPr>
    </w:p>
    <w:p>
      <w:pPr>
        <w:spacing w:line="360" w:lineRule="auto"/>
        <w:jc w:val="center"/>
        <w:rPr>
          <w:b/>
          <w:sz w:val="72"/>
          <w:szCs w:val="28"/>
        </w:rPr>
      </w:pPr>
      <w:r>
        <w:rPr>
          <w:rFonts w:hint="eastAsia"/>
          <w:b/>
          <w:sz w:val="72"/>
          <w:szCs w:val="28"/>
        </w:rPr>
        <w:t>竞争性磋商文件</w:t>
      </w:r>
    </w:p>
    <w:p>
      <w:pPr>
        <w:spacing w:line="360" w:lineRule="auto"/>
        <w:jc w:val="center"/>
        <w:rPr>
          <w:b/>
          <w:sz w:val="30"/>
          <w:szCs w:val="30"/>
        </w:rPr>
      </w:pPr>
    </w:p>
    <w:p>
      <w:pPr>
        <w:spacing w:line="360" w:lineRule="auto"/>
        <w:jc w:val="center"/>
        <w:rPr>
          <w:b/>
          <w:sz w:val="30"/>
          <w:szCs w:val="30"/>
        </w:rPr>
      </w:pPr>
    </w:p>
    <w:p>
      <w:pPr>
        <w:spacing w:line="360" w:lineRule="auto"/>
        <w:ind w:firstLine="1991" w:firstLineChars="661"/>
        <w:rPr>
          <w:rFonts w:hint="eastAsia"/>
          <w:b/>
          <w:snapToGrid w:val="0"/>
          <w:sz w:val="30"/>
          <w:szCs w:val="30"/>
          <w:lang w:val="en-US" w:eastAsia="zh-CN"/>
        </w:rPr>
      </w:pPr>
      <w:r>
        <w:rPr>
          <w:rFonts w:hint="eastAsia"/>
          <w:b/>
          <w:snapToGrid w:val="0"/>
          <w:sz w:val="30"/>
          <w:szCs w:val="30"/>
          <w:lang w:val="en-US" w:eastAsia="zh-CN"/>
        </w:rPr>
        <w:t xml:space="preserve"> </w:t>
      </w:r>
    </w:p>
    <w:p>
      <w:pPr>
        <w:pStyle w:val="2"/>
        <w:rPr>
          <w:rFonts w:hint="eastAsia"/>
          <w:b/>
          <w:snapToGrid w:val="0"/>
          <w:sz w:val="30"/>
          <w:szCs w:val="30"/>
          <w:lang w:val="en-US" w:eastAsia="zh-CN"/>
        </w:rPr>
      </w:pPr>
    </w:p>
    <w:p>
      <w:pPr>
        <w:pStyle w:val="2"/>
        <w:rPr>
          <w:rFonts w:hint="eastAsia"/>
          <w:b/>
          <w:snapToGrid w:val="0"/>
          <w:sz w:val="30"/>
          <w:szCs w:val="30"/>
          <w:lang w:val="en-US" w:eastAsia="zh-CN"/>
        </w:rPr>
      </w:pPr>
    </w:p>
    <w:p>
      <w:pPr>
        <w:pStyle w:val="2"/>
        <w:rPr>
          <w:rFonts w:hint="eastAsia"/>
          <w:b/>
          <w:snapToGrid w:val="0"/>
          <w:sz w:val="30"/>
          <w:szCs w:val="30"/>
          <w:lang w:val="en-US" w:eastAsia="zh-CN"/>
        </w:rPr>
      </w:pPr>
    </w:p>
    <w:p>
      <w:pPr>
        <w:pStyle w:val="2"/>
        <w:rPr>
          <w:rFonts w:hint="eastAsia"/>
          <w:b/>
          <w:snapToGrid w:val="0"/>
          <w:sz w:val="30"/>
          <w:szCs w:val="30"/>
          <w:lang w:val="en-US" w:eastAsia="zh-CN"/>
        </w:rPr>
      </w:pPr>
    </w:p>
    <w:p>
      <w:pPr>
        <w:pStyle w:val="2"/>
        <w:rPr>
          <w:rFonts w:hint="eastAsia"/>
          <w:b/>
          <w:snapToGrid w:val="0"/>
          <w:sz w:val="30"/>
          <w:szCs w:val="30"/>
          <w:lang w:val="en-US" w:eastAsia="zh-CN"/>
        </w:rPr>
      </w:pPr>
    </w:p>
    <w:p>
      <w:pPr>
        <w:pStyle w:val="2"/>
        <w:rPr>
          <w:rFonts w:hint="eastAsia"/>
          <w:b/>
          <w:snapToGrid w:val="0"/>
          <w:sz w:val="30"/>
          <w:szCs w:val="30"/>
          <w:lang w:val="en-US" w:eastAsia="zh-CN"/>
        </w:rPr>
      </w:pPr>
    </w:p>
    <w:p>
      <w:pPr>
        <w:spacing w:line="360" w:lineRule="auto"/>
        <w:ind w:left="912" w:leftChars="375" w:hanging="12" w:hangingChars="4"/>
        <w:rPr>
          <w:rFonts w:hint="default" w:eastAsia="宋体"/>
          <w:b/>
          <w:sz w:val="28"/>
          <w:szCs w:val="28"/>
          <w:lang w:val="en-US" w:eastAsia="zh-CN"/>
        </w:rPr>
      </w:pPr>
      <w:r>
        <w:rPr>
          <w:rFonts w:hint="eastAsia"/>
          <w:b/>
          <w:snapToGrid w:val="0"/>
          <w:sz w:val="30"/>
          <w:szCs w:val="30"/>
        </w:rPr>
        <w:t>采   购   人：</w:t>
      </w:r>
      <w:r>
        <w:rPr>
          <w:rFonts w:hint="eastAsia"/>
          <w:b/>
          <w:snapToGrid w:val="0"/>
          <w:sz w:val="30"/>
          <w:szCs w:val="30"/>
          <w:lang w:val="en-US" w:eastAsia="zh-CN"/>
        </w:rPr>
        <w:t>山东大学第二医院</w:t>
      </w:r>
    </w:p>
    <w:p>
      <w:pPr>
        <w:tabs>
          <w:tab w:val="left" w:pos="1134"/>
          <w:tab w:val="left" w:pos="5481"/>
          <w:tab w:val="left" w:pos="5859"/>
        </w:tabs>
        <w:spacing w:line="360" w:lineRule="auto"/>
        <w:ind w:firstLine="904" w:firstLineChars="300"/>
        <w:rPr>
          <w:b/>
          <w:snapToGrid w:val="0"/>
          <w:sz w:val="30"/>
          <w:szCs w:val="30"/>
        </w:rPr>
      </w:pPr>
      <w:r>
        <w:rPr>
          <w:rFonts w:hint="eastAsia"/>
          <w:b/>
          <w:snapToGrid w:val="0"/>
          <w:sz w:val="30"/>
          <w:szCs w:val="30"/>
        </w:rPr>
        <w:t>日        期： 二〇二</w:t>
      </w:r>
      <w:r>
        <w:rPr>
          <w:rFonts w:hint="eastAsia"/>
          <w:b/>
          <w:snapToGrid w:val="0"/>
          <w:sz w:val="30"/>
          <w:szCs w:val="30"/>
          <w:lang w:val="en-US" w:eastAsia="zh-CN"/>
        </w:rPr>
        <w:t>二</w:t>
      </w:r>
      <w:r>
        <w:rPr>
          <w:rFonts w:hint="eastAsia"/>
          <w:b/>
          <w:snapToGrid w:val="0"/>
          <w:sz w:val="30"/>
          <w:szCs w:val="30"/>
        </w:rPr>
        <w:t>年</w:t>
      </w:r>
      <w:r>
        <w:rPr>
          <w:rFonts w:hint="eastAsia"/>
          <w:b/>
          <w:snapToGrid w:val="0"/>
          <w:sz w:val="30"/>
          <w:szCs w:val="30"/>
          <w:lang w:val="en-US" w:eastAsia="zh-CN"/>
        </w:rPr>
        <w:t>十</w:t>
      </w:r>
      <w:r>
        <w:rPr>
          <w:rFonts w:hint="eastAsia"/>
          <w:b/>
          <w:snapToGrid w:val="0"/>
          <w:sz w:val="30"/>
          <w:szCs w:val="30"/>
        </w:rPr>
        <w:t>月</w:t>
      </w:r>
    </w:p>
    <w:p>
      <w:pPr>
        <w:tabs>
          <w:tab w:val="left" w:pos="1134"/>
          <w:tab w:val="left" w:pos="5481"/>
          <w:tab w:val="left" w:pos="5859"/>
        </w:tabs>
        <w:spacing w:line="360" w:lineRule="auto"/>
        <w:jc w:val="center"/>
        <w:rPr>
          <w:b/>
          <w:sz w:val="36"/>
        </w:rPr>
        <w:sectPr>
          <w:headerReference r:id="rId5" w:type="first"/>
          <w:footerReference r:id="rId8" w:type="first"/>
          <w:headerReference r:id="rId3" w:type="default"/>
          <w:footerReference r:id="rId6" w:type="default"/>
          <w:headerReference r:id="rId4" w:type="even"/>
          <w:footerReference r:id="rId7" w:type="even"/>
          <w:type w:val="continuous"/>
          <w:pgSz w:w="11907" w:h="16840"/>
          <w:pgMar w:top="1593" w:right="1418" w:bottom="1418" w:left="1418" w:header="851" w:footer="851" w:gutter="0"/>
          <w:pgNumType w:fmt="decimalFullWidth" w:start="0"/>
          <w:cols w:space="720" w:num="1"/>
          <w:titlePg/>
          <w:docGrid w:type="lines" w:linePitch="290" w:charSpace="-3931"/>
        </w:sectPr>
      </w:pPr>
    </w:p>
    <w:p>
      <w:pPr>
        <w:tabs>
          <w:tab w:val="left" w:pos="1134"/>
          <w:tab w:val="left" w:pos="5481"/>
          <w:tab w:val="left" w:pos="5859"/>
        </w:tabs>
        <w:spacing w:line="360" w:lineRule="auto"/>
        <w:jc w:val="center"/>
        <w:rPr>
          <w:b/>
          <w:sz w:val="36"/>
        </w:rPr>
      </w:pPr>
      <w:r>
        <w:rPr>
          <w:rFonts w:hint="eastAsia"/>
          <w:b/>
          <w:sz w:val="36"/>
        </w:rPr>
        <w:t>目    录</w:t>
      </w:r>
    </w:p>
    <w:p>
      <w:pPr>
        <w:pStyle w:val="33"/>
        <w:spacing w:line="360" w:lineRule="auto"/>
        <w:rPr>
          <w:rFonts w:ascii="宋体" w:hAnsi="宋体" w:eastAsia="宋体" w:cstheme="minorBidi"/>
          <w:b w:val="0"/>
          <w:bCs w:val="0"/>
        </w:rPr>
      </w:pPr>
      <w:r>
        <w:rPr>
          <w:rFonts w:hint="eastAsia" w:ascii="新宋体" w:hAnsi="新宋体" w:eastAsia="新宋体" w:cs="新宋体"/>
          <w:b w:val="0"/>
          <w:sz w:val="28"/>
          <w:szCs w:val="28"/>
        </w:rPr>
        <w:fldChar w:fldCharType="begin"/>
      </w:r>
      <w:r>
        <w:rPr>
          <w:rFonts w:hint="eastAsia" w:ascii="新宋体" w:hAnsi="新宋体" w:eastAsia="新宋体" w:cs="新宋体"/>
          <w:b w:val="0"/>
          <w:sz w:val="28"/>
          <w:szCs w:val="28"/>
        </w:rPr>
        <w:instrText xml:space="preserve"> TOC \o "1-3" \h \z \u </w:instrText>
      </w:r>
      <w:r>
        <w:rPr>
          <w:rFonts w:hint="eastAsia" w:ascii="新宋体" w:hAnsi="新宋体" w:eastAsia="新宋体" w:cs="新宋体"/>
          <w:b w:val="0"/>
          <w:sz w:val="28"/>
          <w:szCs w:val="28"/>
        </w:rPr>
        <w:fldChar w:fldCharType="separate"/>
      </w:r>
      <w:r>
        <w:fldChar w:fldCharType="begin"/>
      </w:r>
      <w:r>
        <w:instrText xml:space="preserve"> HYPERLINK \l "_Toc48913044" </w:instrText>
      </w:r>
      <w:r>
        <w:fldChar w:fldCharType="separate"/>
      </w:r>
      <w:r>
        <w:rPr>
          <w:rStyle w:val="57"/>
          <w:rFonts w:hint="eastAsia" w:ascii="宋体" w:hAnsi="宋体" w:eastAsia="宋体"/>
          <w:sz w:val="24"/>
          <w:szCs w:val="24"/>
        </w:rPr>
        <w:t xml:space="preserve">第一部分 </w:t>
      </w:r>
      <w:r>
        <w:rPr>
          <w:rStyle w:val="57"/>
          <w:rFonts w:hint="eastAsia" w:ascii="宋体" w:hAnsi="宋体" w:eastAsia="宋体"/>
          <w:sz w:val="24"/>
          <w:szCs w:val="24"/>
          <w:lang w:eastAsia="zh-CN"/>
        </w:rPr>
        <w:t>济南市山东大学第二医院周边道路拥堵治理系统</w:t>
      </w:r>
      <w:r>
        <w:rPr>
          <w:rStyle w:val="57"/>
          <w:rFonts w:hint="eastAsia" w:ascii="宋体" w:hAnsi="宋体" w:eastAsia="宋体"/>
          <w:sz w:val="24"/>
          <w:szCs w:val="24"/>
        </w:rPr>
        <w:t>采购磋商公告</w:t>
      </w:r>
      <w:r>
        <w:rPr>
          <w:rFonts w:ascii="宋体" w:hAnsi="宋体" w:eastAsia="宋体"/>
        </w:rPr>
        <w:tab/>
      </w:r>
      <w:r>
        <w:rPr>
          <w:rFonts w:ascii="宋体" w:hAnsi="宋体" w:eastAsia="宋体"/>
        </w:rPr>
        <w:fldChar w:fldCharType="begin"/>
      </w:r>
      <w:r>
        <w:rPr>
          <w:rFonts w:ascii="宋体" w:hAnsi="宋体" w:eastAsia="宋体"/>
        </w:rPr>
        <w:instrText xml:space="preserve"> PAGEREF _Toc48913044 \h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fldChar w:fldCharType="end"/>
      </w:r>
    </w:p>
    <w:p>
      <w:pPr>
        <w:pStyle w:val="33"/>
        <w:spacing w:line="360" w:lineRule="auto"/>
        <w:rPr>
          <w:rFonts w:ascii="宋体" w:hAnsi="宋体" w:eastAsia="宋体" w:cstheme="minorBidi"/>
          <w:b w:val="0"/>
          <w:bCs w:val="0"/>
        </w:rPr>
      </w:pPr>
      <w:r>
        <w:fldChar w:fldCharType="begin"/>
      </w:r>
      <w:r>
        <w:instrText xml:space="preserve"> HYPERLINK \l "_Toc48913045" </w:instrText>
      </w:r>
      <w:r>
        <w:fldChar w:fldCharType="separate"/>
      </w:r>
      <w:r>
        <w:rPr>
          <w:rStyle w:val="57"/>
          <w:rFonts w:hint="eastAsia" w:ascii="宋体" w:hAnsi="宋体" w:eastAsia="宋体"/>
          <w:sz w:val="24"/>
          <w:szCs w:val="24"/>
        </w:rPr>
        <w:t>第二部分  供应商须知</w:t>
      </w:r>
      <w:r>
        <w:rPr>
          <w:rFonts w:ascii="宋体" w:hAnsi="宋体" w:eastAsia="宋体"/>
        </w:rPr>
        <w:tab/>
      </w:r>
      <w:r>
        <w:rPr>
          <w:rFonts w:ascii="宋体" w:hAnsi="宋体" w:eastAsia="宋体"/>
        </w:rPr>
        <w:fldChar w:fldCharType="begin"/>
      </w:r>
      <w:r>
        <w:rPr>
          <w:rFonts w:ascii="宋体" w:hAnsi="宋体" w:eastAsia="宋体"/>
        </w:rPr>
        <w:instrText xml:space="preserve"> PAGEREF _Toc48913045 \h </w:instrText>
      </w:r>
      <w:r>
        <w:rPr>
          <w:rFonts w:ascii="宋体" w:hAnsi="宋体" w:eastAsia="宋体"/>
        </w:rPr>
        <w:fldChar w:fldCharType="separate"/>
      </w:r>
      <w:r>
        <w:rPr>
          <w:rFonts w:ascii="宋体" w:hAnsi="宋体" w:eastAsia="宋体"/>
        </w:rPr>
        <w:t>4</w:t>
      </w:r>
      <w:r>
        <w:rPr>
          <w:rFonts w:ascii="宋体" w:hAnsi="宋体" w:eastAsia="宋体"/>
        </w:rPr>
        <w:fldChar w:fldCharType="end"/>
      </w:r>
      <w:r>
        <w:rPr>
          <w:rFonts w:ascii="宋体" w:hAnsi="宋体" w:eastAsia="宋体"/>
        </w:rPr>
        <w:fldChar w:fldCharType="end"/>
      </w:r>
    </w:p>
    <w:p>
      <w:pPr>
        <w:pStyle w:val="33"/>
        <w:spacing w:line="360" w:lineRule="auto"/>
        <w:rPr>
          <w:rFonts w:ascii="宋体" w:hAnsi="宋体" w:eastAsia="宋体" w:cstheme="minorBidi"/>
          <w:b w:val="0"/>
          <w:bCs w:val="0"/>
        </w:rPr>
      </w:pPr>
      <w:r>
        <w:fldChar w:fldCharType="begin"/>
      </w:r>
      <w:r>
        <w:instrText xml:space="preserve"> HYPERLINK \l "_Toc48913046" </w:instrText>
      </w:r>
      <w:r>
        <w:fldChar w:fldCharType="separate"/>
      </w:r>
      <w:r>
        <w:rPr>
          <w:rStyle w:val="57"/>
          <w:rFonts w:hint="eastAsia" w:ascii="宋体" w:hAnsi="宋体" w:eastAsia="宋体"/>
          <w:sz w:val="24"/>
          <w:szCs w:val="24"/>
        </w:rPr>
        <w:t>供应商须知前附表</w:t>
      </w:r>
      <w:r>
        <w:rPr>
          <w:rFonts w:ascii="宋体" w:hAnsi="宋体" w:eastAsia="宋体"/>
        </w:rPr>
        <w:tab/>
      </w:r>
      <w:r>
        <w:rPr>
          <w:rFonts w:ascii="宋体" w:hAnsi="宋体" w:eastAsia="宋体"/>
        </w:rPr>
        <w:fldChar w:fldCharType="begin"/>
      </w:r>
      <w:r>
        <w:rPr>
          <w:rFonts w:ascii="宋体" w:hAnsi="宋体" w:eastAsia="宋体"/>
        </w:rPr>
        <w:instrText xml:space="preserve"> PAGEREF _Toc48913046 \h </w:instrText>
      </w:r>
      <w:r>
        <w:rPr>
          <w:rFonts w:ascii="宋体" w:hAnsi="宋体" w:eastAsia="宋体"/>
        </w:rPr>
        <w:fldChar w:fldCharType="separate"/>
      </w:r>
      <w:r>
        <w:rPr>
          <w:rFonts w:ascii="宋体" w:hAnsi="宋体" w:eastAsia="宋体"/>
        </w:rPr>
        <w:t>4</w:t>
      </w:r>
      <w:r>
        <w:rPr>
          <w:rFonts w:ascii="宋体" w:hAnsi="宋体" w:eastAsia="宋体"/>
        </w:rPr>
        <w:fldChar w:fldCharType="end"/>
      </w:r>
      <w:r>
        <w:rPr>
          <w:rFonts w:ascii="宋体" w:hAnsi="宋体" w:eastAsia="宋体"/>
        </w:rPr>
        <w:fldChar w:fldCharType="end"/>
      </w:r>
    </w:p>
    <w:p>
      <w:pPr>
        <w:pStyle w:val="41"/>
        <w:tabs>
          <w:tab w:val="right" w:leader="dot" w:pos="9061"/>
        </w:tabs>
        <w:spacing w:line="360" w:lineRule="auto"/>
        <w:ind w:left="480"/>
        <w:rPr>
          <w:rFonts w:ascii="宋体" w:hAnsi="宋体" w:cstheme="minorBidi"/>
          <w:sz w:val="24"/>
        </w:rPr>
      </w:pPr>
      <w:r>
        <w:fldChar w:fldCharType="begin"/>
      </w:r>
      <w:r>
        <w:instrText xml:space="preserve"> HYPERLINK \l "_Toc48913047" </w:instrText>
      </w:r>
      <w:r>
        <w:fldChar w:fldCharType="separate"/>
      </w:r>
      <w:r>
        <w:rPr>
          <w:rStyle w:val="57"/>
          <w:rFonts w:hint="eastAsia" w:ascii="宋体" w:hAnsi="宋体" w:eastAsia="宋体"/>
          <w:kern w:val="0"/>
          <w:sz w:val="24"/>
          <w:szCs w:val="24"/>
        </w:rPr>
        <w:t>一、说明</w:t>
      </w:r>
      <w:r>
        <w:rPr>
          <w:rFonts w:ascii="宋体" w:hAnsi="宋体"/>
          <w:sz w:val="24"/>
        </w:rPr>
        <w:tab/>
      </w:r>
      <w:r>
        <w:rPr>
          <w:rFonts w:ascii="宋体" w:hAnsi="宋体"/>
          <w:sz w:val="24"/>
        </w:rPr>
        <w:fldChar w:fldCharType="begin"/>
      </w:r>
      <w:r>
        <w:rPr>
          <w:rFonts w:ascii="宋体" w:hAnsi="宋体"/>
          <w:sz w:val="24"/>
        </w:rPr>
        <w:instrText xml:space="preserve"> PAGEREF _Toc48913047 \h </w:instrText>
      </w:r>
      <w:r>
        <w:rPr>
          <w:rFonts w:ascii="宋体" w:hAnsi="宋体"/>
          <w:sz w:val="24"/>
        </w:rPr>
        <w:fldChar w:fldCharType="separate"/>
      </w:r>
      <w:r>
        <w:rPr>
          <w:rFonts w:ascii="宋体" w:hAnsi="宋体"/>
          <w:sz w:val="24"/>
        </w:rPr>
        <w:t>7</w:t>
      </w:r>
      <w:r>
        <w:rPr>
          <w:rFonts w:ascii="宋体" w:hAnsi="宋体"/>
          <w:sz w:val="24"/>
        </w:rPr>
        <w:fldChar w:fldCharType="end"/>
      </w:r>
      <w:r>
        <w:rPr>
          <w:rFonts w:ascii="宋体" w:hAnsi="宋体"/>
          <w:sz w:val="24"/>
        </w:rPr>
        <w:fldChar w:fldCharType="end"/>
      </w:r>
    </w:p>
    <w:p>
      <w:pPr>
        <w:pStyle w:val="41"/>
        <w:tabs>
          <w:tab w:val="right" w:leader="dot" w:pos="9061"/>
        </w:tabs>
        <w:spacing w:line="360" w:lineRule="auto"/>
        <w:ind w:left="480"/>
        <w:rPr>
          <w:rFonts w:ascii="宋体" w:hAnsi="宋体" w:cstheme="minorBidi"/>
          <w:sz w:val="24"/>
        </w:rPr>
      </w:pPr>
      <w:r>
        <w:fldChar w:fldCharType="begin"/>
      </w:r>
      <w:r>
        <w:instrText xml:space="preserve"> HYPERLINK \l "_Toc48913048" </w:instrText>
      </w:r>
      <w:r>
        <w:fldChar w:fldCharType="separate"/>
      </w:r>
      <w:r>
        <w:rPr>
          <w:rStyle w:val="57"/>
          <w:rFonts w:hint="eastAsia" w:ascii="宋体" w:hAnsi="宋体" w:eastAsia="宋体"/>
          <w:kern w:val="0"/>
          <w:sz w:val="24"/>
          <w:szCs w:val="24"/>
        </w:rPr>
        <w:t>二、磋商文件</w:t>
      </w:r>
      <w:r>
        <w:rPr>
          <w:rFonts w:ascii="宋体" w:hAnsi="宋体"/>
          <w:sz w:val="24"/>
        </w:rPr>
        <w:tab/>
      </w:r>
      <w:r>
        <w:rPr>
          <w:rFonts w:ascii="宋体" w:hAnsi="宋体"/>
          <w:sz w:val="24"/>
        </w:rPr>
        <w:fldChar w:fldCharType="begin"/>
      </w:r>
      <w:r>
        <w:rPr>
          <w:rFonts w:ascii="宋体" w:hAnsi="宋体"/>
          <w:sz w:val="24"/>
        </w:rPr>
        <w:instrText xml:space="preserve"> PAGEREF _Toc48913048 \h </w:instrText>
      </w:r>
      <w:r>
        <w:rPr>
          <w:rFonts w:ascii="宋体" w:hAnsi="宋体"/>
          <w:sz w:val="24"/>
        </w:rPr>
        <w:fldChar w:fldCharType="separate"/>
      </w:r>
      <w:r>
        <w:rPr>
          <w:rFonts w:ascii="宋体" w:hAnsi="宋体"/>
          <w:sz w:val="24"/>
        </w:rPr>
        <w:t>7</w:t>
      </w:r>
      <w:r>
        <w:rPr>
          <w:rFonts w:ascii="宋体" w:hAnsi="宋体"/>
          <w:sz w:val="24"/>
        </w:rPr>
        <w:fldChar w:fldCharType="end"/>
      </w:r>
      <w:r>
        <w:rPr>
          <w:rFonts w:ascii="宋体" w:hAnsi="宋体"/>
          <w:sz w:val="24"/>
        </w:rPr>
        <w:fldChar w:fldCharType="end"/>
      </w:r>
    </w:p>
    <w:p>
      <w:pPr>
        <w:pStyle w:val="41"/>
        <w:tabs>
          <w:tab w:val="right" w:leader="dot" w:pos="9061"/>
        </w:tabs>
        <w:spacing w:line="360" w:lineRule="auto"/>
        <w:ind w:left="480"/>
        <w:rPr>
          <w:rFonts w:ascii="宋体" w:hAnsi="宋体" w:cstheme="minorBidi"/>
          <w:sz w:val="24"/>
        </w:rPr>
      </w:pPr>
      <w:r>
        <w:fldChar w:fldCharType="begin"/>
      </w:r>
      <w:r>
        <w:instrText xml:space="preserve"> HYPERLINK \l "_Toc48913049" </w:instrText>
      </w:r>
      <w:r>
        <w:fldChar w:fldCharType="separate"/>
      </w:r>
      <w:r>
        <w:rPr>
          <w:rStyle w:val="57"/>
          <w:rFonts w:hint="eastAsia" w:ascii="宋体" w:hAnsi="宋体" w:eastAsia="宋体"/>
          <w:kern w:val="0"/>
          <w:sz w:val="24"/>
          <w:szCs w:val="24"/>
        </w:rPr>
        <w:t>三、响应文件编制</w:t>
      </w:r>
      <w:r>
        <w:rPr>
          <w:rFonts w:ascii="宋体" w:hAnsi="宋体"/>
          <w:sz w:val="24"/>
        </w:rPr>
        <w:tab/>
      </w:r>
      <w:r>
        <w:rPr>
          <w:rFonts w:ascii="宋体" w:hAnsi="宋体"/>
          <w:sz w:val="24"/>
        </w:rPr>
        <w:fldChar w:fldCharType="begin"/>
      </w:r>
      <w:r>
        <w:rPr>
          <w:rFonts w:ascii="宋体" w:hAnsi="宋体"/>
          <w:sz w:val="24"/>
        </w:rPr>
        <w:instrText xml:space="preserve"> PAGEREF _Toc48913049 \h </w:instrText>
      </w:r>
      <w:r>
        <w:rPr>
          <w:rFonts w:ascii="宋体" w:hAnsi="宋体"/>
          <w:sz w:val="24"/>
        </w:rPr>
        <w:fldChar w:fldCharType="separate"/>
      </w:r>
      <w:r>
        <w:rPr>
          <w:rFonts w:ascii="宋体" w:hAnsi="宋体"/>
          <w:sz w:val="24"/>
        </w:rPr>
        <w:t>8</w:t>
      </w:r>
      <w:r>
        <w:rPr>
          <w:rFonts w:ascii="宋体" w:hAnsi="宋体"/>
          <w:sz w:val="24"/>
        </w:rPr>
        <w:fldChar w:fldCharType="end"/>
      </w:r>
      <w:r>
        <w:rPr>
          <w:rFonts w:ascii="宋体" w:hAnsi="宋体"/>
          <w:sz w:val="24"/>
        </w:rPr>
        <w:fldChar w:fldCharType="end"/>
      </w:r>
    </w:p>
    <w:p>
      <w:pPr>
        <w:pStyle w:val="41"/>
        <w:tabs>
          <w:tab w:val="right" w:leader="dot" w:pos="9061"/>
        </w:tabs>
        <w:spacing w:line="360" w:lineRule="auto"/>
        <w:ind w:left="480"/>
        <w:rPr>
          <w:rFonts w:ascii="宋体" w:hAnsi="宋体" w:cstheme="minorBidi"/>
          <w:sz w:val="24"/>
        </w:rPr>
      </w:pPr>
      <w:r>
        <w:fldChar w:fldCharType="begin"/>
      </w:r>
      <w:r>
        <w:instrText xml:space="preserve"> HYPERLINK \l "_Toc48913050" </w:instrText>
      </w:r>
      <w:r>
        <w:fldChar w:fldCharType="separate"/>
      </w:r>
      <w:r>
        <w:rPr>
          <w:rStyle w:val="57"/>
          <w:rFonts w:hint="eastAsia" w:ascii="宋体" w:hAnsi="宋体" w:eastAsia="宋体"/>
          <w:kern w:val="0"/>
          <w:sz w:val="24"/>
          <w:szCs w:val="24"/>
        </w:rPr>
        <w:t>四、响应文件递交</w:t>
      </w:r>
      <w:r>
        <w:rPr>
          <w:rFonts w:ascii="宋体" w:hAnsi="宋体"/>
          <w:sz w:val="24"/>
        </w:rPr>
        <w:tab/>
      </w:r>
      <w:r>
        <w:rPr>
          <w:rFonts w:ascii="宋体" w:hAnsi="宋体"/>
          <w:sz w:val="24"/>
        </w:rPr>
        <w:fldChar w:fldCharType="begin"/>
      </w:r>
      <w:r>
        <w:rPr>
          <w:rFonts w:ascii="宋体" w:hAnsi="宋体"/>
          <w:sz w:val="24"/>
        </w:rPr>
        <w:instrText xml:space="preserve"> PAGEREF _Toc48913050 \h </w:instrText>
      </w:r>
      <w:r>
        <w:rPr>
          <w:rFonts w:ascii="宋体" w:hAnsi="宋体"/>
          <w:sz w:val="24"/>
        </w:rPr>
        <w:fldChar w:fldCharType="separate"/>
      </w:r>
      <w:r>
        <w:rPr>
          <w:rFonts w:ascii="宋体" w:hAnsi="宋体"/>
          <w:sz w:val="24"/>
        </w:rPr>
        <w:t>12</w:t>
      </w:r>
      <w:r>
        <w:rPr>
          <w:rFonts w:ascii="宋体" w:hAnsi="宋体"/>
          <w:sz w:val="24"/>
        </w:rPr>
        <w:fldChar w:fldCharType="end"/>
      </w:r>
      <w:r>
        <w:rPr>
          <w:rFonts w:ascii="宋体" w:hAnsi="宋体"/>
          <w:sz w:val="24"/>
        </w:rPr>
        <w:fldChar w:fldCharType="end"/>
      </w:r>
    </w:p>
    <w:p>
      <w:pPr>
        <w:pStyle w:val="41"/>
        <w:tabs>
          <w:tab w:val="right" w:leader="dot" w:pos="9061"/>
        </w:tabs>
        <w:spacing w:line="360" w:lineRule="auto"/>
        <w:ind w:left="480"/>
        <w:rPr>
          <w:rFonts w:ascii="宋体" w:hAnsi="宋体" w:cstheme="minorBidi"/>
          <w:sz w:val="24"/>
        </w:rPr>
      </w:pPr>
      <w:r>
        <w:fldChar w:fldCharType="begin"/>
      </w:r>
      <w:r>
        <w:instrText xml:space="preserve"> HYPERLINK \l "_Toc48913051" </w:instrText>
      </w:r>
      <w:r>
        <w:fldChar w:fldCharType="separate"/>
      </w:r>
      <w:r>
        <w:rPr>
          <w:rStyle w:val="57"/>
          <w:rFonts w:hint="eastAsia" w:ascii="宋体" w:hAnsi="宋体" w:eastAsia="宋体"/>
          <w:kern w:val="0"/>
          <w:sz w:val="24"/>
          <w:szCs w:val="24"/>
        </w:rPr>
        <w:t>五、开标与评标</w:t>
      </w:r>
      <w:r>
        <w:rPr>
          <w:rFonts w:ascii="宋体" w:hAnsi="宋体"/>
          <w:sz w:val="24"/>
        </w:rPr>
        <w:tab/>
      </w:r>
      <w:r>
        <w:rPr>
          <w:rFonts w:ascii="宋体" w:hAnsi="宋体"/>
          <w:sz w:val="24"/>
        </w:rPr>
        <w:fldChar w:fldCharType="begin"/>
      </w:r>
      <w:r>
        <w:rPr>
          <w:rFonts w:ascii="宋体" w:hAnsi="宋体"/>
          <w:sz w:val="24"/>
        </w:rPr>
        <w:instrText xml:space="preserve"> PAGEREF _Toc48913051 \h </w:instrText>
      </w:r>
      <w:r>
        <w:rPr>
          <w:rFonts w:ascii="宋体" w:hAnsi="宋体"/>
          <w:sz w:val="24"/>
        </w:rPr>
        <w:fldChar w:fldCharType="separate"/>
      </w:r>
      <w:r>
        <w:rPr>
          <w:rFonts w:ascii="宋体" w:hAnsi="宋体"/>
          <w:sz w:val="24"/>
        </w:rPr>
        <w:t>13</w:t>
      </w:r>
      <w:r>
        <w:rPr>
          <w:rFonts w:ascii="宋体" w:hAnsi="宋体"/>
          <w:sz w:val="24"/>
        </w:rPr>
        <w:fldChar w:fldCharType="end"/>
      </w:r>
      <w:r>
        <w:rPr>
          <w:rFonts w:ascii="宋体" w:hAnsi="宋体"/>
          <w:sz w:val="24"/>
        </w:rPr>
        <w:fldChar w:fldCharType="end"/>
      </w:r>
    </w:p>
    <w:p>
      <w:pPr>
        <w:pStyle w:val="41"/>
        <w:tabs>
          <w:tab w:val="right" w:leader="dot" w:pos="9061"/>
        </w:tabs>
        <w:spacing w:line="360" w:lineRule="auto"/>
        <w:ind w:left="480"/>
        <w:rPr>
          <w:rFonts w:ascii="宋体" w:hAnsi="宋体" w:cstheme="minorBidi"/>
          <w:sz w:val="24"/>
        </w:rPr>
      </w:pPr>
      <w:r>
        <w:fldChar w:fldCharType="begin"/>
      </w:r>
      <w:r>
        <w:instrText xml:space="preserve"> HYPERLINK \l "_Toc48913052" </w:instrText>
      </w:r>
      <w:r>
        <w:fldChar w:fldCharType="separate"/>
      </w:r>
      <w:r>
        <w:rPr>
          <w:rStyle w:val="57"/>
          <w:rFonts w:hint="eastAsia" w:ascii="宋体" w:hAnsi="宋体" w:eastAsia="宋体"/>
          <w:kern w:val="0"/>
          <w:sz w:val="24"/>
          <w:szCs w:val="24"/>
        </w:rPr>
        <w:t>六、合同签订</w:t>
      </w:r>
      <w:r>
        <w:rPr>
          <w:rFonts w:ascii="宋体" w:hAnsi="宋体"/>
          <w:sz w:val="24"/>
        </w:rPr>
        <w:tab/>
      </w:r>
      <w:r>
        <w:rPr>
          <w:rFonts w:ascii="宋体" w:hAnsi="宋体"/>
          <w:sz w:val="24"/>
        </w:rPr>
        <w:fldChar w:fldCharType="begin"/>
      </w:r>
      <w:r>
        <w:rPr>
          <w:rFonts w:ascii="宋体" w:hAnsi="宋体"/>
          <w:sz w:val="24"/>
        </w:rPr>
        <w:instrText xml:space="preserve"> PAGEREF _Toc48913052 \h </w:instrText>
      </w:r>
      <w:r>
        <w:rPr>
          <w:rFonts w:ascii="宋体" w:hAnsi="宋体"/>
          <w:sz w:val="24"/>
        </w:rPr>
        <w:fldChar w:fldCharType="separate"/>
      </w:r>
      <w:r>
        <w:rPr>
          <w:rFonts w:ascii="宋体" w:hAnsi="宋体"/>
          <w:sz w:val="24"/>
        </w:rPr>
        <w:t>17</w:t>
      </w:r>
      <w:r>
        <w:rPr>
          <w:rFonts w:ascii="宋体" w:hAnsi="宋体"/>
          <w:sz w:val="24"/>
        </w:rPr>
        <w:fldChar w:fldCharType="end"/>
      </w:r>
      <w:r>
        <w:rPr>
          <w:rFonts w:ascii="宋体" w:hAnsi="宋体"/>
          <w:sz w:val="24"/>
        </w:rPr>
        <w:fldChar w:fldCharType="end"/>
      </w:r>
    </w:p>
    <w:p>
      <w:pPr>
        <w:pStyle w:val="41"/>
        <w:tabs>
          <w:tab w:val="right" w:leader="dot" w:pos="9061"/>
        </w:tabs>
        <w:spacing w:line="360" w:lineRule="auto"/>
        <w:ind w:left="480"/>
        <w:rPr>
          <w:rFonts w:ascii="宋体" w:hAnsi="宋体" w:cstheme="minorBidi"/>
          <w:sz w:val="24"/>
        </w:rPr>
      </w:pPr>
      <w:r>
        <w:fldChar w:fldCharType="begin"/>
      </w:r>
      <w:r>
        <w:instrText xml:space="preserve"> HYPERLINK \l "_Toc48913053" </w:instrText>
      </w:r>
      <w:r>
        <w:fldChar w:fldCharType="separate"/>
      </w:r>
      <w:r>
        <w:rPr>
          <w:rStyle w:val="57"/>
          <w:rFonts w:hint="eastAsia" w:ascii="宋体" w:hAnsi="宋体" w:eastAsia="宋体"/>
          <w:kern w:val="0"/>
          <w:sz w:val="24"/>
          <w:szCs w:val="24"/>
        </w:rPr>
        <w:t>七、合同律师见证费或公证费、服务费</w:t>
      </w:r>
      <w:r>
        <w:rPr>
          <w:rFonts w:ascii="宋体" w:hAnsi="宋体"/>
          <w:sz w:val="24"/>
        </w:rPr>
        <w:tab/>
      </w:r>
      <w:r>
        <w:rPr>
          <w:rFonts w:ascii="宋体" w:hAnsi="宋体"/>
          <w:sz w:val="24"/>
        </w:rPr>
        <w:fldChar w:fldCharType="begin"/>
      </w:r>
      <w:r>
        <w:rPr>
          <w:rFonts w:ascii="宋体" w:hAnsi="宋体"/>
          <w:sz w:val="24"/>
        </w:rPr>
        <w:instrText xml:space="preserve"> PAGEREF _Toc48913053 \h </w:instrText>
      </w:r>
      <w:r>
        <w:rPr>
          <w:rFonts w:ascii="宋体" w:hAnsi="宋体"/>
          <w:sz w:val="24"/>
        </w:rPr>
        <w:fldChar w:fldCharType="separate"/>
      </w:r>
      <w:r>
        <w:rPr>
          <w:rFonts w:ascii="宋体" w:hAnsi="宋体"/>
          <w:sz w:val="24"/>
        </w:rPr>
        <w:t>17</w:t>
      </w:r>
      <w:r>
        <w:rPr>
          <w:rFonts w:ascii="宋体" w:hAnsi="宋体"/>
          <w:sz w:val="24"/>
        </w:rPr>
        <w:fldChar w:fldCharType="end"/>
      </w:r>
      <w:r>
        <w:rPr>
          <w:rFonts w:ascii="宋体" w:hAnsi="宋体"/>
          <w:sz w:val="24"/>
        </w:rPr>
        <w:fldChar w:fldCharType="end"/>
      </w:r>
    </w:p>
    <w:p>
      <w:pPr>
        <w:pStyle w:val="41"/>
        <w:tabs>
          <w:tab w:val="right" w:leader="dot" w:pos="9061"/>
        </w:tabs>
        <w:spacing w:line="360" w:lineRule="auto"/>
        <w:ind w:left="480"/>
        <w:rPr>
          <w:rFonts w:ascii="宋体" w:hAnsi="宋体" w:cstheme="minorBidi"/>
          <w:sz w:val="24"/>
        </w:rPr>
      </w:pPr>
      <w:r>
        <w:fldChar w:fldCharType="begin"/>
      </w:r>
      <w:r>
        <w:instrText xml:space="preserve"> HYPERLINK \l "_Toc48913054" </w:instrText>
      </w:r>
      <w:r>
        <w:fldChar w:fldCharType="separate"/>
      </w:r>
      <w:r>
        <w:rPr>
          <w:rStyle w:val="57"/>
          <w:rFonts w:hint="eastAsia" w:ascii="宋体" w:hAnsi="宋体" w:eastAsia="宋体"/>
          <w:kern w:val="0"/>
          <w:sz w:val="24"/>
          <w:szCs w:val="24"/>
        </w:rPr>
        <w:t>九、保密和披露</w:t>
      </w:r>
      <w:r>
        <w:rPr>
          <w:rFonts w:ascii="宋体" w:hAnsi="宋体"/>
          <w:sz w:val="24"/>
        </w:rPr>
        <w:tab/>
      </w:r>
      <w:r>
        <w:rPr>
          <w:rFonts w:ascii="宋体" w:hAnsi="宋体"/>
          <w:sz w:val="24"/>
        </w:rPr>
        <w:fldChar w:fldCharType="begin"/>
      </w:r>
      <w:r>
        <w:rPr>
          <w:rFonts w:ascii="宋体" w:hAnsi="宋体"/>
          <w:sz w:val="24"/>
        </w:rPr>
        <w:instrText xml:space="preserve"> PAGEREF _Toc48913054 \h </w:instrText>
      </w:r>
      <w:r>
        <w:rPr>
          <w:rFonts w:ascii="宋体" w:hAnsi="宋体"/>
          <w:sz w:val="24"/>
        </w:rPr>
        <w:fldChar w:fldCharType="separate"/>
      </w:r>
      <w:r>
        <w:rPr>
          <w:rFonts w:ascii="宋体" w:hAnsi="宋体"/>
          <w:sz w:val="24"/>
        </w:rPr>
        <w:t>19</w:t>
      </w:r>
      <w:r>
        <w:rPr>
          <w:rFonts w:ascii="宋体" w:hAnsi="宋体"/>
          <w:sz w:val="24"/>
        </w:rPr>
        <w:fldChar w:fldCharType="end"/>
      </w:r>
      <w:r>
        <w:rPr>
          <w:rFonts w:ascii="宋体" w:hAnsi="宋体"/>
          <w:sz w:val="24"/>
        </w:rPr>
        <w:fldChar w:fldCharType="end"/>
      </w:r>
    </w:p>
    <w:p>
      <w:pPr>
        <w:pStyle w:val="41"/>
        <w:tabs>
          <w:tab w:val="right" w:leader="dot" w:pos="9061"/>
        </w:tabs>
        <w:spacing w:line="360" w:lineRule="auto"/>
        <w:ind w:left="480"/>
        <w:rPr>
          <w:rFonts w:ascii="宋体" w:hAnsi="宋体" w:cstheme="minorBidi"/>
          <w:sz w:val="24"/>
        </w:rPr>
      </w:pPr>
      <w:r>
        <w:fldChar w:fldCharType="begin"/>
      </w:r>
      <w:r>
        <w:instrText xml:space="preserve"> HYPERLINK \l "_Toc48913055" </w:instrText>
      </w:r>
      <w:r>
        <w:fldChar w:fldCharType="separate"/>
      </w:r>
      <w:r>
        <w:rPr>
          <w:rStyle w:val="57"/>
          <w:rFonts w:hint="eastAsia" w:ascii="宋体" w:hAnsi="宋体" w:eastAsia="宋体"/>
          <w:kern w:val="0"/>
          <w:sz w:val="24"/>
          <w:szCs w:val="24"/>
        </w:rPr>
        <w:t>十、解释权</w:t>
      </w:r>
      <w:r>
        <w:rPr>
          <w:rFonts w:ascii="宋体" w:hAnsi="宋体"/>
          <w:sz w:val="24"/>
        </w:rPr>
        <w:tab/>
      </w:r>
      <w:r>
        <w:rPr>
          <w:rFonts w:ascii="宋体" w:hAnsi="宋体"/>
          <w:sz w:val="24"/>
        </w:rPr>
        <w:fldChar w:fldCharType="begin"/>
      </w:r>
      <w:r>
        <w:rPr>
          <w:rFonts w:ascii="宋体" w:hAnsi="宋体"/>
          <w:sz w:val="24"/>
        </w:rPr>
        <w:instrText xml:space="preserve"> PAGEREF _Toc48913055 \h </w:instrText>
      </w:r>
      <w:r>
        <w:rPr>
          <w:rFonts w:ascii="宋体" w:hAnsi="宋体"/>
          <w:sz w:val="24"/>
        </w:rPr>
        <w:fldChar w:fldCharType="separate"/>
      </w:r>
      <w:r>
        <w:rPr>
          <w:rFonts w:ascii="宋体" w:hAnsi="宋体"/>
          <w:sz w:val="24"/>
        </w:rPr>
        <w:t>19</w:t>
      </w:r>
      <w:r>
        <w:rPr>
          <w:rFonts w:ascii="宋体" w:hAnsi="宋体"/>
          <w:sz w:val="24"/>
        </w:rPr>
        <w:fldChar w:fldCharType="end"/>
      </w:r>
      <w:r>
        <w:rPr>
          <w:rFonts w:ascii="宋体" w:hAnsi="宋体"/>
          <w:sz w:val="24"/>
        </w:rPr>
        <w:fldChar w:fldCharType="end"/>
      </w:r>
    </w:p>
    <w:p>
      <w:pPr>
        <w:pStyle w:val="33"/>
        <w:spacing w:line="360" w:lineRule="auto"/>
        <w:rPr>
          <w:rFonts w:ascii="宋体" w:hAnsi="宋体" w:eastAsia="宋体" w:cstheme="minorBidi"/>
          <w:b w:val="0"/>
          <w:bCs w:val="0"/>
        </w:rPr>
      </w:pPr>
      <w:r>
        <w:fldChar w:fldCharType="begin"/>
      </w:r>
      <w:r>
        <w:instrText xml:space="preserve"> HYPERLINK \l "_Toc48913056" </w:instrText>
      </w:r>
      <w:r>
        <w:fldChar w:fldCharType="separate"/>
      </w:r>
      <w:r>
        <w:rPr>
          <w:rStyle w:val="57"/>
          <w:rFonts w:hint="eastAsia" w:ascii="宋体" w:hAnsi="宋体" w:eastAsia="宋体"/>
          <w:sz w:val="24"/>
          <w:szCs w:val="24"/>
        </w:rPr>
        <w:t>第三部分  项目要求</w:t>
      </w:r>
      <w:r>
        <w:rPr>
          <w:rFonts w:ascii="宋体" w:hAnsi="宋体" w:eastAsia="宋体"/>
        </w:rPr>
        <w:tab/>
      </w:r>
      <w:r>
        <w:rPr>
          <w:rFonts w:ascii="宋体" w:hAnsi="宋体" w:eastAsia="宋体"/>
        </w:rPr>
        <w:fldChar w:fldCharType="begin"/>
      </w:r>
      <w:r>
        <w:rPr>
          <w:rFonts w:ascii="宋体" w:hAnsi="宋体" w:eastAsia="宋体"/>
        </w:rPr>
        <w:instrText xml:space="preserve"> PAGEREF _Toc48913056 \h </w:instrText>
      </w:r>
      <w:r>
        <w:rPr>
          <w:rFonts w:ascii="宋体" w:hAnsi="宋体" w:eastAsia="宋体"/>
        </w:rPr>
        <w:fldChar w:fldCharType="separate"/>
      </w:r>
      <w:r>
        <w:rPr>
          <w:rFonts w:ascii="宋体" w:hAnsi="宋体" w:eastAsia="宋体"/>
        </w:rPr>
        <w:t>20</w:t>
      </w:r>
      <w:r>
        <w:rPr>
          <w:rFonts w:ascii="宋体" w:hAnsi="宋体" w:eastAsia="宋体"/>
        </w:rPr>
        <w:fldChar w:fldCharType="end"/>
      </w:r>
      <w:r>
        <w:rPr>
          <w:rFonts w:ascii="宋体" w:hAnsi="宋体" w:eastAsia="宋体"/>
        </w:rPr>
        <w:fldChar w:fldCharType="end"/>
      </w:r>
    </w:p>
    <w:p>
      <w:pPr>
        <w:pStyle w:val="33"/>
        <w:spacing w:line="360" w:lineRule="auto"/>
        <w:rPr>
          <w:rFonts w:ascii="宋体" w:hAnsi="宋体" w:eastAsia="宋体" w:cstheme="minorBidi"/>
          <w:b w:val="0"/>
          <w:bCs w:val="0"/>
        </w:rPr>
      </w:pPr>
      <w:r>
        <w:fldChar w:fldCharType="begin"/>
      </w:r>
      <w:r>
        <w:instrText xml:space="preserve"> HYPERLINK \l "_Toc48913060" </w:instrText>
      </w:r>
      <w:r>
        <w:fldChar w:fldCharType="separate"/>
      </w:r>
      <w:r>
        <w:rPr>
          <w:rStyle w:val="57"/>
          <w:rFonts w:hint="eastAsia" w:ascii="宋体" w:hAnsi="宋体" w:eastAsia="宋体"/>
          <w:sz w:val="24"/>
          <w:szCs w:val="24"/>
        </w:rPr>
        <w:t>第四部分  合同格式</w:t>
      </w:r>
      <w:r>
        <w:rPr>
          <w:rFonts w:ascii="宋体" w:hAnsi="宋体" w:eastAsia="宋体"/>
        </w:rPr>
        <w:tab/>
      </w:r>
      <w:r>
        <w:rPr>
          <w:rFonts w:ascii="宋体" w:hAnsi="宋体" w:eastAsia="宋体"/>
        </w:rPr>
        <w:fldChar w:fldCharType="begin"/>
      </w:r>
      <w:r>
        <w:rPr>
          <w:rFonts w:ascii="宋体" w:hAnsi="宋体" w:eastAsia="宋体"/>
        </w:rPr>
        <w:instrText xml:space="preserve"> PAGEREF _Toc48913060 \h </w:instrText>
      </w:r>
      <w:r>
        <w:rPr>
          <w:rFonts w:ascii="宋体" w:hAnsi="宋体" w:eastAsia="宋体"/>
        </w:rPr>
        <w:fldChar w:fldCharType="separate"/>
      </w:r>
      <w:r>
        <w:rPr>
          <w:rFonts w:ascii="宋体" w:hAnsi="宋体" w:eastAsia="宋体"/>
        </w:rPr>
        <w:t>20</w:t>
      </w:r>
      <w:r>
        <w:rPr>
          <w:rFonts w:ascii="宋体" w:hAnsi="宋体" w:eastAsia="宋体"/>
        </w:rPr>
        <w:fldChar w:fldCharType="end"/>
      </w:r>
      <w:r>
        <w:rPr>
          <w:rFonts w:ascii="宋体" w:hAnsi="宋体" w:eastAsia="宋体"/>
        </w:rPr>
        <w:fldChar w:fldCharType="end"/>
      </w:r>
    </w:p>
    <w:p>
      <w:pPr>
        <w:pStyle w:val="33"/>
        <w:spacing w:line="360" w:lineRule="auto"/>
        <w:rPr>
          <w:rFonts w:ascii="宋体" w:hAnsi="宋体" w:eastAsia="宋体" w:cstheme="minorBidi"/>
          <w:b w:val="0"/>
          <w:bCs w:val="0"/>
        </w:rPr>
      </w:pPr>
      <w:r>
        <w:fldChar w:fldCharType="begin"/>
      </w:r>
      <w:r>
        <w:instrText xml:space="preserve"> HYPERLINK \l "_Toc48913061" </w:instrText>
      </w:r>
      <w:r>
        <w:fldChar w:fldCharType="separate"/>
      </w:r>
      <w:r>
        <w:rPr>
          <w:rStyle w:val="57"/>
          <w:rFonts w:hint="eastAsia" w:ascii="宋体" w:hAnsi="宋体" w:eastAsia="宋体"/>
          <w:sz w:val="24"/>
          <w:szCs w:val="24"/>
        </w:rPr>
        <w:t>第五部分</w:t>
      </w:r>
      <w:r>
        <w:rPr>
          <w:rStyle w:val="57"/>
          <w:rFonts w:ascii="宋体" w:hAnsi="宋体" w:eastAsia="宋体"/>
          <w:sz w:val="24"/>
          <w:szCs w:val="24"/>
        </w:rPr>
        <w:t xml:space="preserve">  </w:t>
      </w:r>
      <w:r>
        <w:rPr>
          <w:rStyle w:val="57"/>
          <w:rFonts w:hint="eastAsia" w:ascii="宋体" w:hAnsi="宋体" w:eastAsia="宋体"/>
          <w:sz w:val="24"/>
          <w:szCs w:val="24"/>
        </w:rPr>
        <w:t>附件</w:t>
      </w:r>
      <w:r>
        <w:rPr>
          <w:rFonts w:ascii="宋体" w:hAnsi="宋体" w:eastAsia="宋体"/>
        </w:rPr>
        <w:tab/>
      </w:r>
      <w:r>
        <w:rPr>
          <w:rFonts w:ascii="宋体" w:hAnsi="宋体" w:eastAsia="宋体"/>
        </w:rPr>
        <w:fldChar w:fldCharType="begin"/>
      </w:r>
      <w:r>
        <w:rPr>
          <w:rFonts w:ascii="宋体" w:hAnsi="宋体" w:eastAsia="宋体"/>
        </w:rPr>
        <w:instrText xml:space="preserve"> PAGEREF _Toc48913061 \h </w:instrText>
      </w:r>
      <w:r>
        <w:rPr>
          <w:rFonts w:ascii="宋体" w:hAnsi="宋体" w:eastAsia="宋体"/>
        </w:rPr>
        <w:fldChar w:fldCharType="separate"/>
      </w:r>
      <w:r>
        <w:rPr>
          <w:rFonts w:ascii="宋体" w:hAnsi="宋体" w:eastAsia="宋体"/>
        </w:rPr>
        <w:t>33</w:t>
      </w:r>
      <w:r>
        <w:rPr>
          <w:rFonts w:ascii="宋体" w:hAnsi="宋体" w:eastAsia="宋体"/>
        </w:rPr>
        <w:fldChar w:fldCharType="end"/>
      </w:r>
      <w:r>
        <w:rPr>
          <w:rFonts w:ascii="宋体" w:hAnsi="宋体" w:eastAsia="宋体"/>
        </w:rPr>
        <w:fldChar w:fldCharType="end"/>
      </w:r>
    </w:p>
    <w:p>
      <w:pPr>
        <w:pStyle w:val="33"/>
        <w:spacing w:line="360" w:lineRule="auto"/>
        <w:rPr>
          <w:rFonts w:ascii="宋体" w:hAnsi="宋体" w:eastAsia="宋体" w:cstheme="minorBidi"/>
          <w:b w:val="0"/>
          <w:bCs w:val="0"/>
        </w:rPr>
      </w:pPr>
      <w:r>
        <w:fldChar w:fldCharType="begin"/>
      </w:r>
      <w:r>
        <w:instrText xml:space="preserve"> HYPERLINK \l "_Toc48913068" </w:instrText>
      </w:r>
      <w:r>
        <w:fldChar w:fldCharType="separate"/>
      </w:r>
      <w:r>
        <w:rPr>
          <w:rStyle w:val="57"/>
          <w:rFonts w:hint="eastAsia" w:ascii="宋体" w:hAnsi="宋体" w:eastAsia="宋体"/>
          <w:sz w:val="24"/>
          <w:szCs w:val="24"/>
        </w:rPr>
        <w:t>第六部分</w:t>
      </w:r>
      <w:r>
        <w:rPr>
          <w:rStyle w:val="57"/>
          <w:rFonts w:ascii="宋体" w:hAnsi="宋体" w:eastAsia="宋体"/>
          <w:sz w:val="24"/>
          <w:szCs w:val="24"/>
        </w:rPr>
        <w:t xml:space="preserve"> </w:t>
      </w:r>
      <w:r>
        <w:rPr>
          <w:rStyle w:val="57"/>
          <w:rFonts w:hint="eastAsia" w:ascii="宋体" w:hAnsi="宋体" w:eastAsia="宋体"/>
          <w:sz w:val="24"/>
          <w:szCs w:val="24"/>
        </w:rPr>
        <w:t xml:space="preserve"> 评分细则</w:t>
      </w:r>
      <w:r>
        <w:rPr>
          <w:rFonts w:ascii="宋体" w:hAnsi="宋体" w:eastAsia="宋体"/>
        </w:rPr>
        <w:tab/>
      </w:r>
      <w:r>
        <w:rPr>
          <w:rFonts w:ascii="宋体" w:hAnsi="宋体" w:eastAsia="宋体"/>
        </w:rPr>
        <w:fldChar w:fldCharType="begin"/>
      </w:r>
      <w:r>
        <w:rPr>
          <w:rFonts w:ascii="宋体" w:hAnsi="宋体" w:eastAsia="宋体"/>
        </w:rPr>
        <w:instrText xml:space="preserve"> PAGEREF _Toc48913068 \h </w:instrText>
      </w:r>
      <w:r>
        <w:rPr>
          <w:rFonts w:ascii="宋体" w:hAnsi="宋体" w:eastAsia="宋体"/>
        </w:rPr>
        <w:fldChar w:fldCharType="separate"/>
      </w:r>
      <w:r>
        <w:rPr>
          <w:rFonts w:ascii="宋体" w:hAnsi="宋体" w:eastAsia="宋体"/>
        </w:rPr>
        <w:t>４３</w:t>
      </w:r>
      <w:r>
        <w:rPr>
          <w:rFonts w:ascii="宋体" w:hAnsi="宋体" w:eastAsia="宋体"/>
        </w:rPr>
        <w:fldChar w:fldCharType="end"/>
      </w:r>
      <w:r>
        <w:rPr>
          <w:rFonts w:ascii="宋体" w:hAnsi="宋体" w:eastAsia="宋体"/>
        </w:rPr>
        <w:fldChar w:fldCharType="end"/>
      </w:r>
    </w:p>
    <w:p>
      <w:pPr>
        <w:pStyle w:val="41"/>
        <w:tabs>
          <w:tab w:val="right" w:leader="dot" w:pos="9061"/>
        </w:tabs>
        <w:spacing w:line="360" w:lineRule="auto"/>
        <w:ind w:left="480"/>
        <w:rPr>
          <w:rFonts w:asciiTheme="minorHAnsi" w:hAnsiTheme="minorHAnsi" w:eastAsiaTheme="minorEastAsia" w:cstheme="minorBidi"/>
          <w:szCs w:val="22"/>
        </w:rPr>
      </w:pPr>
      <w:r>
        <w:fldChar w:fldCharType="begin"/>
      </w:r>
      <w:r>
        <w:instrText xml:space="preserve"> HYPERLINK \l "_Toc48913069" </w:instrText>
      </w:r>
      <w:r>
        <w:fldChar w:fldCharType="separate"/>
      </w:r>
      <w:r>
        <w:rPr>
          <w:rStyle w:val="57"/>
          <w:rFonts w:hint="eastAsia" w:ascii="宋体" w:hAnsi="宋体" w:eastAsia="宋体"/>
          <w:sz w:val="24"/>
          <w:szCs w:val="24"/>
        </w:rPr>
        <w:t>评审细则（满分</w:t>
      </w:r>
      <w:r>
        <w:rPr>
          <w:rStyle w:val="57"/>
          <w:rFonts w:ascii="宋体" w:hAnsi="宋体" w:eastAsia="宋体"/>
          <w:sz w:val="24"/>
          <w:szCs w:val="24"/>
        </w:rPr>
        <w:t>100</w:t>
      </w:r>
      <w:r>
        <w:rPr>
          <w:rStyle w:val="57"/>
          <w:rFonts w:hint="eastAsia" w:ascii="宋体" w:hAnsi="宋体" w:eastAsia="宋体"/>
          <w:sz w:val="24"/>
          <w:szCs w:val="24"/>
        </w:rPr>
        <w:t>分）</w:t>
      </w:r>
      <w:r>
        <w:rPr>
          <w:rFonts w:ascii="宋体" w:hAnsi="宋体"/>
          <w:sz w:val="24"/>
        </w:rPr>
        <w:tab/>
      </w:r>
      <w:r>
        <w:rPr>
          <w:rFonts w:ascii="宋体" w:hAnsi="宋体"/>
          <w:sz w:val="24"/>
        </w:rPr>
        <w:fldChar w:fldCharType="begin"/>
      </w:r>
      <w:r>
        <w:rPr>
          <w:rFonts w:ascii="宋体" w:hAnsi="宋体"/>
          <w:sz w:val="24"/>
        </w:rPr>
        <w:instrText xml:space="preserve"> PAGEREF _Toc48913069 \h </w:instrText>
      </w:r>
      <w:r>
        <w:rPr>
          <w:rFonts w:ascii="宋体" w:hAnsi="宋体"/>
          <w:sz w:val="24"/>
        </w:rPr>
        <w:fldChar w:fldCharType="separate"/>
      </w:r>
      <w:r>
        <w:rPr>
          <w:rFonts w:ascii="宋体" w:hAnsi="宋体"/>
          <w:sz w:val="24"/>
        </w:rPr>
        <w:t>４３</w:t>
      </w:r>
      <w:r>
        <w:rPr>
          <w:rFonts w:ascii="宋体" w:hAnsi="宋体"/>
          <w:sz w:val="24"/>
        </w:rPr>
        <w:fldChar w:fldCharType="end"/>
      </w:r>
      <w:r>
        <w:rPr>
          <w:rFonts w:ascii="宋体" w:hAnsi="宋体"/>
          <w:sz w:val="24"/>
        </w:rPr>
        <w:fldChar w:fldCharType="end"/>
      </w:r>
    </w:p>
    <w:p>
      <w:pPr>
        <w:pStyle w:val="3"/>
        <w:spacing w:line="360" w:lineRule="auto"/>
        <w:jc w:val="center"/>
        <w:rPr>
          <w:rFonts w:ascii="宋体" w:hAnsi="宋体" w:cs="宋体"/>
          <w:sz w:val="24"/>
        </w:rPr>
      </w:pPr>
      <w:r>
        <w:rPr>
          <w:rFonts w:hint="eastAsia" w:ascii="新宋体" w:hAnsi="新宋体" w:eastAsia="新宋体" w:cs="新宋体"/>
          <w:szCs w:val="28"/>
        </w:rPr>
        <w:fldChar w:fldCharType="end"/>
      </w:r>
      <w:r>
        <w:rPr>
          <w:rFonts w:ascii="宋体" w:hAnsi="宋体" w:cs="宋体"/>
          <w:sz w:val="24"/>
        </w:rPr>
        <w:br w:type="page"/>
      </w:r>
      <w:bookmarkStart w:id="0" w:name="_Toc48913044"/>
      <w:r>
        <w:rPr>
          <w:rFonts w:hint="eastAsia"/>
        </w:rPr>
        <w:t xml:space="preserve">第一部分 </w:t>
      </w:r>
      <w:r>
        <w:rPr>
          <w:rFonts w:hint="eastAsia"/>
          <w:lang w:eastAsia="zh-CN"/>
        </w:rPr>
        <w:t xml:space="preserve">山东大学第二医院周边道路拥堵治理系统采购 </w:t>
      </w:r>
      <w:r>
        <w:rPr>
          <w:rFonts w:hint="eastAsia"/>
        </w:rPr>
        <w:t>竞争性磋商公告</w:t>
      </w:r>
      <w:bookmarkEnd w:id="0"/>
    </w:p>
    <w:p>
      <w:pPr>
        <w:widowControl w:val="0"/>
        <w:spacing w:line="360" w:lineRule="auto"/>
      </w:pPr>
      <w:r>
        <w:rPr>
          <w:rFonts w:hint="eastAsia"/>
        </w:rPr>
        <w:t>一、招标条件</w:t>
      </w:r>
    </w:p>
    <w:p>
      <w:pPr>
        <w:widowControl w:val="0"/>
        <w:spacing w:line="360" w:lineRule="auto"/>
        <w:ind w:firstLine="480" w:firstLineChars="200"/>
      </w:pPr>
      <w:r>
        <w:rPr>
          <w:rFonts w:hint="eastAsia"/>
          <w:lang w:val="en-US" w:eastAsia="zh-CN"/>
        </w:rPr>
        <w:t>山东大学第二医院周边道路拥堵治理方案系统</w:t>
      </w:r>
      <w:r>
        <w:rPr>
          <w:rFonts w:hint="eastAsia"/>
        </w:rPr>
        <w:t>采购，项目资金来源为自筹资金，项目预算</w:t>
      </w:r>
      <w:r>
        <w:rPr>
          <w:rFonts w:hint="eastAsia"/>
          <w:highlight w:val="yellow"/>
          <w:lang w:val="en-US" w:eastAsia="zh-CN"/>
        </w:rPr>
        <w:t xml:space="preserve">  9.98  </w:t>
      </w:r>
      <w:r>
        <w:rPr>
          <w:rFonts w:hint="eastAsia"/>
        </w:rPr>
        <w:t>万元，采购人为济南</w:t>
      </w:r>
      <w:r>
        <w:rPr>
          <w:rFonts w:hint="eastAsia"/>
          <w:lang w:val="en-US" w:eastAsia="zh-CN"/>
        </w:rPr>
        <w:t>市山东大学第二医院</w:t>
      </w:r>
      <w:r>
        <w:rPr>
          <w:rFonts w:hint="eastAsia"/>
        </w:rPr>
        <w:t>。本项目已具备招标条件，招标方式为竞争性磋商。</w:t>
      </w:r>
    </w:p>
    <w:p>
      <w:pPr>
        <w:widowControl w:val="0"/>
        <w:spacing w:line="360" w:lineRule="auto"/>
      </w:pPr>
      <w:r>
        <w:rPr>
          <w:rFonts w:hint="eastAsia"/>
        </w:rPr>
        <w:t>二、项目概况和招标范围</w:t>
      </w:r>
    </w:p>
    <w:p>
      <w:pPr>
        <w:widowControl w:val="0"/>
        <w:spacing w:line="360" w:lineRule="auto"/>
        <w:ind w:firstLine="480" w:firstLineChars="200"/>
      </w:pPr>
      <w:r>
        <w:rPr>
          <w:rFonts w:hint="eastAsia"/>
        </w:rPr>
        <w:t>1、项目概况：本项目为山东大学第二医院周边道路拥堵治理系统采购。</w:t>
      </w:r>
    </w:p>
    <w:p>
      <w:pPr>
        <w:widowControl w:val="0"/>
        <w:spacing w:line="360" w:lineRule="auto"/>
        <w:ind w:firstLine="480" w:firstLineChars="200"/>
      </w:pPr>
      <w:r>
        <w:rPr>
          <w:rFonts w:hint="eastAsia"/>
        </w:rPr>
        <w:t>2、招标范围：本项目为山东大学第二医院周边道路拥堵治理系统采购，具体详见竞争性磋商文件。</w:t>
      </w:r>
    </w:p>
    <w:p>
      <w:pPr>
        <w:widowControl w:val="0"/>
        <w:spacing w:line="360" w:lineRule="auto"/>
      </w:pPr>
      <w:r>
        <w:rPr>
          <w:rFonts w:hint="eastAsia"/>
        </w:rPr>
        <w:t>三、供应商资格要求</w:t>
      </w:r>
    </w:p>
    <w:p>
      <w:pPr>
        <w:widowControl w:val="0"/>
        <w:spacing w:line="360" w:lineRule="auto"/>
        <w:ind w:firstLine="480" w:firstLineChars="200"/>
      </w:pPr>
      <w:r>
        <w:rPr>
          <w:rFonts w:hint="eastAsia"/>
        </w:rPr>
        <w:t>1、具备《中华人民共和国政府采购法》第二十二条规定的条件；</w:t>
      </w:r>
    </w:p>
    <w:p>
      <w:pPr>
        <w:widowControl w:val="0"/>
        <w:spacing w:line="360" w:lineRule="auto"/>
        <w:ind w:firstLine="480" w:firstLineChars="200"/>
      </w:pPr>
      <w:r>
        <w:rPr>
          <w:rFonts w:hint="eastAsia"/>
        </w:rPr>
        <w:t>2、供应商具备承担本项目能力，能够履行本项目合同，具有年检合格营业执照的生产厂家或代理商；</w:t>
      </w:r>
    </w:p>
    <w:p>
      <w:pPr>
        <w:widowControl w:val="0"/>
        <w:spacing w:line="360" w:lineRule="auto"/>
        <w:ind w:firstLine="480" w:firstLineChars="200"/>
      </w:pPr>
      <w:r>
        <w:rPr>
          <w:rFonts w:hint="eastAsia"/>
        </w:rPr>
        <w:t xml:space="preserve">3、供应商应未列入"信用中国"网站（www.creditchina.gov.cn）、中国政府采购网（www.ccgp.gov.cn）失信被执行人、企业经营异常名录、重大税收违法案件当事人名单、政府采购严重违法失信名单；                                                                                                                    </w:t>
      </w:r>
    </w:p>
    <w:p>
      <w:pPr>
        <w:widowControl w:val="0"/>
        <w:spacing w:line="360" w:lineRule="auto"/>
        <w:ind w:firstLine="480" w:firstLineChars="200"/>
      </w:pPr>
      <w:r>
        <w:rPr>
          <w:rFonts w:hint="eastAsia"/>
        </w:rPr>
        <w:t>4、参加政府采购活动前3年内在经营活动中没有重大违法记录；</w:t>
      </w:r>
    </w:p>
    <w:p>
      <w:pPr>
        <w:widowControl w:val="0"/>
        <w:spacing w:line="360" w:lineRule="auto"/>
        <w:ind w:firstLine="480" w:firstLineChars="200"/>
      </w:pPr>
      <w:r>
        <w:rPr>
          <w:rFonts w:hint="eastAsia"/>
        </w:rPr>
        <w:t>5、本项目不接受联合体投标。</w:t>
      </w:r>
    </w:p>
    <w:p>
      <w:pPr>
        <w:widowControl w:val="0"/>
        <w:spacing w:line="360" w:lineRule="auto"/>
      </w:pPr>
      <w:r>
        <w:rPr>
          <w:rFonts w:hint="eastAsia"/>
        </w:rPr>
        <w:t>四、投标报名及竞争性磋商文件的获取</w:t>
      </w:r>
    </w:p>
    <w:p>
      <w:pPr>
        <w:pStyle w:val="45"/>
        <w:spacing w:beforeAutospacing="0" w:afterAutospacing="0" w:line="360" w:lineRule="auto"/>
        <w:ind w:firstLine="360" w:firstLineChars="150"/>
        <w:rPr>
          <w:rFonts w:cs="仿宋_GB2312"/>
        </w:rPr>
      </w:pPr>
      <w:r>
        <w:rPr>
          <w:rFonts w:hint="eastAsia" w:cs="仿宋_GB2312"/>
        </w:rPr>
        <w:t>1.凡有意参加投标者，请于</w:t>
      </w:r>
      <w:r>
        <w:rPr>
          <w:rFonts w:hint="eastAsia" w:cs="仿宋_GB2312"/>
          <w:highlight w:val="yellow"/>
        </w:rPr>
        <w:t xml:space="preserve"> 202</w:t>
      </w:r>
      <w:r>
        <w:rPr>
          <w:rFonts w:hint="eastAsia" w:cs="仿宋_GB2312"/>
          <w:highlight w:val="yellow"/>
          <w:lang w:val="en-US" w:eastAsia="zh-CN"/>
        </w:rPr>
        <w:t>2</w:t>
      </w:r>
      <w:r>
        <w:rPr>
          <w:rFonts w:hint="eastAsia" w:cs="仿宋_GB2312"/>
          <w:highlight w:val="yellow"/>
        </w:rPr>
        <w:t>年</w:t>
      </w:r>
      <w:r>
        <w:rPr>
          <w:rFonts w:hint="eastAsia" w:cs="仿宋_GB2312"/>
          <w:highlight w:val="yellow"/>
          <w:lang w:val="en-US" w:eastAsia="zh-CN"/>
        </w:rPr>
        <w:t xml:space="preserve">10 </w:t>
      </w:r>
      <w:r>
        <w:rPr>
          <w:rFonts w:hint="eastAsia" w:cs="仿宋_GB2312"/>
          <w:highlight w:val="yellow"/>
        </w:rPr>
        <w:t>月</w:t>
      </w:r>
      <w:r>
        <w:rPr>
          <w:rFonts w:hint="eastAsia" w:cs="仿宋_GB2312"/>
          <w:highlight w:val="yellow"/>
          <w:lang w:val="en-US" w:eastAsia="zh-CN"/>
        </w:rPr>
        <w:t xml:space="preserve"> 21 </w:t>
      </w:r>
      <w:r>
        <w:rPr>
          <w:rFonts w:hint="eastAsia" w:cs="仿宋_GB2312"/>
          <w:highlight w:val="yellow"/>
        </w:rPr>
        <w:t>日至 202</w:t>
      </w:r>
      <w:r>
        <w:rPr>
          <w:rFonts w:hint="eastAsia" w:cs="仿宋_GB2312"/>
          <w:highlight w:val="yellow"/>
          <w:lang w:val="en-US" w:eastAsia="zh-CN"/>
        </w:rPr>
        <w:t>2</w:t>
      </w:r>
      <w:r>
        <w:rPr>
          <w:rFonts w:hint="eastAsia" w:cs="仿宋_GB2312"/>
          <w:highlight w:val="yellow"/>
        </w:rPr>
        <w:t xml:space="preserve"> 年</w:t>
      </w:r>
      <w:r>
        <w:rPr>
          <w:rFonts w:hint="eastAsia" w:cs="仿宋_GB2312"/>
          <w:highlight w:val="yellow"/>
          <w:lang w:val="en-US" w:eastAsia="zh-CN"/>
        </w:rPr>
        <w:t xml:space="preserve"> 10 </w:t>
      </w:r>
      <w:r>
        <w:rPr>
          <w:rFonts w:hint="eastAsia" w:cs="仿宋_GB2312"/>
          <w:highlight w:val="yellow"/>
        </w:rPr>
        <w:t>月</w:t>
      </w:r>
      <w:r>
        <w:rPr>
          <w:rFonts w:hint="eastAsia" w:cs="仿宋_GB2312"/>
          <w:highlight w:val="yellow"/>
          <w:lang w:val="en-US" w:eastAsia="zh-CN"/>
        </w:rPr>
        <w:t xml:space="preserve"> 24 </w:t>
      </w:r>
      <w:r>
        <w:rPr>
          <w:rFonts w:hint="eastAsia" w:cs="仿宋_GB2312"/>
          <w:highlight w:val="yellow"/>
        </w:rPr>
        <w:t>日</w:t>
      </w:r>
      <w:r>
        <w:rPr>
          <w:rFonts w:hint="eastAsia" w:cs="仿宋_GB2312"/>
        </w:rPr>
        <w:t>，将以下加盖公章的复印件的扫描件（pdf格式）发送至（</w:t>
      </w:r>
      <w:r>
        <w:fldChar w:fldCharType="begin"/>
      </w:r>
      <w:r>
        <w:instrText xml:space="preserve"> HYPERLINK "mailto:sdgyzb002@163.com）进行报名并电话通知招标代理（13210557756" </w:instrText>
      </w:r>
      <w:r>
        <w:fldChar w:fldCharType="separate"/>
      </w:r>
      <w:r>
        <w:rPr>
          <w:rFonts w:hint="eastAsia"/>
          <w:lang w:val="en-US" w:eastAsia="zh-CN"/>
        </w:rPr>
        <w:t>xf85875119@163.com</w:t>
      </w:r>
      <w:r>
        <w:rPr>
          <w:rStyle w:val="57"/>
          <w:rFonts w:hint="eastAsia" w:ascii="宋体" w:hAnsi="宋体" w:eastAsia="宋体" w:cs="仿宋_GB2312"/>
          <w:sz w:val="24"/>
          <w:szCs w:val="24"/>
        </w:rPr>
        <w:t>）进行报名并电话通知（</w:t>
      </w:r>
      <w:r>
        <w:rPr>
          <w:rStyle w:val="57"/>
          <w:rFonts w:hint="eastAsia" w:ascii="宋体" w:hAnsi="宋体" w:eastAsia="宋体" w:cs="仿宋_GB2312"/>
          <w:sz w:val="24"/>
          <w:szCs w:val="24"/>
        </w:rPr>
        <w:fldChar w:fldCharType="end"/>
      </w:r>
      <w:r>
        <w:rPr>
          <w:rStyle w:val="57"/>
          <w:rFonts w:hint="eastAsia" w:cs="仿宋_GB2312"/>
          <w:sz w:val="24"/>
          <w:szCs w:val="24"/>
          <w:lang w:eastAsia="zh-CN"/>
        </w:rPr>
        <w:t>傅强</w:t>
      </w:r>
      <w:r>
        <w:rPr>
          <w:rStyle w:val="57"/>
          <w:rFonts w:hint="eastAsia" w:cs="仿宋_GB2312"/>
          <w:sz w:val="24"/>
          <w:szCs w:val="24"/>
          <w:lang w:val="en-US" w:eastAsia="zh-CN"/>
        </w:rPr>
        <w:t xml:space="preserve"> 17660086978</w:t>
      </w:r>
      <w:r>
        <w:rPr>
          <w:rFonts w:hint="eastAsia" w:cs="仿宋_GB2312"/>
        </w:rPr>
        <w:t>）。将在收到报名材料24小时内通知潜在供应商是否符合投标条件（潜在供应商须在规定时间前提交资料，逾期不提交视为不符合投标条件）：①营业执照；②社会信誉自查承诺及“信用中国”网站截图；③法人授权委托书及被授权人身份证；</w:t>
      </w:r>
      <w:r>
        <w:rPr>
          <w:rFonts w:hint="eastAsia" w:cs="仿宋_GB2312"/>
          <w:b/>
          <w:bCs/>
        </w:rPr>
        <w:t>注：报名资料里备注联系人、联系电话、邮箱本项目实行资格后审，报名成功不代表资格审查通过。</w:t>
      </w:r>
    </w:p>
    <w:p>
      <w:pPr>
        <w:pStyle w:val="45"/>
        <w:spacing w:beforeAutospacing="0" w:afterAutospacing="0" w:line="360" w:lineRule="auto"/>
        <w:ind w:firstLine="360" w:firstLineChars="150"/>
        <w:rPr>
          <w:rFonts w:asciiTheme="minorEastAsia" w:hAnsiTheme="minorEastAsia" w:eastAsiaTheme="minorEastAsia" w:cstheme="minorEastAsia"/>
          <w:b/>
        </w:rPr>
      </w:pPr>
      <w:r>
        <w:rPr>
          <w:rFonts w:hint="eastAsia" w:cs="仿宋_GB2312"/>
        </w:rPr>
        <w:t>2.</w:t>
      </w:r>
      <w:r>
        <w:rPr>
          <w:rFonts w:hint="eastAsia" w:asciiTheme="minorEastAsia" w:hAnsiTheme="minorEastAsia" w:eastAsiaTheme="minorEastAsia" w:cstheme="minorEastAsia"/>
          <w:b/>
        </w:rPr>
        <w:t>报名时的资料查验不代表资格审查的最终通过或合格。</w:t>
      </w:r>
    </w:p>
    <w:p>
      <w:pPr>
        <w:widowControl w:val="0"/>
        <w:numPr>
          <w:ilvl w:val="0"/>
          <w:numId w:val="0"/>
        </w:numPr>
        <w:spacing w:line="360" w:lineRule="auto"/>
      </w:pPr>
      <w:r>
        <w:rPr>
          <w:rFonts w:hint="eastAsia"/>
          <w:lang w:eastAsia="zh-CN"/>
        </w:rPr>
        <w:t>五、</w:t>
      </w:r>
      <w:r>
        <w:rPr>
          <w:rFonts w:hint="eastAsia"/>
        </w:rPr>
        <w:t>开标时间及地点：</w:t>
      </w:r>
    </w:p>
    <w:p>
      <w:pPr>
        <w:numPr>
          <w:ilvl w:val="0"/>
          <w:numId w:val="0"/>
        </w:numPr>
        <w:spacing w:line="360" w:lineRule="auto"/>
        <w:ind w:firstLine="240" w:firstLineChars="100"/>
        <w:rPr>
          <w:rFonts w:hint="eastAsia" w:eastAsiaTheme="minorEastAsia"/>
          <w:lang w:eastAsia="zh-CN"/>
        </w:rPr>
      </w:pPr>
      <w:r>
        <w:rPr>
          <w:rFonts w:hint="eastAsia" w:asciiTheme="minorEastAsia" w:hAnsiTheme="minorEastAsia" w:eastAsiaTheme="minorEastAsia" w:cstheme="minorEastAsia"/>
          <w:kern w:val="2"/>
          <w:lang w:val="en-US" w:eastAsia="zh-CN"/>
        </w:rPr>
        <w:t>1.</w:t>
      </w:r>
      <w:r>
        <w:rPr>
          <w:rFonts w:hint="eastAsia" w:asciiTheme="minorEastAsia" w:hAnsiTheme="minorEastAsia" w:eastAsiaTheme="minorEastAsia" w:cstheme="minorEastAsia"/>
          <w:kern w:val="2"/>
        </w:rPr>
        <w:t>时间：</w:t>
      </w:r>
      <w:r>
        <w:rPr>
          <w:rFonts w:hint="eastAsia" w:asciiTheme="minorEastAsia" w:hAnsiTheme="minorEastAsia" w:eastAsiaTheme="minorEastAsia" w:cstheme="minorEastAsia"/>
          <w:kern w:val="2"/>
          <w:lang w:eastAsia="zh-CN"/>
        </w:rPr>
        <w:t>另行通知</w:t>
      </w:r>
    </w:p>
    <w:p>
      <w:pPr>
        <w:pStyle w:val="45"/>
        <w:spacing w:beforeAutospacing="0" w:afterAutospacing="0" w:line="360" w:lineRule="auto"/>
        <w:ind w:firstLine="240" w:firstLineChars="100"/>
        <w:rPr>
          <w:rFonts w:hint="eastAsia" w:asciiTheme="minorEastAsia" w:hAnsiTheme="minorEastAsia" w:eastAsiaTheme="minorEastAsia" w:cstheme="minorEastAsia"/>
          <w:highlight w:val="yellow"/>
          <w:lang w:val="en-US" w:eastAsia="zh-CN"/>
        </w:rPr>
      </w:pPr>
      <w:r>
        <w:rPr>
          <w:rFonts w:hint="eastAsia" w:asciiTheme="minorEastAsia" w:hAnsiTheme="minorEastAsia" w:eastAsiaTheme="minorEastAsia" w:cstheme="minorEastAsia"/>
        </w:rPr>
        <w:t>2.地点：</w:t>
      </w:r>
      <w:r>
        <w:rPr>
          <w:rFonts w:hint="eastAsia" w:asciiTheme="minorEastAsia" w:hAnsiTheme="minorEastAsia" w:eastAsiaTheme="minorEastAsia" w:cstheme="minorEastAsia"/>
          <w:lang w:eastAsia="zh-CN"/>
        </w:rPr>
        <w:t>山东大学第二医院</w:t>
      </w:r>
    </w:p>
    <w:p>
      <w:pPr>
        <w:widowControl w:val="0"/>
        <w:spacing w:line="360" w:lineRule="auto"/>
      </w:pPr>
      <w:r>
        <w:rPr>
          <w:rFonts w:hint="eastAsia"/>
          <w:lang w:eastAsia="zh-CN"/>
        </w:rPr>
        <w:t>六、</w:t>
      </w:r>
      <w:r>
        <w:rPr>
          <w:rFonts w:hint="eastAsia"/>
        </w:rPr>
        <w:t>其他</w:t>
      </w:r>
    </w:p>
    <w:p>
      <w:pPr>
        <w:widowControl w:val="0"/>
        <w:wordWrap w:val="0"/>
        <w:spacing w:line="360" w:lineRule="auto"/>
        <w:ind w:firstLine="480" w:firstLineChars="200"/>
      </w:pPr>
      <w:r>
        <w:rPr>
          <w:rFonts w:hint="eastAsia"/>
        </w:rPr>
        <w:t>本公告在</w:t>
      </w:r>
      <w:r>
        <w:rPr>
          <w:rFonts w:hint="eastAsia"/>
          <w:highlight w:val="yellow"/>
          <w:lang w:val="en-US" w:eastAsia="zh-CN"/>
        </w:rPr>
        <w:t>山东大学第二医院官方网站</w:t>
      </w:r>
      <w:r>
        <w:rPr>
          <w:rFonts w:hint="eastAsia"/>
        </w:rPr>
        <w:t>发布。</w:t>
      </w:r>
    </w:p>
    <w:p>
      <w:pPr>
        <w:widowControl w:val="0"/>
        <w:spacing w:line="360" w:lineRule="auto"/>
        <w:rPr>
          <w:highlight w:val="yellow"/>
        </w:rPr>
      </w:pPr>
      <w:r>
        <w:rPr>
          <w:rFonts w:hint="eastAsia"/>
          <w:highlight w:val="yellow"/>
          <w:lang w:eastAsia="zh-CN"/>
        </w:rPr>
        <w:t>七、</w:t>
      </w:r>
      <w:r>
        <w:rPr>
          <w:rFonts w:hint="eastAsia"/>
          <w:highlight w:val="yellow"/>
        </w:rPr>
        <w:t>联系方式</w:t>
      </w:r>
    </w:p>
    <w:p>
      <w:pPr>
        <w:widowControl w:val="0"/>
        <w:spacing w:line="360" w:lineRule="auto"/>
        <w:ind w:firstLine="480" w:firstLineChars="200"/>
        <w:rPr>
          <w:rFonts w:hint="eastAsia" w:eastAsia="宋体"/>
          <w:highlight w:val="yellow"/>
          <w:lang w:eastAsia="zh-CN"/>
        </w:rPr>
      </w:pPr>
      <w:r>
        <w:rPr>
          <w:rFonts w:hint="eastAsia"/>
          <w:highlight w:val="yellow"/>
        </w:rPr>
        <w:t xml:space="preserve">联系人：  </w:t>
      </w:r>
      <w:r>
        <w:rPr>
          <w:rFonts w:hint="eastAsia"/>
          <w:highlight w:val="yellow"/>
          <w:lang w:eastAsia="zh-CN"/>
        </w:rPr>
        <w:t>傅强</w:t>
      </w:r>
    </w:p>
    <w:p>
      <w:pPr>
        <w:widowControl w:val="0"/>
        <w:spacing w:line="360" w:lineRule="auto"/>
        <w:ind w:firstLine="480" w:firstLineChars="200"/>
        <w:rPr>
          <w:rFonts w:hint="default" w:eastAsia="宋体"/>
          <w:snapToGrid w:val="0"/>
          <w:highlight w:val="yellow"/>
          <w:lang w:val="en-US" w:eastAsia="zh-CN"/>
        </w:rPr>
      </w:pPr>
      <w:r>
        <w:rPr>
          <w:rFonts w:hint="eastAsia"/>
          <w:snapToGrid w:val="0"/>
          <w:highlight w:val="yellow"/>
        </w:rPr>
        <w:t>联系电话：</w:t>
      </w:r>
      <w:r>
        <w:rPr>
          <w:rFonts w:hint="eastAsia"/>
          <w:snapToGrid w:val="0"/>
          <w:highlight w:val="yellow"/>
          <w:lang w:val="en-US" w:eastAsia="zh-CN"/>
        </w:rPr>
        <w:t>17660086978</w:t>
      </w:r>
    </w:p>
    <w:p>
      <w:pPr>
        <w:widowControl w:val="0"/>
        <w:spacing w:line="360" w:lineRule="auto"/>
        <w:ind w:firstLine="480" w:firstLineChars="200"/>
        <w:rPr>
          <w:rFonts w:hint="default" w:eastAsia="宋体"/>
          <w:snapToGrid w:val="0"/>
          <w:highlight w:val="yellow"/>
          <w:lang w:val="en-US" w:eastAsia="zh-CN"/>
        </w:rPr>
      </w:pPr>
      <w:r>
        <w:rPr>
          <w:rFonts w:hint="eastAsia"/>
          <w:snapToGrid w:val="0"/>
          <w:highlight w:val="yellow"/>
        </w:rPr>
        <w:t>邮    箱：</w:t>
      </w:r>
      <w:r>
        <w:rPr>
          <w:rFonts w:hint="eastAsia"/>
          <w:snapToGrid w:val="0"/>
          <w:highlight w:val="yellow"/>
          <w:lang w:val="en-US" w:eastAsia="zh-CN"/>
        </w:rPr>
        <w:t>xf85875119@163.com</w:t>
      </w:r>
    </w:p>
    <w:p>
      <w:pPr>
        <w:widowControl w:val="0"/>
        <w:numPr>
          <w:ilvl w:val="0"/>
          <w:numId w:val="0"/>
        </w:numPr>
        <w:spacing w:line="360" w:lineRule="auto"/>
        <w:rPr>
          <w:snapToGrid w:val="0"/>
        </w:rPr>
      </w:pPr>
      <w:r>
        <w:rPr>
          <w:rFonts w:hint="eastAsia"/>
          <w:snapToGrid w:val="0"/>
          <w:lang w:eastAsia="zh-CN"/>
        </w:rPr>
        <w:t>八、</w:t>
      </w:r>
      <w:r>
        <w:rPr>
          <w:rFonts w:hint="eastAsia"/>
          <w:snapToGrid w:val="0"/>
        </w:rPr>
        <w:t>公告时间：</w:t>
      </w:r>
      <w:r>
        <w:rPr>
          <w:rFonts w:hint="eastAsia"/>
          <w:snapToGrid w:val="0"/>
          <w:highlight w:val="yellow"/>
        </w:rPr>
        <w:t>202</w:t>
      </w:r>
      <w:r>
        <w:rPr>
          <w:rFonts w:hint="eastAsia"/>
          <w:snapToGrid w:val="0"/>
          <w:highlight w:val="yellow"/>
          <w:lang w:val="en-US" w:eastAsia="zh-CN"/>
        </w:rPr>
        <w:t>2</w:t>
      </w:r>
      <w:r>
        <w:rPr>
          <w:rFonts w:hint="eastAsia"/>
          <w:snapToGrid w:val="0"/>
          <w:highlight w:val="yellow"/>
        </w:rPr>
        <w:t>年</w:t>
      </w:r>
      <w:r>
        <w:rPr>
          <w:rFonts w:hint="eastAsia"/>
          <w:snapToGrid w:val="0"/>
          <w:highlight w:val="yellow"/>
          <w:lang w:val="en-US" w:eastAsia="zh-CN"/>
        </w:rPr>
        <w:t xml:space="preserve"> 10 </w:t>
      </w:r>
      <w:r>
        <w:rPr>
          <w:rFonts w:hint="eastAsia"/>
          <w:snapToGrid w:val="0"/>
          <w:highlight w:val="yellow"/>
        </w:rPr>
        <w:t>月</w:t>
      </w:r>
      <w:r>
        <w:rPr>
          <w:rFonts w:hint="eastAsia"/>
          <w:snapToGrid w:val="0"/>
          <w:highlight w:val="yellow"/>
          <w:lang w:val="en-US" w:eastAsia="zh-CN"/>
        </w:rPr>
        <w:t xml:space="preserve"> 21 </w:t>
      </w:r>
      <w:r>
        <w:rPr>
          <w:rFonts w:hint="eastAsia"/>
          <w:snapToGrid w:val="0"/>
          <w:highlight w:val="yellow"/>
        </w:rPr>
        <w:t>日至202</w:t>
      </w:r>
      <w:r>
        <w:rPr>
          <w:rFonts w:hint="eastAsia"/>
          <w:snapToGrid w:val="0"/>
          <w:highlight w:val="yellow"/>
          <w:lang w:val="en-US" w:eastAsia="zh-CN"/>
        </w:rPr>
        <w:t>2</w:t>
      </w:r>
      <w:r>
        <w:rPr>
          <w:rFonts w:hint="eastAsia"/>
          <w:snapToGrid w:val="0"/>
          <w:highlight w:val="yellow"/>
        </w:rPr>
        <w:t>年</w:t>
      </w:r>
      <w:r>
        <w:rPr>
          <w:rFonts w:hint="eastAsia"/>
          <w:snapToGrid w:val="0"/>
          <w:highlight w:val="yellow"/>
          <w:lang w:val="en-US" w:eastAsia="zh-CN"/>
        </w:rPr>
        <w:t xml:space="preserve"> 10 </w:t>
      </w:r>
      <w:r>
        <w:rPr>
          <w:rFonts w:hint="eastAsia"/>
          <w:snapToGrid w:val="0"/>
          <w:highlight w:val="yellow"/>
        </w:rPr>
        <w:t>月</w:t>
      </w:r>
      <w:r>
        <w:rPr>
          <w:rFonts w:hint="eastAsia"/>
          <w:snapToGrid w:val="0"/>
          <w:highlight w:val="yellow"/>
          <w:lang w:val="en-US" w:eastAsia="zh-CN"/>
        </w:rPr>
        <w:t xml:space="preserve"> 24  </w:t>
      </w:r>
      <w:r>
        <w:rPr>
          <w:rFonts w:hint="eastAsia"/>
          <w:snapToGrid w:val="0"/>
          <w:highlight w:val="yellow"/>
        </w:rPr>
        <w:t>日</w:t>
      </w:r>
    </w:p>
    <w:p>
      <w:pPr>
        <w:spacing w:line="360" w:lineRule="auto"/>
        <w:ind w:firstLine="5810" w:firstLineChars="2421"/>
        <w:rPr>
          <w:rFonts w:ascii="Times New Roman" w:hAnsi="Times New Roman" w:cs="Times New Roman"/>
          <w:b/>
          <w:bCs/>
          <w:kern w:val="44"/>
          <w:sz w:val="44"/>
          <w:szCs w:val="44"/>
        </w:rPr>
      </w:pPr>
      <w:r>
        <w:br w:type="page"/>
      </w:r>
    </w:p>
    <w:p>
      <w:pPr>
        <w:pStyle w:val="3"/>
        <w:spacing w:line="360" w:lineRule="auto"/>
        <w:jc w:val="center"/>
      </w:pPr>
      <w:bookmarkStart w:id="1" w:name="_Toc48913045"/>
      <w:r>
        <w:rPr>
          <w:rFonts w:hint="eastAsia"/>
        </w:rPr>
        <w:t>第二部分供应商须知</w:t>
      </w:r>
      <w:bookmarkEnd w:id="1"/>
    </w:p>
    <w:p>
      <w:pPr>
        <w:pStyle w:val="3"/>
        <w:spacing w:before="0" w:after="0" w:line="360" w:lineRule="auto"/>
        <w:jc w:val="center"/>
        <w:rPr>
          <w:rFonts w:ascii="宋体" w:hAnsi="宋体"/>
          <w:sz w:val="30"/>
          <w:szCs w:val="30"/>
        </w:rPr>
      </w:pPr>
      <w:bookmarkStart w:id="2" w:name="_Toc48913046"/>
      <w:r>
        <w:rPr>
          <w:rFonts w:hint="eastAsia" w:ascii="宋体" w:hAnsi="宋体"/>
          <w:sz w:val="30"/>
          <w:szCs w:val="30"/>
        </w:rPr>
        <w:t>供应商须知前附表</w:t>
      </w:r>
      <w:bookmarkEnd w:id="2"/>
    </w:p>
    <w:tbl>
      <w:tblPr>
        <w:tblStyle w:val="5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709" w:type="dxa"/>
            <w:vAlign w:val="center"/>
          </w:tcPr>
          <w:p>
            <w:pPr>
              <w:spacing w:line="360" w:lineRule="auto"/>
              <w:jc w:val="center"/>
            </w:pPr>
            <w:r>
              <w:rPr>
                <w:rFonts w:hint="eastAsia"/>
              </w:rPr>
              <w:t>项号</w:t>
            </w:r>
          </w:p>
        </w:tc>
        <w:tc>
          <w:tcPr>
            <w:tcW w:w="1418" w:type="dxa"/>
            <w:vAlign w:val="center"/>
          </w:tcPr>
          <w:p>
            <w:pPr>
              <w:spacing w:line="360" w:lineRule="auto"/>
              <w:jc w:val="center"/>
            </w:pPr>
            <w:r>
              <w:rPr>
                <w:rFonts w:hint="eastAsia"/>
              </w:rPr>
              <w:t>内容</w:t>
            </w:r>
          </w:p>
        </w:tc>
        <w:tc>
          <w:tcPr>
            <w:tcW w:w="6945" w:type="dxa"/>
            <w:vAlign w:val="center"/>
          </w:tcPr>
          <w:p>
            <w:pPr>
              <w:spacing w:line="360" w:lineRule="auto"/>
              <w:jc w:val="center"/>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709" w:type="dxa"/>
            <w:vAlign w:val="center"/>
          </w:tcPr>
          <w:p>
            <w:pPr>
              <w:spacing w:line="360" w:lineRule="auto"/>
              <w:jc w:val="center"/>
            </w:pPr>
            <w:r>
              <w:rPr>
                <w:rFonts w:hint="eastAsia"/>
              </w:rPr>
              <w:t>1</w:t>
            </w:r>
          </w:p>
        </w:tc>
        <w:tc>
          <w:tcPr>
            <w:tcW w:w="1418" w:type="dxa"/>
            <w:vAlign w:val="center"/>
          </w:tcPr>
          <w:p>
            <w:pPr>
              <w:spacing w:line="360" w:lineRule="auto"/>
              <w:jc w:val="center"/>
            </w:pPr>
            <w:r>
              <w:rPr>
                <w:rFonts w:hint="eastAsia"/>
              </w:rPr>
              <w:t>项目名称</w:t>
            </w:r>
          </w:p>
        </w:tc>
        <w:tc>
          <w:tcPr>
            <w:tcW w:w="6945" w:type="dxa"/>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济南市山东大学第二医院周边道路拥堵治理方案系统采购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09" w:type="dxa"/>
            <w:vAlign w:val="center"/>
          </w:tcPr>
          <w:p>
            <w:pPr>
              <w:spacing w:line="360" w:lineRule="auto"/>
              <w:jc w:val="center"/>
            </w:pPr>
            <w:r>
              <w:rPr>
                <w:rFonts w:hint="eastAsia"/>
              </w:rPr>
              <w:t>2</w:t>
            </w:r>
          </w:p>
        </w:tc>
        <w:tc>
          <w:tcPr>
            <w:tcW w:w="1418" w:type="dxa"/>
            <w:tcBorders>
              <w:bottom w:val="single" w:color="auto" w:sz="4" w:space="0"/>
            </w:tcBorders>
            <w:vAlign w:val="center"/>
          </w:tcPr>
          <w:p>
            <w:pPr>
              <w:spacing w:line="360" w:lineRule="auto"/>
              <w:jc w:val="center"/>
            </w:pPr>
            <w:r>
              <w:rPr>
                <w:rFonts w:hint="eastAsia"/>
              </w:rPr>
              <w:t>交货地点</w:t>
            </w:r>
          </w:p>
        </w:tc>
        <w:tc>
          <w:tcPr>
            <w:tcW w:w="6945" w:type="dxa"/>
            <w:vAlign w:val="center"/>
          </w:tcPr>
          <w:p>
            <w:pPr>
              <w:spacing w:line="360" w:lineRule="auto"/>
            </w:pPr>
            <w:r>
              <w:rPr>
                <w:rFonts w:hint="eastAsia"/>
              </w:rPr>
              <w:t>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709" w:type="dxa"/>
            <w:shd w:val="clear" w:color="auto" w:fill="auto"/>
            <w:vAlign w:val="center"/>
          </w:tcPr>
          <w:p>
            <w:pPr>
              <w:spacing w:line="360" w:lineRule="auto"/>
              <w:jc w:val="center"/>
            </w:pPr>
            <w:r>
              <w:rPr>
                <w:rFonts w:hint="eastAsia"/>
              </w:rPr>
              <w:t>3</w:t>
            </w:r>
          </w:p>
        </w:tc>
        <w:tc>
          <w:tcPr>
            <w:tcW w:w="1418" w:type="dxa"/>
            <w:shd w:val="clear" w:color="auto" w:fill="FFFFFF" w:themeFill="background1"/>
            <w:vAlign w:val="center"/>
          </w:tcPr>
          <w:p>
            <w:pPr>
              <w:spacing w:line="360" w:lineRule="auto"/>
              <w:jc w:val="center"/>
            </w:pPr>
            <w:r>
              <w:t>采购数量</w:t>
            </w:r>
          </w:p>
        </w:tc>
        <w:tc>
          <w:tcPr>
            <w:tcW w:w="6945" w:type="dxa"/>
            <w:vAlign w:val="center"/>
          </w:tcPr>
          <w:p>
            <w:pPr>
              <w:spacing w:line="360" w:lineRule="auto"/>
            </w:pPr>
            <w:r>
              <w:rPr>
                <w:rFonts w:hint="eastAsia"/>
              </w:rPr>
              <w:t>详见第三部分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709" w:type="dxa"/>
            <w:shd w:val="clear" w:color="auto" w:fill="auto"/>
            <w:vAlign w:val="center"/>
          </w:tcPr>
          <w:p>
            <w:pPr>
              <w:spacing w:line="360" w:lineRule="auto"/>
              <w:jc w:val="center"/>
            </w:pPr>
            <w:r>
              <w:rPr>
                <w:rFonts w:hint="eastAsia"/>
              </w:rPr>
              <w:t>4</w:t>
            </w:r>
          </w:p>
        </w:tc>
        <w:tc>
          <w:tcPr>
            <w:tcW w:w="1418" w:type="dxa"/>
            <w:shd w:val="clear" w:color="auto" w:fill="FFFFFF" w:themeFill="background1"/>
            <w:vAlign w:val="center"/>
          </w:tcPr>
          <w:p>
            <w:pPr>
              <w:spacing w:line="360" w:lineRule="auto"/>
              <w:jc w:val="center"/>
            </w:pPr>
            <w:r>
              <w:rPr>
                <w:rFonts w:hint="eastAsia"/>
              </w:rPr>
              <w:t>资金来源</w:t>
            </w:r>
          </w:p>
        </w:tc>
        <w:tc>
          <w:tcPr>
            <w:tcW w:w="6945" w:type="dxa"/>
            <w:vAlign w:val="center"/>
          </w:tcPr>
          <w:p>
            <w:pPr>
              <w:spacing w:line="360" w:lineRule="auto"/>
            </w:pPr>
            <w:r>
              <w:rPr>
                <w:rFonts w:hint="eastAsi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6" w:hRule="atLeast"/>
        </w:trPr>
        <w:tc>
          <w:tcPr>
            <w:tcW w:w="709" w:type="dxa"/>
            <w:shd w:val="clear" w:color="auto" w:fill="auto"/>
            <w:vAlign w:val="center"/>
          </w:tcPr>
          <w:p>
            <w:pPr>
              <w:spacing w:line="360" w:lineRule="auto"/>
              <w:jc w:val="center"/>
            </w:pPr>
            <w:r>
              <w:rPr>
                <w:rFonts w:hint="eastAsia"/>
              </w:rPr>
              <w:t>5</w:t>
            </w:r>
          </w:p>
        </w:tc>
        <w:tc>
          <w:tcPr>
            <w:tcW w:w="1418" w:type="dxa"/>
            <w:shd w:val="clear" w:color="auto" w:fill="FFFFFF" w:themeFill="background1"/>
            <w:vAlign w:val="center"/>
          </w:tcPr>
          <w:p>
            <w:pPr>
              <w:spacing w:line="360" w:lineRule="auto"/>
              <w:jc w:val="center"/>
            </w:pPr>
            <w:r>
              <w:rPr>
                <w:rFonts w:hint="eastAsia"/>
              </w:rPr>
              <w:t>供货安装期</w:t>
            </w:r>
          </w:p>
        </w:tc>
        <w:tc>
          <w:tcPr>
            <w:tcW w:w="6945" w:type="dxa"/>
            <w:vAlign w:val="center"/>
          </w:tcPr>
          <w:p>
            <w:pPr>
              <w:spacing w:line="360" w:lineRule="auto"/>
              <w:rPr>
                <w:highlight w:val="yellow"/>
              </w:rPr>
            </w:pPr>
            <w:r>
              <w:rPr>
                <w:rFonts w:hint="eastAsia"/>
              </w:rPr>
              <w:t>签订合同后接甲方供货通知后10日历日内供货安装调试完毕并达到验收标准。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709" w:type="dxa"/>
            <w:shd w:val="clear" w:color="auto" w:fill="auto"/>
            <w:vAlign w:val="center"/>
          </w:tcPr>
          <w:p>
            <w:pPr>
              <w:spacing w:line="360" w:lineRule="auto"/>
              <w:jc w:val="center"/>
            </w:pPr>
            <w:r>
              <w:rPr>
                <w:rFonts w:hint="eastAsia"/>
              </w:rPr>
              <w:t>6</w:t>
            </w:r>
          </w:p>
        </w:tc>
        <w:tc>
          <w:tcPr>
            <w:tcW w:w="1418" w:type="dxa"/>
            <w:shd w:val="clear" w:color="auto" w:fill="FFFFFF" w:themeFill="background1"/>
            <w:vAlign w:val="center"/>
          </w:tcPr>
          <w:p>
            <w:pPr>
              <w:spacing w:line="360" w:lineRule="auto"/>
              <w:jc w:val="center"/>
            </w:pPr>
            <w:r>
              <w:rPr>
                <w:rFonts w:hint="eastAsia"/>
              </w:rPr>
              <w:t>质保期</w:t>
            </w:r>
          </w:p>
        </w:tc>
        <w:tc>
          <w:tcPr>
            <w:tcW w:w="6945" w:type="dxa"/>
            <w:vAlign w:val="center"/>
          </w:tcPr>
          <w:p>
            <w:pPr>
              <w:spacing w:line="360" w:lineRule="auto"/>
            </w:pPr>
            <w:r>
              <w:rPr>
                <w:rFonts w:hint="eastAsia"/>
              </w:rPr>
              <w:t>不少于二年，供应商可以自行竞报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09" w:type="dxa"/>
            <w:vAlign w:val="center"/>
          </w:tcPr>
          <w:p>
            <w:pPr>
              <w:spacing w:line="360" w:lineRule="auto"/>
              <w:jc w:val="center"/>
            </w:pPr>
            <w:r>
              <w:rPr>
                <w:rFonts w:hint="eastAsia"/>
              </w:rPr>
              <w:t>7</w:t>
            </w:r>
          </w:p>
        </w:tc>
        <w:tc>
          <w:tcPr>
            <w:tcW w:w="1418" w:type="dxa"/>
            <w:vAlign w:val="center"/>
          </w:tcPr>
          <w:p>
            <w:pPr>
              <w:spacing w:line="360" w:lineRule="auto"/>
              <w:jc w:val="center"/>
            </w:pPr>
            <w:r>
              <w:rPr>
                <w:rFonts w:hint="eastAsia"/>
              </w:rPr>
              <w:t>预算金额</w:t>
            </w:r>
          </w:p>
        </w:tc>
        <w:tc>
          <w:tcPr>
            <w:tcW w:w="6945" w:type="dxa"/>
            <w:vAlign w:val="center"/>
          </w:tcPr>
          <w:p>
            <w:pPr>
              <w:spacing w:line="360" w:lineRule="auto"/>
            </w:pPr>
            <w:r>
              <w:rPr>
                <w:rFonts w:hint="eastAsia"/>
              </w:rPr>
              <w:t>本项目预算金额</w:t>
            </w:r>
            <w:r>
              <w:rPr>
                <w:rFonts w:hint="eastAsia"/>
                <w:lang w:val="en-US" w:eastAsia="zh-CN"/>
              </w:rPr>
              <w:t>9.98</w:t>
            </w:r>
            <w:r>
              <w:rPr>
                <w:rFonts w:hint="eastAsia"/>
              </w:rPr>
              <w:t>万元。供应商的响应报价不得高于预算金额，供应商响应报价高于预算金额的，作无效响应处理。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709" w:type="dxa"/>
            <w:vAlign w:val="center"/>
          </w:tcPr>
          <w:p>
            <w:pPr>
              <w:spacing w:line="360" w:lineRule="auto"/>
              <w:jc w:val="center"/>
            </w:pPr>
            <w:r>
              <w:rPr>
                <w:rFonts w:hint="eastAsia"/>
              </w:rPr>
              <w:t>8</w:t>
            </w:r>
          </w:p>
        </w:tc>
        <w:tc>
          <w:tcPr>
            <w:tcW w:w="1418" w:type="dxa"/>
            <w:vAlign w:val="center"/>
          </w:tcPr>
          <w:p>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供应商资格要求</w:t>
            </w:r>
          </w:p>
        </w:tc>
        <w:tc>
          <w:tcPr>
            <w:tcW w:w="6945" w:type="dxa"/>
            <w:vAlign w:val="center"/>
          </w:tcPr>
          <w:p>
            <w:pPr>
              <w:spacing w:line="360" w:lineRule="auto"/>
            </w:pPr>
            <w:r>
              <w:t>1、具备《中华人民共和国政府采购法》第二十二条规定的条件；</w:t>
            </w:r>
          </w:p>
          <w:p>
            <w:pPr>
              <w:spacing w:line="360" w:lineRule="auto"/>
            </w:pPr>
            <w:r>
              <w:t>2、供应商具备承担本项目能力，能够履行本项目合同，具有年检合格营业执照的生产厂家或代理商；</w:t>
            </w:r>
          </w:p>
          <w:p>
            <w:pPr>
              <w:spacing w:line="360" w:lineRule="auto"/>
            </w:pPr>
            <w:r>
              <w:rPr>
                <w:rFonts w:hint="eastAsia"/>
              </w:rPr>
              <w:t>3</w:t>
            </w:r>
            <w:r>
              <w:t xml:space="preserve">、供应商应未列入"信用中国"网站（www.creditchina.gov.cn）、中国政府采购网（www.ccgp.gov.cn）、企业经营异常名录、重大税收违法案件当事人名单、政府采购严重违法失信名单；                                                                                                                    </w:t>
            </w:r>
          </w:p>
          <w:p>
            <w:pPr>
              <w:spacing w:line="360" w:lineRule="auto"/>
            </w:pPr>
            <w:r>
              <w:rPr>
                <w:rFonts w:hint="eastAsia"/>
              </w:rPr>
              <w:t>4</w:t>
            </w:r>
            <w:r>
              <w:t>、参加政府采购活动前3年内在经营活动中没有重大违法记录；</w:t>
            </w:r>
          </w:p>
          <w:p>
            <w:pPr>
              <w:spacing w:line="360" w:lineRule="auto"/>
            </w:pPr>
            <w:r>
              <w:rPr>
                <w:rFonts w:hint="eastAsia"/>
              </w:rPr>
              <w:t>5</w:t>
            </w:r>
            <w: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09" w:type="dxa"/>
            <w:vAlign w:val="center"/>
          </w:tcPr>
          <w:p>
            <w:pPr>
              <w:spacing w:line="360" w:lineRule="auto"/>
              <w:jc w:val="center"/>
              <w:rPr>
                <w:sz w:val="28"/>
              </w:rPr>
            </w:pPr>
            <w:r>
              <w:rPr>
                <w:rFonts w:hint="eastAsia"/>
              </w:rPr>
              <w:t>9</w:t>
            </w:r>
          </w:p>
        </w:tc>
        <w:tc>
          <w:tcPr>
            <w:tcW w:w="1418" w:type="dxa"/>
            <w:vAlign w:val="center"/>
          </w:tcPr>
          <w:p>
            <w:pPr>
              <w:spacing w:line="360" w:lineRule="auto"/>
              <w:jc w:val="center"/>
            </w:pPr>
            <w:r>
              <w:rPr>
                <w:rFonts w:hint="eastAsia"/>
              </w:rPr>
              <w:t>资格审查方式</w:t>
            </w:r>
          </w:p>
        </w:tc>
        <w:tc>
          <w:tcPr>
            <w:tcW w:w="6945" w:type="dxa"/>
            <w:vAlign w:val="center"/>
          </w:tcPr>
          <w:p>
            <w:pPr>
              <w:spacing w:line="360" w:lineRule="auto"/>
            </w:pPr>
            <w:r>
              <w:rPr>
                <w:rFonts w:hint="eastAsi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09" w:type="dxa"/>
            <w:vAlign w:val="center"/>
          </w:tcPr>
          <w:p>
            <w:pPr>
              <w:spacing w:line="360" w:lineRule="auto"/>
              <w:jc w:val="center"/>
            </w:pPr>
            <w:r>
              <w:rPr>
                <w:rFonts w:hint="eastAsia"/>
              </w:rPr>
              <w:t>10</w:t>
            </w:r>
          </w:p>
        </w:tc>
        <w:tc>
          <w:tcPr>
            <w:tcW w:w="1418" w:type="dxa"/>
            <w:vAlign w:val="center"/>
          </w:tcPr>
          <w:p>
            <w:pPr>
              <w:spacing w:line="360" w:lineRule="auto"/>
              <w:jc w:val="center"/>
            </w:pPr>
            <w:r>
              <w:rPr>
                <w:rFonts w:hint="eastAsia"/>
              </w:rPr>
              <w:t>投标有效期</w:t>
            </w:r>
          </w:p>
        </w:tc>
        <w:tc>
          <w:tcPr>
            <w:tcW w:w="6945" w:type="dxa"/>
            <w:vAlign w:val="center"/>
          </w:tcPr>
          <w:p>
            <w:pPr>
              <w:spacing w:line="360" w:lineRule="auto"/>
            </w:pPr>
            <w:r>
              <w:rPr>
                <w:rFonts w:hint="eastAsia"/>
              </w:rPr>
              <w:t>90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4" w:hRule="atLeast"/>
        </w:trPr>
        <w:tc>
          <w:tcPr>
            <w:tcW w:w="709" w:type="dxa"/>
            <w:vAlign w:val="center"/>
          </w:tcPr>
          <w:p>
            <w:pPr>
              <w:spacing w:line="360" w:lineRule="auto"/>
              <w:jc w:val="center"/>
              <w:rPr>
                <w:rFonts w:hint="eastAsia" w:eastAsia="宋体"/>
                <w:lang w:eastAsia="zh-CN"/>
              </w:rPr>
            </w:pPr>
            <w:r>
              <w:rPr>
                <w:rFonts w:hint="eastAsia"/>
              </w:rPr>
              <w:t>1</w:t>
            </w:r>
            <w:r>
              <w:rPr>
                <w:rFonts w:hint="eastAsia"/>
                <w:lang w:val="en-US" w:eastAsia="zh-CN"/>
              </w:rPr>
              <w:t>1</w:t>
            </w:r>
          </w:p>
        </w:tc>
        <w:tc>
          <w:tcPr>
            <w:tcW w:w="1418" w:type="dxa"/>
            <w:vAlign w:val="center"/>
          </w:tcPr>
          <w:p>
            <w:pPr>
              <w:spacing w:line="360" w:lineRule="auto"/>
              <w:jc w:val="center"/>
            </w:pPr>
            <w:r>
              <w:rPr>
                <w:rFonts w:hint="eastAsia"/>
              </w:rPr>
              <w:t>质量要求</w:t>
            </w:r>
          </w:p>
        </w:tc>
        <w:tc>
          <w:tcPr>
            <w:tcW w:w="6945" w:type="dxa"/>
            <w:vAlign w:val="center"/>
          </w:tcPr>
          <w:p>
            <w:pPr>
              <w:autoSpaceDE w:val="0"/>
              <w:autoSpaceDN w:val="0"/>
              <w:adjustRightInd w:val="0"/>
              <w:spacing w:line="360" w:lineRule="auto"/>
            </w:pPr>
            <w:r>
              <w:rPr>
                <w:rFonts w:hint="eastAsia"/>
              </w:rPr>
              <w:t>合格，满足采购人要求。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709" w:type="dxa"/>
            <w:vAlign w:val="center"/>
          </w:tcPr>
          <w:p>
            <w:pPr>
              <w:spacing w:line="360" w:lineRule="auto"/>
              <w:jc w:val="center"/>
              <w:rPr>
                <w:rFonts w:hint="eastAsia" w:eastAsia="宋体"/>
                <w:lang w:eastAsia="zh-CN"/>
              </w:rPr>
            </w:pPr>
            <w:r>
              <w:rPr>
                <w:rFonts w:hint="eastAsia"/>
              </w:rPr>
              <w:t>1</w:t>
            </w:r>
            <w:r>
              <w:rPr>
                <w:rFonts w:hint="eastAsia"/>
                <w:lang w:val="en-US" w:eastAsia="zh-CN"/>
              </w:rPr>
              <w:t>2</w:t>
            </w:r>
          </w:p>
        </w:tc>
        <w:tc>
          <w:tcPr>
            <w:tcW w:w="1418" w:type="dxa"/>
            <w:vAlign w:val="center"/>
          </w:tcPr>
          <w:p>
            <w:pPr>
              <w:spacing w:line="360" w:lineRule="auto"/>
              <w:jc w:val="center"/>
            </w:pPr>
            <w:r>
              <w:rPr>
                <w:rFonts w:hint="eastAsia"/>
              </w:rPr>
              <w:t>付款方式</w:t>
            </w:r>
          </w:p>
        </w:tc>
        <w:tc>
          <w:tcPr>
            <w:tcW w:w="6945" w:type="dxa"/>
            <w:vAlign w:val="center"/>
          </w:tcPr>
          <w:p>
            <w:pPr>
              <w:autoSpaceDE w:val="0"/>
              <w:autoSpaceDN w:val="0"/>
              <w:adjustRightInd w:val="0"/>
              <w:spacing w:line="360" w:lineRule="auto"/>
            </w:pPr>
            <w:r>
              <w:t>1、</w:t>
            </w:r>
            <w:r>
              <w:rPr>
                <w:rFonts w:hint="eastAsia"/>
              </w:rPr>
              <w:t>本项目无预付款，供货并全部安装完成并验收合格后付至合同额的</w:t>
            </w:r>
            <w:r>
              <w:rPr>
                <w:rFonts w:hint="eastAsia"/>
                <w:highlight w:val="yellow"/>
                <w:lang w:val="en-US" w:eastAsia="zh-CN"/>
              </w:rPr>
              <w:t>97</w:t>
            </w:r>
            <w:r>
              <w:rPr>
                <w:highlight w:val="yellow"/>
              </w:rPr>
              <w:t>%</w:t>
            </w:r>
            <w:r>
              <w:t>，质保期满</w:t>
            </w:r>
            <w:r>
              <w:rPr>
                <w:rFonts w:hint="eastAsia"/>
              </w:rPr>
              <w:t>二</w:t>
            </w:r>
            <w:r>
              <w:t>年付至审定值的100%，结算时根据审定</w:t>
            </w:r>
            <w:r>
              <w:rPr>
                <w:rFonts w:hint="eastAsia"/>
              </w:rPr>
              <w:t>值</w:t>
            </w:r>
            <w:r>
              <w:t>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spacing w:line="360" w:lineRule="auto"/>
              <w:jc w:val="center"/>
              <w:rPr>
                <w:rFonts w:hint="eastAsia" w:eastAsia="宋体"/>
                <w:lang w:eastAsia="zh-CN"/>
              </w:rPr>
            </w:pPr>
            <w:r>
              <w:rPr>
                <w:rFonts w:hint="eastAsia"/>
              </w:rPr>
              <w:t>1</w:t>
            </w:r>
            <w:r>
              <w:rPr>
                <w:rFonts w:hint="eastAsia"/>
                <w:lang w:val="en-US" w:eastAsia="zh-CN"/>
              </w:rPr>
              <w:t>3</w:t>
            </w:r>
          </w:p>
        </w:tc>
        <w:tc>
          <w:tcPr>
            <w:tcW w:w="1418" w:type="dxa"/>
            <w:vAlign w:val="center"/>
          </w:tcPr>
          <w:p>
            <w:pPr>
              <w:spacing w:line="360" w:lineRule="auto"/>
              <w:jc w:val="center"/>
            </w:pPr>
            <w:r>
              <w:rPr>
                <w:rFonts w:hint="eastAsia"/>
              </w:rPr>
              <w:t>响应文件份数</w:t>
            </w:r>
          </w:p>
        </w:tc>
        <w:tc>
          <w:tcPr>
            <w:tcW w:w="6945" w:type="dxa"/>
            <w:vAlign w:val="center"/>
          </w:tcPr>
          <w:p>
            <w:pPr>
              <w:spacing w:line="360" w:lineRule="auto"/>
            </w:pPr>
            <w:r>
              <w:rPr>
                <w:rFonts w:hint="eastAsia"/>
              </w:rPr>
              <w:t>响应文件正本一份、副本</w:t>
            </w:r>
            <w:r>
              <w:rPr>
                <w:rFonts w:hint="eastAsia"/>
                <w:lang w:val="en-US" w:eastAsia="zh-CN"/>
              </w:rPr>
              <w:t>贰</w:t>
            </w:r>
            <w:r>
              <w:rPr>
                <w:rFonts w:hint="eastAsia"/>
              </w:rPr>
              <w:t>份；唱价单一式贰份，单独密封。装订要求：胶装。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709" w:type="dxa"/>
            <w:vAlign w:val="center"/>
          </w:tcPr>
          <w:p>
            <w:pPr>
              <w:spacing w:line="360" w:lineRule="auto"/>
              <w:jc w:val="center"/>
              <w:rPr>
                <w:rFonts w:hint="eastAsia" w:eastAsia="宋体"/>
                <w:lang w:eastAsia="zh-CN"/>
              </w:rPr>
            </w:pPr>
            <w:r>
              <w:rPr>
                <w:rFonts w:hint="eastAsia"/>
              </w:rPr>
              <w:t>1</w:t>
            </w:r>
            <w:r>
              <w:rPr>
                <w:rFonts w:hint="eastAsia"/>
                <w:lang w:val="en-US" w:eastAsia="zh-CN"/>
              </w:rPr>
              <w:t>4</w:t>
            </w:r>
          </w:p>
        </w:tc>
        <w:tc>
          <w:tcPr>
            <w:tcW w:w="1418" w:type="dxa"/>
            <w:vAlign w:val="center"/>
          </w:tcPr>
          <w:p>
            <w:pPr>
              <w:spacing w:line="360" w:lineRule="auto"/>
              <w:jc w:val="center"/>
              <w:rPr>
                <w:highlight w:val="yellow"/>
                <w:shd w:val="clear" w:color="FFFFFF" w:fill="D9D9D9"/>
              </w:rPr>
            </w:pPr>
            <w:r>
              <w:rPr>
                <w:rFonts w:hint="eastAsia"/>
                <w:highlight w:val="yellow"/>
                <w:shd w:val="clear" w:color="FFFFFF" w:fill="D9D9D9"/>
              </w:rPr>
              <w:t>响应文件提交地点及截止时间</w:t>
            </w:r>
          </w:p>
        </w:tc>
        <w:tc>
          <w:tcPr>
            <w:tcW w:w="6945" w:type="dxa"/>
            <w:vAlign w:val="center"/>
          </w:tcPr>
          <w:p>
            <w:pPr>
              <w:spacing w:line="360" w:lineRule="auto"/>
              <w:rPr>
                <w:color w:val="auto"/>
                <w:highlight w:val="yellow"/>
                <w:shd w:val="clear" w:color="FFFFFF" w:fill="D9D9D9"/>
              </w:rPr>
            </w:pPr>
            <w:r>
              <w:rPr>
                <w:rFonts w:hint="eastAsia"/>
                <w:color w:val="auto"/>
                <w:highlight w:val="yellow"/>
                <w:shd w:val="clear" w:color="FFFFFF" w:fill="D9D9D9"/>
              </w:rPr>
              <w:t>时间：202</w:t>
            </w:r>
            <w:r>
              <w:rPr>
                <w:rFonts w:hint="eastAsia"/>
                <w:color w:val="auto"/>
                <w:highlight w:val="yellow"/>
                <w:shd w:val="clear" w:color="FFFFFF" w:fill="D9D9D9"/>
                <w:lang w:val="en-US" w:eastAsia="zh-CN"/>
              </w:rPr>
              <w:t>2</w:t>
            </w:r>
            <w:r>
              <w:rPr>
                <w:rFonts w:hint="eastAsia"/>
                <w:color w:val="auto"/>
                <w:highlight w:val="yellow"/>
                <w:shd w:val="clear" w:color="FFFFFF" w:fill="D9D9D9"/>
              </w:rPr>
              <w:t>年</w:t>
            </w:r>
            <w:r>
              <w:rPr>
                <w:rFonts w:hint="eastAsia"/>
                <w:color w:val="auto"/>
                <w:highlight w:val="yellow"/>
                <w:shd w:val="clear" w:color="FFFFFF" w:fill="D9D9D9"/>
                <w:lang w:val="en-US" w:eastAsia="zh-CN"/>
              </w:rPr>
              <w:t xml:space="preserve">  </w:t>
            </w:r>
            <w:r>
              <w:rPr>
                <w:rFonts w:hint="eastAsia"/>
                <w:color w:val="auto"/>
                <w:highlight w:val="yellow"/>
                <w:shd w:val="clear" w:color="FFFFFF" w:fill="D9D9D9"/>
              </w:rPr>
              <w:t>月</w:t>
            </w:r>
            <w:r>
              <w:rPr>
                <w:rFonts w:hint="eastAsia"/>
                <w:color w:val="auto"/>
                <w:highlight w:val="yellow"/>
                <w:shd w:val="clear" w:color="FFFFFF" w:fill="D9D9D9"/>
                <w:lang w:val="en-US" w:eastAsia="zh-CN"/>
              </w:rPr>
              <w:t xml:space="preserve">  </w:t>
            </w:r>
            <w:r>
              <w:rPr>
                <w:rFonts w:hint="eastAsia"/>
                <w:color w:val="auto"/>
                <w:highlight w:val="yellow"/>
                <w:shd w:val="clear" w:color="FFFFFF" w:fill="D9D9D9"/>
              </w:rPr>
              <w:t>日</w:t>
            </w:r>
            <w:r>
              <w:rPr>
                <w:rFonts w:hint="eastAsia"/>
                <w:color w:val="auto"/>
                <w:highlight w:val="yellow"/>
                <w:shd w:val="clear" w:color="FFFFFF" w:fill="D9D9D9"/>
                <w:lang w:val="en-US" w:eastAsia="zh-CN"/>
              </w:rPr>
              <w:t xml:space="preserve">  </w:t>
            </w:r>
            <w:r>
              <w:rPr>
                <w:rFonts w:hint="eastAsia"/>
                <w:color w:val="auto"/>
                <w:highlight w:val="yellow"/>
                <w:shd w:val="clear" w:color="FFFFFF" w:fill="D9D9D9"/>
              </w:rPr>
              <w:t>时</w:t>
            </w:r>
            <w:r>
              <w:rPr>
                <w:rFonts w:hint="eastAsia"/>
                <w:color w:val="auto"/>
                <w:highlight w:val="yellow"/>
                <w:shd w:val="clear" w:color="FFFFFF" w:fill="D9D9D9"/>
                <w:lang w:val="en-US" w:eastAsia="zh-CN"/>
              </w:rPr>
              <w:t xml:space="preserve">  </w:t>
            </w:r>
            <w:r>
              <w:rPr>
                <w:rFonts w:hint="eastAsia"/>
                <w:color w:val="auto"/>
                <w:highlight w:val="yellow"/>
                <w:shd w:val="clear" w:color="FFFFFF" w:fill="D9D9D9"/>
              </w:rPr>
              <w:t>分-</w:t>
            </w:r>
            <w:r>
              <w:rPr>
                <w:rFonts w:hint="eastAsia"/>
                <w:color w:val="auto"/>
                <w:highlight w:val="yellow"/>
                <w:shd w:val="clear" w:color="FFFFFF" w:fill="D9D9D9"/>
                <w:lang w:val="en-US" w:eastAsia="zh-CN"/>
              </w:rPr>
              <w:t xml:space="preserve">  </w:t>
            </w:r>
            <w:r>
              <w:rPr>
                <w:rFonts w:hint="eastAsia"/>
                <w:color w:val="auto"/>
                <w:highlight w:val="yellow"/>
                <w:shd w:val="clear" w:color="FFFFFF" w:fill="D9D9D9"/>
              </w:rPr>
              <w:t>时</w:t>
            </w:r>
            <w:r>
              <w:rPr>
                <w:rFonts w:hint="eastAsia"/>
                <w:color w:val="auto"/>
                <w:highlight w:val="yellow"/>
                <w:shd w:val="clear" w:color="FFFFFF" w:fill="D9D9D9"/>
                <w:lang w:val="en-US" w:eastAsia="zh-CN"/>
              </w:rPr>
              <w:t xml:space="preserve">  </w:t>
            </w:r>
            <w:r>
              <w:rPr>
                <w:rFonts w:hint="eastAsia"/>
                <w:color w:val="auto"/>
                <w:highlight w:val="yellow"/>
                <w:shd w:val="clear" w:color="FFFFFF" w:fill="D9D9D9"/>
              </w:rPr>
              <w:t>分</w:t>
            </w:r>
          </w:p>
          <w:p>
            <w:pPr>
              <w:spacing w:line="360" w:lineRule="auto"/>
              <w:rPr>
                <w:rFonts w:hint="default" w:eastAsia="宋体"/>
                <w:highlight w:val="yellow"/>
                <w:shd w:val="clear" w:color="FFFFFF" w:fill="D9D9D9"/>
                <w:lang w:val="en-US" w:eastAsia="zh-CN"/>
              </w:rPr>
            </w:pPr>
            <w:r>
              <w:rPr>
                <w:rFonts w:hint="eastAsia"/>
                <w:color w:val="auto"/>
                <w:highlight w:val="yellow"/>
                <w:shd w:val="clear" w:color="FFFFFF" w:fill="D9D9D9"/>
              </w:rPr>
              <w:t>地点：</w:t>
            </w:r>
            <w:r>
              <w:rPr>
                <w:rFonts w:hint="eastAsia"/>
                <w:color w:val="auto"/>
                <w:highlight w:val="yellow"/>
                <w:shd w:val="clear" w:color="FFFFFF" w:fill="D9D9D9"/>
                <w:lang w:val="en-US" w:eastAsia="zh-CN"/>
              </w:rPr>
              <w:t xml:space="preserve">    </w:t>
            </w:r>
            <w:bookmarkStart w:id="78" w:name="_GoBack"/>
            <w:bookmarkEnd w:id="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709" w:type="dxa"/>
            <w:vAlign w:val="center"/>
          </w:tcPr>
          <w:p>
            <w:pPr>
              <w:spacing w:line="360" w:lineRule="auto"/>
              <w:jc w:val="center"/>
              <w:rPr>
                <w:rFonts w:hint="eastAsia" w:eastAsia="宋体"/>
                <w:lang w:eastAsia="zh-CN"/>
              </w:rPr>
            </w:pPr>
            <w:r>
              <w:rPr>
                <w:rFonts w:hint="eastAsia"/>
              </w:rPr>
              <w:t>1</w:t>
            </w:r>
            <w:r>
              <w:rPr>
                <w:rFonts w:hint="eastAsia"/>
                <w:lang w:val="en-US" w:eastAsia="zh-CN"/>
              </w:rPr>
              <w:t>5</w:t>
            </w:r>
          </w:p>
        </w:tc>
        <w:tc>
          <w:tcPr>
            <w:tcW w:w="1418" w:type="dxa"/>
            <w:vAlign w:val="center"/>
          </w:tcPr>
          <w:p>
            <w:pPr>
              <w:spacing w:line="360" w:lineRule="auto"/>
              <w:jc w:val="center"/>
              <w:rPr>
                <w:highlight w:val="yellow"/>
              </w:rPr>
            </w:pPr>
            <w:r>
              <w:rPr>
                <w:rFonts w:hint="eastAsia"/>
                <w:highlight w:val="yellow"/>
              </w:rPr>
              <w:t>开标</w:t>
            </w:r>
          </w:p>
        </w:tc>
        <w:tc>
          <w:tcPr>
            <w:tcW w:w="6945" w:type="dxa"/>
            <w:vAlign w:val="center"/>
          </w:tcPr>
          <w:p>
            <w:pPr>
              <w:spacing w:line="360" w:lineRule="auto"/>
              <w:ind w:left="67" w:hanging="67" w:hangingChars="28"/>
              <w:rPr>
                <w:rFonts w:hint="eastAsia" w:eastAsia="宋体"/>
                <w:highlight w:val="yellow"/>
                <w:lang w:eastAsia="zh-CN"/>
              </w:rPr>
            </w:pPr>
            <w:r>
              <w:rPr>
                <w:rFonts w:hint="eastAsia"/>
                <w:highlight w:val="yellow"/>
              </w:rPr>
              <w:t>时间：</w:t>
            </w:r>
            <w:r>
              <w:rPr>
                <w:rFonts w:hint="eastAsia"/>
                <w:highlight w:val="yellow"/>
                <w:lang w:eastAsia="zh-CN"/>
              </w:rPr>
              <w:t>另行通知</w:t>
            </w:r>
          </w:p>
          <w:p>
            <w:pPr>
              <w:spacing w:line="360" w:lineRule="auto"/>
              <w:ind w:left="67" w:hanging="67" w:hangingChars="28"/>
              <w:rPr>
                <w:rFonts w:hint="default" w:eastAsia="宋体"/>
                <w:highlight w:val="yellow"/>
                <w:lang w:val="en-US" w:eastAsia="zh-CN"/>
              </w:rPr>
            </w:pPr>
            <w:r>
              <w:rPr>
                <w:rFonts w:hint="eastAsia"/>
                <w:highlight w:val="yellow"/>
              </w:rPr>
              <w:t>地点：</w:t>
            </w:r>
            <w:r>
              <w:rPr>
                <w:rFonts w:hint="eastAsia"/>
                <w:highlight w:val="yellow"/>
                <w:lang w:val="en-US" w:eastAsia="zh-CN"/>
              </w:rPr>
              <w:t xml:space="preserve"> 山东大学第二医院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09" w:type="dxa"/>
            <w:vAlign w:val="center"/>
          </w:tcPr>
          <w:p>
            <w:pPr>
              <w:spacing w:line="360" w:lineRule="auto"/>
              <w:jc w:val="center"/>
              <w:rPr>
                <w:rFonts w:hint="eastAsia" w:eastAsia="宋体"/>
                <w:lang w:eastAsia="zh-CN"/>
              </w:rPr>
            </w:pPr>
            <w:r>
              <w:rPr>
                <w:rFonts w:hint="eastAsia"/>
              </w:rPr>
              <w:t>1</w:t>
            </w:r>
            <w:r>
              <w:rPr>
                <w:rFonts w:hint="eastAsia"/>
                <w:lang w:val="en-US" w:eastAsia="zh-CN"/>
              </w:rPr>
              <w:t>6</w:t>
            </w:r>
          </w:p>
        </w:tc>
        <w:tc>
          <w:tcPr>
            <w:tcW w:w="1418" w:type="dxa"/>
            <w:vAlign w:val="center"/>
          </w:tcPr>
          <w:p>
            <w:pPr>
              <w:spacing w:line="360" w:lineRule="auto"/>
              <w:jc w:val="center"/>
            </w:pPr>
            <w:r>
              <w:rPr>
                <w:rFonts w:hint="eastAsia"/>
              </w:rPr>
              <w:t>评标方法及标准</w:t>
            </w:r>
          </w:p>
        </w:tc>
        <w:tc>
          <w:tcPr>
            <w:tcW w:w="6945" w:type="dxa"/>
            <w:vAlign w:val="center"/>
          </w:tcPr>
          <w:p>
            <w:pPr>
              <w:spacing w:line="360" w:lineRule="auto"/>
            </w:pPr>
            <w:r>
              <w:rPr>
                <w:rFonts w:hint="eastAsia"/>
              </w:rPr>
              <w:t>综合评分法，推荐</w:t>
            </w:r>
            <w:r>
              <w:rPr>
                <w:rFonts w:hint="eastAsia"/>
                <w:lang w:val="en-US" w:eastAsia="zh-CN"/>
              </w:rPr>
              <w:t>一</w:t>
            </w:r>
            <w:r>
              <w:rPr>
                <w:rFonts w:hint="eastAsia"/>
              </w:rPr>
              <w:t>名成交候选人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76" w:hRule="atLeast"/>
        </w:trPr>
        <w:tc>
          <w:tcPr>
            <w:tcW w:w="709" w:type="dxa"/>
            <w:vAlign w:val="center"/>
          </w:tcPr>
          <w:p>
            <w:pPr>
              <w:spacing w:line="360" w:lineRule="auto"/>
              <w:jc w:val="center"/>
              <w:rPr>
                <w:rFonts w:hint="eastAsia" w:eastAsia="宋体"/>
                <w:lang w:eastAsia="zh-CN"/>
              </w:rPr>
            </w:pPr>
            <w:r>
              <w:rPr>
                <w:rFonts w:hint="eastAsia"/>
              </w:rPr>
              <w:t>1</w:t>
            </w:r>
            <w:r>
              <w:rPr>
                <w:rFonts w:hint="eastAsia"/>
                <w:lang w:val="en-US" w:eastAsia="zh-CN"/>
              </w:rPr>
              <w:t>7</w:t>
            </w:r>
          </w:p>
        </w:tc>
        <w:tc>
          <w:tcPr>
            <w:tcW w:w="1418" w:type="dxa"/>
            <w:vAlign w:val="center"/>
          </w:tcPr>
          <w:p>
            <w:pPr>
              <w:spacing w:line="360" w:lineRule="auto"/>
              <w:jc w:val="center"/>
              <w:rPr>
                <w:highlight w:val="yellow"/>
              </w:rPr>
            </w:pPr>
            <w:r>
              <w:rPr>
                <w:rFonts w:hint="eastAsia"/>
                <w:highlight w:val="yellow"/>
              </w:rPr>
              <w:t>采购单位联系人</w:t>
            </w:r>
          </w:p>
        </w:tc>
        <w:tc>
          <w:tcPr>
            <w:tcW w:w="6945" w:type="dxa"/>
            <w:vAlign w:val="center"/>
          </w:tcPr>
          <w:p>
            <w:pPr>
              <w:spacing w:line="360" w:lineRule="auto"/>
              <w:rPr>
                <w:highlight w:val="yellow"/>
              </w:rPr>
            </w:pPr>
            <w:r>
              <w:rPr>
                <w:rFonts w:hint="eastAsia"/>
                <w:highlight w:val="yellow"/>
              </w:rPr>
              <w:t>采购单位：</w:t>
            </w:r>
            <w:r>
              <w:rPr>
                <w:rFonts w:hint="eastAsia"/>
                <w:highlight w:val="yellow"/>
                <w:lang w:val="en-US" w:eastAsia="zh-CN"/>
              </w:rPr>
              <w:t xml:space="preserve">山东大学第二医院 </w:t>
            </w:r>
          </w:p>
          <w:p>
            <w:pPr>
              <w:spacing w:line="360" w:lineRule="auto"/>
              <w:rPr>
                <w:rFonts w:hint="eastAsia" w:eastAsia="宋体"/>
                <w:highlight w:val="yellow"/>
                <w:lang w:eastAsia="zh-CN"/>
              </w:rPr>
            </w:pPr>
            <w:r>
              <w:rPr>
                <w:rFonts w:hint="eastAsia"/>
                <w:highlight w:val="yellow"/>
              </w:rPr>
              <w:t>联系人：</w:t>
            </w:r>
            <w:r>
              <w:rPr>
                <w:rFonts w:hint="eastAsia"/>
                <w:highlight w:val="yellow"/>
                <w:lang w:eastAsia="zh-CN"/>
              </w:rPr>
              <w:t>傅强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709" w:type="dxa"/>
            <w:vAlign w:val="center"/>
          </w:tcPr>
          <w:p>
            <w:pPr>
              <w:spacing w:line="360" w:lineRule="auto"/>
              <w:jc w:val="center"/>
              <w:rPr>
                <w:rFonts w:hint="default" w:eastAsia="宋体"/>
                <w:lang w:val="en-US" w:eastAsia="zh-CN"/>
              </w:rPr>
            </w:pPr>
            <w:r>
              <w:rPr>
                <w:rFonts w:hint="eastAsia"/>
                <w:lang w:val="en-US" w:eastAsia="zh-CN"/>
              </w:rPr>
              <w:t>18</w:t>
            </w:r>
          </w:p>
        </w:tc>
        <w:tc>
          <w:tcPr>
            <w:tcW w:w="1418" w:type="dxa"/>
            <w:vAlign w:val="center"/>
          </w:tcPr>
          <w:p>
            <w:pPr>
              <w:spacing w:line="360" w:lineRule="auto"/>
              <w:jc w:val="center"/>
            </w:pPr>
            <w:r>
              <w:rPr>
                <w:rFonts w:hint="eastAsia"/>
              </w:rPr>
              <w:t>踏勘现场</w:t>
            </w:r>
          </w:p>
        </w:tc>
        <w:tc>
          <w:tcPr>
            <w:tcW w:w="6945" w:type="dxa"/>
            <w:vAlign w:val="center"/>
          </w:tcPr>
          <w:p>
            <w:pPr>
              <w:spacing w:line="360" w:lineRule="auto"/>
            </w:pPr>
            <w:r>
              <w:rPr>
                <w:rFonts w:hint="eastAsia"/>
              </w:rPr>
              <w:t xml:space="preserve">采购人不统一组织，由供应商自行踏勘； </w:t>
            </w:r>
          </w:p>
          <w:p>
            <w:pPr>
              <w:spacing w:line="360" w:lineRule="auto"/>
            </w:pPr>
            <w:r>
              <w:rPr>
                <w:rFonts w:hint="eastAsia"/>
              </w:rPr>
              <w:t>1.各投标人应根据自身情况，对本项目基本情况进行调查，以便投标人获取有关编制响应文件和签署合同所涉及现场的资料，踏勘现场所需车辆及相关费用自理。</w:t>
            </w:r>
          </w:p>
          <w:p>
            <w:pPr>
              <w:spacing w:line="360" w:lineRule="auto"/>
            </w:pPr>
            <w:r>
              <w:rPr>
                <w:rFonts w:hint="eastAsia"/>
              </w:rPr>
              <w:t>2.投标人自行踏勘现场所获得的资料将被认为已了解了本项目的现场情况，掌握了编制响应文件的有关条件。采购人向投标人提供的有关现场的资料和数据，是投标人现有的能使投标人利用的资料。采购人对投标人由此而做出的推论、理解和结论概不负责。</w:t>
            </w:r>
          </w:p>
          <w:p>
            <w:pPr>
              <w:spacing w:line="360" w:lineRule="auto"/>
            </w:pPr>
            <w:r>
              <w:rPr>
                <w:rFonts w:hint="eastAsia"/>
              </w:rPr>
              <w:t>3.投标人及其人员经过招标人的允许，可为踏勘目的进入采购人的项目现场，但投标人及其人员不得因此使招标人及其人员承担有关的责任和蒙受损失。投标人并应完成承担由此次踏勘现场而造成的死亡、人身伤害、财产损失、损害以及任何其它损失、损害和引起的费用、开支和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709" w:type="dxa"/>
            <w:vAlign w:val="center"/>
          </w:tcPr>
          <w:p>
            <w:pPr>
              <w:spacing w:line="360" w:lineRule="auto"/>
              <w:jc w:val="center"/>
            </w:pPr>
          </w:p>
        </w:tc>
        <w:tc>
          <w:tcPr>
            <w:tcW w:w="1418" w:type="dxa"/>
            <w:vAlign w:val="center"/>
          </w:tcPr>
          <w:p>
            <w:pPr>
              <w:spacing w:line="360" w:lineRule="auto"/>
              <w:jc w:val="center"/>
            </w:pPr>
          </w:p>
        </w:tc>
        <w:tc>
          <w:tcPr>
            <w:tcW w:w="6945" w:type="dxa"/>
            <w:vAlign w:val="center"/>
          </w:tcPr>
          <w:p>
            <w:pPr>
              <w:spacing w:line="360" w:lineRule="auto"/>
            </w:pPr>
          </w:p>
        </w:tc>
      </w:tr>
    </w:tbl>
    <w:p>
      <w:pPr>
        <w:pStyle w:val="4"/>
        <w:spacing w:before="0" w:after="0" w:line="360" w:lineRule="auto"/>
        <w:jc w:val="left"/>
        <w:rPr>
          <w:rFonts w:ascii="宋体" w:hAnsi="宋体" w:eastAsia="宋体"/>
          <w:kern w:val="0"/>
          <w:sz w:val="28"/>
          <w:szCs w:val="28"/>
        </w:rPr>
      </w:pPr>
      <w:r>
        <w:br w:type="page"/>
      </w:r>
      <w:bookmarkStart w:id="3" w:name="_Toc48913047"/>
      <w:r>
        <w:rPr>
          <w:rFonts w:hint="eastAsia" w:ascii="宋体" w:hAnsi="宋体" w:eastAsia="宋体"/>
          <w:kern w:val="0"/>
          <w:sz w:val="28"/>
          <w:szCs w:val="28"/>
        </w:rPr>
        <w:t>一、说明</w:t>
      </w:r>
      <w:bookmarkEnd w:id="3"/>
    </w:p>
    <w:p>
      <w:pPr>
        <w:spacing w:line="360" w:lineRule="auto"/>
        <w:ind w:firstLine="482" w:firstLineChars="200"/>
        <w:rPr>
          <w:b/>
        </w:rPr>
      </w:pPr>
      <w:r>
        <w:rPr>
          <w:rFonts w:hint="eastAsia"/>
          <w:b/>
        </w:rPr>
        <w:t>1. 采购人</w:t>
      </w:r>
    </w:p>
    <w:p>
      <w:pPr>
        <w:spacing w:line="360" w:lineRule="auto"/>
        <w:ind w:firstLine="480" w:firstLineChars="200"/>
      </w:pPr>
      <w:r>
        <w:rPr>
          <w:rFonts w:hint="eastAsia"/>
        </w:rPr>
        <w:t>系指济南</w:t>
      </w:r>
      <w:r>
        <w:rPr>
          <w:rFonts w:hint="eastAsia"/>
          <w:lang w:val="en-US" w:eastAsia="zh-CN"/>
        </w:rPr>
        <w:t>市山东大学第二医院</w:t>
      </w:r>
      <w:r>
        <w:rPr>
          <w:rFonts w:hint="eastAsia"/>
        </w:rPr>
        <w:t>。</w:t>
      </w:r>
    </w:p>
    <w:p>
      <w:pPr>
        <w:spacing w:line="360" w:lineRule="auto"/>
        <w:ind w:firstLine="482" w:firstLineChars="200"/>
        <w:rPr>
          <w:b/>
        </w:rPr>
      </w:pPr>
      <w:r>
        <w:rPr>
          <w:rFonts w:hint="eastAsia"/>
          <w:b/>
          <w:lang w:val="en-US" w:eastAsia="zh-CN"/>
        </w:rPr>
        <w:t>2</w:t>
      </w:r>
      <w:r>
        <w:rPr>
          <w:rFonts w:hint="eastAsia"/>
          <w:b/>
        </w:rPr>
        <w:t xml:space="preserve">. 合格供应商 </w:t>
      </w:r>
    </w:p>
    <w:p>
      <w:pPr>
        <w:widowControl w:val="0"/>
        <w:spacing w:line="360" w:lineRule="auto"/>
        <w:ind w:firstLine="480" w:firstLineChars="200"/>
      </w:pPr>
      <w:r>
        <w:rPr>
          <w:rFonts w:hint="eastAsia"/>
          <w:lang w:val="en-US" w:eastAsia="zh-CN"/>
        </w:rPr>
        <w:t>2</w:t>
      </w:r>
      <w:r>
        <w:rPr>
          <w:rFonts w:hint="eastAsia"/>
        </w:rPr>
        <w:t>.1、具备《中华人民共和国政府采购法》第二十二条规定的条件；</w:t>
      </w:r>
    </w:p>
    <w:p>
      <w:pPr>
        <w:widowControl w:val="0"/>
        <w:spacing w:line="360" w:lineRule="auto"/>
        <w:ind w:firstLine="480" w:firstLineChars="200"/>
      </w:pPr>
      <w:r>
        <w:rPr>
          <w:rFonts w:hint="eastAsia"/>
          <w:lang w:val="en-US" w:eastAsia="zh-CN"/>
        </w:rPr>
        <w:t>2</w:t>
      </w:r>
      <w:r>
        <w:rPr>
          <w:rFonts w:hint="eastAsia"/>
        </w:rPr>
        <w:t>.2、供应商具备承担本项目能力，能够履行本项目合同，具有年检合格营业执照的生产厂家或代理商；</w:t>
      </w:r>
    </w:p>
    <w:p>
      <w:pPr>
        <w:widowControl w:val="0"/>
        <w:spacing w:line="360" w:lineRule="auto"/>
        <w:ind w:firstLine="480" w:firstLineChars="200"/>
      </w:pPr>
      <w:r>
        <w:rPr>
          <w:rFonts w:hint="eastAsia"/>
          <w:lang w:val="en-US" w:eastAsia="zh-CN"/>
        </w:rPr>
        <w:t>2</w:t>
      </w:r>
      <w:r>
        <w:rPr>
          <w:rFonts w:hint="eastAsia"/>
        </w:rPr>
        <w:t xml:space="preserve">.3、供应商应未列入"信用中国"网站（www.creditchina.gov.cn）、中国政府采购网（www.ccgp.gov.cn）失信被执行人、企业经营异常名录、重大税收违法案件当事人名单、政府采购严重违法失信名单；                                                                                                                    </w:t>
      </w:r>
    </w:p>
    <w:p>
      <w:pPr>
        <w:widowControl w:val="0"/>
        <w:spacing w:line="360" w:lineRule="auto"/>
        <w:ind w:firstLine="480" w:firstLineChars="200"/>
      </w:pPr>
      <w:r>
        <w:rPr>
          <w:rFonts w:hint="eastAsia"/>
          <w:lang w:val="en-US" w:eastAsia="zh-CN"/>
        </w:rPr>
        <w:t>2</w:t>
      </w:r>
      <w:r>
        <w:rPr>
          <w:rFonts w:hint="eastAsia"/>
        </w:rPr>
        <w:t>.4、参加政府采购活动前3年内在经营活动中没有重大违法记录；</w:t>
      </w:r>
    </w:p>
    <w:p>
      <w:pPr>
        <w:widowControl w:val="0"/>
        <w:spacing w:line="360" w:lineRule="auto"/>
        <w:ind w:firstLine="480" w:firstLineChars="200"/>
      </w:pPr>
      <w:r>
        <w:rPr>
          <w:rFonts w:hint="eastAsia"/>
          <w:lang w:val="en-US" w:eastAsia="zh-CN"/>
        </w:rPr>
        <w:t>2</w:t>
      </w:r>
      <w:r>
        <w:rPr>
          <w:rFonts w:hint="eastAsia"/>
        </w:rPr>
        <w:t>.5、本项目不接受联合体投标。</w:t>
      </w:r>
    </w:p>
    <w:p>
      <w:pPr>
        <w:spacing w:line="360" w:lineRule="auto"/>
        <w:ind w:firstLine="479" w:firstLineChars="199"/>
        <w:rPr>
          <w:b/>
        </w:rPr>
      </w:pPr>
      <w:r>
        <w:rPr>
          <w:rFonts w:hint="eastAsia"/>
          <w:b/>
          <w:lang w:val="en-US" w:eastAsia="zh-CN"/>
        </w:rPr>
        <w:t>3</w:t>
      </w:r>
      <w:r>
        <w:rPr>
          <w:rFonts w:hint="eastAsia"/>
          <w:b/>
        </w:rPr>
        <w:t>.小、微企业及监狱企业及节能环保产品及残疾人福利性单位</w:t>
      </w:r>
    </w:p>
    <w:p>
      <w:pPr>
        <w:spacing w:line="360" w:lineRule="auto"/>
        <w:ind w:firstLine="480" w:firstLineChars="200"/>
        <w:rPr>
          <w:bCs/>
        </w:rPr>
      </w:pPr>
      <w:r>
        <w:rPr>
          <w:rFonts w:hint="eastAsia"/>
        </w:rPr>
        <w:t>本项目不执行该政策。</w:t>
      </w:r>
    </w:p>
    <w:p>
      <w:pPr>
        <w:spacing w:line="360" w:lineRule="auto"/>
        <w:ind w:firstLine="482" w:firstLineChars="200"/>
        <w:rPr>
          <w:b/>
        </w:rPr>
      </w:pPr>
      <w:r>
        <w:rPr>
          <w:rFonts w:hint="eastAsia"/>
          <w:b/>
          <w:lang w:val="en-US" w:eastAsia="zh-CN"/>
        </w:rPr>
        <w:t>4</w:t>
      </w:r>
      <w:r>
        <w:rPr>
          <w:rFonts w:hint="eastAsia"/>
          <w:b/>
        </w:rPr>
        <w:t>. 投标费用</w:t>
      </w:r>
    </w:p>
    <w:p>
      <w:pPr>
        <w:spacing w:line="360" w:lineRule="auto"/>
        <w:ind w:firstLine="472" w:firstLineChars="197"/>
      </w:pPr>
      <w:r>
        <w:rPr>
          <w:rFonts w:hint="eastAsia"/>
          <w:lang w:val="en-US" w:eastAsia="zh-CN"/>
        </w:rPr>
        <w:t>4</w:t>
      </w:r>
      <w:r>
        <w:rPr>
          <w:rFonts w:hint="eastAsia"/>
        </w:rPr>
        <w:t>.1供应商应自行承担所有与编写和提交响应文件有关的全部费用，不论响应结果如何，采购人及代理人在任何情况下无义务也无责任承担这些费用。</w:t>
      </w:r>
    </w:p>
    <w:p>
      <w:pPr>
        <w:spacing w:line="360" w:lineRule="auto"/>
        <w:ind w:firstLine="472" w:firstLineChars="197"/>
      </w:pPr>
      <w:r>
        <w:rPr>
          <w:rFonts w:hint="eastAsia"/>
          <w:lang w:val="en-US" w:eastAsia="zh-CN"/>
        </w:rPr>
        <w:t>4</w:t>
      </w:r>
      <w:r>
        <w:rPr>
          <w:rFonts w:hint="eastAsia"/>
        </w:rPr>
        <w:t>.2供应商提供的响应文件等资料概不退还。</w:t>
      </w:r>
    </w:p>
    <w:p>
      <w:pPr>
        <w:pStyle w:val="4"/>
        <w:spacing w:before="0" w:after="0" w:line="360" w:lineRule="auto"/>
        <w:rPr>
          <w:rFonts w:ascii="宋体" w:hAnsi="宋体" w:eastAsia="宋体"/>
          <w:kern w:val="0"/>
          <w:sz w:val="28"/>
          <w:szCs w:val="28"/>
        </w:rPr>
      </w:pPr>
      <w:bookmarkStart w:id="4" w:name="_Toc48913048"/>
      <w:r>
        <w:rPr>
          <w:rFonts w:hint="eastAsia" w:ascii="宋体" w:hAnsi="宋体" w:eastAsia="宋体"/>
          <w:kern w:val="0"/>
          <w:sz w:val="28"/>
          <w:szCs w:val="28"/>
        </w:rPr>
        <w:t>二、磋商文件</w:t>
      </w:r>
      <w:bookmarkEnd w:id="4"/>
    </w:p>
    <w:p>
      <w:pPr>
        <w:spacing w:line="360" w:lineRule="auto"/>
        <w:ind w:firstLine="482" w:firstLineChars="200"/>
        <w:rPr>
          <w:b/>
        </w:rPr>
      </w:pPr>
      <w:r>
        <w:rPr>
          <w:rFonts w:hint="eastAsia"/>
          <w:b/>
          <w:lang w:val="en-US" w:eastAsia="zh-CN"/>
        </w:rPr>
        <w:t>5</w:t>
      </w:r>
      <w:r>
        <w:rPr>
          <w:rFonts w:hint="eastAsia"/>
          <w:b/>
        </w:rPr>
        <w:t>. 磋商文件构成</w:t>
      </w:r>
    </w:p>
    <w:p>
      <w:pPr>
        <w:spacing w:line="360" w:lineRule="auto"/>
        <w:ind w:firstLine="480" w:firstLineChars="200"/>
      </w:pPr>
      <w:r>
        <w:rPr>
          <w:rFonts w:hint="eastAsia"/>
        </w:rPr>
        <w:t>本磋商文件共分六部分，内容如下：</w:t>
      </w:r>
    </w:p>
    <w:p>
      <w:pPr>
        <w:spacing w:line="360" w:lineRule="auto"/>
        <w:ind w:firstLine="480" w:firstLineChars="200"/>
      </w:pPr>
      <w:r>
        <w:rPr>
          <w:rFonts w:hint="eastAsia"/>
        </w:rPr>
        <w:t>第一部分  磋商公告</w:t>
      </w:r>
    </w:p>
    <w:p>
      <w:pPr>
        <w:spacing w:line="360" w:lineRule="auto"/>
        <w:ind w:firstLine="480" w:firstLineChars="200"/>
      </w:pPr>
      <w:r>
        <w:rPr>
          <w:rFonts w:hint="eastAsia"/>
        </w:rPr>
        <w:t>第二部分  供应商须知</w:t>
      </w:r>
    </w:p>
    <w:p>
      <w:pPr>
        <w:spacing w:line="360" w:lineRule="auto"/>
        <w:ind w:firstLine="480" w:firstLineChars="200"/>
      </w:pPr>
      <w:r>
        <w:rPr>
          <w:rFonts w:hint="eastAsia"/>
        </w:rPr>
        <w:t>第三部分  项目要求</w:t>
      </w:r>
    </w:p>
    <w:p>
      <w:pPr>
        <w:spacing w:line="360" w:lineRule="auto"/>
        <w:ind w:firstLine="480" w:firstLineChars="200"/>
      </w:pPr>
      <w:r>
        <w:rPr>
          <w:rFonts w:hint="eastAsia"/>
        </w:rPr>
        <w:t>第四部分  合同格式</w:t>
      </w:r>
    </w:p>
    <w:p>
      <w:pPr>
        <w:spacing w:line="360" w:lineRule="auto"/>
        <w:ind w:firstLine="480" w:firstLineChars="200"/>
      </w:pPr>
      <w:r>
        <w:rPr>
          <w:rFonts w:hint="eastAsia"/>
        </w:rPr>
        <w:t>第五部分  附件</w:t>
      </w:r>
    </w:p>
    <w:p>
      <w:pPr>
        <w:spacing w:line="360" w:lineRule="auto"/>
        <w:ind w:firstLine="480" w:firstLineChars="200"/>
      </w:pPr>
      <w:r>
        <w:rPr>
          <w:rFonts w:hint="eastAsia"/>
        </w:rPr>
        <w:t>第六部分  评分细则</w:t>
      </w:r>
    </w:p>
    <w:p>
      <w:pPr>
        <w:spacing w:line="360" w:lineRule="auto"/>
        <w:ind w:firstLine="482" w:firstLineChars="200"/>
        <w:rPr>
          <w:b/>
        </w:rPr>
      </w:pPr>
      <w:r>
        <w:rPr>
          <w:rFonts w:hint="eastAsia"/>
          <w:b/>
          <w:lang w:val="en-US" w:eastAsia="zh-CN"/>
        </w:rPr>
        <w:t>6</w:t>
      </w:r>
      <w:r>
        <w:rPr>
          <w:rFonts w:hint="eastAsia"/>
          <w:b/>
        </w:rPr>
        <w:t>. 磋商文件澄清和修改</w:t>
      </w:r>
    </w:p>
    <w:p>
      <w:pPr>
        <w:spacing w:line="360" w:lineRule="auto"/>
        <w:ind w:firstLine="480" w:firstLineChars="200"/>
      </w:pPr>
      <w:r>
        <w:rPr>
          <w:rFonts w:hint="eastAsia"/>
          <w:lang w:val="en-US" w:eastAsia="zh-CN"/>
        </w:rPr>
        <w:t>6</w:t>
      </w:r>
      <w:r>
        <w:rPr>
          <w:rFonts w:hint="eastAsia"/>
        </w:rPr>
        <w:t>.1 任何已登记备案并领取了磋商文件的供应商，均可要求对磋商文件进行澄清，澄清要求应在磋商文件要求提交响应文件截止时间</w:t>
      </w:r>
      <w:r>
        <w:rPr>
          <w:rFonts w:hint="eastAsia"/>
          <w:u w:val="single"/>
        </w:rPr>
        <w:t xml:space="preserve"> </w:t>
      </w:r>
      <w:r>
        <w:rPr>
          <w:rFonts w:hint="eastAsia"/>
          <w:highlight w:val="yellow"/>
          <w:u w:val="single"/>
          <w:lang w:val="en-US" w:eastAsia="zh-CN"/>
        </w:rPr>
        <w:t xml:space="preserve">  </w:t>
      </w:r>
      <w:r>
        <w:rPr>
          <w:rFonts w:hint="eastAsia"/>
          <w:u w:val="single"/>
        </w:rPr>
        <w:t xml:space="preserve"> </w:t>
      </w:r>
      <w:r>
        <w:rPr>
          <w:rFonts w:hint="eastAsia"/>
        </w:rPr>
        <w:t>日前以书面形式通知</w:t>
      </w:r>
      <w:r>
        <w:rPr>
          <w:rFonts w:hint="eastAsia"/>
          <w:lang w:eastAsia="zh-CN"/>
        </w:rPr>
        <w:t>招标人</w:t>
      </w:r>
      <w:r>
        <w:rPr>
          <w:rFonts w:hint="eastAsia"/>
        </w:rPr>
        <w:t>，供应商在规定时间以后提出的澄清要求将不予受理。</w:t>
      </w:r>
    </w:p>
    <w:p>
      <w:pPr>
        <w:spacing w:line="360" w:lineRule="auto"/>
        <w:ind w:firstLine="480" w:firstLineChars="200"/>
      </w:pPr>
      <w:r>
        <w:rPr>
          <w:rFonts w:hint="eastAsia"/>
          <w:lang w:val="en-US" w:eastAsia="zh-CN"/>
        </w:rPr>
        <w:t>6</w:t>
      </w:r>
      <w:r>
        <w:rPr>
          <w:rFonts w:hint="eastAsia"/>
        </w:rPr>
        <w:t xml:space="preserve">.2 </w:t>
      </w:r>
      <w:r>
        <w:rPr>
          <w:rFonts w:hint="eastAsia"/>
          <w:lang w:eastAsia="zh-CN"/>
        </w:rPr>
        <w:t>招标人</w:t>
      </w:r>
      <w:r>
        <w:rPr>
          <w:rFonts w:hint="eastAsia"/>
        </w:rPr>
        <w:t>对收到的澄清要求将以书面形式予以答复，发给要求澄清的供应商。答复中包括所提的问题，但不包括问题的来源。</w:t>
      </w:r>
    </w:p>
    <w:p>
      <w:pPr>
        <w:spacing w:line="360" w:lineRule="auto"/>
        <w:ind w:firstLine="480" w:firstLineChars="200"/>
      </w:pPr>
      <w:r>
        <w:rPr>
          <w:rFonts w:hint="eastAsia"/>
          <w:lang w:val="en-US" w:eastAsia="zh-CN"/>
        </w:rPr>
        <w:t>6</w:t>
      </w:r>
      <w:r>
        <w:rPr>
          <w:rFonts w:hint="eastAsia"/>
        </w:rPr>
        <w:t>.3 在提交响应文件截止时间前任何时候，</w:t>
      </w:r>
      <w:r>
        <w:rPr>
          <w:rFonts w:hint="eastAsia"/>
          <w:lang w:eastAsia="zh-CN"/>
        </w:rPr>
        <w:t>招标人</w:t>
      </w:r>
      <w:r>
        <w:rPr>
          <w:rFonts w:hint="eastAsia"/>
        </w:rPr>
        <w:t>无论出于何种原因，均可用补充文件的形式对采购文件进行澄清和修改。该澄清和修改作为采购文件的组成部分，对所有供应商具有约束力。澄清修改将向已登记备案并领取了采购文件的所有供应商发出，供应商在收到该澄清文件后应于当日内，以书面形式给予确认，逾期不确认视为认同。</w:t>
      </w:r>
    </w:p>
    <w:p>
      <w:pPr>
        <w:spacing w:line="360" w:lineRule="auto"/>
        <w:ind w:firstLine="480" w:firstLineChars="200"/>
      </w:pPr>
      <w:r>
        <w:rPr>
          <w:rFonts w:hint="eastAsia"/>
          <w:lang w:val="en-US" w:eastAsia="zh-CN"/>
        </w:rPr>
        <w:t>6</w:t>
      </w:r>
      <w:r>
        <w:rPr>
          <w:rFonts w:hint="eastAsia"/>
        </w:rPr>
        <w:t>.4 为使供应商有足够的时间按采购文件的要求修改响应文件，</w:t>
      </w:r>
      <w:r>
        <w:rPr>
          <w:rFonts w:hint="eastAsia"/>
          <w:lang w:eastAsia="zh-CN"/>
        </w:rPr>
        <w:t>招标人</w:t>
      </w:r>
      <w:r>
        <w:rPr>
          <w:rFonts w:hint="eastAsia"/>
        </w:rPr>
        <w:t>可酌情推迟报价的截止与公开报价时间，并在提交响应文件截止时间前以书面形式通知各供应商，对所有供应商均具有约束力，供应商在收到该澄清文件后应于当日内，以书面形式给予确认，逾期不确认视为认同。在这种情况下，</w:t>
      </w:r>
      <w:r>
        <w:rPr>
          <w:rFonts w:hint="eastAsia"/>
          <w:lang w:eastAsia="zh-CN"/>
        </w:rPr>
        <w:t>招标人</w:t>
      </w:r>
      <w:r>
        <w:rPr>
          <w:rFonts w:hint="eastAsia"/>
        </w:rPr>
        <w:t>和供应商受报价截止期制约的所有权利和义务均相应延长至新的截止日期。</w:t>
      </w:r>
    </w:p>
    <w:p>
      <w:pPr>
        <w:pStyle w:val="4"/>
        <w:spacing w:before="0" w:after="0" w:line="360" w:lineRule="auto"/>
        <w:rPr>
          <w:rFonts w:ascii="宋体" w:hAnsi="宋体" w:eastAsia="宋体"/>
          <w:kern w:val="0"/>
          <w:sz w:val="28"/>
          <w:szCs w:val="28"/>
        </w:rPr>
      </w:pPr>
      <w:bookmarkStart w:id="5" w:name="_Toc48913049"/>
      <w:r>
        <w:rPr>
          <w:rFonts w:hint="eastAsia" w:ascii="宋体" w:hAnsi="宋体" w:eastAsia="宋体"/>
          <w:kern w:val="0"/>
          <w:sz w:val="28"/>
          <w:szCs w:val="28"/>
        </w:rPr>
        <w:t>三、响应文件编制</w:t>
      </w:r>
      <w:bookmarkEnd w:id="5"/>
    </w:p>
    <w:p>
      <w:pPr>
        <w:spacing w:line="360" w:lineRule="auto"/>
        <w:ind w:firstLine="472" w:firstLineChars="196"/>
        <w:rPr>
          <w:b/>
        </w:rPr>
      </w:pPr>
      <w:r>
        <w:rPr>
          <w:rFonts w:hint="eastAsia"/>
          <w:b/>
          <w:lang w:val="en-US" w:eastAsia="zh-CN"/>
        </w:rPr>
        <w:t>7</w:t>
      </w:r>
      <w:r>
        <w:rPr>
          <w:rFonts w:hint="eastAsia"/>
          <w:b/>
        </w:rPr>
        <w:t>.语言及计量单位</w:t>
      </w:r>
    </w:p>
    <w:p>
      <w:pPr>
        <w:spacing w:line="360" w:lineRule="auto"/>
        <w:ind w:firstLine="480" w:firstLineChars="200"/>
      </w:pPr>
      <w:r>
        <w:rPr>
          <w:rFonts w:hint="eastAsia"/>
          <w:lang w:val="en-US" w:eastAsia="zh-CN"/>
        </w:rPr>
        <w:t>7</w:t>
      </w:r>
      <w:r>
        <w:rPr>
          <w:rFonts w:hint="eastAsia"/>
        </w:rPr>
        <w:t>.1 供应商提交的响应文件以及供应商与</w:t>
      </w:r>
      <w:r>
        <w:rPr>
          <w:rFonts w:hint="eastAsia"/>
          <w:lang w:eastAsia="zh-CN"/>
        </w:rPr>
        <w:t>招标人</w:t>
      </w:r>
      <w:r>
        <w:rPr>
          <w:rFonts w:hint="eastAsia"/>
        </w:rPr>
        <w:t>就有关报价的所有来往函电均应使用中文简体字。</w:t>
      </w:r>
    </w:p>
    <w:p>
      <w:pPr>
        <w:spacing w:line="360" w:lineRule="auto"/>
        <w:ind w:firstLine="480" w:firstLineChars="200"/>
      </w:pPr>
      <w:r>
        <w:rPr>
          <w:rFonts w:hint="eastAsia"/>
          <w:lang w:val="en-US" w:eastAsia="zh-CN"/>
        </w:rPr>
        <w:t>7</w:t>
      </w:r>
      <w:r>
        <w:rPr>
          <w:rFonts w:hint="eastAsia"/>
        </w:rPr>
        <w:t>.2 供应商所提供的技术文件和资料，包括图纸中的说明，应使用中文简体字。</w:t>
      </w:r>
    </w:p>
    <w:p>
      <w:pPr>
        <w:spacing w:line="360" w:lineRule="auto"/>
        <w:ind w:firstLine="480" w:firstLineChars="200"/>
      </w:pPr>
      <w:r>
        <w:rPr>
          <w:rFonts w:hint="eastAsia"/>
          <w:lang w:val="en-US" w:eastAsia="zh-CN"/>
        </w:rPr>
        <w:t>7</w:t>
      </w:r>
      <w:r>
        <w:rPr>
          <w:rFonts w:hint="eastAsia"/>
        </w:rPr>
        <w:t>.3 除磋商文件的技术规格中另有规定外，响应文件中所使用的计量单位应使用中华人民共和国法定计量单位。</w:t>
      </w:r>
    </w:p>
    <w:p>
      <w:pPr>
        <w:spacing w:line="360" w:lineRule="auto"/>
        <w:ind w:firstLine="480" w:firstLineChars="200"/>
      </w:pPr>
      <w:r>
        <w:rPr>
          <w:rFonts w:hint="eastAsia"/>
          <w:lang w:val="en-US" w:eastAsia="zh-CN"/>
        </w:rPr>
        <w:t>7</w:t>
      </w:r>
      <w:r>
        <w:rPr>
          <w:rFonts w:hint="eastAsia"/>
        </w:rPr>
        <w:t>.4对违反上述规定情形的，磋商小组有权要求其限期提供加盖公章的翻译文件或取消其响应资格。</w:t>
      </w:r>
    </w:p>
    <w:p>
      <w:pPr>
        <w:spacing w:line="360" w:lineRule="auto"/>
        <w:ind w:firstLine="482" w:firstLineChars="200"/>
        <w:rPr>
          <w:b/>
        </w:rPr>
      </w:pPr>
      <w:r>
        <w:rPr>
          <w:rFonts w:hint="eastAsia"/>
          <w:b/>
          <w:lang w:val="en-US" w:eastAsia="zh-CN"/>
        </w:rPr>
        <w:t>8</w:t>
      </w:r>
      <w:r>
        <w:rPr>
          <w:rFonts w:hint="eastAsia"/>
          <w:b/>
        </w:rPr>
        <w:t>. 响应文件构成</w:t>
      </w:r>
    </w:p>
    <w:p>
      <w:pPr>
        <w:spacing w:line="360" w:lineRule="auto"/>
        <w:ind w:firstLine="480" w:firstLineChars="200"/>
        <w:rPr>
          <w:b/>
        </w:rPr>
      </w:pPr>
      <w:r>
        <w:rPr>
          <w:rFonts w:hint="eastAsia"/>
        </w:rPr>
        <w:t>受邀方应按磋商文件的要求准备响应文件，并保证所提供的全部资料的真实性、准确性及完整性，以使其报价对磋商文件做出实质性响应，否则其资格有可能被磋商小组否决。</w:t>
      </w:r>
    </w:p>
    <w:p>
      <w:pPr>
        <w:autoSpaceDE w:val="0"/>
        <w:autoSpaceDN w:val="0"/>
        <w:adjustRightInd w:val="0"/>
        <w:spacing w:line="360" w:lineRule="auto"/>
        <w:ind w:firstLine="422" w:firstLineChars="175"/>
        <w:rPr>
          <w:b/>
        </w:rPr>
      </w:pPr>
      <w:r>
        <w:rPr>
          <w:rFonts w:hint="eastAsia"/>
          <w:b/>
        </w:rPr>
        <w:t>响应文件的组成：</w:t>
      </w:r>
    </w:p>
    <w:p>
      <w:pPr>
        <w:autoSpaceDE w:val="0"/>
        <w:autoSpaceDN w:val="0"/>
        <w:adjustRightInd w:val="0"/>
        <w:spacing w:line="360" w:lineRule="auto"/>
        <w:ind w:firstLine="422" w:firstLineChars="175"/>
        <w:rPr>
          <w:b/>
        </w:rPr>
      </w:pPr>
      <w:r>
        <w:rPr>
          <w:rFonts w:hint="eastAsia"/>
          <w:b/>
        </w:rPr>
        <w:t>一、投标函</w:t>
      </w:r>
    </w:p>
    <w:p>
      <w:pPr>
        <w:autoSpaceDE w:val="0"/>
        <w:autoSpaceDN w:val="0"/>
        <w:adjustRightInd w:val="0"/>
        <w:spacing w:line="360" w:lineRule="auto"/>
        <w:ind w:firstLine="420" w:firstLineChars="175"/>
      </w:pPr>
      <w:r>
        <w:rPr>
          <w:rFonts w:hint="eastAsia"/>
        </w:rPr>
        <w:t>（1）报价函（见附件）</w:t>
      </w:r>
    </w:p>
    <w:p>
      <w:pPr>
        <w:autoSpaceDE w:val="0"/>
        <w:autoSpaceDN w:val="0"/>
        <w:adjustRightInd w:val="0"/>
        <w:spacing w:line="360" w:lineRule="auto"/>
        <w:ind w:firstLine="420" w:firstLineChars="175"/>
      </w:pPr>
      <w:r>
        <w:rPr>
          <w:rFonts w:hint="eastAsia"/>
        </w:rPr>
        <w:t>（2）唱价单 （见附件）</w:t>
      </w:r>
    </w:p>
    <w:p>
      <w:pPr>
        <w:autoSpaceDE w:val="0"/>
        <w:autoSpaceDN w:val="0"/>
        <w:adjustRightInd w:val="0"/>
        <w:spacing w:line="360" w:lineRule="auto"/>
        <w:ind w:firstLine="420" w:firstLineChars="175"/>
      </w:pPr>
      <w:r>
        <w:rPr>
          <w:rFonts w:hint="eastAsia"/>
        </w:rPr>
        <w:t>（3）法定代表人身份证明书（见附件）</w:t>
      </w:r>
    </w:p>
    <w:p>
      <w:pPr>
        <w:autoSpaceDE w:val="0"/>
        <w:autoSpaceDN w:val="0"/>
        <w:adjustRightInd w:val="0"/>
        <w:spacing w:line="360" w:lineRule="auto"/>
        <w:ind w:firstLine="420" w:firstLineChars="175"/>
      </w:pPr>
      <w:r>
        <w:rPr>
          <w:rFonts w:hint="eastAsia"/>
        </w:rPr>
        <w:t>（4）法定代表人授权委托书（见附件）</w:t>
      </w:r>
    </w:p>
    <w:p>
      <w:pPr>
        <w:autoSpaceDE w:val="0"/>
        <w:autoSpaceDN w:val="0"/>
        <w:adjustRightInd w:val="0"/>
        <w:spacing w:line="360" w:lineRule="auto"/>
        <w:ind w:firstLine="422" w:firstLineChars="175"/>
        <w:rPr>
          <w:b/>
        </w:rPr>
      </w:pPr>
      <w:r>
        <w:rPr>
          <w:rFonts w:hint="eastAsia"/>
          <w:b/>
        </w:rPr>
        <w:t>二、商务部分</w:t>
      </w:r>
    </w:p>
    <w:p>
      <w:pPr>
        <w:autoSpaceDE w:val="0"/>
        <w:autoSpaceDN w:val="0"/>
        <w:adjustRightInd w:val="0"/>
        <w:spacing w:line="360" w:lineRule="auto"/>
        <w:ind w:firstLine="420" w:firstLineChars="175"/>
      </w:pPr>
      <w:r>
        <w:rPr>
          <w:rFonts w:hint="eastAsia"/>
        </w:rPr>
        <w:t>（1）报价组成明细表（见附件）；</w:t>
      </w:r>
    </w:p>
    <w:p>
      <w:pPr>
        <w:autoSpaceDE w:val="0"/>
        <w:autoSpaceDN w:val="0"/>
        <w:adjustRightInd w:val="0"/>
        <w:spacing w:line="360" w:lineRule="auto"/>
        <w:ind w:firstLine="420" w:firstLineChars="175"/>
      </w:pPr>
      <w:r>
        <w:rPr>
          <w:rFonts w:hint="eastAsia"/>
        </w:rPr>
        <w:t>（</w:t>
      </w:r>
      <w:r>
        <w:rPr>
          <w:rFonts w:hint="eastAsia"/>
          <w:lang w:val="en-US" w:eastAsia="zh-CN"/>
        </w:rPr>
        <w:t>2</w:t>
      </w:r>
      <w:r>
        <w:rPr>
          <w:rFonts w:hint="eastAsia"/>
        </w:rPr>
        <w:t>）供应商提供的供货时间以及安装调试完成投入使用的时间；</w:t>
      </w:r>
    </w:p>
    <w:p>
      <w:pPr>
        <w:autoSpaceDE w:val="0"/>
        <w:autoSpaceDN w:val="0"/>
        <w:adjustRightInd w:val="0"/>
        <w:spacing w:line="360" w:lineRule="auto"/>
        <w:ind w:firstLine="420" w:firstLineChars="175"/>
      </w:pPr>
      <w:r>
        <w:rPr>
          <w:rFonts w:hint="eastAsia"/>
        </w:rPr>
        <w:t>（</w:t>
      </w:r>
      <w:r>
        <w:rPr>
          <w:rFonts w:hint="eastAsia"/>
          <w:lang w:val="en-US" w:eastAsia="zh-CN"/>
        </w:rPr>
        <w:t>3</w:t>
      </w:r>
      <w:r>
        <w:rPr>
          <w:rFonts w:hint="eastAsia"/>
        </w:rPr>
        <w:t>）服务承诺条款：</w:t>
      </w:r>
    </w:p>
    <w:p>
      <w:pPr>
        <w:autoSpaceDE w:val="0"/>
        <w:autoSpaceDN w:val="0"/>
        <w:adjustRightInd w:val="0"/>
        <w:spacing w:line="360" w:lineRule="auto"/>
        <w:ind w:firstLine="420" w:firstLineChars="175"/>
      </w:pPr>
      <w:r>
        <w:rPr>
          <w:rFonts w:hint="eastAsia"/>
        </w:rPr>
        <w:t>（</w:t>
      </w:r>
      <w:r>
        <w:rPr>
          <w:rFonts w:hint="eastAsia"/>
          <w:lang w:val="en-US" w:eastAsia="zh-CN"/>
        </w:rPr>
        <w:t>4</w:t>
      </w:r>
      <w:r>
        <w:rPr>
          <w:rFonts w:hint="eastAsia"/>
        </w:rPr>
        <w:t>）商务偏离表（见附件）；</w:t>
      </w:r>
    </w:p>
    <w:p>
      <w:pPr>
        <w:autoSpaceDE w:val="0"/>
        <w:autoSpaceDN w:val="0"/>
        <w:adjustRightInd w:val="0"/>
        <w:spacing w:line="360" w:lineRule="auto"/>
        <w:ind w:firstLine="420" w:firstLineChars="175"/>
      </w:pPr>
      <w:r>
        <w:rPr>
          <w:rFonts w:hint="eastAsia"/>
        </w:rPr>
        <w:t>（</w:t>
      </w:r>
      <w:r>
        <w:rPr>
          <w:rFonts w:hint="eastAsia"/>
          <w:lang w:val="en-US" w:eastAsia="zh-CN"/>
        </w:rPr>
        <w:t>5</w:t>
      </w:r>
      <w:r>
        <w:rPr>
          <w:rFonts w:hint="eastAsia"/>
        </w:rPr>
        <w:t>）供应商认为提供的其他材料。</w:t>
      </w:r>
    </w:p>
    <w:p>
      <w:pPr>
        <w:autoSpaceDE w:val="0"/>
        <w:autoSpaceDN w:val="0"/>
        <w:adjustRightInd w:val="0"/>
        <w:spacing w:line="360" w:lineRule="auto"/>
        <w:ind w:firstLine="422" w:firstLineChars="175"/>
        <w:rPr>
          <w:b/>
        </w:rPr>
      </w:pPr>
      <w:r>
        <w:rPr>
          <w:rFonts w:hint="eastAsia"/>
          <w:b/>
        </w:rPr>
        <w:t>三、技术部分</w:t>
      </w:r>
    </w:p>
    <w:p>
      <w:pPr>
        <w:autoSpaceDE w:val="0"/>
        <w:autoSpaceDN w:val="0"/>
        <w:adjustRightInd w:val="0"/>
        <w:spacing w:line="360" w:lineRule="auto"/>
        <w:ind w:firstLine="420" w:firstLineChars="175"/>
        <w:rPr>
          <w:b/>
        </w:rPr>
      </w:pPr>
      <w:r>
        <w:rPr>
          <w:rFonts w:hint="eastAsia"/>
        </w:rPr>
        <w:t>（1）供应商应提交证明其拟提供货物的合格性，货物主要技术指标和性能的详细说明；符合磋商文件规定的有效技术支持资料，并作为响应文件的组成部分。技术支持资料包含但不限于说明书、检测机构出具的检测报告等。</w:t>
      </w:r>
    </w:p>
    <w:p>
      <w:pPr>
        <w:spacing w:line="360" w:lineRule="auto"/>
        <w:ind w:firstLine="480" w:firstLineChars="200"/>
      </w:pPr>
      <w:r>
        <w:rPr>
          <w:rFonts w:hint="eastAsia"/>
        </w:rPr>
        <w:t>（2）产品技术性能；</w:t>
      </w:r>
    </w:p>
    <w:p>
      <w:pPr>
        <w:spacing w:line="360" w:lineRule="auto"/>
        <w:ind w:firstLine="480" w:firstLineChars="200"/>
      </w:pPr>
      <w:r>
        <w:rPr>
          <w:rFonts w:hint="eastAsia"/>
        </w:rPr>
        <w:t>（3）供货保证措施及方案；</w:t>
      </w:r>
    </w:p>
    <w:p>
      <w:pPr>
        <w:spacing w:line="360" w:lineRule="auto"/>
        <w:ind w:firstLine="480" w:firstLineChars="200"/>
      </w:pPr>
      <w:r>
        <w:rPr>
          <w:rFonts w:hint="eastAsia"/>
        </w:rPr>
        <w:t>（4）安装调试方案；</w:t>
      </w:r>
    </w:p>
    <w:p>
      <w:pPr>
        <w:spacing w:line="360" w:lineRule="auto"/>
        <w:ind w:firstLine="480" w:firstLineChars="200"/>
      </w:pPr>
      <w:r>
        <w:rPr>
          <w:rFonts w:hint="eastAsia"/>
        </w:rPr>
        <w:t>（5）质量保证措施及方案</w:t>
      </w:r>
    </w:p>
    <w:p>
      <w:pPr>
        <w:spacing w:line="360" w:lineRule="auto"/>
        <w:ind w:firstLine="480" w:firstLineChars="200"/>
      </w:pPr>
      <w:r>
        <w:rPr>
          <w:rFonts w:hint="eastAsia"/>
        </w:rPr>
        <w:t>（6）售后服务</w:t>
      </w:r>
    </w:p>
    <w:p>
      <w:pPr>
        <w:spacing w:line="360" w:lineRule="auto"/>
        <w:ind w:firstLine="480" w:firstLineChars="200"/>
      </w:pPr>
      <w:r>
        <w:rPr>
          <w:rFonts w:hint="eastAsia"/>
        </w:rPr>
        <w:t>（7）技术偏离表；</w:t>
      </w:r>
    </w:p>
    <w:p>
      <w:pPr>
        <w:spacing w:line="360" w:lineRule="auto"/>
        <w:ind w:firstLine="480" w:firstLineChars="200"/>
      </w:pPr>
      <w:r>
        <w:rPr>
          <w:rFonts w:hint="eastAsia"/>
        </w:rPr>
        <w:t>（8）有必要说明的其他内容；</w:t>
      </w:r>
    </w:p>
    <w:p>
      <w:pPr>
        <w:spacing w:line="360" w:lineRule="auto"/>
        <w:ind w:firstLine="482" w:firstLineChars="200"/>
      </w:pPr>
      <w:r>
        <w:rPr>
          <w:rFonts w:hint="eastAsia"/>
          <w:b/>
        </w:rPr>
        <w:t>四、资格审查文件的组成</w:t>
      </w:r>
      <w:r>
        <w:rPr>
          <w:rFonts w:hint="eastAsia"/>
          <w:b/>
          <w:color w:val="000000"/>
        </w:rPr>
        <w:t>（逐页盖章）：</w:t>
      </w:r>
    </w:p>
    <w:p>
      <w:pPr>
        <w:autoSpaceDE w:val="0"/>
        <w:autoSpaceDN w:val="0"/>
        <w:adjustRightInd w:val="0"/>
        <w:spacing w:line="360" w:lineRule="auto"/>
        <w:ind w:firstLine="420" w:firstLineChars="175"/>
      </w:pPr>
      <w:r>
        <w:rPr>
          <w:rFonts w:hint="eastAsia"/>
        </w:rPr>
        <w:t>（</w:t>
      </w:r>
      <w:r>
        <w:rPr>
          <w:rFonts w:hint="eastAsia"/>
          <w:lang w:val="en-US" w:eastAsia="zh-CN"/>
        </w:rPr>
        <w:t>1</w:t>
      </w:r>
      <w:r>
        <w:rPr>
          <w:rFonts w:hint="eastAsia"/>
        </w:rPr>
        <w:t>）企业法人营业执照副本复印件；</w:t>
      </w:r>
    </w:p>
    <w:p>
      <w:pPr>
        <w:autoSpaceDE w:val="0"/>
        <w:autoSpaceDN w:val="0"/>
        <w:adjustRightInd w:val="0"/>
        <w:spacing w:line="360" w:lineRule="auto"/>
        <w:ind w:firstLine="420" w:firstLineChars="175"/>
      </w:pPr>
      <w:r>
        <w:rPr>
          <w:rFonts w:hint="eastAsia"/>
        </w:rPr>
        <w:t>（</w:t>
      </w:r>
      <w:r>
        <w:rPr>
          <w:rFonts w:hint="eastAsia"/>
          <w:lang w:val="en-US" w:eastAsia="zh-CN"/>
        </w:rPr>
        <w:t>2</w:t>
      </w:r>
      <w:r>
        <w:rPr>
          <w:rFonts w:hint="eastAsia"/>
        </w:rPr>
        <w:t>）投标单位参加政府采购活动前</w:t>
      </w:r>
      <w:r>
        <w:t>3年内在经营活动中没有重大违法记录的书面声明（附件）</w:t>
      </w:r>
      <w:r>
        <w:rPr>
          <w:rFonts w:hint="eastAsia"/>
        </w:rPr>
        <w:t>；</w:t>
      </w:r>
    </w:p>
    <w:p>
      <w:pPr>
        <w:autoSpaceDE w:val="0"/>
        <w:autoSpaceDN w:val="0"/>
        <w:adjustRightInd w:val="0"/>
        <w:spacing w:line="360" w:lineRule="auto"/>
        <w:ind w:firstLine="420" w:firstLineChars="175"/>
      </w:pPr>
      <w:r>
        <w:rPr>
          <w:rFonts w:hint="eastAsia"/>
        </w:rPr>
        <w:t>（</w:t>
      </w:r>
      <w:r>
        <w:rPr>
          <w:rFonts w:hint="eastAsia"/>
          <w:lang w:val="en-US" w:eastAsia="zh-CN"/>
        </w:rPr>
        <w:t>3</w:t>
      </w:r>
      <w:r>
        <w:rPr>
          <w:rFonts w:hint="eastAsia"/>
        </w:rPr>
        <w:t>）</w:t>
      </w:r>
      <w:r>
        <w:rPr>
          <w:rFonts w:hint="eastAsia"/>
          <w:lang w:val="en-US" w:eastAsia="zh-CN"/>
        </w:rPr>
        <w:t>投标人</w:t>
      </w:r>
      <w:r>
        <w:rPr>
          <w:rFonts w:hint="eastAsia"/>
        </w:rPr>
        <w:t>应未列入</w:t>
      </w:r>
      <w:r>
        <w:t>"信用中国"网站（www.creditchina.gov.cn）、中国政府采购网（www.ccgp.gov.cn）、失信被执行人、企业经营异常名录、重大税收违法案件当事人名单、政府采购严重违法失信名单</w:t>
      </w:r>
      <w:r>
        <w:rPr>
          <w:rFonts w:hint="eastAsia"/>
        </w:rPr>
        <w:t>等网站截图</w:t>
      </w:r>
      <w:r>
        <w:t>；</w:t>
      </w:r>
    </w:p>
    <w:p>
      <w:pPr>
        <w:autoSpaceDE w:val="0"/>
        <w:autoSpaceDN w:val="0"/>
        <w:adjustRightInd w:val="0"/>
        <w:spacing w:line="360" w:lineRule="auto"/>
        <w:ind w:firstLine="540" w:firstLineChars="225"/>
      </w:pPr>
      <w:r>
        <w:rPr>
          <w:rFonts w:hint="eastAsia"/>
        </w:rPr>
        <w:t>注：</w:t>
      </w:r>
      <w:r>
        <w:rPr>
          <w:rFonts w:hint="eastAsia"/>
          <w:lang w:val="en-US" w:eastAsia="zh-CN"/>
        </w:rPr>
        <w:t>投标人</w:t>
      </w:r>
      <w:r>
        <w:rPr>
          <w:rFonts w:hint="eastAsia"/>
        </w:rPr>
        <w:t>对提供的以上资料的真实性负责，评标过程中评标委员若对以上供应商提供的资料有异议，可要求供应商提供原件进行复核，若发现有不实之处，按废标处理。</w:t>
      </w:r>
    </w:p>
    <w:p>
      <w:pPr>
        <w:autoSpaceDE w:val="0"/>
        <w:autoSpaceDN w:val="0"/>
        <w:adjustRightInd w:val="0"/>
        <w:spacing w:line="360" w:lineRule="auto"/>
        <w:ind w:firstLine="540" w:firstLineChars="224"/>
        <w:rPr>
          <w:b/>
        </w:rPr>
      </w:pPr>
      <w:r>
        <w:rPr>
          <w:rFonts w:hint="eastAsia"/>
          <w:b/>
        </w:rPr>
        <w:t>资格审查部分需逐页盖章以证明其真实性。</w:t>
      </w:r>
    </w:p>
    <w:p>
      <w:pPr>
        <w:spacing w:line="360" w:lineRule="auto"/>
        <w:ind w:firstLine="482" w:firstLineChars="200"/>
        <w:rPr>
          <w:b/>
        </w:rPr>
      </w:pPr>
      <w:r>
        <w:rPr>
          <w:rFonts w:hint="eastAsia"/>
          <w:b/>
          <w:lang w:val="en-US" w:eastAsia="zh-CN"/>
        </w:rPr>
        <w:t>9</w:t>
      </w:r>
      <w:r>
        <w:rPr>
          <w:rFonts w:hint="eastAsia"/>
          <w:b/>
        </w:rPr>
        <w:t>. 投标报价</w:t>
      </w:r>
    </w:p>
    <w:p>
      <w:pPr>
        <w:spacing w:line="360" w:lineRule="auto"/>
        <w:ind w:firstLine="480" w:firstLineChars="200"/>
        <w:rPr>
          <w:rFonts w:hint="eastAsia"/>
        </w:rPr>
      </w:pPr>
      <w:r>
        <w:rPr>
          <w:rFonts w:hint="eastAsia"/>
          <w:lang w:val="en-US" w:eastAsia="zh-CN"/>
        </w:rPr>
        <w:t>9</w:t>
      </w:r>
      <w:r>
        <w:rPr>
          <w:rFonts w:hint="eastAsia"/>
        </w:rPr>
        <w:t>.1</w:t>
      </w:r>
      <w:r>
        <w:rPr>
          <w:rFonts w:hint="eastAsia"/>
          <w:b/>
          <w:bCs/>
        </w:rPr>
        <w:t>各种相</w:t>
      </w:r>
      <w:r>
        <w:rPr>
          <w:rFonts w:hint="eastAsia"/>
          <w:b/>
        </w:rPr>
        <w:t>关费用由中标人承担</w:t>
      </w:r>
      <w:r>
        <w:rPr>
          <w:rFonts w:hint="eastAsia"/>
        </w:rPr>
        <w:t>，所需费用包含于本次报价内，总价款包括但不限于配套件、原材料及生产制造、包装、税费、利润、相关手续费、安装施工、管理、检验、运杂、装卸车、安装调试、集成、配合、图纸资料、技术服务、售后服务及质保期内等全部费用，配合完成项目验收所需要的全部直接和间接费用及合同明示和暗示的所有责任、义务和风险等全部费用。</w:t>
      </w:r>
    </w:p>
    <w:p>
      <w:pPr>
        <w:spacing w:line="360" w:lineRule="auto"/>
        <w:ind w:firstLine="480" w:firstLineChars="200"/>
      </w:pPr>
      <w:r>
        <w:rPr>
          <w:rFonts w:hint="eastAsia"/>
          <w:lang w:val="en-US" w:eastAsia="zh-CN"/>
        </w:rPr>
        <w:t>9</w:t>
      </w:r>
      <w:r>
        <w:rPr>
          <w:rFonts w:hint="eastAsia"/>
        </w:rPr>
        <w:t>.2评审过程中竞争性磋商文件有实质性变动的，</w:t>
      </w:r>
      <w:r>
        <w:rPr>
          <w:rFonts w:hint="eastAsia"/>
          <w:lang w:eastAsia="zh-CN"/>
        </w:rPr>
        <w:t>招标人</w:t>
      </w:r>
      <w:r>
        <w:rPr>
          <w:rFonts w:hint="eastAsia"/>
        </w:rPr>
        <w:t>将书面通知所有参与投标的供应商；</w:t>
      </w:r>
    </w:p>
    <w:p>
      <w:pPr>
        <w:spacing w:line="360" w:lineRule="auto"/>
        <w:ind w:firstLine="480" w:firstLineChars="200"/>
        <w:rPr>
          <w:b/>
        </w:rPr>
      </w:pPr>
      <w:r>
        <w:rPr>
          <w:rFonts w:hint="eastAsia"/>
          <w:lang w:val="en-US" w:eastAsia="zh-CN"/>
        </w:rPr>
        <w:t>9</w:t>
      </w:r>
      <w:r>
        <w:rPr>
          <w:rFonts w:hint="eastAsia"/>
        </w:rPr>
        <w:t>.3本次报价非一次性报价。在评审过程中根据磋商小组的要求再次报价，第二轮报价结束后，以经法定代表人或其授权委托人签字确认的第二轮报价（不公开）为最终报价（自行放弃第二轮报价的以第一轮报价为最终报价），进入综合评审阶段，由磋商小组对合格的供应商进行综合分析和比较。第二轮报价不得高于第一轮，否则按无效投标处理。</w:t>
      </w:r>
    </w:p>
    <w:p>
      <w:pPr>
        <w:spacing w:line="360" w:lineRule="auto"/>
        <w:ind w:firstLine="480" w:firstLineChars="200"/>
      </w:pPr>
      <w:r>
        <w:rPr>
          <w:rFonts w:hint="eastAsia"/>
          <w:lang w:val="en-US" w:eastAsia="zh-CN"/>
        </w:rPr>
        <w:t>9</w:t>
      </w:r>
      <w:r>
        <w:rPr>
          <w:rFonts w:hint="eastAsia"/>
        </w:rPr>
        <w:t>.4符合要求采购供应商将有再次报价的机会，每次报价均应书面确认；</w:t>
      </w:r>
    </w:p>
    <w:p>
      <w:pPr>
        <w:spacing w:line="360" w:lineRule="auto"/>
        <w:ind w:firstLine="480" w:firstLineChars="200"/>
      </w:pPr>
      <w:r>
        <w:rPr>
          <w:rFonts w:hint="eastAsia"/>
          <w:lang w:val="en-US" w:eastAsia="zh-CN"/>
        </w:rPr>
        <w:t>9</w:t>
      </w:r>
      <w:r>
        <w:rPr>
          <w:rFonts w:hint="eastAsia"/>
        </w:rPr>
        <w:t>.5单独密封的</w:t>
      </w:r>
      <w:r>
        <w:rPr>
          <w:rFonts w:hint="eastAsia"/>
          <w:lang w:val="en-US" w:eastAsia="zh-CN"/>
        </w:rPr>
        <w:t>唱价单</w:t>
      </w:r>
      <w:r>
        <w:rPr>
          <w:rFonts w:hint="eastAsia"/>
        </w:rPr>
        <w:t>与响应文件中的</w:t>
      </w:r>
      <w:r>
        <w:rPr>
          <w:rFonts w:hint="eastAsia"/>
          <w:lang w:val="en-US" w:eastAsia="zh-CN"/>
        </w:rPr>
        <w:t>唱价单</w:t>
      </w:r>
      <w:r>
        <w:rPr>
          <w:rFonts w:hint="eastAsia"/>
        </w:rPr>
        <w:t>有差异，以单独密封的</w:t>
      </w:r>
      <w:r>
        <w:rPr>
          <w:rFonts w:hint="eastAsia"/>
          <w:lang w:val="en-US" w:eastAsia="zh-CN"/>
        </w:rPr>
        <w:t>唱价单</w:t>
      </w:r>
      <w:r>
        <w:rPr>
          <w:rFonts w:hint="eastAsia"/>
        </w:rPr>
        <w:t>为准；响应文件中的</w:t>
      </w:r>
      <w:r>
        <w:rPr>
          <w:rFonts w:hint="eastAsia"/>
          <w:lang w:val="en-US" w:eastAsia="zh-CN"/>
        </w:rPr>
        <w:t>唱价单</w:t>
      </w:r>
      <w:r>
        <w:rPr>
          <w:rFonts w:hint="eastAsia"/>
        </w:rPr>
        <w:t>与报价明细表内容不一致的，以</w:t>
      </w:r>
      <w:r>
        <w:rPr>
          <w:rFonts w:hint="eastAsia"/>
          <w:lang w:val="en-US" w:eastAsia="zh-CN"/>
        </w:rPr>
        <w:t>唱价单</w:t>
      </w:r>
      <w:r>
        <w:rPr>
          <w:rFonts w:hint="eastAsia"/>
        </w:rPr>
        <w:t>为准；</w:t>
      </w:r>
    </w:p>
    <w:p>
      <w:pPr>
        <w:spacing w:line="360" w:lineRule="auto"/>
        <w:ind w:firstLine="480" w:firstLineChars="200"/>
      </w:pPr>
      <w:r>
        <w:rPr>
          <w:rFonts w:hint="eastAsia"/>
          <w:lang w:val="en-US" w:eastAsia="zh-CN"/>
        </w:rPr>
        <w:t>9</w:t>
      </w:r>
      <w:r>
        <w:rPr>
          <w:rFonts w:hint="eastAsia"/>
        </w:rPr>
        <w:t>.6如果大写的金额和小写的金额不一致时，以大写的金额为准；</w:t>
      </w:r>
    </w:p>
    <w:p>
      <w:pPr>
        <w:spacing w:line="360" w:lineRule="auto"/>
        <w:ind w:firstLine="480" w:firstLineChars="200"/>
      </w:pPr>
      <w:r>
        <w:rPr>
          <w:rFonts w:hint="eastAsia"/>
          <w:lang w:val="en-US" w:eastAsia="zh-CN"/>
        </w:rPr>
        <w:t>9</w:t>
      </w:r>
      <w:r>
        <w:rPr>
          <w:rFonts w:hint="eastAsia"/>
        </w:rPr>
        <w:t>.7供应商须提供分项单价和报价总价，如果单价和总价不符，以单价金额计算结果为准，单价金额小数点有明显错位的，应以总价为准，并修改单价；</w:t>
      </w:r>
    </w:p>
    <w:p>
      <w:pPr>
        <w:spacing w:line="360" w:lineRule="auto"/>
        <w:ind w:firstLine="482" w:firstLineChars="200"/>
        <w:rPr>
          <w:b/>
        </w:rPr>
      </w:pPr>
      <w:r>
        <w:rPr>
          <w:rFonts w:hint="eastAsia"/>
          <w:b/>
          <w:lang w:val="en-US" w:eastAsia="zh-CN"/>
        </w:rPr>
        <w:t>10</w:t>
      </w:r>
      <w:r>
        <w:rPr>
          <w:rFonts w:hint="eastAsia"/>
          <w:b/>
        </w:rPr>
        <w:t>. 响应文件装订与编写</w:t>
      </w:r>
    </w:p>
    <w:p>
      <w:pPr>
        <w:spacing w:line="360" w:lineRule="auto"/>
        <w:ind w:firstLine="480" w:firstLineChars="200"/>
      </w:pPr>
      <w:r>
        <w:rPr>
          <w:rFonts w:hint="eastAsia"/>
          <w:lang w:val="en-US" w:eastAsia="zh-CN"/>
        </w:rPr>
        <w:t>10</w:t>
      </w:r>
      <w:r>
        <w:rPr>
          <w:rFonts w:hint="eastAsia"/>
        </w:rPr>
        <w:t>.1供应商必须将响应文件中的有关文件按上述顺序排列装订成册，并在首页编制“响应文件目录”。</w:t>
      </w:r>
    </w:p>
    <w:p>
      <w:pPr>
        <w:spacing w:line="360" w:lineRule="auto"/>
        <w:ind w:firstLine="480" w:firstLineChars="200"/>
      </w:pPr>
      <w:r>
        <w:rPr>
          <w:rFonts w:hint="eastAsia"/>
          <w:lang w:val="en-US" w:eastAsia="zh-CN"/>
        </w:rPr>
        <w:t>10</w:t>
      </w:r>
      <w:r>
        <w:rPr>
          <w:rFonts w:hint="eastAsia"/>
        </w:rPr>
        <w:t>.2 供应商应准备</w:t>
      </w:r>
      <w:r>
        <w:rPr>
          <w:rFonts w:hint="eastAsia"/>
          <w:u w:val="single"/>
          <w:lang w:val="en-US" w:eastAsia="zh-CN"/>
        </w:rPr>
        <w:t>三</w:t>
      </w:r>
      <w:r>
        <w:rPr>
          <w:rFonts w:hint="eastAsia"/>
        </w:rPr>
        <w:t>份响应文件，一份正本和</w:t>
      </w:r>
      <w:r>
        <w:rPr>
          <w:rFonts w:hint="eastAsia"/>
          <w:u w:val="single"/>
          <w:lang w:val="en-US" w:eastAsia="zh-CN"/>
        </w:rPr>
        <w:t>贰</w:t>
      </w:r>
      <w:r>
        <w:rPr>
          <w:rFonts w:hint="eastAsia"/>
        </w:rPr>
        <w:t>份副本以及单独密封的唱价单</w:t>
      </w:r>
      <w:r>
        <w:rPr>
          <w:rFonts w:hint="eastAsia"/>
          <w:u w:val="single"/>
        </w:rPr>
        <w:t>贰</w:t>
      </w:r>
      <w:r>
        <w:rPr>
          <w:rFonts w:hint="eastAsia"/>
        </w:rPr>
        <w:t>份。在每一份响应文件上要注明“正本”或“副本”字样。供应商应保证响应文件正本与副本的内容严格一致，如果正本与副本不一致以正本为准；如果单独的唱价单与报文件正本有差异，以唱价单为准；响应文件中的唱价单与响应文件中明细表内容不一致的，以唱价单为准；二份唱价单之间如有差异，按无效响应处理。</w:t>
      </w:r>
    </w:p>
    <w:p>
      <w:pPr>
        <w:spacing w:line="360" w:lineRule="auto"/>
        <w:ind w:firstLine="480" w:firstLineChars="200"/>
      </w:pPr>
      <w:r>
        <w:rPr>
          <w:rFonts w:hint="eastAsia"/>
          <w:lang w:val="en-US" w:eastAsia="zh-CN"/>
        </w:rPr>
        <w:t>10</w:t>
      </w:r>
      <w:r>
        <w:rPr>
          <w:rFonts w:hint="eastAsia"/>
        </w:rPr>
        <w:t>.3 响应文件应严格按照采购文件的要求提交，并按规定的统一格式逐项填写，不准有空项；无相应内容可填的项应填写“无”、“没有相应指标”等明确的回答文字。响应文件未按规定提交或留有空项，将被视为不完整响应的响应文件，其响应有可能被拒绝。</w:t>
      </w:r>
    </w:p>
    <w:p>
      <w:pPr>
        <w:spacing w:line="360" w:lineRule="auto"/>
        <w:ind w:firstLine="480" w:firstLineChars="200"/>
      </w:pPr>
      <w:r>
        <w:rPr>
          <w:rFonts w:hint="eastAsia"/>
          <w:lang w:val="en-US" w:eastAsia="zh-CN"/>
        </w:rPr>
        <w:t>10</w:t>
      </w:r>
      <w:r>
        <w:rPr>
          <w:rFonts w:hint="eastAsia"/>
        </w:rPr>
        <w:t>.4 因响应文件字迹潦草、模糊或表达不清所引起的不利后果由供应商承担。</w:t>
      </w:r>
    </w:p>
    <w:p>
      <w:pPr>
        <w:spacing w:line="360" w:lineRule="auto"/>
        <w:ind w:firstLine="482" w:firstLineChars="200"/>
        <w:rPr>
          <w:b/>
        </w:rPr>
      </w:pPr>
      <w:r>
        <w:rPr>
          <w:rFonts w:hint="eastAsia"/>
          <w:b/>
          <w:lang w:val="en-US" w:eastAsia="zh-CN"/>
        </w:rPr>
        <w:t>11</w:t>
      </w:r>
      <w:r>
        <w:rPr>
          <w:rFonts w:hint="eastAsia"/>
          <w:b/>
        </w:rPr>
        <w:t>. 响应文件签署</w:t>
      </w:r>
    </w:p>
    <w:p>
      <w:pPr>
        <w:spacing w:line="360" w:lineRule="auto"/>
        <w:ind w:firstLine="480" w:firstLineChars="200"/>
      </w:pPr>
      <w:r>
        <w:rPr>
          <w:rFonts w:hint="eastAsia"/>
          <w:lang w:val="en-US" w:eastAsia="zh-CN"/>
        </w:rPr>
        <w:t>11</w:t>
      </w:r>
      <w:r>
        <w:rPr>
          <w:rFonts w:hint="eastAsia"/>
        </w:rPr>
        <w:t>.1法定代表人或授权代理人必须按采购文件的规定在响应文件（正本、副本及各附件）、唱价单上签字并加盖供应商单位公章，不得使用其它形式如带有“专用章”等字样的印章，否则响应将被视为无效。如供应商对响应文件进行了修改，则须由供应商的法定代表人或授权代理人在修改的每一页上签字或加盖公章。</w:t>
      </w:r>
    </w:p>
    <w:p>
      <w:pPr>
        <w:spacing w:line="360" w:lineRule="auto"/>
        <w:ind w:firstLine="480" w:firstLineChars="200"/>
      </w:pPr>
      <w:r>
        <w:rPr>
          <w:rFonts w:hint="eastAsia"/>
          <w:lang w:val="en-US" w:eastAsia="zh-CN"/>
        </w:rPr>
        <w:t>11</w:t>
      </w:r>
      <w:r>
        <w:rPr>
          <w:rFonts w:hint="eastAsia"/>
        </w:rPr>
        <w:t>.2 任何行间插字、涂改和增删，必须由供应商的法定代表人或授权代理人签字或加盖公章后才有效。</w:t>
      </w:r>
    </w:p>
    <w:p>
      <w:pPr>
        <w:spacing w:line="360" w:lineRule="auto"/>
        <w:ind w:firstLine="482" w:firstLineChars="200"/>
        <w:rPr>
          <w:b/>
        </w:rPr>
      </w:pPr>
      <w:r>
        <w:rPr>
          <w:rFonts w:hint="eastAsia"/>
          <w:b/>
          <w:lang w:val="en-US" w:eastAsia="zh-CN"/>
        </w:rPr>
        <w:t>12</w:t>
      </w:r>
      <w:r>
        <w:rPr>
          <w:rFonts w:hint="eastAsia"/>
          <w:b/>
        </w:rPr>
        <w:t>. 响应文件密封和标记</w:t>
      </w:r>
    </w:p>
    <w:p>
      <w:pPr>
        <w:spacing w:line="360" w:lineRule="auto"/>
        <w:ind w:firstLine="480" w:firstLineChars="200"/>
      </w:pPr>
      <w:r>
        <w:rPr>
          <w:rFonts w:hint="eastAsia"/>
          <w:lang w:val="en-US" w:eastAsia="zh-CN"/>
        </w:rPr>
        <w:t>12</w:t>
      </w:r>
      <w:r>
        <w:rPr>
          <w:rFonts w:hint="eastAsia"/>
        </w:rPr>
        <w:t>.1 供应商应将响应文件正副本密封，并在封面明显处注明以下内容：</w:t>
      </w:r>
    </w:p>
    <w:p>
      <w:pPr>
        <w:spacing w:line="360" w:lineRule="auto"/>
        <w:ind w:firstLine="480" w:firstLineChars="200"/>
      </w:pPr>
      <w:r>
        <w:rPr>
          <w:rFonts w:hint="eastAsia"/>
        </w:rPr>
        <w:t>1) 项目编号、项目名称；</w:t>
      </w:r>
    </w:p>
    <w:p>
      <w:pPr>
        <w:spacing w:line="360" w:lineRule="auto"/>
        <w:ind w:firstLine="480" w:firstLineChars="200"/>
      </w:pPr>
      <w:r>
        <w:rPr>
          <w:rFonts w:hint="eastAsia"/>
        </w:rPr>
        <w:t>2) 供应商名称（加盖公章）、地址、邮编、电话、传真。</w:t>
      </w:r>
    </w:p>
    <w:p>
      <w:pPr>
        <w:spacing w:line="360" w:lineRule="auto"/>
        <w:ind w:firstLine="480" w:firstLineChars="200"/>
      </w:pPr>
      <w:r>
        <w:rPr>
          <w:rFonts w:hint="eastAsia"/>
          <w:lang w:val="en-US" w:eastAsia="zh-CN"/>
        </w:rPr>
        <w:t>12</w:t>
      </w:r>
      <w:r>
        <w:rPr>
          <w:rFonts w:hint="eastAsia"/>
        </w:rPr>
        <w:t>.2 为方便公开唱价，请供应商将二份“唱价单”单独密封，并注明唱价单，项目名称、项目编号、供应商名称（加盖公章），与响应文件同时提交。</w:t>
      </w:r>
    </w:p>
    <w:p>
      <w:pPr>
        <w:spacing w:line="360" w:lineRule="auto"/>
        <w:ind w:firstLine="480" w:firstLineChars="200"/>
      </w:pPr>
      <w:r>
        <w:rPr>
          <w:rFonts w:hint="eastAsia"/>
          <w:lang w:val="en-US" w:eastAsia="zh-CN"/>
        </w:rPr>
        <w:t>12</w:t>
      </w:r>
      <w:r>
        <w:rPr>
          <w:rFonts w:hint="eastAsia"/>
        </w:rPr>
        <w:t>.3 每一密封件在封口处加盖供应商公章并注明“于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日时之前不准启封”字样。</w:t>
      </w:r>
    </w:p>
    <w:p>
      <w:pPr>
        <w:spacing w:line="360" w:lineRule="auto"/>
        <w:ind w:firstLine="480" w:firstLineChars="200"/>
      </w:pPr>
      <w:r>
        <w:rPr>
          <w:rFonts w:hint="eastAsia"/>
          <w:lang w:val="en-US" w:eastAsia="zh-CN"/>
        </w:rPr>
        <w:t>12</w:t>
      </w:r>
      <w:r>
        <w:rPr>
          <w:rFonts w:hint="eastAsia"/>
        </w:rPr>
        <w:t>.4 如果供应商未按上述要求对响应文件密封及加写标记，</w:t>
      </w:r>
      <w:r>
        <w:rPr>
          <w:rFonts w:hint="eastAsia"/>
          <w:lang w:eastAsia="zh-CN"/>
        </w:rPr>
        <w:t>招标人</w:t>
      </w:r>
      <w:r>
        <w:rPr>
          <w:rFonts w:hint="eastAsia"/>
        </w:rPr>
        <w:t>对供应商提前启封概不负责。对由此造成提前开封的响应文件，</w:t>
      </w:r>
      <w:r>
        <w:rPr>
          <w:rFonts w:hint="eastAsia"/>
          <w:lang w:eastAsia="zh-CN"/>
        </w:rPr>
        <w:t>招标人</w:t>
      </w:r>
      <w:r>
        <w:rPr>
          <w:rFonts w:hint="eastAsia"/>
        </w:rPr>
        <w:t>有权予以拒绝，并退回供应商。</w:t>
      </w:r>
    </w:p>
    <w:p>
      <w:pPr>
        <w:spacing w:line="360" w:lineRule="auto"/>
        <w:ind w:firstLine="482" w:firstLineChars="200"/>
        <w:rPr>
          <w:b/>
        </w:rPr>
      </w:pPr>
      <w:r>
        <w:rPr>
          <w:rFonts w:hint="eastAsia"/>
          <w:b/>
          <w:lang w:val="en-US" w:eastAsia="zh-CN"/>
        </w:rPr>
        <w:t>13</w:t>
      </w:r>
      <w:r>
        <w:rPr>
          <w:rFonts w:hint="eastAsia"/>
          <w:b/>
        </w:rPr>
        <w:t>. 投标保证金</w:t>
      </w:r>
    </w:p>
    <w:p>
      <w:pPr>
        <w:spacing w:line="360" w:lineRule="auto"/>
        <w:ind w:firstLine="480" w:firstLineChars="200"/>
        <w:rPr>
          <w:rFonts w:hint="eastAsia" w:eastAsia="宋体"/>
          <w:b w:val="0"/>
          <w:bCs/>
          <w:lang w:val="en-US" w:eastAsia="zh-CN"/>
        </w:rPr>
      </w:pPr>
      <w:r>
        <w:rPr>
          <w:rFonts w:hint="eastAsia"/>
          <w:b w:val="0"/>
          <w:bCs/>
          <w:lang w:val="en-US" w:eastAsia="zh-CN"/>
        </w:rPr>
        <w:t>无</w:t>
      </w:r>
    </w:p>
    <w:p>
      <w:pPr>
        <w:spacing w:line="360" w:lineRule="auto"/>
        <w:ind w:firstLine="482" w:firstLineChars="200"/>
        <w:rPr>
          <w:b/>
        </w:rPr>
      </w:pPr>
      <w:r>
        <w:rPr>
          <w:rFonts w:hint="eastAsia"/>
          <w:b/>
        </w:rPr>
        <w:t>1</w:t>
      </w:r>
      <w:r>
        <w:rPr>
          <w:rFonts w:hint="eastAsia"/>
          <w:b/>
          <w:lang w:val="en-US" w:eastAsia="zh-CN"/>
        </w:rPr>
        <w:t>4</w:t>
      </w:r>
      <w:r>
        <w:rPr>
          <w:rFonts w:hint="eastAsia"/>
          <w:b/>
        </w:rPr>
        <w:t>. 响应有效期</w:t>
      </w:r>
    </w:p>
    <w:p>
      <w:pPr>
        <w:spacing w:line="360" w:lineRule="auto"/>
        <w:ind w:firstLine="480" w:firstLineChars="200"/>
      </w:pPr>
      <w:r>
        <w:rPr>
          <w:rFonts w:hint="eastAsia"/>
        </w:rPr>
        <w:t>1</w:t>
      </w:r>
      <w:r>
        <w:rPr>
          <w:rFonts w:hint="eastAsia"/>
          <w:lang w:val="en-US" w:eastAsia="zh-CN"/>
        </w:rPr>
        <w:t>4</w:t>
      </w:r>
      <w:r>
        <w:rPr>
          <w:rFonts w:hint="eastAsia"/>
        </w:rPr>
        <w:t>.1 从递交响应文件截止之日起，响应有效期为</w:t>
      </w:r>
      <w:r>
        <w:rPr>
          <w:rFonts w:hint="eastAsia"/>
          <w:u w:val="single"/>
        </w:rPr>
        <w:t xml:space="preserve"> 90 </w:t>
      </w:r>
      <w:r>
        <w:rPr>
          <w:rFonts w:hint="eastAsia"/>
        </w:rPr>
        <w:t>日。响应文件的有效期比本须知规定的有效期短的报价将被拒绝。</w:t>
      </w:r>
    </w:p>
    <w:p>
      <w:pPr>
        <w:spacing w:line="360" w:lineRule="auto"/>
        <w:ind w:firstLine="480" w:firstLineChars="200"/>
      </w:pPr>
      <w:r>
        <w:rPr>
          <w:rFonts w:hint="eastAsia"/>
        </w:rPr>
        <w:t>1</w:t>
      </w:r>
      <w:r>
        <w:rPr>
          <w:rFonts w:hint="eastAsia"/>
          <w:lang w:val="en-US" w:eastAsia="zh-CN"/>
        </w:rPr>
        <w:t>4</w:t>
      </w:r>
      <w:r>
        <w:rPr>
          <w:rFonts w:hint="eastAsia"/>
        </w:rPr>
        <w:t>.2 特殊情况下，在响应有效期满之前，</w:t>
      </w:r>
      <w:r>
        <w:rPr>
          <w:rFonts w:hint="eastAsia"/>
          <w:lang w:eastAsia="zh-CN"/>
        </w:rPr>
        <w:t>招标人</w:t>
      </w:r>
      <w:r>
        <w:rPr>
          <w:rFonts w:hint="eastAsia"/>
        </w:rPr>
        <w:t>可以以书面形式要求供应商同意延长响应有效期。供应商可以以书面形式拒绝或接受上述要求。拒绝延长响应有效期的供应商有权收回响应保证金；同意延长响应有效期的供应商应当相应延长其响应保证金的有效期，但不得修改响应文件的其他内容。</w:t>
      </w:r>
    </w:p>
    <w:p>
      <w:pPr>
        <w:pStyle w:val="4"/>
        <w:spacing w:before="0" w:after="0" w:line="360" w:lineRule="auto"/>
        <w:rPr>
          <w:rFonts w:ascii="宋体" w:hAnsi="宋体" w:eastAsia="宋体"/>
          <w:kern w:val="0"/>
          <w:sz w:val="28"/>
          <w:szCs w:val="28"/>
        </w:rPr>
      </w:pPr>
      <w:bookmarkStart w:id="6" w:name="_Toc48913050"/>
      <w:r>
        <w:rPr>
          <w:rFonts w:hint="eastAsia" w:ascii="宋体" w:hAnsi="宋体" w:eastAsia="宋体"/>
          <w:kern w:val="0"/>
          <w:sz w:val="28"/>
          <w:szCs w:val="28"/>
        </w:rPr>
        <w:t>四、响应文件递交</w:t>
      </w:r>
      <w:bookmarkEnd w:id="6"/>
    </w:p>
    <w:p>
      <w:pPr>
        <w:spacing w:line="360" w:lineRule="auto"/>
        <w:ind w:firstLine="482" w:firstLineChars="200"/>
        <w:rPr>
          <w:b/>
        </w:rPr>
      </w:pPr>
      <w:r>
        <w:rPr>
          <w:rFonts w:hint="eastAsia"/>
          <w:b/>
        </w:rPr>
        <w:t>1</w:t>
      </w:r>
      <w:r>
        <w:rPr>
          <w:rFonts w:hint="eastAsia"/>
          <w:b/>
          <w:lang w:val="en-US" w:eastAsia="zh-CN"/>
        </w:rPr>
        <w:t>5</w:t>
      </w:r>
      <w:r>
        <w:rPr>
          <w:rFonts w:hint="eastAsia"/>
          <w:b/>
        </w:rPr>
        <w:t>. 响应文件递交时间和地点</w:t>
      </w:r>
    </w:p>
    <w:p>
      <w:pPr>
        <w:spacing w:line="360" w:lineRule="auto"/>
        <w:ind w:firstLine="480" w:firstLineChars="200"/>
      </w:pPr>
      <w:r>
        <w:rPr>
          <w:rFonts w:hint="eastAsia"/>
        </w:rPr>
        <w:t>1</w:t>
      </w:r>
      <w:r>
        <w:rPr>
          <w:rFonts w:hint="eastAsia"/>
          <w:lang w:val="en-US" w:eastAsia="zh-CN"/>
        </w:rPr>
        <w:t>5</w:t>
      </w:r>
      <w:r>
        <w:rPr>
          <w:rFonts w:hint="eastAsia"/>
        </w:rPr>
        <w:t>.1 供应商代表必须在响应文件递交截止时间前将响应文件送达指定地点。如因采购文件的修改推迟报价截止日期的，则按</w:t>
      </w:r>
      <w:r>
        <w:rPr>
          <w:rFonts w:hint="eastAsia"/>
          <w:lang w:eastAsia="zh-CN"/>
        </w:rPr>
        <w:t>招标人</w:t>
      </w:r>
      <w:r>
        <w:rPr>
          <w:rFonts w:hint="eastAsia"/>
        </w:rPr>
        <w:t>另行通知规定的时间递交。</w:t>
      </w:r>
    </w:p>
    <w:p>
      <w:pPr>
        <w:spacing w:line="360" w:lineRule="auto"/>
        <w:ind w:firstLine="480" w:firstLineChars="200"/>
      </w:pPr>
      <w:r>
        <w:rPr>
          <w:rFonts w:hint="eastAsia"/>
        </w:rPr>
        <w:t>1</w:t>
      </w:r>
      <w:r>
        <w:rPr>
          <w:rFonts w:hint="eastAsia"/>
          <w:lang w:val="en-US" w:eastAsia="zh-CN"/>
        </w:rPr>
        <w:t>5</w:t>
      </w:r>
      <w:r>
        <w:rPr>
          <w:rFonts w:hint="eastAsia"/>
        </w:rPr>
        <w:t xml:space="preserve">.2 </w:t>
      </w:r>
      <w:r>
        <w:rPr>
          <w:rFonts w:hint="eastAsia"/>
          <w:lang w:eastAsia="zh-CN"/>
        </w:rPr>
        <w:t>招标人</w:t>
      </w:r>
      <w:r>
        <w:rPr>
          <w:rFonts w:hint="eastAsia"/>
        </w:rPr>
        <w:t>将拒绝接收报价截止时间后送达的响应文件。</w:t>
      </w:r>
    </w:p>
    <w:p>
      <w:pPr>
        <w:spacing w:line="360" w:lineRule="auto"/>
        <w:ind w:firstLine="482" w:firstLineChars="200"/>
        <w:rPr>
          <w:b/>
        </w:rPr>
      </w:pPr>
      <w:r>
        <w:rPr>
          <w:rFonts w:hint="eastAsia"/>
          <w:b/>
        </w:rPr>
        <w:t>1</w:t>
      </w:r>
      <w:r>
        <w:rPr>
          <w:rFonts w:hint="eastAsia"/>
          <w:b/>
          <w:lang w:val="en-US" w:eastAsia="zh-CN"/>
        </w:rPr>
        <w:t>6</w:t>
      </w:r>
      <w:r>
        <w:rPr>
          <w:rFonts w:hint="eastAsia"/>
          <w:b/>
        </w:rPr>
        <w:t>. 响应文件签收</w:t>
      </w:r>
    </w:p>
    <w:p>
      <w:pPr>
        <w:spacing w:line="360" w:lineRule="auto"/>
        <w:ind w:firstLine="480" w:firstLineChars="200"/>
      </w:pPr>
      <w:r>
        <w:rPr>
          <w:rFonts w:hint="eastAsia"/>
        </w:rPr>
        <w:t>1</w:t>
      </w:r>
      <w:r>
        <w:rPr>
          <w:rFonts w:hint="eastAsia"/>
          <w:lang w:val="en-US" w:eastAsia="zh-CN"/>
        </w:rPr>
        <w:t>6</w:t>
      </w:r>
      <w:r>
        <w:rPr>
          <w:rFonts w:hint="eastAsia"/>
        </w:rPr>
        <w:t>.1 招标</w:t>
      </w:r>
      <w:r>
        <w:rPr>
          <w:rFonts w:hint="eastAsia"/>
          <w:lang w:val="en-US" w:eastAsia="zh-CN"/>
        </w:rPr>
        <w:t>方</w:t>
      </w:r>
      <w:r>
        <w:rPr>
          <w:rFonts w:hint="eastAsia"/>
        </w:rPr>
        <w:t>于报价截止时间前接收合格的响应文件，供应商授权代表同时签字确认。</w:t>
      </w:r>
    </w:p>
    <w:p>
      <w:pPr>
        <w:spacing w:line="360" w:lineRule="auto"/>
        <w:ind w:firstLine="480" w:firstLineChars="200"/>
      </w:pPr>
      <w:r>
        <w:rPr>
          <w:rFonts w:hint="eastAsia"/>
        </w:rPr>
        <w:t>1</w:t>
      </w:r>
      <w:r>
        <w:rPr>
          <w:rFonts w:hint="eastAsia"/>
          <w:lang w:val="en-US" w:eastAsia="zh-CN"/>
        </w:rPr>
        <w:t>6</w:t>
      </w:r>
      <w:r>
        <w:rPr>
          <w:rFonts w:hint="eastAsia"/>
        </w:rPr>
        <w:t>.2 响应文件须采用纸质形式，以电报、传真、电子邮件等形式提交的报价不予接受。</w:t>
      </w:r>
    </w:p>
    <w:p>
      <w:pPr>
        <w:spacing w:line="360" w:lineRule="auto"/>
        <w:ind w:firstLine="480" w:firstLineChars="200"/>
      </w:pPr>
      <w:r>
        <w:rPr>
          <w:rFonts w:hint="eastAsia"/>
        </w:rPr>
        <w:t>1</w:t>
      </w:r>
      <w:r>
        <w:rPr>
          <w:rFonts w:hint="eastAsia"/>
          <w:lang w:val="en-US" w:eastAsia="zh-CN"/>
        </w:rPr>
        <w:t>6</w:t>
      </w:r>
      <w:r>
        <w:rPr>
          <w:rFonts w:hint="eastAsia"/>
        </w:rPr>
        <w:t>.3 对供应商提交的响应文件在报价截止时间后不予退还。</w:t>
      </w:r>
    </w:p>
    <w:p>
      <w:pPr>
        <w:spacing w:line="360" w:lineRule="auto"/>
        <w:ind w:firstLine="482" w:firstLineChars="200"/>
        <w:rPr>
          <w:b/>
        </w:rPr>
      </w:pPr>
      <w:r>
        <w:rPr>
          <w:rFonts w:hint="eastAsia"/>
          <w:b/>
        </w:rPr>
        <w:t>1</w:t>
      </w:r>
      <w:r>
        <w:rPr>
          <w:rFonts w:hint="eastAsia"/>
          <w:b/>
          <w:lang w:val="en-US" w:eastAsia="zh-CN"/>
        </w:rPr>
        <w:t>7</w:t>
      </w:r>
      <w:r>
        <w:rPr>
          <w:rFonts w:hint="eastAsia"/>
          <w:b/>
        </w:rPr>
        <w:t>. 响应文件修改与撤回</w:t>
      </w:r>
    </w:p>
    <w:p>
      <w:pPr>
        <w:spacing w:line="360" w:lineRule="auto"/>
        <w:ind w:firstLine="480" w:firstLineChars="200"/>
      </w:pPr>
      <w:r>
        <w:rPr>
          <w:rFonts w:hint="eastAsia"/>
        </w:rPr>
        <w:t>1</w:t>
      </w:r>
      <w:r>
        <w:rPr>
          <w:rFonts w:hint="eastAsia"/>
          <w:lang w:val="en-US" w:eastAsia="zh-CN"/>
        </w:rPr>
        <w:t>7</w:t>
      </w:r>
      <w:r>
        <w:rPr>
          <w:rFonts w:hint="eastAsia"/>
        </w:rPr>
        <w:t>.1 供应商在采购文件要求提交响应文件的截止时间前，可以补充、修改或者撤回已提交的响应文件，并书面形式通知</w:t>
      </w:r>
      <w:r>
        <w:rPr>
          <w:rFonts w:hint="eastAsia"/>
          <w:lang w:eastAsia="zh-CN"/>
        </w:rPr>
        <w:t>招标人</w:t>
      </w:r>
      <w:r>
        <w:rPr>
          <w:rFonts w:hint="eastAsia"/>
        </w:rPr>
        <w:t>。</w:t>
      </w:r>
    </w:p>
    <w:p>
      <w:pPr>
        <w:spacing w:line="360" w:lineRule="auto"/>
        <w:ind w:firstLine="480" w:firstLineChars="200"/>
      </w:pPr>
      <w:r>
        <w:rPr>
          <w:rFonts w:hint="eastAsia"/>
        </w:rPr>
        <w:t>1</w:t>
      </w:r>
      <w:r>
        <w:rPr>
          <w:rFonts w:hint="eastAsia"/>
          <w:lang w:val="en-US" w:eastAsia="zh-CN"/>
        </w:rPr>
        <w:t>7</w:t>
      </w:r>
      <w:r>
        <w:rPr>
          <w:rFonts w:hint="eastAsia"/>
        </w:rPr>
        <w:t>.2 供应商对响应文件的补充、修改或撤回通知应按本须知规定编制、密封、标记和递交。</w:t>
      </w:r>
    </w:p>
    <w:p>
      <w:pPr>
        <w:spacing w:line="360" w:lineRule="auto"/>
        <w:ind w:firstLine="480" w:firstLineChars="200"/>
      </w:pPr>
      <w:r>
        <w:rPr>
          <w:rFonts w:hint="eastAsia"/>
        </w:rPr>
        <w:t>1</w:t>
      </w:r>
      <w:r>
        <w:rPr>
          <w:rFonts w:hint="eastAsia"/>
          <w:lang w:val="en-US" w:eastAsia="zh-CN"/>
        </w:rPr>
        <w:t>7</w:t>
      </w:r>
      <w:r>
        <w:rPr>
          <w:rFonts w:hint="eastAsia"/>
        </w:rPr>
        <w:t>.3 撤回响应的要求应以书面形式提出，由供应商法定代表人或授权代理人签署，并在响应文件递交截止时间前送达</w:t>
      </w:r>
      <w:r>
        <w:rPr>
          <w:rFonts w:hint="eastAsia"/>
          <w:lang w:eastAsia="zh-CN"/>
        </w:rPr>
        <w:t>招标人</w:t>
      </w:r>
      <w:r>
        <w:rPr>
          <w:rFonts w:hint="eastAsia"/>
        </w:rPr>
        <w:t>。</w:t>
      </w:r>
    </w:p>
    <w:p>
      <w:pPr>
        <w:spacing w:line="360" w:lineRule="auto"/>
        <w:ind w:firstLine="480" w:firstLineChars="200"/>
      </w:pPr>
      <w:r>
        <w:rPr>
          <w:rFonts w:hint="eastAsia"/>
        </w:rPr>
        <w:t>1</w:t>
      </w:r>
      <w:r>
        <w:rPr>
          <w:rFonts w:hint="eastAsia"/>
          <w:lang w:val="en-US" w:eastAsia="zh-CN"/>
        </w:rPr>
        <w:t>7</w:t>
      </w:r>
      <w:r>
        <w:rPr>
          <w:rFonts w:hint="eastAsia"/>
        </w:rPr>
        <w:t>.4 响应有效期内不得撤回响应文件，开标仪式后撤回响应的行为将被记录在案，其响应保证金不予退还，供应商今后参与同类采购项目的机会可能会受到影响。</w:t>
      </w:r>
    </w:p>
    <w:p>
      <w:pPr>
        <w:pStyle w:val="4"/>
        <w:spacing w:before="0" w:after="0" w:line="360" w:lineRule="auto"/>
        <w:rPr>
          <w:rFonts w:ascii="宋体" w:hAnsi="宋体" w:eastAsia="宋体"/>
          <w:kern w:val="0"/>
          <w:sz w:val="28"/>
          <w:szCs w:val="28"/>
        </w:rPr>
      </w:pPr>
      <w:bookmarkStart w:id="7" w:name="_Toc48913051"/>
      <w:r>
        <w:rPr>
          <w:rFonts w:hint="eastAsia" w:ascii="宋体" w:hAnsi="宋体" w:eastAsia="宋体"/>
          <w:kern w:val="0"/>
          <w:sz w:val="28"/>
          <w:szCs w:val="28"/>
        </w:rPr>
        <w:t>五、开标与评标</w:t>
      </w:r>
      <w:bookmarkEnd w:id="7"/>
    </w:p>
    <w:p>
      <w:pPr>
        <w:spacing w:line="360" w:lineRule="auto"/>
        <w:ind w:firstLine="482" w:firstLineChars="200"/>
        <w:rPr>
          <w:b/>
        </w:rPr>
      </w:pPr>
      <w:r>
        <w:rPr>
          <w:rFonts w:hint="eastAsia"/>
          <w:b/>
        </w:rPr>
        <w:t>1</w:t>
      </w:r>
      <w:r>
        <w:rPr>
          <w:rFonts w:hint="eastAsia"/>
          <w:b/>
          <w:lang w:val="en-US" w:eastAsia="zh-CN"/>
        </w:rPr>
        <w:t>8</w:t>
      </w:r>
      <w:r>
        <w:rPr>
          <w:rFonts w:hint="eastAsia"/>
          <w:b/>
        </w:rPr>
        <w:t>. 开标</w:t>
      </w:r>
    </w:p>
    <w:p>
      <w:pPr>
        <w:spacing w:line="360" w:lineRule="auto"/>
        <w:ind w:firstLine="480" w:firstLineChars="200"/>
      </w:pPr>
      <w:r>
        <w:rPr>
          <w:rFonts w:hint="eastAsia"/>
        </w:rPr>
        <w:t>1</w:t>
      </w:r>
      <w:r>
        <w:rPr>
          <w:rFonts w:hint="eastAsia"/>
          <w:lang w:val="en-US" w:eastAsia="zh-CN"/>
        </w:rPr>
        <w:t>8</w:t>
      </w:r>
      <w:r>
        <w:rPr>
          <w:rFonts w:hint="eastAsia"/>
        </w:rPr>
        <w:t>.1 按照采购文件规定的时间、地点开标。开标由招标</w:t>
      </w:r>
      <w:r>
        <w:rPr>
          <w:rFonts w:hint="eastAsia"/>
          <w:lang w:val="en-US" w:eastAsia="zh-CN"/>
        </w:rPr>
        <w:t>方</w:t>
      </w:r>
      <w:r>
        <w:rPr>
          <w:rFonts w:hint="eastAsia"/>
        </w:rPr>
        <w:t>主持，采购人、供应商和有关方面的代表参加。供应商法定代表人或其授权代理人应携带</w:t>
      </w:r>
      <w:r>
        <w:rPr>
          <w:rFonts w:hint="eastAsia"/>
          <w:b/>
        </w:rPr>
        <w:t>授权委托书原件、代理人身份证原件</w:t>
      </w:r>
      <w:r>
        <w:rPr>
          <w:rFonts w:hint="eastAsia"/>
        </w:rPr>
        <w:t>参加并签到以证明其出席，否则按无效响应处理。</w:t>
      </w:r>
    </w:p>
    <w:p>
      <w:pPr>
        <w:spacing w:line="360" w:lineRule="auto"/>
        <w:ind w:firstLine="480" w:firstLineChars="200"/>
      </w:pPr>
      <w:r>
        <w:rPr>
          <w:rFonts w:hint="eastAsia"/>
        </w:rPr>
        <w:t>1</w:t>
      </w:r>
      <w:r>
        <w:rPr>
          <w:rFonts w:hint="eastAsia"/>
          <w:lang w:val="en-US" w:eastAsia="zh-CN"/>
        </w:rPr>
        <w:t>8</w:t>
      </w:r>
      <w:r>
        <w:rPr>
          <w:rFonts w:hint="eastAsia"/>
        </w:rPr>
        <w:t xml:space="preserve">.2 开标时，由公证员或律师人员检查响应文件的密封情况，并经供应商签字确认。 </w:t>
      </w:r>
    </w:p>
    <w:p>
      <w:pPr>
        <w:spacing w:line="360" w:lineRule="auto"/>
        <w:ind w:firstLine="480" w:firstLineChars="200"/>
      </w:pPr>
      <w:r>
        <w:rPr>
          <w:rFonts w:hint="eastAsia"/>
        </w:rPr>
        <w:t>1</w:t>
      </w:r>
      <w:r>
        <w:rPr>
          <w:rFonts w:hint="eastAsia"/>
          <w:lang w:val="en-US" w:eastAsia="zh-CN"/>
        </w:rPr>
        <w:t>8</w:t>
      </w:r>
      <w:r>
        <w:rPr>
          <w:rFonts w:hint="eastAsia"/>
        </w:rPr>
        <w:t>.3 工作人员当众拆启响应文件，唱标员宣读供应商名称、响应报价和其它主要内容。</w:t>
      </w:r>
    </w:p>
    <w:p>
      <w:pPr>
        <w:spacing w:line="360" w:lineRule="auto"/>
        <w:ind w:firstLine="480" w:firstLineChars="200"/>
      </w:pPr>
      <w:r>
        <w:rPr>
          <w:rFonts w:hint="eastAsia"/>
        </w:rPr>
        <w:t>1</w:t>
      </w:r>
      <w:r>
        <w:rPr>
          <w:rFonts w:hint="eastAsia"/>
          <w:lang w:val="en-US" w:eastAsia="zh-CN"/>
        </w:rPr>
        <w:t>8</w:t>
      </w:r>
      <w:r>
        <w:rPr>
          <w:rFonts w:hint="eastAsia"/>
        </w:rPr>
        <w:t>.4 记录员将唱标内容分项记录，由供应商法定代表人或授权代理人签字确认。</w:t>
      </w:r>
    </w:p>
    <w:p>
      <w:pPr>
        <w:spacing w:line="360" w:lineRule="auto"/>
        <w:ind w:firstLine="480" w:firstLineChars="200"/>
      </w:pPr>
      <w:r>
        <w:rPr>
          <w:rFonts w:hint="eastAsia"/>
        </w:rPr>
        <w:t>1</w:t>
      </w:r>
      <w:r>
        <w:rPr>
          <w:rFonts w:hint="eastAsia"/>
          <w:lang w:val="en-US" w:eastAsia="zh-CN"/>
        </w:rPr>
        <w:t>8</w:t>
      </w:r>
      <w:r>
        <w:rPr>
          <w:rFonts w:hint="eastAsia"/>
        </w:rPr>
        <w:t>.5 公开报价仪式结束后，由公证员或律师人员对供应商的响应资格进行审验：</w:t>
      </w:r>
    </w:p>
    <w:p>
      <w:pPr>
        <w:spacing w:line="360" w:lineRule="auto"/>
        <w:ind w:firstLine="482" w:firstLineChars="200"/>
        <w:rPr>
          <w:b/>
        </w:rPr>
      </w:pPr>
      <w:r>
        <w:rPr>
          <w:rFonts w:hint="eastAsia"/>
          <w:b/>
        </w:rPr>
        <w:t>1</w:t>
      </w:r>
      <w:r>
        <w:rPr>
          <w:rFonts w:hint="eastAsia"/>
          <w:b/>
          <w:lang w:val="en-US" w:eastAsia="zh-CN"/>
        </w:rPr>
        <w:t>9</w:t>
      </w:r>
      <w:r>
        <w:rPr>
          <w:rFonts w:hint="eastAsia"/>
          <w:b/>
        </w:rPr>
        <w:t>. 组建磋商小组</w:t>
      </w:r>
    </w:p>
    <w:p>
      <w:pPr>
        <w:spacing w:line="360" w:lineRule="auto"/>
        <w:ind w:firstLine="480" w:firstLineChars="200"/>
      </w:pPr>
      <w:r>
        <w:rPr>
          <w:rFonts w:hint="eastAsia"/>
        </w:rPr>
        <w:t>采购人将根据本项目的特点组建磋商小组，其成员由采购人代表及有关方面的专家3人以及上单数组成，其中技术、经济等方面的专家不少于成员总数的三分之二，磋商小组负责对响应文件进行评标，根据综合评分排序结果从高到低推荐三名成交候选人。</w:t>
      </w:r>
    </w:p>
    <w:p>
      <w:pPr>
        <w:spacing w:line="360" w:lineRule="auto"/>
        <w:ind w:firstLine="482" w:firstLineChars="200"/>
        <w:rPr>
          <w:b/>
        </w:rPr>
      </w:pPr>
      <w:r>
        <w:rPr>
          <w:rFonts w:hint="eastAsia"/>
          <w:b/>
          <w:lang w:val="en-US" w:eastAsia="zh-CN"/>
        </w:rPr>
        <w:t>20</w:t>
      </w:r>
      <w:r>
        <w:rPr>
          <w:rFonts w:hint="eastAsia"/>
          <w:b/>
        </w:rPr>
        <w:t>. 评标原则</w:t>
      </w:r>
    </w:p>
    <w:p>
      <w:pPr>
        <w:spacing w:line="360" w:lineRule="auto"/>
        <w:ind w:firstLine="480" w:firstLineChars="200"/>
      </w:pPr>
      <w:r>
        <w:rPr>
          <w:rFonts w:hint="eastAsia"/>
          <w:lang w:val="en-US" w:eastAsia="zh-CN"/>
        </w:rPr>
        <w:t>20</w:t>
      </w:r>
      <w:r>
        <w:rPr>
          <w:rFonts w:hint="eastAsia"/>
        </w:rPr>
        <w:t>.1 客观性原则：磋商小组将严格按照采购文件的要求，对供应商的响应文件进行认真评审；磋商小组对响应文件的评审仅依据响应文件本身，而不依据响应文件以外的任何因素。</w:t>
      </w:r>
    </w:p>
    <w:p>
      <w:pPr>
        <w:spacing w:line="360" w:lineRule="auto"/>
        <w:ind w:firstLine="480" w:firstLineChars="200"/>
      </w:pPr>
      <w:r>
        <w:rPr>
          <w:rFonts w:hint="eastAsia"/>
          <w:lang w:val="en-US" w:eastAsia="zh-CN"/>
        </w:rPr>
        <w:t>20</w:t>
      </w:r>
      <w:r>
        <w:rPr>
          <w:rFonts w:hint="eastAsia"/>
        </w:rPr>
        <w:t>.2 统一性原则：磋商小组将按照统一的评标原则和评标方法，用同一标准进行评审。</w:t>
      </w:r>
    </w:p>
    <w:p>
      <w:pPr>
        <w:spacing w:line="360" w:lineRule="auto"/>
        <w:ind w:firstLine="480" w:firstLineChars="200"/>
      </w:pPr>
      <w:r>
        <w:rPr>
          <w:rFonts w:hint="eastAsia"/>
          <w:lang w:val="en-US" w:eastAsia="zh-CN"/>
        </w:rPr>
        <w:t>20</w:t>
      </w:r>
      <w:r>
        <w:rPr>
          <w:rFonts w:hint="eastAsia"/>
        </w:rPr>
        <w:t>.3 独立性原则：评标工作在磋商小组内部独立进行，不受外界任何因素的干扰和影响。磋商小组成员对出具的意见承担个人责任。</w:t>
      </w:r>
    </w:p>
    <w:p>
      <w:pPr>
        <w:spacing w:line="360" w:lineRule="auto"/>
        <w:ind w:firstLine="480" w:firstLineChars="200"/>
      </w:pPr>
      <w:r>
        <w:rPr>
          <w:rFonts w:hint="eastAsia"/>
          <w:lang w:val="en-US" w:eastAsia="zh-CN"/>
        </w:rPr>
        <w:t>20</w:t>
      </w:r>
      <w:r>
        <w:rPr>
          <w:rFonts w:hint="eastAsia"/>
        </w:rPr>
        <w:t>.4 保密性原则：</w:t>
      </w:r>
      <w:r>
        <w:rPr>
          <w:rFonts w:hint="eastAsia"/>
          <w:lang w:eastAsia="zh-CN"/>
        </w:rPr>
        <w:t>招标人</w:t>
      </w:r>
      <w:r>
        <w:rPr>
          <w:rFonts w:hint="eastAsia"/>
        </w:rPr>
        <w:t>应当采取必要的措施，保证评标在严格保密的情况下进行。</w:t>
      </w:r>
    </w:p>
    <w:p>
      <w:pPr>
        <w:spacing w:line="360" w:lineRule="auto"/>
        <w:ind w:firstLine="480" w:firstLineChars="200"/>
      </w:pPr>
      <w:r>
        <w:rPr>
          <w:rFonts w:hint="eastAsia"/>
          <w:lang w:val="en-US" w:eastAsia="zh-CN"/>
        </w:rPr>
        <w:t>20</w:t>
      </w:r>
      <w:r>
        <w:rPr>
          <w:rFonts w:hint="eastAsia"/>
        </w:rPr>
        <w:t>.5 综合性原则：磋商小组将综合分析、评审供应商的各项指标，而不以单项指标的优劣评定出成交人。</w:t>
      </w:r>
    </w:p>
    <w:p>
      <w:pPr>
        <w:spacing w:line="360" w:lineRule="auto"/>
        <w:ind w:firstLine="482" w:firstLineChars="200"/>
        <w:rPr>
          <w:b/>
        </w:rPr>
      </w:pPr>
      <w:r>
        <w:rPr>
          <w:rFonts w:hint="eastAsia"/>
          <w:b/>
          <w:lang w:val="en-US" w:eastAsia="zh-CN"/>
        </w:rPr>
        <w:t>21</w:t>
      </w:r>
      <w:r>
        <w:rPr>
          <w:rFonts w:hint="eastAsia"/>
          <w:b/>
        </w:rPr>
        <w:t>. 初步评审</w:t>
      </w:r>
    </w:p>
    <w:p>
      <w:pPr>
        <w:spacing w:line="360" w:lineRule="auto"/>
        <w:ind w:firstLine="480" w:firstLineChars="200"/>
      </w:pPr>
      <w:r>
        <w:rPr>
          <w:rFonts w:hint="eastAsia"/>
          <w:lang w:val="en-US" w:eastAsia="zh-CN"/>
        </w:rPr>
        <w:t>21</w:t>
      </w:r>
      <w:r>
        <w:rPr>
          <w:rFonts w:hint="eastAsia"/>
        </w:rPr>
        <w:t>.1响应文件的初审分为资格性检查、符合性检查、响应性审查。资格性检查指依据法律、法规和磋商文件的规定，对响应文件中的资格证明、进行审查，以确定供应商是否具备响应资格。符合性检查指依据磋商文件的规定，从响应文件的有效性、完整性和对磋商文件的响应程度进行审查，以确定供应商是否符合本项目要求，响应性审查指依据采购文件的规定，从响应文件对磋商文件响应程度进行审查，以确定是否对磋商文件的实质性要求作出响应。</w:t>
      </w:r>
    </w:p>
    <w:p>
      <w:pPr>
        <w:spacing w:line="360" w:lineRule="auto"/>
        <w:ind w:firstLine="480" w:firstLineChars="200"/>
      </w:pPr>
      <w:r>
        <w:rPr>
          <w:rFonts w:hint="eastAsia"/>
          <w:lang w:val="en-US" w:eastAsia="zh-CN"/>
        </w:rPr>
        <w:t>21</w:t>
      </w:r>
      <w:r>
        <w:rPr>
          <w:rFonts w:hint="eastAsia"/>
        </w:rPr>
        <w:t>.2在综合评审之前，磋商小组要审查每份响应文件是否实质上响应了磋商文件的要求。</w:t>
      </w:r>
    </w:p>
    <w:p>
      <w:pPr>
        <w:spacing w:line="360" w:lineRule="auto"/>
        <w:ind w:firstLine="480" w:firstLineChars="200"/>
      </w:pPr>
      <w:r>
        <w:rPr>
          <w:rFonts w:hint="eastAsia"/>
        </w:rPr>
        <w:t>1）实质性响应的响应是指响应符合磋商文件的所有条款、条件和规格且没有重大偏离或保留。</w:t>
      </w:r>
    </w:p>
    <w:p>
      <w:pPr>
        <w:spacing w:line="360" w:lineRule="auto"/>
        <w:ind w:firstLine="480" w:firstLineChars="200"/>
      </w:pPr>
      <w:r>
        <w:rPr>
          <w:rFonts w:hint="eastAsia"/>
        </w:rPr>
        <w:t>2）重大偏离不允许在开标后修正，但磋商小组将允许修正响应中不构成重大偏离的地方，这些修正不会对其他实质上响应磋商文件要求的供应商的竞争地位产生不公正的影响。</w:t>
      </w:r>
    </w:p>
    <w:p>
      <w:pPr>
        <w:spacing w:line="360" w:lineRule="auto"/>
        <w:ind w:firstLine="480" w:firstLineChars="200"/>
      </w:pPr>
      <w:r>
        <w:rPr>
          <w:rFonts w:hint="eastAsia"/>
        </w:rPr>
        <w:t>3）如出现下列情形之一的，视为对磋商文件没有做出实质性响应，按照无效响应处理。</w:t>
      </w:r>
    </w:p>
    <w:p>
      <w:pPr>
        <w:spacing w:line="360" w:lineRule="auto"/>
        <w:ind w:firstLine="480" w:firstLineChars="200"/>
      </w:pPr>
      <w:r>
        <w:rPr>
          <w:rFonts w:hint="eastAsia"/>
        </w:rPr>
        <w:t>A、应交未交或未足额交纳响应保证金；</w:t>
      </w:r>
    </w:p>
    <w:p>
      <w:pPr>
        <w:spacing w:line="360" w:lineRule="auto"/>
        <w:ind w:firstLine="480" w:firstLineChars="200"/>
      </w:pPr>
      <w:r>
        <w:rPr>
          <w:rFonts w:hint="eastAsia"/>
        </w:rPr>
        <w:t>B、资格证明文件不齐全或无效的；</w:t>
      </w:r>
    </w:p>
    <w:p>
      <w:pPr>
        <w:spacing w:line="360" w:lineRule="auto"/>
        <w:ind w:firstLine="480" w:firstLineChars="200"/>
      </w:pPr>
      <w:r>
        <w:rPr>
          <w:rFonts w:hint="eastAsia"/>
        </w:rPr>
        <w:t>C、未按照磋商文件要求密封、填写、签署、盖章的；</w:t>
      </w:r>
    </w:p>
    <w:p>
      <w:pPr>
        <w:spacing w:line="360" w:lineRule="auto"/>
        <w:ind w:firstLine="480" w:firstLineChars="200"/>
      </w:pPr>
      <w:r>
        <w:rPr>
          <w:rFonts w:hint="eastAsia"/>
        </w:rPr>
        <w:t>D、不具备磋商文件中规定资格要求的；</w:t>
      </w:r>
    </w:p>
    <w:p>
      <w:pPr>
        <w:spacing w:line="360" w:lineRule="auto"/>
        <w:ind w:firstLine="480" w:firstLineChars="200"/>
      </w:pPr>
      <w:r>
        <w:rPr>
          <w:rFonts w:hint="eastAsia"/>
        </w:rPr>
        <w:t>E、响应有效期不足的；</w:t>
      </w:r>
    </w:p>
    <w:p>
      <w:pPr>
        <w:spacing w:line="360" w:lineRule="auto"/>
        <w:ind w:firstLine="480" w:firstLineChars="200"/>
      </w:pPr>
      <w:r>
        <w:rPr>
          <w:rFonts w:hint="eastAsia"/>
        </w:rPr>
        <w:t>F、供应商不参加开标仪式及询标事宜；</w:t>
      </w:r>
    </w:p>
    <w:p>
      <w:pPr>
        <w:spacing w:line="360" w:lineRule="auto"/>
        <w:ind w:firstLine="480" w:firstLineChars="200"/>
      </w:pPr>
      <w:r>
        <w:rPr>
          <w:rFonts w:hint="eastAsia"/>
        </w:rPr>
        <w:t>G、不符合法律法规和磋商文件中规定的其他实质性要求的；</w:t>
      </w:r>
    </w:p>
    <w:p>
      <w:pPr>
        <w:spacing w:line="360" w:lineRule="auto"/>
        <w:ind w:firstLine="480" w:firstLineChars="200"/>
      </w:pPr>
      <w:r>
        <w:rPr>
          <w:rFonts w:hint="eastAsia"/>
        </w:rPr>
        <w:t>H、磋商文件中的技术方案、响应性指标不符合磋商文件要求；</w:t>
      </w:r>
    </w:p>
    <w:p>
      <w:pPr>
        <w:spacing w:line="360" w:lineRule="auto"/>
        <w:ind w:firstLine="480" w:firstLineChars="200"/>
      </w:pPr>
      <w:r>
        <w:rPr>
          <w:rFonts w:hint="eastAsia"/>
        </w:rPr>
        <w:t>I、响应报价超过项目预算金额的；</w:t>
      </w:r>
    </w:p>
    <w:p>
      <w:pPr>
        <w:spacing w:line="360" w:lineRule="auto"/>
        <w:ind w:firstLine="480" w:firstLineChars="200"/>
      </w:pPr>
      <w:r>
        <w:rPr>
          <w:rFonts w:hint="eastAsia"/>
        </w:rPr>
        <w:t>J、其他。</w:t>
      </w:r>
    </w:p>
    <w:p>
      <w:pPr>
        <w:spacing w:line="360" w:lineRule="auto"/>
        <w:ind w:firstLine="480" w:firstLineChars="200"/>
      </w:pPr>
      <w:r>
        <w:rPr>
          <w:rFonts w:hint="eastAsia"/>
        </w:rPr>
        <w:t>4）磋商小组将拒绝被确定为非实质性响应的响应文件，供应商不能通过修正或撤销响应文件中的不符之处而使其响应成为实质性响应的响应。</w:t>
      </w:r>
    </w:p>
    <w:p>
      <w:pPr>
        <w:spacing w:line="360" w:lineRule="auto"/>
        <w:ind w:firstLine="480" w:firstLineChars="200"/>
      </w:pPr>
      <w:r>
        <w:rPr>
          <w:rFonts w:hint="eastAsia"/>
          <w:lang w:val="en-US" w:eastAsia="zh-CN"/>
        </w:rPr>
        <w:t>21</w:t>
      </w:r>
      <w:r>
        <w:rPr>
          <w:rFonts w:hint="eastAsia"/>
        </w:rPr>
        <w:t>.3 初审中，对明显的文字和计算错误按下述原则处理：</w:t>
      </w:r>
    </w:p>
    <w:p>
      <w:pPr>
        <w:spacing w:line="360" w:lineRule="auto"/>
        <w:ind w:firstLine="480" w:firstLineChars="200"/>
      </w:pPr>
      <w:r>
        <w:rPr>
          <w:rFonts w:hint="eastAsia"/>
        </w:rPr>
        <w:t>如果正本与副本不一致，以正本为准；如果单独的唱价单与响应文件正本有差异，以唱价单为准；响应文件中的唱价单与响应文件中明细表内容不一致的，以唱价单为准；二份唱价单不一致的，按无效响应处理。</w:t>
      </w:r>
    </w:p>
    <w:p>
      <w:pPr>
        <w:spacing w:line="360" w:lineRule="auto"/>
        <w:ind w:firstLine="480" w:firstLineChars="200"/>
      </w:pPr>
      <w:r>
        <w:rPr>
          <w:rFonts w:hint="eastAsia"/>
        </w:rPr>
        <w:t>如果以文字表示的数据与数字表示的有差别，以文字为准修正数字。如果大写金额和小写金额不一致的，以大写金额为准；</w:t>
      </w:r>
    </w:p>
    <w:p>
      <w:pPr>
        <w:spacing w:line="360" w:lineRule="auto"/>
        <w:ind w:firstLine="480" w:firstLineChars="200"/>
      </w:pPr>
      <w:r>
        <w:rPr>
          <w:rFonts w:hint="eastAsia"/>
        </w:rPr>
        <w:t>单价金额小数点有明显错位的，应以总价为准，并修改单价。</w:t>
      </w:r>
    </w:p>
    <w:p>
      <w:pPr>
        <w:spacing w:line="360" w:lineRule="auto"/>
        <w:ind w:firstLine="480" w:firstLineChars="200"/>
      </w:pPr>
      <w:r>
        <w:rPr>
          <w:rFonts w:hint="eastAsia"/>
        </w:rPr>
        <w:t>调整后的数据对供应商具有约束力，供应商不同意以上修正，其响应将被拒绝。</w:t>
      </w:r>
    </w:p>
    <w:p>
      <w:pPr>
        <w:spacing w:line="360" w:lineRule="auto"/>
        <w:ind w:firstLine="482" w:firstLineChars="200"/>
        <w:rPr>
          <w:b/>
        </w:rPr>
      </w:pPr>
      <w:r>
        <w:rPr>
          <w:rFonts w:hint="eastAsia"/>
          <w:b/>
          <w:lang w:val="en-US" w:eastAsia="zh-CN"/>
        </w:rPr>
        <w:t>22</w:t>
      </w:r>
      <w:r>
        <w:rPr>
          <w:rFonts w:hint="eastAsia"/>
          <w:b/>
        </w:rPr>
        <w:t>. 响应文件的澄清</w:t>
      </w:r>
    </w:p>
    <w:p>
      <w:pPr>
        <w:spacing w:line="360" w:lineRule="auto"/>
        <w:ind w:firstLine="480" w:firstLineChars="200"/>
      </w:pPr>
      <w:r>
        <w:rPr>
          <w:rFonts w:hint="eastAsia"/>
          <w:lang w:val="en-US" w:eastAsia="zh-CN"/>
        </w:rPr>
        <w:t>22</w:t>
      </w:r>
      <w:r>
        <w:rPr>
          <w:rFonts w:hint="eastAsia"/>
        </w:rPr>
        <w:t>.1为有助于对响应文件进行审查，磋商小组有权向供应商询问。磋商小组有权以书面形式要求供应商对其响应文件中含义不明确、同类问题表述不一致或者有明显文字和计算错误的内容作出必要的澄清、说明或者补正。但供应商的澄清、说明或者补正应当采用书面形式，由其法定代表人或授权代理人签字，并不得超出采购文件的范围或改变响应文件的实质性内容。供应商澄清、说明或者补正的内容构成响应文件的组成部分。供应商拒不按照要求对响应文件进行澄清、说明或者补正的，磋商小组可拒绝该响应。</w:t>
      </w:r>
    </w:p>
    <w:p>
      <w:pPr>
        <w:spacing w:line="360" w:lineRule="auto"/>
        <w:ind w:firstLine="480" w:firstLineChars="200"/>
      </w:pPr>
      <w:r>
        <w:rPr>
          <w:rFonts w:hint="eastAsia"/>
          <w:lang w:val="en-US" w:eastAsia="zh-CN"/>
        </w:rPr>
        <w:t>22</w:t>
      </w:r>
      <w:r>
        <w:rPr>
          <w:rFonts w:hint="eastAsia"/>
        </w:rPr>
        <w:t>.2如磋商小组一致认为某个供应商的响应明显不合理，有降低质量、不能诚信履行的可能时，磋商小组有权决定是否通知供应商限期进行书面解释或提供相关证明材料。若已要求，而该供应商在规定期限内未做出解释、作出的解释不合理或不能提供证明材料的，经磋商小组取得一致意见后，可拒绝该响应。</w:t>
      </w:r>
    </w:p>
    <w:p>
      <w:pPr>
        <w:spacing w:line="360" w:lineRule="auto"/>
        <w:ind w:firstLine="482" w:firstLineChars="200"/>
        <w:rPr>
          <w:b/>
        </w:rPr>
      </w:pPr>
      <w:r>
        <w:rPr>
          <w:rFonts w:hint="eastAsia"/>
          <w:b/>
          <w:lang w:val="en-US" w:eastAsia="zh-CN"/>
        </w:rPr>
        <w:t>23</w:t>
      </w:r>
      <w:r>
        <w:rPr>
          <w:rFonts w:hint="eastAsia"/>
          <w:b/>
        </w:rPr>
        <w:t>. 综合评审</w:t>
      </w:r>
    </w:p>
    <w:p>
      <w:pPr>
        <w:spacing w:line="360" w:lineRule="auto"/>
        <w:ind w:firstLine="480" w:firstLineChars="200"/>
      </w:pPr>
      <w:r>
        <w:rPr>
          <w:rFonts w:hint="eastAsia"/>
          <w:lang w:val="en-US" w:eastAsia="zh-CN"/>
        </w:rPr>
        <w:t>23</w:t>
      </w:r>
      <w:r>
        <w:rPr>
          <w:rFonts w:hint="eastAsia"/>
        </w:rPr>
        <w:t>.1经初审合格的响应文件，磋商小组将根据响应文件确定的评标标准和方法作进一步的比较和评价。</w:t>
      </w:r>
    </w:p>
    <w:p>
      <w:pPr>
        <w:spacing w:line="360" w:lineRule="auto"/>
        <w:ind w:firstLine="480" w:firstLineChars="200"/>
      </w:pPr>
      <w:r>
        <w:rPr>
          <w:rFonts w:hint="eastAsia"/>
        </w:rPr>
        <w:t>在评审过程中，磋商小组可以以书面形式要求供应商就响应文件中含义不明确的内容进行书面说明并提供相关材料。</w:t>
      </w:r>
    </w:p>
    <w:p>
      <w:pPr>
        <w:spacing w:line="360" w:lineRule="auto"/>
        <w:ind w:firstLine="480" w:firstLineChars="200"/>
      </w:pPr>
      <w:r>
        <w:rPr>
          <w:rFonts w:hint="eastAsia"/>
          <w:lang w:val="en-US" w:eastAsia="zh-CN"/>
        </w:rPr>
        <w:t>23</w:t>
      </w:r>
      <w:r>
        <w:rPr>
          <w:rFonts w:hint="eastAsia"/>
        </w:rPr>
        <w:t>.2 评标方法：</w:t>
      </w:r>
    </w:p>
    <w:p>
      <w:pPr>
        <w:spacing w:line="360" w:lineRule="auto"/>
        <w:ind w:firstLine="480" w:firstLineChars="200"/>
      </w:pPr>
      <w:r>
        <w:rPr>
          <w:rFonts w:hint="eastAsia"/>
        </w:rPr>
        <w:t>本项目采用综合评分法。由评审委员会所有成员根据评分细则中所列条款，集体对响应文件分别进行评审，根据质量和服务均能满足采购文件要求且报价合理的供应商为成交供应商。</w:t>
      </w:r>
    </w:p>
    <w:p>
      <w:pPr>
        <w:spacing w:line="360" w:lineRule="auto"/>
        <w:ind w:firstLine="480" w:firstLineChars="200"/>
      </w:pPr>
      <w:r>
        <w:rPr>
          <w:rFonts w:hint="eastAsia"/>
          <w:lang w:val="en-US" w:eastAsia="zh-CN"/>
        </w:rPr>
        <w:t>23</w:t>
      </w:r>
      <w:r>
        <w:rPr>
          <w:rFonts w:hint="eastAsia"/>
        </w:rPr>
        <w:t>.3 无论在评标过程中或其他任何时侯发现下列情形之一的，响应将被拒绝，若中标，则无效。</w:t>
      </w:r>
      <w:r>
        <w:rPr>
          <w:rFonts w:hint="eastAsia"/>
          <w:lang w:eastAsia="zh-CN"/>
        </w:rPr>
        <w:t>招标人</w:t>
      </w:r>
      <w:r>
        <w:rPr>
          <w:rFonts w:hint="eastAsia"/>
        </w:rPr>
        <w:t>有权依法追究供应商的法律责任。</w:t>
      </w:r>
    </w:p>
    <w:p>
      <w:pPr>
        <w:spacing w:line="360" w:lineRule="auto"/>
        <w:ind w:firstLine="480" w:firstLineChars="200"/>
      </w:pPr>
      <w:r>
        <w:rPr>
          <w:rFonts w:hint="eastAsia"/>
        </w:rPr>
        <w:t>1) 提供虚假材料谋取中标的；</w:t>
      </w:r>
    </w:p>
    <w:p>
      <w:pPr>
        <w:spacing w:line="360" w:lineRule="auto"/>
        <w:ind w:firstLine="480" w:firstLineChars="200"/>
      </w:pPr>
      <w:r>
        <w:rPr>
          <w:rFonts w:hint="eastAsia"/>
        </w:rPr>
        <w:t>2) 采取不正当手段诋毁、排挤其他供应商的；</w:t>
      </w:r>
    </w:p>
    <w:p>
      <w:pPr>
        <w:spacing w:line="360" w:lineRule="auto"/>
        <w:ind w:firstLine="480" w:firstLineChars="200"/>
      </w:pPr>
      <w:r>
        <w:rPr>
          <w:rFonts w:hint="eastAsia"/>
        </w:rPr>
        <w:t>3) 恶意串通响应的；</w:t>
      </w:r>
    </w:p>
    <w:p>
      <w:pPr>
        <w:spacing w:line="360" w:lineRule="auto"/>
        <w:ind w:firstLine="480" w:firstLineChars="200"/>
      </w:pPr>
      <w:r>
        <w:rPr>
          <w:rFonts w:hint="eastAsia"/>
        </w:rPr>
        <w:t>4) 其他任何有企图影响招标结果公正性的活动。</w:t>
      </w:r>
    </w:p>
    <w:p>
      <w:pPr>
        <w:spacing w:line="360" w:lineRule="auto"/>
        <w:ind w:firstLine="482" w:firstLineChars="200"/>
        <w:rPr>
          <w:b/>
        </w:rPr>
      </w:pPr>
      <w:r>
        <w:rPr>
          <w:rFonts w:hint="eastAsia"/>
          <w:b/>
        </w:rPr>
        <w:t>2</w:t>
      </w:r>
      <w:r>
        <w:rPr>
          <w:rFonts w:hint="eastAsia"/>
          <w:b/>
          <w:lang w:val="en-US" w:eastAsia="zh-CN"/>
        </w:rPr>
        <w:t>4</w:t>
      </w:r>
      <w:r>
        <w:rPr>
          <w:rFonts w:hint="eastAsia"/>
          <w:b/>
        </w:rPr>
        <w:t>. 推荐成交候选人或确定成交人</w:t>
      </w:r>
    </w:p>
    <w:p>
      <w:pPr>
        <w:spacing w:line="360" w:lineRule="auto"/>
        <w:ind w:firstLine="480" w:firstLineChars="200"/>
      </w:pPr>
      <w:r>
        <w:rPr>
          <w:rFonts w:hint="eastAsia"/>
        </w:rPr>
        <w:t>磋商小组根据采购文件确定的评标办法，磋商小组根据综合评分排序结果从高到低推荐</w:t>
      </w:r>
      <w:r>
        <w:rPr>
          <w:rFonts w:hint="eastAsia"/>
          <w:lang w:val="en-US" w:eastAsia="zh-CN"/>
        </w:rPr>
        <w:t>一</w:t>
      </w:r>
      <w:r>
        <w:rPr>
          <w:rFonts w:hint="eastAsia"/>
        </w:rPr>
        <w:t>名成交候选人。</w:t>
      </w:r>
    </w:p>
    <w:p>
      <w:pPr>
        <w:spacing w:line="360" w:lineRule="auto"/>
        <w:ind w:firstLine="482" w:firstLineChars="200"/>
        <w:rPr>
          <w:b/>
        </w:rPr>
      </w:pPr>
      <w:r>
        <w:rPr>
          <w:rFonts w:hint="eastAsia"/>
          <w:b/>
        </w:rPr>
        <w:t>2</w:t>
      </w:r>
      <w:r>
        <w:rPr>
          <w:rFonts w:hint="eastAsia"/>
          <w:b/>
          <w:lang w:val="en-US" w:eastAsia="zh-CN"/>
        </w:rPr>
        <w:t>5</w:t>
      </w:r>
      <w:r>
        <w:rPr>
          <w:rFonts w:hint="eastAsia"/>
          <w:b/>
        </w:rPr>
        <w:t>. 评标过程保密</w:t>
      </w:r>
    </w:p>
    <w:p>
      <w:pPr>
        <w:spacing w:line="360" w:lineRule="auto"/>
        <w:ind w:firstLine="480" w:firstLineChars="200"/>
      </w:pPr>
      <w:r>
        <w:rPr>
          <w:rFonts w:hint="eastAsia"/>
        </w:rPr>
        <w:t>开标之后，直到签订合同止，凡是属于审查、澄清、评价和比较响应的有关资料以及中标意向等，均不向供应商或者其他与评标无关的人员透露。</w:t>
      </w:r>
    </w:p>
    <w:p>
      <w:pPr>
        <w:spacing w:line="360" w:lineRule="auto"/>
        <w:ind w:firstLine="482" w:firstLineChars="200"/>
        <w:rPr>
          <w:b/>
        </w:rPr>
      </w:pPr>
      <w:r>
        <w:rPr>
          <w:rFonts w:hint="eastAsia"/>
          <w:b/>
        </w:rPr>
        <w:t>2</w:t>
      </w:r>
      <w:r>
        <w:rPr>
          <w:rFonts w:hint="eastAsia"/>
          <w:b/>
          <w:lang w:val="en-US" w:eastAsia="zh-CN"/>
        </w:rPr>
        <w:t>6</w:t>
      </w:r>
      <w:r>
        <w:rPr>
          <w:rFonts w:hint="eastAsia"/>
          <w:b/>
        </w:rPr>
        <w:t>. 供应商瑕疵滞后的处理</w:t>
      </w:r>
    </w:p>
    <w:p>
      <w:pPr>
        <w:spacing w:line="360" w:lineRule="auto"/>
        <w:ind w:firstLine="480" w:firstLineChars="200"/>
      </w:pPr>
      <w:r>
        <w:rPr>
          <w:rFonts w:hint="eastAsia"/>
        </w:rPr>
        <w:t>2</w:t>
      </w:r>
      <w:r>
        <w:rPr>
          <w:rFonts w:hint="eastAsia"/>
          <w:lang w:val="en-US" w:eastAsia="zh-CN"/>
        </w:rPr>
        <w:t>6</w:t>
      </w:r>
      <w:r>
        <w:rPr>
          <w:rFonts w:hint="eastAsia"/>
        </w:rPr>
        <w:t>.1 无论基于何种原因，各项本应作拒绝处理的情形即便未被及时发现而使该供应商进入初审、综合评标或其它后续程序，包括已经签订合同的情形，一旦在任何时间被发现存在上述情形，则</w:t>
      </w:r>
      <w:r>
        <w:rPr>
          <w:rFonts w:hint="eastAsia"/>
          <w:lang w:eastAsia="zh-CN"/>
        </w:rPr>
        <w:t>招标人</w:t>
      </w:r>
      <w:r>
        <w:rPr>
          <w:rFonts w:hint="eastAsia"/>
        </w:rPr>
        <w:t>均有权随时视情形决定是否取消该供应商的此前评议结果，或随时视情形决定是否对该响应予以拒绝，并有权决定采取相应的补救或纠正措施。一旦该供应商被拒绝或被取消该供应商的此前评议结果，其现有的位置将被其他供应商依序替代，相关的一切损失均由该供应商承担。</w:t>
      </w:r>
    </w:p>
    <w:p>
      <w:pPr>
        <w:spacing w:line="360" w:lineRule="auto"/>
        <w:ind w:firstLine="482" w:firstLineChars="200"/>
        <w:rPr>
          <w:b/>
        </w:rPr>
      </w:pPr>
      <w:r>
        <w:rPr>
          <w:rFonts w:hint="eastAsia"/>
          <w:b/>
        </w:rPr>
        <w:t>2</w:t>
      </w:r>
      <w:r>
        <w:rPr>
          <w:rFonts w:hint="eastAsia"/>
          <w:b/>
          <w:lang w:val="en-US" w:eastAsia="zh-CN"/>
        </w:rPr>
        <w:t>7</w:t>
      </w:r>
      <w:r>
        <w:rPr>
          <w:rFonts w:hint="eastAsia"/>
          <w:b/>
        </w:rPr>
        <w:t>. 废标</w:t>
      </w:r>
    </w:p>
    <w:p>
      <w:pPr>
        <w:spacing w:line="360" w:lineRule="auto"/>
        <w:ind w:firstLine="480" w:firstLineChars="200"/>
      </w:pPr>
      <w:r>
        <w:rPr>
          <w:rFonts w:hint="eastAsia"/>
        </w:rPr>
        <w:t>根据政府采购法律法规的有关规定，出现下列情形之一的，磋商小组将否决所有供应商的响应。</w:t>
      </w:r>
    </w:p>
    <w:p>
      <w:pPr>
        <w:spacing w:line="360" w:lineRule="auto"/>
        <w:ind w:firstLine="480" w:firstLineChars="200"/>
      </w:pPr>
      <w:r>
        <w:rPr>
          <w:rFonts w:hint="eastAsia"/>
        </w:rPr>
        <w:t>1)符合专业条件的供应商或者对采购文件作实质响应的供应商不足</w:t>
      </w:r>
      <w:r>
        <w:rPr>
          <w:rFonts w:hint="eastAsia"/>
          <w:lang w:val="en-US" w:eastAsia="zh-CN"/>
        </w:rPr>
        <w:t>两</w:t>
      </w:r>
      <w:r>
        <w:rPr>
          <w:rFonts w:hint="eastAsia"/>
        </w:rPr>
        <w:t xml:space="preserve">家的； </w:t>
      </w:r>
    </w:p>
    <w:p>
      <w:pPr>
        <w:spacing w:line="360" w:lineRule="auto"/>
        <w:ind w:left="547" w:leftChars="228"/>
      </w:pPr>
      <w:r>
        <w:rPr>
          <w:rFonts w:hint="eastAsia"/>
        </w:rPr>
        <w:t>2)出现影响采购公正的违法、违规行为的；</w:t>
      </w:r>
      <w:r>
        <w:rPr>
          <w:rFonts w:hint="eastAsia"/>
        </w:rPr>
        <w:br w:type="textWrapping"/>
      </w:r>
      <w:r>
        <w:rPr>
          <w:rFonts w:hint="eastAsia"/>
        </w:rPr>
        <w:t>3)供应商的响应均超过了采购预算；</w:t>
      </w:r>
      <w:r>
        <w:rPr>
          <w:rFonts w:hint="eastAsia"/>
        </w:rPr>
        <w:br w:type="textWrapping"/>
      </w:r>
      <w:r>
        <w:rPr>
          <w:rFonts w:hint="eastAsia"/>
        </w:rPr>
        <w:t>4)因重大变故，采购任务取消的。</w:t>
      </w:r>
    </w:p>
    <w:p>
      <w:pPr>
        <w:pStyle w:val="4"/>
        <w:spacing w:before="0" w:after="0" w:line="360" w:lineRule="auto"/>
        <w:rPr>
          <w:rFonts w:ascii="宋体" w:hAnsi="宋体" w:eastAsia="宋体"/>
          <w:kern w:val="0"/>
          <w:sz w:val="28"/>
          <w:szCs w:val="28"/>
        </w:rPr>
      </w:pPr>
      <w:bookmarkStart w:id="8" w:name="_Toc48913052"/>
      <w:r>
        <w:rPr>
          <w:rFonts w:hint="eastAsia" w:ascii="宋体" w:hAnsi="宋体" w:eastAsia="宋体"/>
          <w:kern w:val="0"/>
          <w:sz w:val="28"/>
          <w:szCs w:val="28"/>
        </w:rPr>
        <w:t>六、合同签订</w:t>
      </w:r>
      <w:bookmarkEnd w:id="8"/>
    </w:p>
    <w:p>
      <w:pPr>
        <w:spacing w:line="360" w:lineRule="auto"/>
        <w:ind w:firstLine="482" w:firstLineChars="200"/>
        <w:rPr>
          <w:b/>
        </w:rPr>
      </w:pPr>
      <w:r>
        <w:rPr>
          <w:rFonts w:hint="eastAsia"/>
          <w:b/>
        </w:rPr>
        <w:t>2</w:t>
      </w:r>
      <w:r>
        <w:rPr>
          <w:rFonts w:hint="eastAsia"/>
          <w:b/>
          <w:lang w:val="en-US" w:eastAsia="zh-CN"/>
        </w:rPr>
        <w:t>8</w:t>
      </w:r>
      <w:r>
        <w:rPr>
          <w:rFonts w:hint="eastAsia"/>
          <w:b/>
        </w:rPr>
        <w:t>. 成交通知书</w:t>
      </w:r>
    </w:p>
    <w:p>
      <w:pPr>
        <w:spacing w:line="360" w:lineRule="auto"/>
        <w:ind w:firstLine="480" w:firstLineChars="200"/>
      </w:pPr>
      <w:r>
        <w:rPr>
          <w:rFonts w:hint="eastAsia"/>
        </w:rPr>
        <w:t>2</w:t>
      </w:r>
      <w:r>
        <w:rPr>
          <w:rFonts w:hint="eastAsia"/>
          <w:lang w:val="en-US" w:eastAsia="zh-CN"/>
        </w:rPr>
        <w:t>8</w:t>
      </w:r>
      <w:r>
        <w:rPr>
          <w:rFonts w:hint="eastAsia"/>
        </w:rPr>
        <w:t>.1 评标结果将在发布磋商公告的网站上公布，确定成交供应商并发布成交公示，不再以书面方式通知未成交供应商。</w:t>
      </w:r>
      <w:r>
        <w:rPr>
          <w:rFonts w:hint="eastAsia"/>
          <w:lang w:eastAsia="zh-CN"/>
        </w:rPr>
        <w:t>招标人</w:t>
      </w:r>
      <w:r>
        <w:rPr>
          <w:rFonts w:hint="eastAsia"/>
        </w:rPr>
        <w:t>对未成交供应商不作未成交原因的解释。</w:t>
      </w:r>
    </w:p>
    <w:p>
      <w:pPr>
        <w:spacing w:line="360" w:lineRule="auto"/>
        <w:ind w:firstLine="480" w:firstLineChars="200"/>
      </w:pPr>
      <w:r>
        <w:rPr>
          <w:rFonts w:hint="eastAsia"/>
        </w:rPr>
        <w:t>2</w:t>
      </w:r>
      <w:r>
        <w:rPr>
          <w:rFonts w:hint="eastAsia"/>
          <w:lang w:val="en-US" w:eastAsia="zh-CN"/>
        </w:rPr>
        <w:t>8</w:t>
      </w:r>
      <w:r>
        <w:rPr>
          <w:rFonts w:hint="eastAsia"/>
        </w:rPr>
        <w:t>.2 在响应有效期内，</w:t>
      </w:r>
      <w:r>
        <w:rPr>
          <w:rFonts w:hint="eastAsia"/>
          <w:lang w:eastAsia="zh-CN"/>
        </w:rPr>
        <w:t>招标人</w:t>
      </w:r>
      <w:r>
        <w:rPr>
          <w:rFonts w:hint="eastAsia"/>
        </w:rPr>
        <w:t>将向成交供应商签发《成交通知书》。成交通知书是合同的一个组成部分。</w:t>
      </w:r>
    </w:p>
    <w:p>
      <w:pPr>
        <w:spacing w:line="360" w:lineRule="auto"/>
        <w:ind w:firstLine="480" w:firstLineChars="200"/>
      </w:pPr>
      <w:r>
        <w:rPr>
          <w:rFonts w:hint="eastAsia"/>
        </w:rPr>
        <w:t>2</w:t>
      </w:r>
      <w:r>
        <w:rPr>
          <w:rFonts w:hint="eastAsia"/>
          <w:lang w:val="en-US" w:eastAsia="zh-CN"/>
        </w:rPr>
        <w:t>8</w:t>
      </w:r>
      <w:r>
        <w:rPr>
          <w:rFonts w:hint="eastAsia"/>
        </w:rPr>
        <w:t>.3 成交通知书发出后，采购人改变成交结果，或者中标人放弃中标项目的，应当依法承担法律责任。</w:t>
      </w:r>
    </w:p>
    <w:p>
      <w:pPr>
        <w:spacing w:line="360" w:lineRule="auto"/>
        <w:ind w:firstLine="482" w:firstLineChars="200"/>
        <w:rPr>
          <w:b/>
        </w:rPr>
      </w:pPr>
      <w:r>
        <w:rPr>
          <w:rFonts w:hint="eastAsia"/>
          <w:b/>
        </w:rPr>
        <w:t>2</w:t>
      </w:r>
      <w:r>
        <w:rPr>
          <w:rFonts w:hint="eastAsia"/>
          <w:b/>
          <w:lang w:val="en-US" w:eastAsia="zh-CN"/>
        </w:rPr>
        <w:t>9</w:t>
      </w:r>
      <w:r>
        <w:rPr>
          <w:rFonts w:hint="eastAsia"/>
          <w:b/>
        </w:rPr>
        <w:t>. 签订合同</w:t>
      </w:r>
    </w:p>
    <w:p>
      <w:pPr>
        <w:spacing w:line="360" w:lineRule="auto"/>
        <w:ind w:firstLine="480" w:firstLineChars="200"/>
      </w:pPr>
      <w:r>
        <w:rPr>
          <w:rFonts w:hint="eastAsia"/>
        </w:rPr>
        <w:t>2</w:t>
      </w:r>
      <w:r>
        <w:rPr>
          <w:rFonts w:hint="eastAsia"/>
          <w:lang w:val="en-US" w:eastAsia="zh-CN"/>
        </w:rPr>
        <w:t>9</w:t>
      </w:r>
      <w:r>
        <w:rPr>
          <w:rFonts w:hint="eastAsia"/>
        </w:rPr>
        <w:t>.1 中标通知书发出之日起10个工作日内，按照采购文件确定的事项签订合同。</w:t>
      </w:r>
    </w:p>
    <w:p>
      <w:pPr>
        <w:spacing w:line="360" w:lineRule="auto"/>
        <w:ind w:firstLine="480" w:firstLineChars="200"/>
      </w:pPr>
      <w:r>
        <w:rPr>
          <w:rFonts w:hint="eastAsia"/>
        </w:rPr>
        <w:t>2</w:t>
      </w:r>
      <w:r>
        <w:rPr>
          <w:rFonts w:hint="eastAsia"/>
          <w:lang w:val="en-US" w:eastAsia="zh-CN"/>
        </w:rPr>
        <w:t>9</w:t>
      </w:r>
      <w:r>
        <w:rPr>
          <w:rFonts w:hint="eastAsia"/>
        </w:rPr>
        <w:t>.2 采购文件、中标人的响应文件以及评标过程中的有关澄清、说明或者补正文件均为合同的组成部分。</w:t>
      </w:r>
    </w:p>
    <w:p>
      <w:pPr>
        <w:spacing w:line="360" w:lineRule="auto"/>
        <w:ind w:firstLine="480" w:firstLineChars="200"/>
      </w:pPr>
      <w:r>
        <w:rPr>
          <w:rFonts w:hint="eastAsia"/>
        </w:rPr>
        <w:t>2</w:t>
      </w:r>
      <w:r>
        <w:rPr>
          <w:rFonts w:hint="eastAsia"/>
          <w:lang w:val="en-US" w:eastAsia="zh-CN"/>
        </w:rPr>
        <w:t>9</w:t>
      </w:r>
      <w:r>
        <w:rPr>
          <w:rFonts w:hint="eastAsia"/>
        </w:rPr>
        <w:t>.3不按约定签订或履行合同，给对方造成损失的，应承担赔偿责任。</w:t>
      </w:r>
    </w:p>
    <w:p>
      <w:pPr>
        <w:spacing w:line="360" w:lineRule="auto"/>
        <w:ind w:firstLine="482" w:firstLineChars="200"/>
        <w:rPr>
          <w:b/>
        </w:rPr>
      </w:pPr>
      <w:r>
        <w:rPr>
          <w:rFonts w:hint="eastAsia"/>
          <w:b/>
          <w:lang w:val="en-US" w:eastAsia="zh-CN"/>
        </w:rPr>
        <w:t>30</w:t>
      </w:r>
      <w:r>
        <w:rPr>
          <w:rFonts w:hint="eastAsia"/>
          <w:b/>
        </w:rPr>
        <w:t>. 履约保证金</w:t>
      </w:r>
    </w:p>
    <w:p>
      <w:pPr>
        <w:spacing w:line="360" w:lineRule="auto"/>
        <w:ind w:firstLine="480" w:firstLineChars="200"/>
        <w:rPr>
          <w:b/>
        </w:rPr>
      </w:pPr>
      <w:r>
        <w:rPr>
          <w:rFonts w:hint="eastAsia"/>
        </w:rPr>
        <w:t>本项目无需缴纳履约保证金</w:t>
      </w:r>
    </w:p>
    <w:p>
      <w:pPr>
        <w:pStyle w:val="4"/>
        <w:numPr>
          <w:ilvl w:val="0"/>
          <w:numId w:val="1"/>
        </w:numPr>
        <w:spacing w:before="0" w:after="0" w:line="360" w:lineRule="auto"/>
        <w:ind w:left="0" w:leftChars="0" w:firstLine="0" w:firstLineChars="0"/>
        <w:rPr>
          <w:rFonts w:hint="eastAsia" w:ascii="宋体" w:hAnsi="宋体" w:eastAsia="宋体"/>
          <w:kern w:val="0"/>
          <w:sz w:val="28"/>
          <w:szCs w:val="28"/>
        </w:rPr>
      </w:pPr>
      <w:bookmarkStart w:id="9" w:name="_Toc48913053"/>
      <w:r>
        <w:rPr>
          <w:rFonts w:hint="eastAsia" w:ascii="宋体" w:hAnsi="宋体" w:eastAsia="宋体"/>
          <w:kern w:val="0"/>
          <w:sz w:val="28"/>
          <w:szCs w:val="28"/>
        </w:rPr>
        <w:t>合同律师见证费或公证费、服务费</w:t>
      </w:r>
      <w:bookmarkEnd w:id="9"/>
    </w:p>
    <w:p>
      <w:pPr>
        <w:spacing w:line="360" w:lineRule="auto"/>
        <w:ind w:firstLine="480" w:firstLineChars="200"/>
        <w:rPr>
          <w:rFonts w:hint="default" w:eastAsia="宋体"/>
          <w:lang w:val="en-US" w:eastAsia="zh-CN"/>
        </w:rPr>
      </w:pPr>
      <w:r>
        <w:rPr>
          <w:rFonts w:hint="eastAsia"/>
          <w:lang w:val="en-US" w:eastAsia="zh-CN"/>
        </w:rPr>
        <w:t xml:space="preserve"> </w:t>
      </w:r>
      <w:r>
        <w:rPr>
          <w:rFonts w:hint="eastAsia"/>
        </w:rPr>
        <w:t>本项目无需缴纳合同律师见证费或公证费、服务费</w:t>
      </w:r>
    </w:p>
    <w:p>
      <w:pPr>
        <w:spacing w:line="360" w:lineRule="auto"/>
        <w:rPr>
          <w:rFonts w:cs="Times New Roman"/>
          <w:b/>
          <w:bCs/>
          <w:sz w:val="28"/>
          <w:szCs w:val="28"/>
        </w:rPr>
      </w:pPr>
      <w:r>
        <w:rPr>
          <w:rFonts w:hint="eastAsia" w:cs="Times New Roman"/>
          <w:b/>
          <w:bCs/>
          <w:sz w:val="28"/>
          <w:szCs w:val="28"/>
        </w:rPr>
        <w:t>八、处罚、质疑</w:t>
      </w:r>
    </w:p>
    <w:p>
      <w:pPr>
        <w:spacing w:line="360" w:lineRule="auto"/>
        <w:ind w:firstLine="482" w:firstLineChars="200"/>
        <w:rPr>
          <w:b/>
        </w:rPr>
      </w:pPr>
      <w:r>
        <w:rPr>
          <w:rFonts w:hint="eastAsia"/>
          <w:b/>
          <w:lang w:val="en-US" w:eastAsia="zh-CN"/>
        </w:rPr>
        <w:t>31</w:t>
      </w:r>
      <w:r>
        <w:rPr>
          <w:rFonts w:hint="eastAsia"/>
          <w:b/>
        </w:rPr>
        <w:t>. 处罚</w:t>
      </w:r>
    </w:p>
    <w:p>
      <w:pPr>
        <w:spacing w:line="360" w:lineRule="auto"/>
        <w:ind w:firstLine="480" w:firstLineChars="200"/>
      </w:pPr>
      <w:r>
        <w:rPr>
          <w:rFonts w:hint="eastAsia"/>
          <w:lang w:val="en-US" w:eastAsia="zh-CN"/>
        </w:rPr>
        <w:t>31</w:t>
      </w:r>
      <w:r>
        <w:rPr>
          <w:rFonts w:hint="eastAsia"/>
        </w:rPr>
        <w:t>.1 发生下列情况之一，供应商的响应保证金或履约保证金不予退还，并被列入不良记录名单，供应商今后参与同类政府采购项目的机会可能会受到影响：</w:t>
      </w:r>
    </w:p>
    <w:p>
      <w:pPr>
        <w:spacing w:line="360" w:lineRule="auto"/>
        <w:ind w:firstLine="480" w:firstLineChars="200"/>
      </w:pPr>
      <w:r>
        <w:rPr>
          <w:rFonts w:hint="eastAsia"/>
        </w:rPr>
        <w:t>1)开标后在响应有效期内，供应商撤回其响应；</w:t>
      </w:r>
    </w:p>
    <w:p>
      <w:pPr>
        <w:spacing w:line="360" w:lineRule="auto"/>
        <w:ind w:firstLine="480" w:firstLineChars="200"/>
      </w:pPr>
      <w:r>
        <w:rPr>
          <w:rFonts w:hint="eastAsia"/>
        </w:rPr>
        <w:t>2)中标人未按本采购文件规定签订政府采购合同；</w:t>
      </w:r>
    </w:p>
    <w:p>
      <w:pPr>
        <w:spacing w:line="360" w:lineRule="auto"/>
        <w:ind w:firstLine="480" w:firstLineChars="200"/>
      </w:pPr>
      <w:r>
        <w:rPr>
          <w:rFonts w:hint="eastAsia"/>
        </w:rPr>
        <w:t>3)中标人与采购人订立背离合同实质性内容的其它协议；</w:t>
      </w:r>
    </w:p>
    <w:p>
      <w:pPr>
        <w:spacing w:line="360" w:lineRule="auto"/>
        <w:ind w:firstLine="480" w:firstLineChars="200"/>
      </w:pPr>
      <w:r>
        <w:rPr>
          <w:rFonts w:hint="eastAsia"/>
        </w:rPr>
        <w:t>4)将中标项目转让给他人，或者在响应文件中未说明，且未经</w:t>
      </w:r>
      <w:r>
        <w:rPr>
          <w:rFonts w:hint="eastAsia"/>
          <w:lang w:eastAsia="zh-CN"/>
        </w:rPr>
        <w:t>招标人</w:t>
      </w:r>
      <w:r>
        <w:rPr>
          <w:rFonts w:hint="eastAsia"/>
        </w:rPr>
        <w:t>和采购人同意，将中标项目分包给他人的；</w:t>
      </w:r>
    </w:p>
    <w:p>
      <w:pPr>
        <w:spacing w:line="360" w:lineRule="auto"/>
        <w:ind w:firstLine="480" w:firstLineChars="200"/>
      </w:pPr>
      <w:r>
        <w:rPr>
          <w:rFonts w:hint="eastAsia"/>
        </w:rPr>
        <w:t>5)中标人不按要求提交履约保证金的；</w:t>
      </w:r>
    </w:p>
    <w:p>
      <w:pPr>
        <w:spacing w:line="360" w:lineRule="auto"/>
        <w:ind w:firstLine="480" w:firstLineChars="200"/>
      </w:pPr>
      <w:r>
        <w:rPr>
          <w:rFonts w:hint="eastAsia"/>
        </w:rPr>
        <w:t>6)供应商无正当理由或不以正常程序进行质疑、投诉；</w:t>
      </w:r>
    </w:p>
    <w:p>
      <w:pPr>
        <w:spacing w:line="360" w:lineRule="auto"/>
        <w:ind w:firstLine="480" w:firstLineChars="200"/>
      </w:pPr>
      <w:r>
        <w:rPr>
          <w:rFonts w:hint="eastAsia"/>
        </w:rPr>
        <w:t>7)中标人其它未按采购文件规定和合同约定履行义务的行为。</w:t>
      </w:r>
    </w:p>
    <w:p>
      <w:pPr>
        <w:spacing w:line="360" w:lineRule="auto"/>
        <w:ind w:firstLine="482" w:firstLineChars="200"/>
        <w:rPr>
          <w:b/>
        </w:rPr>
      </w:pPr>
      <w:r>
        <w:rPr>
          <w:rFonts w:hint="eastAsia"/>
          <w:b/>
        </w:rPr>
        <w:t>3</w:t>
      </w:r>
      <w:r>
        <w:rPr>
          <w:rFonts w:hint="eastAsia"/>
          <w:b/>
          <w:lang w:val="en-US" w:eastAsia="zh-CN"/>
        </w:rPr>
        <w:t>2</w:t>
      </w:r>
      <w:r>
        <w:rPr>
          <w:rFonts w:hint="eastAsia"/>
          <w:b/>
        </w:rPr>
        <w:t xml:space="preserve">. 质疑 </w:t>
      </w:r>
    </w:p>
    <w:p>
      <w:pPr>
        <w:spacing w:line="360" w:lineRule="auto"/>
        <w:ind w:firstLine="480" w:firstLineChars="200"/>
      </w:pPr>
      <w:r>
        <w:rPr>
          <w:rFonts w:hint="eastAsia"/>
        </w:rPr>
        <w:t>3</w:t>
      </w:r>
      <w:r>
        <w:rPr>
          <w:rFonts w:hint="eastAsia"/>
          <w:lang w:val="en-US" w:eastAsia="zh-CN"/>
        </w:rPr>
        <w:t>2</w:t>
      </w:r>
      <w:r>
        <w:rPr>
          <w:rFonts w:hint="eastAsia"/>
        </w:rPr>
        <w:t>.1 供应商对政府采购活动事项有疑问的，可以向</w:t>
      </w:r>
      <w:r>
        <w:rPr>
          <w:rFonts w:hint="eastAsia"/>
          <w:lang w:eastAsia="zh-CN"/>
        </w:rPr>
        <w:t>招标人</w:t>
      </w:r>
      <w:r>
        <w:rPr>
          <w:rFonts w:hint="eastAsia"/>
        </w:rPr>
        <w:t>提出询问，</w:t>
      </w:r>
      <w:r>
        <w:rPr>
          <w:rFonts w:hint="eastAsia"/>
          <w:lang w:eastAsia="zh-CN"/>
        </w:rPr>
        <w:t>招标人</w:t>
      </w:r>
      <w:r>
        <w:rPr>
          <w:rFonts w:hint="eastAsia"/>
        </w:rPr>
        <w:t>将依法作出答复，但答复的内容不涉及商业秘密。</w:t>
      </w:r>
    </w:p>
    <w:p>
      <w:pPr>
        <w:spacing w:line="360" w:lineRule="auto"/>
        <w:ind w:firstLine="480" w:firstLineChars="200"/>
      </w:pPr>
      <w:r>
        <w:rPr>
          <w:rFonts w:hint="eastAsia"/>
        </w:rPr>
        <w:t>3</w:t>
      </w:r>
      <w:r>
        <w:rPr>
          <w:rFonts w:hint="eastAsia"/>
          <w:lang w:val="en-US" w:eastAsia="zh-CN"/>
        </w:rPr>
        <w:t>2</w:t>
      </w:r>
      <w:r>
        <w:rPr>
          <w:rFonts w:hint="eastAsia"/>
        </w:rPr>
        <w:t>.2 供应商认为采购文件、招标过程和中标结果使自己的合法权益受到损害的，可以在知道或者应当知道其权益受到损害之日起7个工作日内，以书面形式向</w:t>
      </w:r>
      <w:r>
        <w:rPr>
          <w:rFonts w:hint="eastAsia"/>
          <w:lang w:eastAsia="zh-CN"/>
        </w:rPr>
        <w:t>招标人</w:t>
      </w:r>
      <w:r>
        <w:rPr>
          <w:rFonts w:hint="eastAsia"/>
        </w:rPr>
        <w:t>提出质疑。</w:t>
      </w:r>
    </w:p>
    <w:p>
      <w:pPr>
        <w:spacing w:line="360" w:lineRule="auto"/>
        <w:ind w:firstLine="480" w:firstLineChars="200"/>
      </w:pPr>
      <w:r>
        <w:rPr>
          <w:rFonts w:hint="eastAsia"/>
        </w:rPr>
        <w:t>3</w:t>
      </w:r>
      <w:r>
        <w:rPr>
          <w:rFonts w:hint="eastAsia"/>
          <w:lang w:val="en-US" w:eastAsia="zh-CN"/>
        </w:rPr>
        <w:t>2</w:t>
      </w:r>
      <w:r>
        <w:rPr>
          <w:rFonts w:hint="eastAsia"/>
        </w:rPr>
        <w:t>.3质疑文件应包括以下主要内容，并按照“谁主张、谁举证”的原则，附上相关证明材料。否则，</w:t>
      </w:r>
      <w:r>
        <w:rPr>
          <w:rFonts w:hint="eastAsia"/>
          <w:lang w:eastAsia="zh-CN"/>
        </w:rPr>
        <w:t>招标人</w:t>
      </w:r>
      <w:r>
        <w:rPr>
          <w:rFonts w:hint="eastAsia"/>
        </w:rPr>
        <w:t>不予受理：</w:t>
      </w:r>
    </w:p>
    <w:p>
      <w:pPr>
        <w:spacing w:line="360" w:lineRule="auto"/>
        <w:ind w:firstLine="480" w:firstLineChars="200"/>
      </w:pPr>
      <w:r>
        <w:rPr>
          <w:rFonts w:hint="eastAsia"/>
        </w:rPr>
        <w:t>（1）质疑项目名称、项目编号、包号、公开招标或公开招标资格公告发布时间、公开报价时间；</w:t>
      </w:r>
    </w:p>
    <w:p>
      <w:pPr>
        <w:spacing w:line="360" w:lineRule="auto"/>
        <w:ind w:firstLine="480" w:firstLineChars="200"/>
      </w:pPr>
      <w:r>
        <w:rPr>
          <w:rFonts w:hint="eastAsia"/>
        </w:rPr>
        <w:t>（2）具体的质疑事项及法律依据（具体条款）；</w:t>
      </w:r>
    </w:p>
    <w:p>
      <w:pPr>
        <w:spacing w:line="360" w:lineRule="auto"/>
        <w:ind w:firstLine="480" w:firstLineChars="200"/>
      </w:pPr>
      <w:r>
        <w:rPr>
          <w:rFonts w:hint="eastAsia"/>
        </w:rPr>
        <w:t>（3）质疑相关证明文件或证明材料；</w:t>
      </w:r>
    </w:p>
    <w:p>
      <w:pPr>
        <w:spacing w:line="360" w:lineRule="auto"/>
        <w:ind w:firstLine="480" w:firstLineChars="200"/>
      </w:pPr>
      <w:r>
        <w:rPr>
          <w:rFonts w:hint="eastAsia"/>
        </w:rPr>
        <w:t>（4）质疑供应商名称、地址、联系方式（包括手机、传真号码）；</w:t>
      </w:r>
    </w:p>
    <w:p>
      <w:pPr>
        <w:spacing w:line="360" w:lineRule="auto"/>
        <w:ind w:firstLine="480" w:firstLineChars="200"/>
      </w:pPr>
      <w:r>
        <w:rPr>
          <w:rFonts w:hint="eastAsia"/>
        </w:rPr>
        <w:t>（5）法定代表人签署本人姓名或印盖本人姓名章并加盖单位公章，或法定代表人特别授权加盖单位公章，并由参加采购项目的授权代表签署本人姓名或印盖本人姓名章等。</w:t>
      </w:r>
    </w:p>
    <w:p>
      <w:pPr>
        <w:spacing w:line="360" w:lineRule="auto"/>
        <w:ind w:firstLine="480" w:firstLineChars="200"/>
      </w:pPr>
      <w:r>
        <w:rPr>
          <w:rFonts w:hint="eastAsia"/>
        </w:rPr>
        <w:t>3</w:t>
      </w:r>
      <w:r>
        <w:rPr>
          <w:rFonts w:hint="eastAsia"/>
          <w:lang w:val="en-US" w:eastAsia="zh-CN"/>
        </w:rPr>
        <w:t>3</w:t>
      </w:r>
      <w:r>
        <w:rPr>
          <w:rFonts w:hint="eastAsia"/>
        </w:rPr>
        <w:t>.4供应商不得虚假质疑和恶意质疑，并对质疑内容的真实性承担责任。供应商或者其他利害关系人通过捏造事实、伪造证明材料等方式提出异议或投诉，阻碍采购活动正常进行的，属于严重不良行为，</w:t>
      </w:r>
      <w:r>
        <w:rPr>
          <w:rFonts w:hint="eastAsia"/>
          <w:lang w:eastAsia="zh-CN"/>
        </w:rPr>
        <w:t>招标人</w:t>
      </w:r>
      <w:r>
        <w:rPr>
          <w:rFonts w:hint="eastAsia"/>
        </w:rPr>
        <w:t>将提请财政部门列入不良行为记录名单，并依法予以处罚。</w:t>
      </w:r>
    </w:p>
    <w:p>
      <w:pPr>
        <w:spacing w:line="360" w:lineRule="auto"/>
        <w:ind w:firstLine="480" w:firstLineChars="200"/>
      </w:pPr>
      <w:r>
        <w:rPr>
          <w:rFonts w:hint="eastAsia"/>
        </w:rPr>
        <w:t>3</w:t>
      </w:r>
      <w:r>
        <w:rPr>
          <w:rFonts w:hint="eastAsia"/>
          <w:lang w:val="en-US" w:eastAsia="zh-CN"/>
        </w:rPr>
        <w:t>3</w:t>
      </w:r>
      <w:r>
        <w:rPr>
          <w:rFonts w:hint="eastAsia"/>
        </w:rPr>
        <w:t>.5</w:t>
      </w:r>
      <w:r>
        <w:rPr>
          <w:rFonts w:hint="eastAsia"/>
          <w:lang w:eastAsia="zh-CN"/>
        </w:rPr>
        <w:t>招标人</w:t>
      </w:r>
      <w:r>
        <w:rPr>
          <w:rFonts w:hint="eastAsia"/>
        </w:rPr>
        <w:t>在收到供应商的书面质疑后将及时组织调查核实，在7个工作日内作出答复，并以书面或在网站公告形式通知质疑供应商和其他有关供应商，答复的内容不涉及商业秘密。</w:t>
      </w:r>
    </w:p>
    <w:p>
      <w:pPr>
        <w:pStyle w:val="4"/>
        <w:spacing w:before="0" w:after="0" w:line="360" w:lineRule="auto"/>
        <w:rPr>
          <w:rFonts w:ascii="宋体" w:hAnsi="宋体" w:eastAsia="宋体"/>
          <w:kern w:val="0"/>
          <w:sz w:val="30"/>
          <w:szCs w:val="30"/>
        </w:rPr>
      </w:pPr>
      <w:bookmarkStart w:id="10" w:name="_Toc48913054"/>
      <w:r>
        <w:rPr>
          <w:rFonts w:hint="eastAsia" w:ascii="宋体" w:hAnsi="宋体" w:eastAsia="宋体"/>
          <w:kern w:val="0"/>
          <w:sz w:val="30"/>
          <w:szCs w:val="30"/>
        </w:rPr>
        <w:t>九、保密和披露</w:t>
      </w:r>
      <w:bookmarkEnd w:id="10"/>
    </w:p>
    <w:p>
      <w:pPr>
        <w:spacing w:line="360" w:lineRule="auto"/>
        <w:ind w:firstLine="482" w:firstLineChars="200"/>
        <w:rPr>
          <w:b/>
        </w:rPr>
      </w:pPr>
      <w:r>
        <w:rPr>
          <w:rFonts w:hint="eastAsia"/>
          <w:b/>
        </w:rPr>
        <w:t>3</w:t>
      </w:r>
      <w:r>
        <w:rPr>
          <w:rFonts w:hint="eastAsia"/>
          <w:b/>
          <w:lang w:val="en-US" w:eastAsia="zh-CN"/>
        </w:rPr>
        <w:t>4</w:t>
      </w:r>
      <w:r>
        <w:rPr>
          <w:rFonts w:hint="eastAsia"/>
          <w:b/>
        </w:rPr>
        <w:t>. 保密和披露</w:t>
      </w:r>
    </w:p>
    <w:p>
      <w:pPr>
        <w:spacing w:line="360" w:lineRule="auto"/>
        <w:ind w:firstLine="480" w:firstLineChars="200"/>
      </w:pPr>
      <w:r>
        <w:rPr>
          <w:rFonts w:hint="eastAsia"/>
        </w:rPr>
        <w:t>3</w:t>
      </w:r>
      <w:r>
        <w:rPr>
          <w:rFonts w:hint="eastAsia"/>
          <w:lang w:val="en-US" w:eastAsia="zh-CN"/>
        </w:rPr>
        <w:t>4</w:t>
      </w:r>
      <w:r>
        <w:rPr>
          <w:rFonts w:hint="eastAsia"/>
        </w:rPr>
        <w:t>.1 供应商自领取采购文件之日起，须承担本采购项目下保密义务，不得将因本次采购获得的信息向第三人外传。</w:t>
      </w:r>
    </w:p>
    <w:p>
      <w:pPr>
        <w:spacing w:line="360" w:lineRule="auto"/>
        <w:ind w:firstLine="480" w:firstLineChars="200"/>
      </w:pPr>
      <w:r>
        <w:rPr>
          <w:rFonts w:hint="eastAsia"/>
        </w:rPr>
        <w:t>3</w:t>
      </w:r>
      <w:r>
        <w:rPr>
          <w:rFonts w:hint="eastAsia"/>
          <w:lang w:val="en-US" w:eastAsia="zh-CN"/>
        </w:rPr>
        <w:t>4</w:t>
      </w:r>
      <w:r>
        <w:rPr>
          <w:rFonts w:hint="eastAsia"/>
        </w:rPr>
        <w:t xml:space="preserve">.2 </w:t>
      </w:r>
      <w:r>
        <w:rPr>
          <w:rFonts w:hint="eastAsia"/>
          <w:lang w:eastAsia="zh-CN"/>
        </w:rPr>
        <w:t>招标人</w:t>
      </w:r>
      <w:r>
        <w:rPr>
          <w:rFonts w:hint="eastAsia"/>
        </w:rPr>
        <w:t>有权将供应商提供的所有资料向其他政府部门或有关的非政府机构负责评审的人员或与评审有关的人员披露。</w:t>
      </w:r>
    </w:p>
    <w:p>
      <w:pPr>
        <w:spacing w:line="360" w:lineRule="auto"/>
        <w:ind w:firstLine="480" w:firstLineChars="200"/>
      </w:pPr>
      <w:r>
        <w:rPr>
          <w:rFonts w:hint="eastAsia"/>
        </w:rPr>
        <w:t>3</w:t>
      </w:r>
      <w:r>
        <w:rPr>
          <w:rFonts w:hint="eastAsia"/>
          <w:lang w:val="en-US" w:eastAsia="zh-CN"/>
        </w:rPr>
        <w:t>4</w:t>
      </w:r>
      <w:r>
        <w:rPr>
          <w:rFonts w:hint="eastAsia"/>
        </w:rPr>
        <w:t>.3 在下列情形下：当发布中标公告和其它公告时，当国家机关调查、审查、审计时，以及其他符合法律规定的情形下，无须事先征求供应商或中标人同意而可以披露关于采购过程、合同文本、签署情况的资料、供应商或中标人的名称及地址、采购内容的有关信息以及补充条款等。对任何已经公布过的内容或与之内容相同的资料无须再承担保密责任。</w:t>
      </w:r>
    </w:p>
    <w:p>
      <w:pPr>
        <w:pStyle w:val="4"/>
        <w:spacing w:before="0" w:after="0" w:line="360" w:lineRule="auto"/>
        <w:rPr>
          <w:rFonts w:ascii="宋体" w:hAnsi="宋体" w:eastAsia="宋体"/>
          <w:kern w:val="0"/>
          <w:sz w:val="30"/>
          <w:szCs w:val="30"/>
        </w:rPr>
      </w:pPr>
      <w:bookmarkStart w:id="11" w:name="_Toc48913055"/>
      <w:r>
        <w:rPr>
          <w:rFonts w:hint="eastAsia" w:ascii="宋体" w:hAnsi="宋体" w:eastAsia="宋体"/>
          <w:kern w:val="0"/>
          <w:sz w:val="30"/>
          <w:szCs w:val="30"/>
        </w:rPr>
        <w:t>十、解释权</w:t>
      </w:r>
      <w:bookmarkEnd w:id="11"/>
    </w:p>
    <w:p>
      <w:pPr>
        <w:spacing w:line="360" w:lineRule="auto"/>
        <w:ind w:firstLine="480" w:firstLineChars="200"/>
      </w:pPr>
      <w:r>
        <w:rPr>
          <w:rFonts w:hint="eastAsia"/>
        </w:rPr>
        <w:t>3</w:t>
      </w:r>
      <w:r>
        <w:rPr>
          <w:rFonts w:hint="eastAsia"/>
          <w:lang w:val="en-US" w:eastAsia="zh-CN"/>
        </w:rPr>
        <w:t>5</w:t>
      </w:r>
      <w:r>
        <w:rPr>
          <w:rFonts w:hint="eastAsia"/>
        </w:rPr>
        <w:t>. 本磋商文件的最终解释权归</w:t>
      </w:r>
      <w:r>
        <w:rPr>
          <w:rFonts w:hint="eastAsia"/>
          <w:lang w:eastAsia="zh-CN"/>
        </w:rPr>
        <w:t>招标人</w:t>
      </w:r>
      <w:r>
        <w:rPr>
          <w:rFonts w:hint="eastAsia"/>
        </w:rPr>
        <w:t>，当对一个问题有多种解释时以</w:t>
      </w:r>
      <w:r>
        <w:rPr>
          <w:rFonts w:hint="eastAsia"/>
          <w:lang w:eastAsia="zh-CN"/>
        </w:rPr>
        <w:t>招标人</w:t>
      </w:r>
      <w:r>
        <w:rPr>
          <w:rFonts w:hint="eastAsia"/>
        </w:rPr>
        <w:t>的书面解释为准。磋商文件未做须知明示，而又有相关法律、法规规定的，</w:t>
      </w:r>
      <w:r>
        <w:rPr>
          <w:rFonts w:hint="eastAsia"/>
          <w:lang w:eastAsia="zh-CN"/>
        </w:rPr>
        <w:t>招标人</w:t>
      </w:r>
      <w:r>
        <w:rPr>
          <w:rFonts w:hint="eastAsia"/>
        </w:rPr>
        <w:t>对此所做解释以相关的法律、法规规定为依据。</w:t>
      </w:r>
    </w:p>
    <w:p>
      <w:pPr>
        <w:spacing w:line="360" w:lineRule="auto"/>
        <w:ind w:firstLine="480" w:firstLineChars="200"/>
      </w:pPr>
      <w:r>
        <w:br w:type="page"/>
      </w:r>
    </w:p>
    <w:p>
      <w:pPr>
        <w:pStyle w:val="3"/>
        <w:numPr>
          <w:ilvl w:val="0"/>
          <w:numId w:val="2"/>
        </w:numPr>
        <w:spacing w:line="360" w:lineRule="auto"/>
        <w:jc w:val="center"/>
      </w:pPr>
      <w:bookmarkStart w:id="12" w:name="_Toc48913056"/>
      <w:r>
        <w:rPr>
          <w:rFonts w:hint="eastAsia"/>
        </w:rPr>
        <w:t xml:space="preserve"> 项目要求</w:t>
      </w:r>
      <w:bookmarkEnd w:id="12"/>
    </w:p>
    <w:p>
      <w:pPr>
        <w:pStyle w:val="4"/>
        <w:spacing w:before="0" w:after="0" w:line="360" w:lineRule="auto"/>
        <w:rPr>
          <w:rFonts w:hint="eastAsia" w:ascii="宋体" w:hAnsi="宋体" w:eastAsia="宋体"/>
          <w:kern w:val="0"/>
          <w:sz w:val="30"/>
          <w:szCs w:val="30"/>
          <w:lang w:val="en-US" w:eastAsia="zh-CN"/>
        </w:rPr>
      </w:pPr>
      <w:bookmarkStart w:id="13" w:name="_Toc48913060"/>
      <w:r>
        <w:rPr>
          <w:rFonts w:hint="eastAsia" w:ascii="宋体" w:hAnsi="宋体" w:eastAsia="宋体"/>
          <w:kern w:val="0"/>
          <w:sz w:val="30"/>
          <w:szCs w:val="30"/>
        </w:rPr>
        <w:t>一、采购</w:t>
      </w:r>
      <w:r>
        <w:rPr>
          <w:rFonts w:hint="eastAsia" w:ascii="宋体" w:hAnsi="宋体" w:eastAsia="宋体"/>
          <w:kern w:val="0"/>
          <w:sz w:val="30"/>
          <w:szCs w:val="30"/>
          <w:lang w:val="en-US" w:eastAsia="zh-CN"/>
        </w:rPr>
        <w:t>清单</w:t>
      </w:r>
    </w:p>
    <w:p>
      <w:pPr>
        <w:ind w:firstLine="480" w:firstLineChars="200"/>
      </w:pPr>
      <w:r>
        <w:rPr>
          <w:rFonts w:hint="eastAsia" w:ascii="宋体" w:hAnsi="宋体" w:eastAsia="宋体"/>
          <w:kern w:val="0"/>
          <w:sz w:val="24"/>
          <w:szCs w:val="24"/>
        </w:rPr>
        <w:t>本次项目招标为单价招标，以下采购数量为参考值，根据工程建设的实际需要，按最终实际供货量和合同单价据实结算。</w:t>
      </w:r>
    </w:p>
    <w:tbl>
      <w:tblPr>
        <w:tblStyle w:val="50"/>
        <w:tblW w:w="9287" w:type="dxa"/>
        <w:jc w:val="center"/>
        <w:tblInd w:w="0" w:type="dxa"/>
        <w:tblLayout w:type="fixed"/>
        <w:tblCellMar>
          <w:top w:w="0" w:type="dxa"/>
          <w:left w:w="108" w:type="dxa"/>
          <w:bottom w:w="0" w:type="dxa"/>
          <w:right w:w="108" w:type="dxa"/>
        </w:tblCellMar>
      </w:tblPr>
      <w:tblGrid>
        <w:gridCol w:w="581"/>
        <w:gridCol w:w="1620"/>
        <w:gridCol w:w="5866"/>
        <w:gridCol w:w="581"/>
        <w:gridCol w:w="639"/>
      </w:tblGrid>
      <w:tr>
        <w:tblPrEx>
          <w:tblLayout w:type="fixed"/>
          <w:tblCellMar>
            <w:top w:w="0" w:type="dxa"/>
            <w:left w:w="108" w:type="dxa"/>
            <w:bottom w:w="0" w:type="dxa"/>
            <w:right w:w="108" w:type="dxa"/>
          </w:tblCellMar>
        </w:tblPrEx>
        <w:trPr>
          <w:trHeight w:val="567" w:hRule="exac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b/>
                <w:bCs/>
                <w:i w:val="0"/>
                <w:iCs w:val="0"/>
                <w:color w:val="000000"/>
                <w:kern w:val="0"/>
                <w:sz w:val="20"/>
                <w:szCs w:val="20"/>
                <w:u w:val="none"/>
                <w:lang w:val="en-US" w:eastAsia="zh-CN" w:bidi="ar"/>
              </w:rPr>
              <w:t>序号</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b/>
                <w:bCs/>
                <w:i w:val="0"/>
                <w:iCs w:val="0"/>
                <w:color w:val="000000"/>
                <w:kern w:val="0"/>
                <w:sz w:val="20"/>
                <w:szCs w:val="20"/>
                <w:u w:val="none"/>
                <w:lang w:val="en-US" w:eastAsia="zh-CN" w:bidi="ar"/>
              </w:rPr>
              <w:t>设备类型</w:t>
            </w:r>
          </w:p>
        </w:tc>
        <w:tc>
          <w:tcPr>
            <w:tcW w:w="5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b/>
                <w:bCs/>
                <w:i w:val="0"/>
                <w:iCs w:val="0"/>
                <w:color w:val="000000"/>
                <w:kern w:val="0"/>
                <w:sz w:val="20"/>
                <w:szCs w:val="20"/>
                <w:u w:val="none"/>
                <w:lang w:val="en-US" w:eastAsia="zh-CN" w:bidi="ar"/>
              </w:rPr>
              <w:t>功能规格</w:t>
            </w:r>
          </w:p>
        </w:tc>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b/>
                <w:bCs/>
                <w:i w:val="0"/>
                <w:iCs w:val="0"/>
                <w:color w:val="000000"/>
                <w:kern w:val="0"/>
                <w:sz w:val="20"/>
                <w:szCs w:val="20"/>
                <w:u w:val="none"/>
                <w:lang w:val="en-US" w:eastAsia="zh-CN" w:bidi="ar"/>
              </w:rPr>
              <w:t>单位</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b/>
                <w:bCs/>
                <w:i w:val="0"/>
                <w:iCs w:val="0"/>
                <w:color w:val="000000"/>
                <w:kern w:val="0"/>
                <w:sz w:val="20"/>
                <w:szCs w:val="20"/>
                <w:u w:val="none"/>
                <w:lang w:val="en-US" w:eastAsia="zh-CN" w:bidi="ar"/>
              </w:rPr>
              <w:t>数量</w:t>
            </w:r>
          </w:p>
        </w:tc>
      </w:tr>
      <w:tr>
        <w:tblPrEx>
          <w:tblLayout w:type="fixed"/>
          <w:tblCellMar>
            <w:top w:w="0" w:type="dxa"/>
            <w:left w:w="108" w:type="dxa"/>
            <w:bottom w:w="0" w:type="dxa"/>
            <w:right w:w="108" w:type="dxa"/>
          </w:tblCellMar>
        </w:tblPrEx>
        <w:trPr>
          <w:trHeight w:val="567" w:hRule="exac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智能交通球型摄像机</w:t>
            </w:r>
          </w:p>
        </w:tc>
        <w:tc>
          <w:tcPr>
            <w:tcW w:w="5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按本系统功能要求</w:t>
            </w:r>
          </w:p>
        </w:tc>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台</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1</w:t>
            </w:r>
          </w:p>
        </w:tc>
      </w:tr>
      <w:tr>
        <w:tblPrEx>
          <w:tblLayout w:type="fixed"/>
          <w:tblCellMar>
            <w:top w:w="0" w:type="dxa"/>
            <w:left w:w="108" w:type="dxa"/>
            <w:bottom w:w="0" w:type="dxa"/>
            <w:right w:w="108" w:type="dxa"/>
          </w:tblCellMar>
        </w:tblPrEx>
        <w:trPr>
          <w:trHeight w:val="567" w:hRule="exac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定向音柱</w:t>
            </w:r>
          </w:p>
        </w:tc>
        <w:tc>
          <w:tcPr>
            <w:tcW w:w="5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按本系统功能要求</w:t>
            </w:r>
          </w:p>
        </w:tc>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台</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1</w:t>
            </w:r>
          </w:p>
        </w:tc>
      </w:tr>
      <w:tr>
        <w:tblPrEx>
          <w:tblLayout w:type="fixed"/>
          <w:tblCellMar>
            <w:top w:w="0" w:type="dxa"/>
            <w:left w:w="108" w:type="dxa"/>
            <w:bottom w:w="0" w:type="dxa"/>
            <w:right w:w="108" w:type="dxa"/>
          </w:tblCellMar>
        </w:tblPrEx>
        <w:trPr>
          <w:trHeight w:val="567" w:hRule="exac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交通诱导屏</w:t>
            </w:r>
          </w:p>
        </w:tc>
        <w:tc>
          <w:tcPr>
            <w:tcW w:w="5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按本系统功能要求</w:t>
            </w:r>
          </w:p>
        </w:tc>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套</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1</w:t>
            </w:r>
          </w:p>
        </w:tc>
      </w:tr>
      <w:tr>
        <w:tblPrEx>
          <w:tblLayout w:type="fixed"/>
          <w:tblCellMar>
            <w:top w:w="0" w:type="dxa"/>
            <w:left w:w="108" w:type="dxa"/>
            <w:bottom w:w="0" w:type="dxa"/>
            <w:right w:w="108" w:type="dxa"/>
          </w:tblCellMar>
        </w:tblPrEx>
        <w:trPr>
          <w:trHeight w:val="567" w:hRule="exac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系统软件控制卡</w:t>
            </w:r>
          </w:p>
        </w:tc>
        <w:tc>
          <w:tcPr>
            <w:tcW w:w="5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按本系统功能要求</w:t>
            </w:r>
          </w:p>
        </w:tc>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个</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2</w:t>
            </w:r>
          </w:p>
        </w:tc>
      </w:tr>
      <w:tr>
        <w:tblPrEx>
          <w:tblLayout w:type="fixed"/>
          <w:tblCellMar>
            <w:top w:w="0" w:type="dxa"/>
            <w:left w:w="108" w:type="dxa"/>
            <w:bottom w:w="0" w:type="dxa"/>
            <w:right w:w="108" w:type="dxa"/>
          </w:tblCellMar>
        </w:tblPrEx>
        <w:trPr>
          <w:trHeight w:val="567" w:hRule="exac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光纤收发器</w:t>
            </w:r>
          </w:p>
        </w:tc>
        <w:tc>
          <w:tcPr>
            <w:tcW w:w="5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按本系统功能要求</w:t>
            </w:r>
          </w:p>
        </w:tc>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台</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2</w:t>
            </w:r>
          </w:p>
        </w:tc>
      </w:tr>
      <w:tr>
        <w:tblPrEx>
          <w:tblLayout w:type="fixed"/>
          <w:tblCellMar>
            <w:top w:w="0" w:type="dxa"/>
            <w:left w:w="108" w:type="dxa"/>
            <w:bottom w:w="0" w:type="dxa"/>
            <w:right w:w="108" w:type="dxa"/>
          </w:tblCellMar>
        </w:tblPrEx>
        <w:trPr>
          <w:trHeight w:val="567" w:hRule="exac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智能运维管理机箱</w:t>
            </w:r>
          </w:p>
        </w:tc>
        <w:tc>
          <w:tcPr>
            <w:tcW w:w="5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按本系统功能要求</w:t>
            </w:r>
          </w:p>
        </w:tc>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套</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1</w:t>
            </w:r>
          </w:p>
        </w:tc>
      </w:tr>
      <w:tr>
        <w:tblPrEx>
          <w:tblLayout w:type="fixed"/>
          <w:tblCellMar>
            <w:top w:w="0" w:type="dxa"/>
            <w:left w:w="108" w:type="dxa"/>
            <w:bottom w:w="0" w:type="dxa"/>
            <w:right w:w="108" w:type="dxa"/>
          </w:tblCellMar>
        </w:tblPrEx>
        <w:trPr>
          <w:trHeight w:val="567" w:hRule="exac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二合一防雷器</w:t>
            </w:r>
          </w:p>
        </w:tc>
        <w:tc>
          <w:tcPr>
            <w:tcW w:w="5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满足系统使用要求，电压保护水平：2.0KV；最大持续运行电压：400V；标称放电电流：20KA；最大放电电流：40KA；反应时间：25ns；工作温度：-40～+85℃</w:t>
            </w:r>
          </w:p>
        </w:tc>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个</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1</w:t>
            </w:r>
          </w:p>
        </w:tc>
      </w:tr>
      <w:tr>
        <w:tblPrEx>
          <w:tblLayout w:type="fixed"/>
          <w:tblCellMar>
            <w:top w:w="0" w:type="dxa"/>
            <w:left w:w="108" w:type="dxa"/>
            <w:bottom w:w="0" w:type="dxa"/>
            <w:right w:w="108" w:type="dxa"/>
          </w:tblCellMar>
        </w:tblPrEx>
        <w:trPr>
          <w:trHeight w:val="567" w:hRule="exac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机箱防雷器</w:t>
            </w:r>
          </w:p>
        </w:tc>
        <w:tc>
          <w:tcPr>
            <w:tcW w:w="5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满足系统使用要求，电压保护水平：2.0KV； 最大持续运行电压：400V；标称放电电流：20KA；最大放电电流：40KA；反应时间：25 ns；工作温度：-40～+85℃</w:t>
            </w:r>
          </w:p>
        </w:tc>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台</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1</w:t>
            </w:r>
          </w:p>
        </w:tc>
      </w:tr>
      <w:tr>
        <w:tblPrEx>
          <w:tblLayout w:type="fixed"/>
          <w:tblCellMar>
            <w:top w:w="0" w:type="dxa"/>
            <w:left w:w="108" w:type="dxa"/>
            <w:bottom w:w="0" w:type="dxa"/>
            <w:right w:w="108" w:type="dxa"/>
          </w:tblCellMar>
        </w:tblPrEx>
        <w:trPr>
          <w:trHeight w:val="567" w:hRule="exac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自动重合闸</w:t>
            </w:r>
          </w:p>
        </w:tc>
        <w:tc>
          <w:tcPr>
            <w:tcW w:w="5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满足系统使用要求，32A，工作电压：100-300VAC</w:t>
            </w:r>
          </w:p>
        </w:tc>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个</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1</w:t>
            </w:r>
          </w:p>
        </w:tc>
      </w:tr>
      <w:tr>
        <w:tblPrEx>
          <w:tblLayout w:type="fixed"/>
          <w:tblCellMar>
            <w:top w:w="0" w:type="dxa"/>
            <w:left w:w="108" w:type="dxa"/>
            <w:bottom w:w="0" w:type="dxa"/>
            <w:right w:w="108" w:type="dxa"/>
          </w:tblCellMar>
        </w:tblPrEx>
        <w:trPr>
          <w:trHeight w:val="567" w:hRule="exac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配套电源</w:t>
            </w:r>
          </w:p>
        </w:tc>
        <w:tc>
          <w:tcPr>
            <w:tcW w:w="5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摄像机电源、电源线及配套辅材</w:t>
            </w:r>
          </w:p>
        </w:tc>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套</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1</w:t>
            </w:r>
          </w:p>
        </w:tc>
      </w:tr>
      <w:tr>
        <w:tblPrEx>
          <w:tblLayout w:type="fixed"/>
          <w:tblCellMar>
            <w:top w:w="0" w:type="dxa"/>
            <w:left w:w="108" w:type="dxa"/>
            <w:bottom w:w="0" w:type="dxa"/>
            <w:right w:w="108" w:type="dxa"/>
          </w:tblCellMar>
        </w:tblPrEx>
        <w:trPr>
          <w:trHeight w:val="567" w:hRule="exac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稳压电源</w:t>
            </w:r>
          </w:p>
        </w:tc>
        <w:tc>
          <w:tcPr>
            <w:tcW w:w="5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满足系统使用要求，输入150-250V输出220V功率1000W</w:t>
            </w:r>
          </w:p>
        </w:tc>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个</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1</w:t>
            </w:r>
          </w:p>
        </w:tc>
      </w:tr>
      <w:tr>
        <w:tblPrEx>
          <w:tblLayout w:type="fixed"/>
          <w:tblCellMar>
            <w:top w:w="0" w:type="dxa"/>
            <w:left w:w="108" w:type="dxa"/>
            <w:bottom w:w="0" w:type="dxa"/>
            <w:right w:w="108" w:type="dxa"/>
          </w:tblCellMar>
        </w:tblPrEx>
        <w:trPr>
          <w:trHeight w:val="567" w:hRule="exac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网络线缆</w:t>
            </w:r>
          </w:p>
        </w:tc>
        <w:tc>
          <w:tcPr>
            <w:tcW w:w="5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超5类工程用百兆网络线缆，带屏蔽</w:t>
            </w:r>
          </w:p>
        </w:tc>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米</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150</w:t>
            </w:r>
          </w:p>
        </w:tc>
      </w:tr>
      <w:tr>
        <w:tblPrEx>
          <w:tblLayout w:type="fixed"/>
          <w:tblCellMar>
            <w:top w:w="0" w:type="dxa"/>
            <w:left w:w="108" w:type="dxa"/>
            <w:bottom w:w="0" w:type="dxa"/>
            <w:right w:w="108" w:type="dxa"/>
          </w:tblCellMar>
        </w:tblPrEx>
        <w:trPr>
          <w:trHeight w:val="411" w:hRule="exac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供电线缆</w:t>
            </w:r>
          </w:p>
        </w:tc>
        <w:tc>
          <w:tcPr>
            <w:tcW w:w="5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本供电电缆为前端控制机箱至市电接入处所需，为KCYVR2*4mm绝缘护套电缆，要求电气性能稳定，能可靠的传输电信号，在潮湿环境及水中不影响电信号传输，防静电材料护套，防水、防白蚁、鼠咬、耐高温材料总护套等(双层护套，耐高温不低于90℃)，相关技术指标必须达到国家标准，不接受负下差，内层护套与外层护套颜色区分开</w:t>
            </w:r>
          </w:p>
        </w:tc>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米</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150</w:t>
            </w:r>
          </w:p>
        </w:tc>
      </w:tr>
      <w:tr>
        <w:tblPrEx>
          <w:tblLayout w:type="fixed"/>
          <w:tblCellMar>
            <w:top w:w="0" w:type="dxa"/>
            <w:left w:w="108" w:type="dxa"/>
            <w:bottom w:w="0" w:type="dxa"/>
            <w:right w:w="108" w:type="dxa"/>
          </w:tblCellMar>
        </w:tblPrEx>
        <w:trPr>
          <w:trHeight w:val="424" w:hRule="exac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H8*L3监控杆件</w:t>
            </w:r>
          </w:p>
        </w:tc>
        <w:tc>
          <w:tcPr>
            <w:tcW w:w="5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含杆件运输及吊装等</w:t>
            </w:r>
          </w:p>
        </w:tc>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根</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1</w:t>
            </w:r>
          </w:p>
        </w:tc>
      </w:tr>
      <w:tr>
        <w:tblPrEx>
          <w:tblLayout w:type="fixed"/>
          <w:tblCellMar>
            <w:top w:w="0" w:type="dxa"/>
            <w:left w:w="108" w:type="dxa"/>
            <w:bottom w:w="0" w:type="dxa"/>
            <w:right w:w="108" w:type="dxa"/>
          </w:tblCellMar>
        </w:tblPrEx>
        <w:trPr>
          <w:trHeight w:val="410" w:hRule="exac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H8*L3监控杆件基础</w:t>
            </w:r>
          </w:p>
        </w:tc>
        <w:tc>
          <w:tcPr>
            <w:tcW w:w="5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含地笼、基础开挖、混凝土浇筑、回填及杆件吊装</w:t>
            </w:r>
          </w:p>
        </w:tc>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套</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1</w:t>
            </w:r>
          </w:p>
        </w:tc>
      </w:tr>
      <w:tr>
        <w:tblPrEx>
          <w:tblLayout w:type="fixed"/>
          <w:tblCellMar>
            <w:top w:w="0" w:type="dxa"/>
            <w:left w:w="108" w:type="dxa"/>
            <w:bottom w:w="0" w:type="dxa"/>
            <w:right w:w="108" w:type="dxa"/>
          </w:tblCellMar>
        </w:tblPrEx>
        <w:trPr>
          <w:trHeight w:val="410" w:hRule="exac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b/>
              </w:rPr>
            </w:pPr>
            <w:r>
              <w:rPr>
                <w:rFonts w:hint="eastAsia" w:ascii="宋体" w:hAnsi="宋体" w:eastAsia="宋体" w:cs="宋体"/>
                <w:i w:val="0"/>
                <w:iCs w:val="0"/>
                <w:color w:val="000000"/>
                <w:kern w:val="0"/>
                <w:sz w:val="20"/>
                <w:szCs w:val="20"/>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配套法兰安装支架</w:t>
            </w:r>
          </w:p>
        </w:tc>
        <w:tc>
          <w:tcPr>
            <w:tcW w:w="5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带上下连接法兰，导管安装，白色，配套辅材；定制</w:t>
            </w:r>
          </w:p>
        </w:tc>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套</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w:t>
            </w:r>
          </w:p>
        </w:tc>
      </w:tr>
      <w:tr>
        <w:tblPrEx>
          <w:tblLayout w:type="fixed"/>
          <w:tblCellMar>
            <w:top w:w="0" w:type="dxa"/>
            <w:left w:w="108" w:type="dxa"/>
            <w:bottom w:w="0" w:type="dxa"/>
            <w:right w:w="108" w:type="dxa"/>
          </w:tblCellMar>
        </w:tblPrEx>
        <w:trPr>
          <w:trHeight w:val="451" w:hRule="exac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17</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劝离牌</w:t>
            </w:r>
          </w:p>
        </w:tc>
        <w:tc>
          <w:tcPr>
            <w:tcW w:w="5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1500mm*1000mm</w:t>
            </w:r>
          </w:p>
        </w:tc>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块</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12</w:t>
            </w:r>
          </w:p>
        </w:tc>
      </w:tr>
      <w:tr>
        <w:tblPrEx>
          <w:tblLayout w:type="fixed"/>
          <w:tblCellMar>
            <w:top w:w="0" w:type="dxa"/>
            <w:left w:w="108" w:type="dxa"/>
            <w:bottom w:w="0" w:type="dxa"/>
            <w:right w:w="108" w:type="dxa"/>
          </w:tblCellMar>
        </w:tblPrEx>
        <w:trPr>
          <w:trHeight w:val="411" w:hRule="exac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检查井（铸铁井盖）</w:t>
            </w:r>
          </w:p>
        </w:tc>
        <w:tc>
          <w:tcPr>
            <w:tcW w:w="5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含井盖及制作检查井，500mm*500mm*400mm</w:t>
            </w:r>
          </w:p>
        </w:tc>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套</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1</w:t>
            </w:r>
          </w:p>
        </w:tc>
      </w:tr>
      <w:tr>
        <w:tblPrEx>
          <w:tblLayout w:type="fixed"/>
          <w:tblCellMar>
            <w:top w:w="0" w:type="dxa"/>
            <w:left w:w="108" w:type="dxa"/>
            <w:bottom w:w="0" w:type="dxa"/>
            <w:right w:w="108" w:type="dxa"/>
          </w:tblCellMar>
        </w:tblPrEx>
        <w:trPr>
          <w:trHeight w:val="567" w:hRule="exac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接地体</w:t>
            </w:r>
          </w:p>
        </w:tc>
        <w:tc>
          <w:tcPr>
            <w:tcW w:w="5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扁钢镀锌材质，地埋</w:t>
            </w:r>
          </w:p>
        </w:tc>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套</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1</w:t>
            </w:r>
          </w:p>
        </w:tc>
      </w:tr>
      <w:tr>
        <w:tblPrEx>
          <w:tblLayout w:type="fixed"/>
        </w:tblPrEx>
        <w:trPr>
          <w:trHeight w:val="567" w:hRule="exac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接地线</w:t>
            </w:r>
          </w:p>
        </w:tc>
        <w:tc>
          <w:tcPr>
            <w:tcW w:w="5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符合国家标准，接地线单股多芯6平方铜线</w:t>
            </w:r>
          </w:p>
        </w:tc>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米</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5</w:t>
            </w:r>
          </w:p>
        </w:tc>
      </w:tr>
      <w:tr>
        <w:tblPrEx>
          <w:tblLayout w:type="fixed"/>
          <w:tblCellMar>
            <w:top w:w="0" w:type="dxa"/>
            <w:left w:w="108" w:type="dxa"/>
            <w:bottom w:w="0" w:type="dxa"/>
            <w:right w:w="108" w:type="dxa"/>
          </w:tblCellMar>
        </w:tblPrEx>
        <w:trPr>
          <w:trHeight w:val="567" w:hRule="exac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清理检查井</w:t>
            </w:r>
          </w:p>
        </w:tc>
        <w:tc>
          <w:tcPr>
            <w:tcW w:w="5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含开、封井</w:t>
            </w:r>
          </w:p>
        </w:tc>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个</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2</w:t>
            </w:r>
          </w:p>
        </w:tc>
      </w:tr>
      <w:tr>
        <w:tblPrEx>
          <w:tblLayout w:type="fixed"/>
          <w:tblCellMar>
            <w:top w:w="0" w:type="dxa"/>
            <w:left w:w="108" w:type="dxa"/>
            <w:bottom w:w="0" w:type="dxa"/>
            <w:right w:w="108" w:type="dxa"/>
          </w:tblCellMar>
        </w:tblPrEx>
        <w:trPr>
          <w:trHeight w:val="567" w:hRule="exac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花坛管线施工</w:t>
            </w:r>
          </w:p>
        </w:tc>
        <w:tc>
          <w:tcPr>
            <w:tcW w:w="5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含路面开挖、管线施工及恢复</w:t>
            </w:r>
          </w:p>
        </w:tc>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米</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50</w:t>
            </w:r>
          </w:p>
        </w:tc>
      </w:tr>
      <w:tr>
        <w:tblPrEx>
          <w:tblLayout w:type="fixed"/>
          <w:tblCellMar>
            <w:top w:w="0" w:type="dxa"/>
            <w:left w:w="108" w:type="dxa"/>
            <w:bottom w:w="0" w:type="dxa"/>
            <w:right w:w="108" w:type="dxa"/>
          </w:tblCellMar>
        </w:tblPrEx>
        <w:trPr>
          <w:trHeight w:val="567" w:hRule="exac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人行道管线施工</w:t>
            </w:r>
          </w:p>
        </w:tc>
        <w:tc>
          <w:tcPr>
            <w:tcW w:w="5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含路面开挖、管线施工及恢复</w:t>
            </w:r>
          </w:p>
        </w:tc>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米</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10</w:t>
            </w:r>
          </w:p>
        </w:tc>
      </w:tr>
      <w:tr>
        <w:tblPrEx>
          <w:tblLayout w:type="fixed"/>
        </w:tblPrEx>
        <w:trPr>
          <w:trHeight w:val="567" w:hRule="exac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24</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平台接入调试费</w:t>
            </w:r>
          </w:p>
        </w:tc>
        <w:tc>
          <w:tcPr>
            <w:tcW w:w="5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接入回传交警现有平台</w:t>
            </w:r>
          </w:p>
        </w:tc>
        <w:tc>
          <w:tcPr>
            <w:tcW w:w="5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项</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1</w:t>
            </w:r>
          </w:p>
        </w:tc>
      </w:tr>
    </w:tbl>
    <w:p>
      <w:pPr>
        <w:pStyle w:val="2"/>
        <w:rPr>
          <w:rFonts w:hint="eastAsia" w:eastAsiaTheme="minorEastAsia"/>
        </w:rPr>
      </w:pPr>
    </w:p>
    <w:p>
      <w:pPr>
        <w:pStyle w:val="4"/>
        <w:spacing w:before="0" w:after="0" w:line="360" w:lineRule="auto"/>
        <w:rPr>
          <w:rFonts w:hint="eastAsia" w:ascii="宋体" w:hAnsi="宋体" w:eastAsia="宋体"/>
          <w:kern w:val="0"/>
          <w:sz w:val="30"/>
          <w:szCs w:val="30"/>
        </w:rPr>
      </w:pPr>
      <w:r>
        <w:rPr>
          <w:rFonts w:hint="eastAsia" w:ascii="宋体" w:hAnsi="宋体" w:eastAsia="宋体"/>
          <w:kern w:val="0"/>
          <w:sz w:val="30"/>
          <w:szCs w:val="30"/>
        </w:rPr>
        <w:t>二、高清违停抓拍系统技术要求技术要求：</w:t>
      </w:r>
    </w:p>
    <w:p>
      <w:pPr>
        <w:spacing w:line="360" w:lineRule="auto"/>
        <w:ind w:firstLine="482" w:firstLineChars="200"/>
        <w:rPr>
          <w:rFonts w:hint="eastAsia"/>
          <w:b/>
        </w:rPr>
      </w:pPr>
      <w:r>
        <w:rPr>
          <w:rFonts w:hint="eastAsia"/>
          <w:b/>
        </w:rPr>
        <w:t>1.高清违停抓拍系统准入要求</w:t>
      </w:r>
    </w:p>
    <w:p>
      <w:pPr>
        <w:spacing w:line="360" w:lineRule="auto"/>
        <w:ind w:firstLine="480" w:firstLineChars="200"/>
        <w:rPr>
          <w:rFonts w:hint="eastAsia"/>
        </w:rPr>
      </w:pPr>
      <w:r>
        <w:rPr>
          <w:rFonts w:hint="eastAsia"/>
        </w:rPr>
        <w:t>要求违停抓拍系统必须符合GA/T 832-2014《道路交通安全违法行为图像取证技术规范》、GB/T28181-2016《安全防范视频监控联网系统信息传输、交换、控制技术要求》和GA/T 1426-2017 《机动车违法停车自动记录系统通用技术条件》的技术要求，取得公安部检测机构出具的有效期内的检测报告，检测依据为GA/T 832-2014、GB/T28181-2016和GA/T 1426-2017。</w:t>
      </w:r>
      <w:bookmarkStart w:id="14" w:name="_Hlk15372686"/>
    </w:p>
    <w:bookmarkEnd w:id="14"/>
    <w:p>
      <w:pPr>
        <w:spacing w:line="360" w:lineRule="auto"/>
        <w:ind w:firstLine="482" w:firstLineChars="200"/>
        <w:rPr>
          <w:rFonts w:hint="eastAsia"/>
          <w:b/>
        </w:rPr>
      </w:pPr>
      <w:r>
        <w:rPr>
          <w:rFonts w:hint="eastAsia"/>
          <w:b/>
        </w:rPr>
        <w:t>2.高清违停抓拍系统建设模式</w:t>
      </w:r>
    </w:p>
    <w:p>
      <w:pPr>
        <w:spacing w:line="360" w:lineRule="auto"/>
        <w:ind w:firstLine="480" w:firstLineChars="200"/>
        <w:rPr>
          <w:rFonts w:hint="eastAsia"/>
        </w:rPr>
      </w:pPr>
      <w:r>
        <w:rPr>
          <w:rFonts w:hint="eastAsia"/>
        </w:rPr>
        <w:t>违停抓拍检测系统，应通过前端一体化违法取证球机自动检测分析、车牌识别的建设模式，不得外置分析服务器。一体化违法取证球机检测到有违法事件后进行定位跟踪。前端球机可以和报警器联动。</w:t>
      </w:r>
    </w:p>
    <w:p>
      <w:pPr>
        <w:spacing w:line="360" w:lineRule="auto"/>
        <w:ind w:firstLine="482" w:firstLineChars="200"/>
        <w:rPr>
          <w:rFonts w:hint="eastAsia"/>
          <w:b/>
        </w:rPr>
      </w:pPr>
      <w:r>
        <w:rPr>
          <w:rFonts w:hint="eastAsia"/>
          <w:b/>
        </w:rPr>
        <w:t>3.高清违停抓拍系统功能要求</w:t>
      </w:r>
    </w:p>
    <w:p>
      <w:pPr>
        <w:spacing w:line="360" w:lineRule="auto"/>
        <w:ind w:firstLine="482" w:firstLineChars="200"/>
        <w:rPr>
          <w:rFonts w:hint="eastAsia"/>
          <w:b/>
        </w:rPr>
      </w:pPr>
      <w:r>
        <w:rPr>
          <w:rFonts w:hint="eastAsia"/>
          <w:b/>
        </w:rPr>
        <w:t>1）违法停车自动取证功能</w:t>
      </w:r>
    </w:p>
    <w:p>
      <w:pPr>
        <w:spacing w:line="360" w:lineRule="auto"/>
        <w:ind w:firstLine="480" w:firstLineChars="200"/>
        <w:rPr>
          <w:rFonts w:hint="eastAsia"/>
        </w:rPr>
      </w:pPr>
      <w:r>
        <w:rPr>
          <w:rFonts w:hint="eastAsia"/>
        </w:rPr>
        <w:t>系统应能对道路两旁禁停区域违停车辆进行检测和取证。可根据实际需求调整最大停车时限，当车辆在禁止停车区域停车在限定时间以上的，进行违章抓拍取证。一组取证信息包括不同时间段的三张全景图片、一张能够看清车牌的特写图片、以及一段违法过程录像，图片中叠加时间、地点、车牌号码等信息。</w:t>
      </w:r>
    </w:p>
    <w:p>
      <w:pPr>
        <w:spacing w:line="360" w:lineRule="auto"/>
        <w:ind w:firstLine="480" w:firstLineChars="200"/>
        <w:rPr>
          <w:rFonts w:hint="eastAsia"/>
        </w:rPr>
      </w:pPr>
      <w:r>
        <w:rPr>
          <w:rFonts w:hint="eastAsia"/>
        </w:rPr>
        <w:t>可对违法停车行为进行手动抓拍并生成违法停车图片；抓拍图片名称及ftp存储文件夹名称可按设备编号、违法代码、违法名称、车牌号码、车身颜色、车辆类型等信息内容自由组合设置；</w:t>
      </w:r>
    </w:p>
    <w:p>
      <w:pPr>
        <w:spacing w:line="360" w:lineRule="auto"/>
        <w:ind w:firstLine="480" w:firstLineChars="200"/>
        <w:rPr>
          <w:rFonts w:hint="eastAsia"/>
        </w:rPr>
      </w:pPr>
      <w:r>
        <w:rPr>
          <w:rFonts w:hint="eastAsia"/>
        </w:rPr>
        <w:t>①违法停车检测范围，白天有效检测距离≥500m；</w:t>
      </w:r>
    </w:p>
    <w:p>
      <w:pPr>
        <w:spacing w:line="360" w:lineRule="auto"/>
        <w:ind w:firstLine="480" w:firstLineChars="200"/>
        <w:rPr>
          <w:rFonts w:hint="eastAsia"/>
        </w:rPr>
      </w:pPr>
      <w:r>
        <w:rPr>
          <w:rFonts w:hint="eastAsia"/>
        </w:rPr>
        <w:t>②违法停车抓拍功能，白天和晚上违法停车捕获率、有效率均≥99%；</w:t>
      </w:r>
    </w:p>
    <w:p>
      <w:pPr>
        <w:spacing w:line="360" w:lineRule="auto"/>
        <w:ind w:firstLine="480" w:firstLineChars="200"/>
        <w:rPr>
          <w:rFonts w:hint="eastAsia"/>
        </w:rPr>
      </w:pPr>
      <w:r>
        <w:rPr>
          <w:rFonts w:hint="eastAsia"/>
        </w:rPr>
        <w:t>③机动车检测数量，在白天可同时检测出监视画面中≥40辆机动车辆；</w:t>
      </w:r>
    </w:p>
    <w:p>
      <w:pPr>
        <w:spacing w:line="360" w:lineRule="auto"/>
        <w:ind w:firstLine="480" w:firstLineChars="200"/>
        <w:rPr>
          <w:rFonts w:hint="eastAsia"/>
        </w:rPr>
      </w:pPr>
      <w:r>
        <w:rPr>
          <w:rFonts w:hint="eastAsia"/>
        </w:rPr>
        <w:t>④违法停车抓拍间隔设置，对违法停车行为的同一辆车，在设定的时间间隔内不应重复抓拍；</w:t>
      </w:r>
    </w:p>
    <w:p>
      <w:pPr>
        <w:spacing w:line="360" w:lineRule="auto"/>
        <w:ind w:firstLine="480" w:firstLineChars="200"/>
        <w:rPr>
          <w:rFonts w:hint="eastAsia"/>
        </w:rPr>
      </w:pPr>
      <w:r>
        <w:rPr>
          <w:rFonts w:hint="eastAsia"/>
        </w:rPr>
        <w:t xml:space="preserve">⑤设备可识别通过监视画面中的新能源汽车号牌；    </w:t>
      </w:r>
    </w:p>
    <w:p>
      <w:pPr>
        <w:spacing w:line="360" w:lineRule="auto"/>
        <w:ind w:firstLine="482" w:firstLineChars="200"/>
        <w:rPr>
          <w:rFonts w:hint="eastAsia"/>
          <w:b/>
        </w:rPr>
      </w:pPr>
      <w:r>
        <w:rPr>
          <w:rFonts w:hint="eastAsia"/>
          <w:b/>
        </w:rPr>
        <w:t>2）其它违法行为自动取证功能</w:t>
      </w:r>
    </w:p>
    <w:p>
      <w:pPr>
        <w:spacing w:line="360" w:lineRule="auto"/>
        <w:ind w:firstLine="480" w:firstLineChars="200"/>
        <w:rPr>
          <w:rFonts w:hint="eastAsia"/>
        </w:rPr>
      </w:pPr>
      <w:r>
        <w:rPr>
          <w:rFonts w:hint="eastAsia"/>
        </w:rPr>
        <w:t>系统在有效检测范围内，除了能对违停进行自动取证外，还应可以对逆行、压线、变道、机占非、违法掉头等其它违法行为进行自动取证，取证信息与违停取证类似，同时也具备车牌自动识别功能。</w:t>
      </w:r>
    </w:p>
    <w:p>
      <w:pPr>
        <w:spacing w:line="360" w:lineRule="auto"/>
        <w:ind w:firstLine="482" w:firstLineChars="200"/>
        <w:rPr>
          <w:rFonts w:hint="eastAsia"/>
          <w:b/>
        </w:rPr>
      </w:pPr>
      <w:r>
        <w:rPr>
          <w:rFonts w:hint="eastAsia"/>
          <w:b/>
        </w:rPr>
        <w:t>3）违法片段录像功能</w:t>
      </w:r>
    </w:p>
    <w:p>
      <w:pPr>
        <w:spacing w:line="360" w:lineRule="auto"/>
        <w:ind w:firstLine="480" w:firstLineChars="200"/>
        <w:rPr>
          <w:rFonts w:hint="eastAsia"/>
        </w:rPr>
      </w:pPr>
      <w:r>
        <w:rPr>
          <w:rFonts w:hint="eastAsia"/>
        </w:rPr>
        <w:t>系统在进行违法图像记录的同时，应可记录一段违法过程的片段录像，录像时间不少于5秒，在视频流中叠加有时间、地点等信息，且能清晰辨别机动车交通违法行为过程证据，包括场景及机动车全景特征等，作为违法处罚的辅助证据。</w:t>
      </w:r>
    </w:p>
    <w:p>
      <w:pPr>
        <w:spacing w:line="360" w:lineRule="auto"/>
        <w:ind w:firstLine="482" w:firstLineChars="200"/>
        <w:rPr>
          <w:rFonts w:hint="eastAsia"/>
          <w:b/>
        </w:rPr>
      </w:pPr>
      <w:r>
        <w:rPr>
          <w:rFonts w:hint="eastAsia"/>
          <w:b/>
        </w:rPr>
        <w:t>4）手动违法停车抓拍功能</w:t>
      </w:r>
    </w:p>
    <w:p>
      <w:pPr>
        <w:spacing w:line="360" w:lineRule="auto"/>
        <w:ind w:firstLine="480" w:firstLineChars="200"/>
        <w:rPr>
          <w:rFonts w:hint="eastAsia"/>
        </w:rPr>
      </w:pPr>
      <w:r>
        <w:rPr>
          <w:rFonts w:hint="eastAsia"/>
        </w:rPr>
        <w:t>可通过客户端软件手动抓拍违法停车，抓拍图片间隔可设置，图片可选择全景或近景图片，图片中应叠加时间、地点、车牌号码等信息，近景图片能够看清车牌。</w:t>
      </w:r>
    </w:p>
    <w:p>
      <w:pPr>
        <w:spacing w:line="360" w:lineRule="auto"/>
        <w:ind w:firstLine="482" w:firstLineChars="200"/>
        <w:rPr>
          <w:rFonts w:hint="eastAsia"/>
          <w:b/>
        </w:rPr>
      </w:pPr>
      <w:r>
        <w:rPr>
          <w:rFonts w:hint="eastAsia"/>
          <w:b/>
        </w:rPr>
        <w:t>5）图像防篡改功能</w:t>
      </w:r>
    </w:p>
    <w:p>
      <w:pPr>
        <w:spacing w:line="360" w:lineRule="auto"/>
        <w:ind w:firstLine="480" w:firstLineChars="200"/>
        <w:rPr>
          <w:rFonts w:hint="eastAsia"/>
        </w:rPr>
      </w:pPr>
      <w:r>
        <w:rPr>
          <w:rFonts w:hint="eastAsia"/>
        </w:rPr>
        <w:t>系统记录的原始图像信息应具备防篡改功能，对记录的每条违法记录图片叠加水印等防伪信息，防止在传输、存储、处理等过程中被人为篡改。</w:t>
      </w:r>
    </w:p>
    <w:p>
      <w:pPr>
        <w:spacing w:line="360" w:lineRule="auto"/>
        <w:ind w:firstLine="482" w:firstLineChars="200"/>
        <w:rPr>
          <w:rFonts w:hint="eastAsia"/>
          <w:b/>
        </w:rPr>
      </w:pPr>
      <w:r>
        <w:rPr>
          <w:rFonts w:hint="eastAsia"/>
          <w:b/>
        </w:rPr>
        <w:t>6）快速查询及交通违法处理功能</w:t>
      </w:r>
    </w:p>
    <w:p>
      <w:pPr>
        <w:spacing w:line="360" w:lineRule="auto"/>
        <w:ind w:firstLine="480" w:firstLineChars="200"/>
        <w:rPr>
          <w:rFonts w:hint="eastAsia"/>
        </w:rPr>
      </w:pPr>
      <w:r>
        <w:rPr>
          <w:rFonts w:hint="eastAsia"/>
        </w:rPr>
        <w:t>系统应能够快速按通道，按事件， 按时间进行交通违法事件的查询，具有交通违法事件的查看、审核、校对、人工修改、自动上传、人工标记等处理功能，能够较好的实现交通违法事件的处理。</w:t>
      </w:r>
    </w:p>
    <w:p>
      <w:pPr>
        <w:spacing w:line="360" w:lineRule="auto"/>
        <w:ind w:firstLine="482" w:firstLineChars="200"/>
        <w:rPr>
          <w:rFonts w:hint="eastAsia"/>
          <w:b/>
        </w:rPr>
      </w:pPr>
      <w:r>
        <w:rPr>
          <w:rFonts w:hint="eastAsia"/>
          <w:b/>
        </w:rPr>
        <w:t>7）违法联动功能</w:t>
      </w:r>
    </w:p>
    <w:p>
      <w:pPr>
        <w:spacing w:line="360" w:lineRule="auto"/>
        <w:ind w:firstLine="480" w:firstLineChars="200"/>
        <w:rPr>
          <w:rFonts w:hint="eastAsia"/>
        </w:rPr>
      </w:pPr>
      <w:r>
        <w:rPr>
          <w:rFonts w:hint="eastAsia"/>
        </w:rPr>
        <w:t>当系统检测到违停事件后，可以通过前端一体化违法取证球机触发功放和喇叭进行自动语音播报，提醒违停车辆停止违法行为和其它车辆注意行车安全，播报语音提前录制存放在智能球机内。系统可把上传违法视频图像在监控中心通过客户端实现语音、弹屏等报警提示。</w:t>
      </w:r>
    </w:p>
    <w:p>
      <w:pPr>
        <w:spacing w:line="360" w:lineRule="auto"/>
        <w:ind w:firstLine="482" w:firstLineChars="200"/>
        <w:rPr>
          <w:rFonts w:hint="eastAsia"/>
          <w:b/>
        </w:rPr>
      </w:pPr>
      <w:r>
        <w:rPr>
          <w:rFonts w:hint="eastAsia"/>
          <w:b/>
        </w:rPr>
        <w:t>8）车牌自动识别功能</w:t>
      </w:r>
    </w:p>
    <w:p>
      <w:pPr>
        <w:spacing w:line="360" w:lineRule="auto"/>
        <w:ind w:firstLine="480" w:firstLineChars="200"/>
        <w:rPr>
          <w:rFonts w:hint="eastAsia"/>
        </w:rPr>
      </w:pPr>
      <w:r>
        <w:rPr>
          <w:rFonts w:hint="eastAsia"/>
        </w:rPr>
        <w:t>系统应具有车牌自动识别功能，包括号牌号码、号牌颜色。号牌号码识别范围至少应包括民用车牌、警用车牌、军用车牌、武警车牌、新能源车牌等，号牌颜色至少包括蓝、黄、黑、白、绿、渐变绿等号牌。</w:t>
      </w:r>
    </w:p>
    <w:p>
      <w:pPr>
        <w:spacing w:line="360" w:lineRule="auto"/>
        <w:ind w:firstLine="482" w:firstLineChars="200"/>
        <w:rPr>
          <w:rFonts w:hint="eastAsia"/>
          <w:b/>
        </w:rPr>
      </w:pPr>
      <w:r>
        <w:rPr>
          <w:rFonts w:hint="eastAsia"/>
          <w:b/>
        </w:rPr>
        <w:t>9）校时功能</w:t>
      </w:r>
    </w:p>
    <w:p>
      <w:pPr>
        <w:spacing w:line="360" w:lineRule="auto"/>
        <w:ind w:firstLine="480" w:firstLineChars="200"/>
        <w:rPr>
          <w:rFonts w:hint="eastAsia"/>
        </w:rPr>
      </w:pPr>
      <w:r>
        <w:rPr>
          <w:rFonts w:hint="eastAsia"/>
        </w:rPr>
        <w:t>视频取证设备应内置计时功能模块，24h内计时误差不超过1.0s，并具有自动校时功能，应支持NTP校时功能，能与中心时间服务器进行时间自动同步，同步周期在1小时至24小时区间范围可调，同时应支持手动强制时间同步。</w:t>
      </w:r>
    </w:p>
    <w:p>
      <w:pPr>
        <w:spacing w:line="360" w:lineRule="auto"/>
        <w:ind w:firstLine="482" w:firstLineChars="200"/>
        <w:rPr>
          <w:rFonts w:hint="eastAsia"/>
          <w:b/>
        </w:rPr>
      </w:pPr>
      <w:r>
        <w:rPr>
          <w:rFonts w:hint="eastAsia"/>
          <w:b/>
        </w:rPr>
        <w:t>4.其它要求</w:t>
      </w:r>
    </w:p>
    <w:p>
      <w:pPr>
        <w:spacing w:line="360" w:lineRule="auto"/>
        <w:ind w:firstLine="480" w:firstLineChars="200"/>
        <w:rPr>
          <w:rFonts w:hint="eastAsia"/>
        </w:rPr>
      </w:pPr>
      <w:r>
        <w:rPr>
          <w:rFonts w:hint="eastAsia"/>
        </w:rPr>
        <w:t xml:space="preserve">投标人须负责将此次新增高清违停球机接入支队现有平台，应与现有系统有效兼容，并满足支队、大队实际业务使用需求（须提供客户端软件）。 </w:t>
      </w:r>
    </w:p>
    <w:p>
      <w:pPr>
        <w:spacing w:line="360" w:lineRule="auto"/>
        <w:ind w:firstLine="480" w:firstLineChars="200"/>
        <w:rPr>
          <w:rFonts w:hint="eastAsia"/>
        </w:rPr>
      </w:pPr>
      <w:r>
        <w:rPr>
          <w:rFonts w:hint="eastAsia"/>
        </w:rPr>
        <w:t>各种数据需要上传到济南交警相对应的应用平台（治安综合管控平台、监控基础管控平台、非现场执法平台、指挥调度平台）。</w:t>
      </w:r>
    </w:p>
    <w:p>
      <w:pPr>
        <w:spacing w:line="360" w:lineRule="auto"/>
        <w:ind w:firstLine="480" w:firstLineChars="200"/>
        <w:rPr>
          <w:rFonts w:hint="eastAsia"/>
        </w:rPr>
      </w:pPr>
      <w:r>
        <w:rPr>
          <w:rFonts w:hint="eastAsia"/>
        </w:rPr>
        <w:t>以上抓拍需能自动处理，通过控制高清球机的预置位，实现区域设置，并能通过网络控制摄像机PTZ，实现车牌自动识别。所有违法数据，须自动上传到交警非现场执法系统平台中。</w:t>
      </w:r>
    </w:p>
    <w:p>
      <w:pPr>
        <w:pStyle w:val="4"/>
        <w:spacing w:before="0" w:after="0" w:line="360" w:lineRule="auto"/>
        <w:rPr>
          <w:rFonts w:hint="eastAsia" w:ascii="宋体" w:hAnsi="宋体" w:eastAsia="宋体"/>
          <w:kern w:val="0"/>
          <w:sz w:val="30"/>
          <w:szCs w:val="30"/>
        </w:rPr>
      </w:pPr>
      <w:bookmarkStart w:id="15" w:name="_Toc16742"/>
      <w:r>
        <w:rPr>
          <w:rFonts w:hint="eastAsia" w:ascii="宋体" w:hAnsi="宋体" w:eastAsia="宋体"/>
          <w:kern w:val="0"/>
          <w:sz w:val="30"/>
          <w:szCs w:val="30"/>
        </w:rPr>
        <w:t>三、主要产品技术要求</w:t>
      </w:r>
      <w:bookmarkEnd w:id="15"/>
    </w:p>
    <w:p>
      <w:pPr>
        <w:spacing w:line="360" w:lineRule="auto"/>
        <w:ind w:firstLine="482" w:firstLineChars="200"/>
        <w:rPr>
          <w:rFonts w:hint="eastAsia"/>
          <w:b/>
        </w:rPr>
      </w:pPr>
      <w:r>
        <w:rPr>
          <w:rFonts w:hint="eastAsia"/>
          <w:b/>
        </w:rPr>
        <w:t>1.智能交通球型摄像机</w:t>
      </w:r>
    </w:p>
    <w:p>
      <w:pPr>
        <w:spacing w:line="360" w:lineRule="auto"/>
        <w:ind w:firstLine="480" w:firstLineChars="200"/>
        <w:rPr>
          <w:rFonts w:hint="eastAsia"/>
        </w:rPr>
      </w:pPr>
      <w:r>
        <w:rPr>
          <w:rFonts w:hint="eastAsia"/>
        </w:rPr>
        <w:t>摄像机靶面尺寸≥1/1.8英寸</w:t>
      </w:r>
    </w:p>
    <w:p>
      <w:pPr>
        <w:spacing w:line="360" w:lineRule="auto"/>
        <w:ind w:firstLine="480" w:firstLineChars="200"/>
        <w:rPr>
          <w:rFonts w:hint="eastAsia"/>
        </w:rPr>
      </w:pPr>
      <w:r>
        <w:rPr>
          <w:rFonts w:hint="eastAsia"/>
        </w:rPr>
        <w:t>视频输出≥2592×1520@30fps，分辨力≥1600线</w:t>
      </w:r>
    </w:p>
    <w:p>
      <w:pPr>
        <w:spacing w:line="360" w:lineRule="auto"/>
        <w:ind w:firstLine="480" w:firstLineChars="200"/>
        <w:rPr>
          <w:rFonts w:hint="eastAsia"/>
        </w:rPr>
      </w:pPr>
      <w:r>
        <w:rPr>
          <w:rFonts w:hint="eastAsia"/>
        </w:rPr>
        <w:t>≥40倍光学变焦</w:t>
      </w:r>
    </w:p>
    <w:p>
      <w:pPr>
        <w:spacing w:line="360" w:lineRule="auto"/>
        <w:ind w:firstLine="480" w:firstLineChars="200"/>
        <w:rPr>
          <w:rFonts w:hint="eastAsia"/>
        </w:rPr>
      </w:pPr>
      <w:r>
        <w:rPr>
          <w:rFonts w:hint="eastAsia"/>
        </w:rPr>
        <w:t>内置GPU芯片</w:t>
      </w:r>
    </w:p>
    <w:p>
      <w:pPr>
        <w:spacing w:line="360" w:lineRule="auto"/>
        <w:ind w:firstLine="480" w:firstLineChars="200"/>
        <w:rPr>
          <w:rFonts w:hint="eastAsia"/>
        </w:rPr>
      </w:pPr>
      <w:r>
        <w:rPr>
          <w:rFonts w:hint="eastAsia"/>
        </w:rPr>
        <w:t>最低照度彩色≤0.0005Lux，黑白≤0.0001Lux；</w:t>
      </w:r>
    </w:p>
    <w:p>
      <w:pPr>
        <w:spacing w:line="360" w:lineRule="auto"/>
        <w:ind w:firstLine="480" w:firstLineChars="200"/>
        <w:rPr>
          <w:rFonts w:hint="eastAsia"/>
        </w:rPr>
      </w:pPr>
      <w:r>
        <w:rPr>
          <w:rFonts w:hint="eastAsia"/>
        </w:rPr>
        <w:t>采用H.265、H.264、MJPEG视频编码标准；</w:t>
      </w:r>
    </w:p>
    <w:p>
      <w:pPr>
        <w:spacing w:line="360" w:lineRule="auto"/>
        <w:ind w:firstLine="480" w:firstLineChars="200"/>
        <w:rPr>
          <w:rFonts w:hint="eastAsia"/>
        </w:rPr>
      </w:pPr>
      <w:r>
        <w:rPr>
          <w:rFonts w:hint="eastAsia"/>
        </w:rPr>
        <w:t>具有三种滤光片，在白天、夜晚及有雾情况下可自动切换不同的滤光片进行成像；</w:t>
      </w:r>
    </w:p>
    <w:p>
      <w:pPr>
        <w:spacing w:line="360" w:lineRule="auto"/>
        <w:ind w:firstLine="480" w:firstLineChars="200"/>
        <w:rPr>
          <w:rFonts w:hint="eastAsia"/>
        </w:rPr>
      </w:pPr>
      <w:r>
        <w:rPr>
          <w:rFonts w:hint="eastAsia"/>
        </w:rPr>
        <w:t>具有透雾、强光抑制、电子防抖、数字降噪功能</w:t>
      </w:r>
    </w:p>
    <w:p>
      <w:pPr>
        <w:spacing w:line="360" w:lineRule="auto"/>
        <w:ind w:firstLine="480" w:firstLineChars="200"/>
        <w:rPr>
          <w:rFonts w:hint="eastAsia"/>
        </w:rPr>
      </w:pPr>
      <w:r>
        <w:rPr>
          <w:rFonts w:hint="eastAsia"/>
        </w:rPr>
        <w:t>具有1个RJ45网络接口，7路报警输入接口，2路报警输出接口，1路音频输入和输出接口；具有雨刷功能，可通过手动或自动方式开启雨刷</w:t>
      </w:r>
    </w:p>
    <w:p>
      <w:pPr>
        <w:spacing w:line="360" w:lineRule="auto"/>
        <w:ind w:firstLine="480" w:firstLineChars="200"/>
        <w:rPr>
          <w:rFonts w:hint="eastAsia"/>
        </w:rPr>
      </w:pPr>
      <w:r>
        <w:rPr>
          <w:rFonts w:hint="eastAsia"/>
        </w:rPr>
        <w:t>可对违法停车行为进行手动抓拍并生成违法停车图片；抓拍图片名称及ftp存储文件夹名称可按设备编号、违法代码、违法名称、车牌号码、车身颜色、车辆类型等信息内容自由组合设置</w:t>
      </w:r>
    </w:p>
    <w:p>
      <w:pPr>
        <w:spacing w:line="360" w:lineRule="auto"/>
        <w:ind w:firstLine="482" w:firstLineChars="200"/>
        <w:rPr>
          <w:rFonts w:hint="default" w:eastAsia="宋体"/>
          <w:b/>
          <w:lang w:val="en-US" w:eastAsia="zh-CN"/>
        </w:rPr>
      </w:pPr>
      <w:r>
        <w:rPr>
          <w:rFonts w:hint="eastAsia"/>
          <w:b/>
        </w:rPr>
        <w:t>2.</w:t>
      </w:r>
      <w:r>
        <w:rPr>
          <w:rFonts w:hint="eastAsia"/>
          <w:b/>
          <w:lang w:val="en-US" w:eastAsia="zh-CN"/>
        </w:rPr>
        <w:t>定向音柱</w:t>
      </w:r>
    </w:p>
    <w:p>
      <w:pPr>
        <w:spacing w:line="360" w:lineRule="auto"/>
        <w:ind w:firstLine="480" w:firstLineChars="200"/>
        <w:rPr>
          <w:rFonts w:hint="eastAsia"/>
        </w:rPr>
      </w:pPr>
      <w:r>
        <w:rPr>
          <w:rFonts w:hint="eastAsia"/>
        </w:rPr>
        <w:t>一体壁挂式室外防水设计、整合网络音频解码，数字功放及音箱；</w:t>
      </w:r>
    </w:p>
    <w:p>
      <w:pPr>
        <w:spacing w:line="360" w:lineRule="auto"/>
        <w:ind w:firstLine="480" w:firstLineChars="200"/>
        <w:rPr>
          <w:rFonts w:hint="eastAsia"/>
        </w:rPr>
      </w:pPr>
      <w:r>
        <w:rPr>
          <w:rFonts w:hint="eastAsia"/>
        </w:rPr>
        <w:t>支持通过远程IP网络（局域网/公网）、本地采集（3.5mm接口音频输入/音频线路输入）、远程无线（云平台）进行远程喊话；</w:t>
      </w:r>
    </w:p>
    <w:p>
      <w:pPr>
        <w:spacing w:line="360" w:lineRule="auto"/>
        <w:ind w:firstLine="480" w:firstLineChars="200"/>
        <w:rPr>
          <w:rFonts w:hint="eastAsia"/>
        </w:rPr>
      </w:pPr>
      <w:r>
        <w:rPr>
          <w:rFonts w:hint="eastAsia"/>
        </w:rPr>
        <w:t>支持TTS文字转语音的方式进行播报；</w:t>
      </w:r>
    </w:p>
    <w:p>
      <w:pPr>
        <w:spacing w:line="360" w:lineRule="auto"/>
        <w:ind w:firstLine="480" w:firstLineChars="200"/>
        <w:rPr>
          <w:rFonts w:hint="eastAsia"/>
        </w:rPr>
      </w:pPr>
      <w:r>
        <w:rPr>
          <w:rFonts w:hint="eastAsia"/>
        </w:rPr>
        <w:t xml:space="preserve">支持中心下发报警联动信息、或检测到本地报警输入时，联动输出报警信号、或联动播放指定的音频文件； </w:t>
      </w:r>
    </w:p>
    <w:p>
      <w:pPr>
        <w:spacing w:line="360" w:lineRule="auto"/>
        <w:ind w:firstLine="480" w:firstLineChars="200"/>
        <w:rPr>
          <w:rFonts w:hint="eastAsia"/>
        </w:rPr>
      </w:pPr>
      <w:r>
        <w:rPr>
          <w:rFonts w:hint="eastAsia"/>
        </w:rPr>
        <w:t>声音传播距离≥150米；</w:t>
      </w:r>
    </w:p>
    <w:p>
      <w:pPr>
        <w:spacing w:line="360" w:lineRule="auto"/>
        <w:ind w:firstLine="480" w:firstLineChars="200"/>
        <w:rPr>
          <w:rFonts w:hint="eastAsia"/>
        </w:rPr>
      </w:pPr>
      <w:r>
        <w:rPr>
          <w:rFonts w:hint="eastAsia"/>
        </w:rPr>
        <w:t>音频信息自定义，音量大小可调；</w:t>
      </w:r>
    </w:p>
    <w:p>
      <w:pPr>
        <w:spacing w:line="360" w:lineRule="auto"/>
        <w:ind w:firstLine="480" w:firstLineChars="200"/>
        <w:rPr>
          <w:rFonts w:hint="eastAsia"/>
        </w:rPr>
      </w:pPr>
      <w:r>
        <w:rPr>
          <w:rFonts w:hint="eastAsia"/>
        </w:rPr>
        <w:t>声音特性：高指向性，间接发声，距离远，衰减慢，语音清晰，不扰民；</w:t>
      </w:r>
    </w:p>
    <w:p>
      <w:pPr>
        <w:spacing w:line="360" w:lineRule="auto"/>
        <w:ind w:firstLine="480" w:firstLineChars="200"/>
        <w:rPr>
          <w:rFonts w:hint="eastAsia"/>
        </w:rPr>
      </w:pPr>
      <w:r>
        <w:rPr>
          <w:rFonts w:hint="eastAsia"/>
        </w:rPr>
        <w:t>音频输入支持网络音频输入，3.5mm音频输入；</w:t>
      </w:r>
    </w:p>
    <w:p>
      <w:pPr>
        <w:spacing w:line="360" w:lineRule="auto"/>
        <w:ind w:firstLine="480" w:firstLineChars="200"/>
        <w:rPr>
          <w:rFonts w:hint="eastAsia"/>
        </w:rPr>
      </w:pPr>
      <w:r>
        <w:rPr>
          <w:rFonts w:hint="eastAsia"/>
        </w:rPr>
        <w:t>最大声压级 ≥115db@3kHz/2m</w:t>
      </w:r>
    </w:p>
    <w:p>
      <w:pPr>
        <w:spacing w:line="360" w:lineRule="auto"/>
        <w:ind w:firstLine="480" w:firstLineChars="200"/>
        <w:rPr>
          <w:rFonts w:hint="eastAsia"/>
        </w:rPr>
      </w:pPr>
      <w:r>
        <w:rPr>
          <w:rFonts w:hint="eastAsia"/>
        </w:rPr>
        <w:t>支持RJ45接口≥1个，485接口≥1个，3.5mm音频口≥1个</w:t>
      </w:r>
    </w:p>
    <w:p>
      <w:pPr>
        <w:spacing w:line="360" w:lineRule="auto"/>
        <w:ind w:firstLine="482" w:firstLineChars="200"/>
        <w:rPr>
          <w:rFonts w:hint="default" w:eastAsia="宋体"/>
          <w:b/>
          <w:lang w:val="en-US" w:eastAsia="zh-CN"/>
        </w:rPr>
      </w:pPr>
      <w:r>
        <w:rPr>
          <w:rFonts w:hint="eastAsia"/>
          <w:b/>
        </w:rPr>
        <w:t>3.</w:t>
      </w:r>
      <w:r>
        <w:rPr>
          <w:rFonts w:hint="eastAsia"/>
          <w:b/>
          <w:lang w:val="en-US" w:eastAsia="zh-CN"/>
        </w:rPr>
        <w:t>交通诱导屏</w:t>
      </w:r>
    </w:p>
    <w:p>
      <w:pPr>
        <w:spacing w:line="360" w:lineRule="auto"/>
        <w:ind w:firstLine="480" w:firstLineChars="200"/>
        <w:rPr>
          <w:rFonts w:hint="eastAsia"/>
        </w:rPr>
      </w:pPr>
      <w:r>
        <w:rPr>
          <w:rFonts w:hint="eastAsia"/>
        </w:rPr>
        <w:t>应能显示GB2312一、二级字库中所有汉字，汉字点阵可为16x16、24x 24、32x32等，数字、英文字母点阵可为16x8、24x12、32x16等</w:t>
      </w:r>
    </w:p>
    <w:p>
      <w:pPr>
        <w:spacing w:line="360" w:lineRule="auto"/>
        <w:ind w:firstLine="480" w:firstLineChars="200"/>
        <w:rPr>
          <w:rFonts w:hint="eastAsia"/>
        </w:rPr>
      </w:pPr>
      <w:r>
        <w:rPr>
          <w:rFonts w:hint="eastAsia"/>
        </w:rPr>
        <w:t>支持全彩色诱导标志</w:t>
      </w:r>
    </w:p>
    <w:p>
      <w:pPr>
        <w:spacing w:line="360" w:lineRule="auto"/>
        <w:ind w:firstLine="480" w:firstLineChars="200"/>
        <w:rPr>
          <w:rFonts w:hint="eastAsia"/>
        </w:rPr>
      </w:pPr>
      <w:r>
        <w:rPr>
          <w:rFonts w:hint="eastAsia"/>
        </w:rPr>
        <w:t>应能提供通用信息显示和人工诱导显示两种发布方式</w:t>
      </w:r>
    </w:p>
    <w:p>
      <w:pPr>
        <w:spacing w:line="360" w:lineRule="auto"/>
        <w:ind w:firstLine="480" w:firstLineChars="200"/>
        <w:rPr>
          <w:rFonts w:hint="eastAsia"/>
        </w:rPr>
      </w:pPr>
      <w:r>
        <w:rPr>
          <w:rFonts w:hint="eastAsia"/>
        </w:rPr>
        <w:t>应能通过网络远程实时控制内容显示和预先存储显示内容，在通讯断开情况下显示存储内容</w:t>
      </w:r>
    </w:p>
    <w:p>
      <w:pPr>
        <w:spacing w:line="360" w:lineRule="auto"/>
        <w:ind w:firstLine="480" w:firstLineChars="200"/>
        <w:rPr>
          <w:rFonts w:hint="eastAsia"/>
        </w:rPr>
      </w:pPr>
      <w:r>
        <w:rPr>
          <w:rFonts w:hint="eastAsia"/>
        </w:rPr>
        <w:t>应具有手动和自动调光功能，并可根据需求对显示亮度进行线性调节</w:t>
      </w:r>
    </w:p>
    <w:p>
      <w:pPr>
        <w:spacing w:line="360" w:lineRule="auto"/>
        <w:ind w:firstLine="480" w:firstLineChars="200"/>
        <w:rPr>
          <w:rFonts w:hint="eastAsia"/>
        </w:rPr>
      </w:pPr>
      <w:r>
        <w:rPr>
          <w:rFonts w:hint="eastAsia"/>
        </w:rPr>
        <w:t>应设置至少1个环境照度检测装置，能根据环境照度调整试样亮度，最低亮度应在最高亮度的10%以下</w:t>
      </w:r>
    </w:p>
    <w:p>
      <w:pPr>
        <w:spacing w:line="360" w:lineRule="auto"/>
        <w:ind w:firstLine="480" w:firstLineChars="200"/>
        <w:rPr>
          <w:rFonts w:hint="eastAsia"/>
        </w:rPr>
      </w:pPr>
      <w:r>
        <w:rPr>
          <w:rFonts w:hint="eastAsia"/>
        </w:rPr>
        <w:t>应能对屏体显示亮度进行手动调节</w:t>
      </w:r>
    </w:p>
    <w:p>
      <w:pPr>
        <w:spacing w:line="360" w:lineRule="auto"/>
        <w:ind w:firstLine="480" w:firstLineChars="200"/>
        <w:rPr>
          <w:rFonts w:hint="eastAsia"/>
        </w:rPr>
      </w:pPr>
      <w:r>
        <w:rPr>
          <w:rFonts w:hint="eastAsia"/>
        </w:rPr>
        <w:t>在最高灰度级、最高亮度级情况下，显示屏显示单- -颜色时，屏幕上抽取的各离散观测像素最高法向光强与最低法向光强差值应不大于10%</w:t>
      </w:r>
    </w:p>
    <w:p>
      <w:pPr>
        <w:spacing w:line="360" w:lineRule="auto"/>
        <w:ind w:firstLine="480" w:firstLineChars="200"/>
        <w:rPr>
          <w:rFonts w:hint="eastAsia"/>
        </w:rPr>
      </w:pPr>
      <w:r>
        <w:rPr>
          <w:rFonts w:hint="eastAsia"/>
        </w:rPr>
        <w:t>全彩色的道路交通诱导可变信息标志在规定亮度下对应的最大功率为300 W/m，具有电</w:t>
      </w:r>
    </w:p>
    <w:p>
      <w:pPr>
        <w:spacing w:line="360" w:lineRule="auto"/>
        <w:ind w:firstLine="480" w:firstLineChars="200"/>
        <w:rPr>
          <w:rFonts w:hint="eastAsia"/>
        </w:rPr>
      </w:pPr>
      <w:r>
        <w:rPr>
          <w:rFonts w:hint="eastAsia"/>
        </w:rPr>
        <w:t>源适配器的LED发光单元功率因数应不小于0.9</w:t>
      </w:r>
    </w:p>
    <w:p>
      <w:pPr>
        <w:spacing w:line="360" w:lineRule="auto"/>
        <w:ind w:firstLine="480" w:firstLineChars="200"/>
        <w:rPr>
          <w:rFonts w:hint="eastAsia"/>
        </w:rPr>
      </w:pPr>
      <w:r>
        <w:rPr>
          <w:rFonts w:hint="eastAsia"/>
        </w:rPr>
        <w:t>物理接口包括以太网口及串口。接口与外部的连接应便于安装和维护，并采取防水、防尘等措施</w:t>
      </w:r>
    </w:p>
    <w:p>
      <w:pPr>
        <w:spacing w:line="360" w:lineRule="auto"/>
        <w:ind w:firstLine="480" w:firstLineChars="200"/>
        <w:rPr>
          <w:rFonts w:hint="eastAsia"/>
        </w:rPr>
      </w:pPr>
      <w:r>
        <w:rPr>
          <w:rFonts w:hint="eastAsia"/>
        </w:rPr>
        <w:t>防水等级不低于GB4208规定IPX6</w:t>
      </w:r>
    </w:p>
    <w:p>
      <w:pPr>
        <w:spacing w:line="360" w:lineRule="auto"/>
        <w:ind w:firstLine="482" w:firstLineChars="200"/>
        <w:rPr>
          <w:rFonts w:hint="eastAsia"/>
          <w:b/>
        </w:rPr>
      </w:pPr>
      <w:r>
        <w:rPr>
          <w:rFonts w:hint="eastAsia"/>
          <w:b/>
        </w:rPr>
        <w:t>4.智能运维机箱</w:t>
      </w:r>
    </w:p>
    <w:p>
      <w:pPr>
        <w:spacing w:line="360" w:lineRule="auto"/>
        <w:ind w:firstLine="480" w:firstLineChars="200"/>
        <w:rPr>
          <w:rFonts w:hint="eastAsia"/>
        </w:rPr>
      </w:pPr>
      <w:r>
        <w:rPr>
          <w:rFonts w:hint="eastAsia"/>
        </w:rPr>
        <w:t>采用喷塑钢板制作，厚度≥2.0mm，适用于室外监控设备的集中安装，控制箱的防护等级≥IP55，尺寸：≥500mm*400mm*300mm</w:t>
      </w:r>
    </w:p>
    <w:p>
      <w:pPr>
        <w:spacing w:line="360" w:lineRule="auto"/>
        <w:ind w:firstLine="480" w:firstLineChars="200"/>
        <w:rPr>
          <w:rFonts w:hint="eastAsia"/>
        </w:rPr>
      </w:pPr>
      <w:r>
        <w:rPr>
          <w:rFonts w:hint="eastAsia"/>
        </w:rPr>
        <w:t>AC220V可控电源输出≥4路，百兆电口≥1个，有源信号输出≥3个，无源信号输入≥3个</w:t>
      </w:r>
    </w:p>
    <w:p>
      <w:pPr>
        <w:spacing w:line="360" w:lineRule="auto"/>
        <w:ind w:firstLine="480" w:firstLineChars="200"/>
        <w:rPr>
          <w:rFonts w:hint="eastAsia"/>
        </w:rPr>
      </w:pPr>
      <w:r>
        <w:rPr>
          <w:rFonts w:hint="eastAsia"/>
        </w:rPr>
        <w:t>可外接摄像机、光纤收发器、环网光端机等设备，实现远程重启设备；可与环网光端机联动，监测环网光端机端口流量，与供电端口联动，环网光端机端口无流量时自动断电重启对应终端设备。输入输出电源电压监测，对设备输入输出的电源电压进行实时状态监控，监控输出电源的电压状态数值并进行用电管理统计用电量</w:t>
      </w:r>
    </w:p>
    <w:p>
      <w:pPr>
        <w:spacing w:line="360" w:lineRule="auto"/>
        <w:ind w:firstLine="480" w:firstLineChars="200"/>
        <w:rPr>
          <w:rFonts w:hint="eastAsia"/>
        </w:rPr>
      </w:pPr>
      <w:r>
        <w:rPr>
          <w:rFonts w:hint="eastAsia"/>
        </w:rPr>
        <w:t>具有设备箱掉电检测、告警，在线状态检测、告警；当发生供电故障时，断电后智能运维机箱核心模块可回传最后的设备断电信息至平台</w:t>
      </w:r>
    </w:p>
    <w:p>
      <w:pPr>
        <w:spacing w:line="360" w:lineRule="auto"/>
        <w:ind w:firstLine="480" w:firstLineChars="200"/>
        <w:rPr>
          <w:rFonts w:hint="eastAsia"/>
        </w:rPr>
      </w:pPr>
      <w:r>
        <w:rPr>
          <w:rFonts w:hint="eastAsia"/>
        </w:rPr>
        <w:t>具有设备箱温、湿度监测，实时监测设备箱内温度，可与温控风扇联动，设定阀值，根据终端运行环境自动降温</w:t>
      </w:r>
    </w:p>
    <w:p>
      <w:pPr>
        <w:spacing w:line="360" w:lineRule="auto"/>
        <w:ind w:firstLine="480" w:firstLineChars="200"/>
        <w:rPr>
          <w:rFonts w:hint="eastAsia"/>
        </w:rPr>
      </w:pPr>
      <w:r>
        <w:rPr>
          <w:rFonts w:hint="eastAsia"/>
        </w:rPr>
        <w:t>具有门磁告警，设备箱门开关告警，实时监测设备箱门开关状态，长时间打开则告警</w:t>
      </w:r>
    </w:p>
    <w:p>
      <w:pPr>
        <w:spacing w:line="360" w:lineRule="auto"/>
        <w:ind w:firstLine="480" w:firstLineChars="200"/>
        <w:rPr>
          <w:rFonts w:hint="eastAsia"/>
        </w:rPr>
      </w:pPr>
      <w:r>
        <w:rPr>
          <w:rFonts w:hint="eastAsia"/>
        </w:rPr>
        <w:t>具有漏水检测告警，碰撞倾斜检测告警</w:t>
      </w:r>
    </w:p>
    <w:p>
      <w:pPr>
        <w:spacing w:line="360" w:lineRule="auto"/>
        <w:ind w:firstLine="480" w:firstLineChars="200"/>
        <w:rPr>
          <w:rFonts w:hint="eastAsia"/>
        </w:rPr>
      </w:pPr>
      <w:r>
        <w:rPr>
          <w:rFonts w:hint="eastAsia"/>
        </w:rPr>
        <w:t>4G无线传输功能：通过无线方式进行数据传输；数据传输模式：有线和无线方式具有不同端口、不同服务IP传输，数据通信模式具有无线模式、有线模式同时在线或自动切换。</w:t>
      </w:r>
    </w:p>
    <w:p>
      <w:pPr>
        <w:spacing w:line="360" w:lineRule="auto"/>
        <w:ind w:firstLine="480" w:firstLineChars="200"/>
        <w:rPr>
          <w:rFonts w:hint="eastAsia"/>
        </w:rPr>
      </w:pPr>
      <w:r>
        <w:rPr>
          <w:rFonts w:hint="eastAsia"/>
        </w:rPr>
        <w:t>确保与支队现有智能运维管理平台的对接，保证接入及正常使用，应实现远程重启终端端口，实时显示设备终端外接端口的打开/关闭状态，实时显示每路端口电压、电流，实时显示设备在线/离线状态，具有断网、失联、断电、断纤等告警信息</w:t>
      </w:r>
    </w:p>
    <w:p>
      <w:pPr>
        <w:spacing w:line="360" w:lineRule="auto"/>
        <w:ind w:firstLine="482" w:firstLineChars="200"/>
        <w:rPr>
          <w:rFonts w:hint="eastAsia"/>
          <w:b/>
        </w:rPr>
      </w:pPr>
      <w:r>
        <w:rPr>
          <w:rFonts w:hint="eastAsia"/>
          <w:b/>
        </w:rPr>
        <w:t>5.供电电缆</w:t>
      </w:r>
    </w:p>
    <w:p>
      <w:pPr>
        <w:spacing w:line="360" w:lineRule="auto"/>
        <w:ind w:firstLine="480" w:firstLineChars="200"/>
        <w:rPr>
          <w:rFonts w:hint="eastAsia"/>
        </w:rPr>
      </w:pPr>
      <w:r>
        <w:rPr>
          <w:rFonts w:hint="eastAsia"/>
        </w:rPr>
        <w:t>本供电电缆为监控机箱至市电接入处所需，为KCYVR 2*4mm绝缘护套电缆</w:t>
      </w:r>
    </w:p>
    <w:p>
      <w:pPr>
        <w:spacing w:line="360" w:lineRule="auto"/>
        <w:ind w:firstLine="480" w:firstLineChars="200"/>
        <w:rPr>
          <w:rFonts w:hint="eastAsia"/>
        </w:rPr>
      </w:pPr>
      <w:r>
        <w:rPr>
          <w:rFonts w:hint="eastAsia"/>
        </w:rPr>
        <w:t>要求电气性能稳定，能可靠的传输电信号，在潮湿环境及水中不影响电信号传输</w:t>
      </w:r>
    </w:p>
    <w:p>
      <w:pPr>
        <w:spacing w:line="360" w:lineRule="auto"/>
        <w:ind w:firstLine="480" w:firstLineChars="200"/>
        <w:rPr>
          <w:rFonts w:hint="eastAsia"/>
        </w:rPr>
      </w:pPr>
      <w:r>
        <w:rPr>
          <w:rFonts w:hint="eastAsia"/>
        </w:rPr>
        <w:t>防静电材料护套，防水、防白蚁、鼠咬、耐高温材料总护套等(双层护套，耐高温不低于90℃)</w:t>
      </w:r>
    </w:p>
    <w:p>
      <w:pPr>
        <w:spacing w:line="360" w:lineRule="auto"/>
        <w:ind w:firstLine="480" w:firstLineChars="200"/>
        <w:rPr>
          <w:rFonts w:hint="eastAsia"/>
        </w:rPr>
      </w:pPr>
      <w:r>
        <w:rPr>
          <w:rFonts w:hint="eastAsia"/>
        </w:rPr>
        <w:t>相关技术指标必须达到国家标准，不接受负下差，内层护套与外层护套颜色区分开</w:t>
      </w:r>
    </w:p>
    <w:p>
      <w:pPr>
        <w:pStyle w:val="2"/>
        <w:rPr>
          <w:rFonts w:hint="eastAsia" w:eastAsiaTheme="minorEastAsia"/>
        </w:rPr>
      </w:pPr>
    </w:p>
    <w:p>
      <w:pPr>
        <w:pStyle w:val="2"/>
        <w:rPr>
          <w:rFonts w:hint="eastAsia" w:eastAsiaTheme="minorEastAsia"/>
        </w:rPr>
      </w:pPr>
    </w:p>
    <w:p>
      <w:pPr>
        <w:pStyle w:val="2"/>
        <w:rPr>
          <w:rFonts w:hint="eastAsia" w:eastAsiaTheme="minorEastAsia"/>
        </w:rPr>
      </w:pPr>
    </w:p>
    <w:p>
      <w:pPr>
        <w:pStyle w:val="2"/>
        <w:rPr>
          <w:rFonts w:hint="eastAsia" w:eastAsiaTheme="minorEastAsia"/>
        </w:rPr>
      </w:pPr>
    </w:p>
    <w:p>
      <w:pPr>
        <w:pStyle w:val="2"/>
        <w:rPr>
          <w:rFonts w:hint="eastAsia" w:eastAsiaTheme="minorEastAsia"/>
        </w:rPr>
      </w:pPr>
    </w:p>
    <w:p>
      <w:pPr>
        <w:pStyle w:val="2"/>
        <w:rPr>
          <w:rFonts w:hint="eastAsia" w:eastAsiaTheme="minorEastAsia"/>
        </w:rPr>
      </w:pPr>
    </w:p>
    <w:p>
      <w:pPr>
        <w:pStyle w:val="2"/>
        <w:rPr>
          <w:rFonts w:hint="eastAsia" w:eastAsiaTheme="minorEastAsia"/>
        </w:rPr>
      </w:pPr>
    </w:p>
    <w:p>
      <w:pPr>
        <w:pStyle w:val="2"/>
        <w:rPr>
          <w:rFonts w:hint="eastAsia" w:eastAsiaTheme="minorEastAsia"/>
        </w:rPr>
      </w:pPr>
    </w:p>
    <w:p>
      <w:pPr>
        <w:pStyle w:val="2"/>
        <w:rPr>
          <w:rFonts w:hint="eastAsia" w:eastAsiaTheme="minorEastAsia"/>
        </w:rPr>
      </w:pPr>
    </w:p>
    <w:p>
      <w:pPr>
        <w:pStyle w:val="3"/>
        <w:keepNext/>
        <w:keepLines/>
        <w:pageBreakBefore/>
        <w:widowControl w:val="0"/>
        <w:kinsoku/>
        <w:wordWrap/>
        <w:overflowPunct/>
        <w:topLinePunct w:val="0"/>
        <w:autoSpaceDE/>
        <w:autoSpaceDN/>
        <w:bidi w:val="0"/>
        <w:adjustRightInd/>
        <w:snapToGrid/>
        <w:spacing w:line="360" w:lineRule="auto"/>
        <w:jc w:val="center"/>
        <w:textAlignment w:val="auto"/>
      </w:pPr>
      <w:r>
        <w:rPr>
          <w:rFonts w:hint="eastAsia"/>
        </w:rPr>
        <w:t>第四部分合同格式</w:t>
      </w:r>
      <w:bookmarkEnd w:id="13"/>
    </w:p>
    <w:p>
      <w:pPr>
        <w:spacing w:line="360" w:lineRule="auto"/>
        <w:jc w:val="center"/>
        <w:rPr>
          <w:b/>
          <w:sz w:val="72"/>
        </w:rPr>
      </w:pPr>
      <w:r>
        <w:rPr>
          <w:b/>
          <w:sz w:val="72"/>
        </w:rPr>
        <w:t>采购合同</w:t>
      </w:r>
    </w:p>
    <w:p>
      <w:pPr>
        <w:spacing w:line="360" w:lineRule="auto"/>
        <w:jc w:val="center"/>
        <w:rPr>
          <w:b/>
          <w:sz w:val="30"/>
        </w:rPr>
      </w:pPr>
      <w:r>
        <w:rPr>
          <w:rFonts w:hint="eastAsia"/>
          <w:b/>
          <w:sz w:val="30"/>
        </w:rPr>
        <w:t>（竞争性磋商：货物类）</w:t>
      </w:r>
    </w:p>
    <w:p>
      <w:pPr>
        <w:spacing w:line="360" w:lineRule="auto"/>
        <w:jc w:val="center"/>
        <w:rPr>
          <w:b/>
          <w:sz w:val="36"/>
        </w:rPr>
      </w:pPr>
    </w:p>
    <w:p>
      <w:pPr>
        <w:spacing w:line="360" w:lineRule="auto"/>
        <w:jc w:val="center"/>
        <w:rPr>
          <w:b/>
          <w:sz w:val="36"/>
        </w:rPr>
      </w:pPr>
    </w:p>
    <w:p>
      <w:pPr>
        <w:spacing w:line="360" w:lineRule="auto"/>
        <w:jc w:val="center"/>
        <w:rPr>
          <w:b/>
          <w:sz w:val="36"/>
        </w:rPr>
      </w:pPr>
    </w:p>
    <w:p>
      <w:pPr>
        <w:spacing w:line="360" w:lineRule="auto"/>
        <w:jc w:val="center"/>
        <w:rPr>
          <w:b/>
          <w:sz w:val="36"/>
        </w:rPr>
      </w:pPr>
    </w:p>
    <w:p>
      <w:pPr>
        <w:tabs>
          <w:tab w:val="left" w:pos="7360"/>
        </w:tabs>
        <w:spacing w:line="360" w:lineRule="auto"/>
        <w:rPr>
          <w:b/>
          <w:sz w:val="36"/>
        </w:rPr>
      </w:pPr>
      <w:r>
        <w:rPr>
          <w:b/>
          <w:sz w:val="36"/>
        </w:rPr>
        <w:tab/>
      </w:r>
    </w:p>
    <w:p>
      <w:pPr>
        <w:spacing w:line="360" w:lineRule="auto"/>
        <w:ind w:firstLine="723" w:firstLineChars="200"/>
        <w:rPr>
          <w:b/>
          <w:sz w:val="36"/>
          <w:u w:val="single"/>
        </w:rPr>
      </w:pPr>
      <w:r>
        <w:rPr>
          <w:rFonts w:hint="eastAsia"/>
          <w:b/>
          <w:sz w:val="36"/>
        </w:rPr>
        <w:t>项目名称:</w:t>
      </w:r>
      <w:r>
        <w:rPr>
          <w:rFonts w:hint="eastAsia"/>
          <w:b/>
          <w:sz w:val="36"/>
          <w:u w:val="single"/>
        </w:rPr>
        <w:t xml:space="preserve">                                </w:t>
      </w:r>
    </w:p>
    <w:p>
      <w:pPr>
        <w:spacing w:line="360" w:lineRule="auto"/>
        <w:ind w:firstLine="885" w:firstLineChars="245"/>
        <w:rPr>
          <w:b/>
          <w:sz w:val="36"/>
        </w:rPr>
      </w:pPr>
    </w:p>
    <w:p>
      <w:pPr>
        <w:spacing w:line="360" w:lineRule="auto"/>
        <w:ind w:firstLine="723" w:firstLineChars="200"/>
        <w:rPr>
          <w:b/>
          <w:sz w:val="36"/>
          <w:u w:val="single"/>
        </w:rPr>
      </w:pPr>
      <w:r>
        <w:rPr>
          <w:rFonts w:hint="eastAsia"/>
          <w:b/>
          <w:sz w:val="36"/>
        </w:rPr>
        <w:t>项目编号:</w:t>
      </w:r>
      <w:r>
        <w:rPr>
          <w:rFonts w:hint="eastAsia"/>
          <w:b/>
          <w:sz w:val="36"/>
          <w:u w:val="single"/>
        </w:rPr>
        <w:t xml:space="preserve">                                </w:t>
      </w:r>
    </w:p>
    <w:p>
      <w:pPr>
        <w:spacing w:line="360" w:lineRule="auto"/>
        <w:ind w:firstLine="1081" w:firstLineChars="299"/>
        <w:rPr>
          <w:b/>
          <w:sz w:val="36"/>
        </w:rPr>
      </w:pPr>
    </w:p>
    <w:p>
      <w:pPr>
        <w:spacing w:line="360" w:lineRule="auto"/>
        <w:ind w:firstLine="1081" w:firstLineChars="299"/>
        <w:rPr>
          <w:b/>
          <w:sz w:val="36"/>
        </w:rPr>
      </w:pPr>
    </w:p>
    <w:p>
      <w:pPr>
        <w:spacing w:line="360" w:lineRule="auto"/>
        <w:ind w:firstLine="1081" w:firstLineChars="299"/>
        <w:rPr>
          <w:b/>
          <w:sz w:val="36"/>
        </w:rPr>
      </w:pPr>
    </w:p>
    <w:p>
      <w:pPr>
        <w:spacing w:line="360" w:lineRule="auto"/>
        <w:ind w:firstLine="2597" w:firstLineChars="1176"/>
        <w:rPr>
          <w:b/>
          <w:sz w:val="22"/>
        </w:rPr>
      </w:pPr>
      <w:r>
        <w:rPr>
          <w:rFonts w:hint="eastAsia"/>
          <w:b/>
          <w:sz w:val="22"/>
        </w:rPr>
        <w:t>甲    方:</w:t>
      </w:r>
      <w:r>
        <w:rPr>
          <w:rFonts w:hint="eastAsia"/>
          <w:b/>
          <w:sz w:val="22"/>
          <w:u w:val="single"/>
        </w:rPr>
        <w:t xml:space="preserve">                       </w:t>
      </w:r>
    </w:p>
    <w:p>
      <w:pPr>
        <w:spacing w:beforeLines="100" w:line="360" w:lineRule="auto"/>
        <w:ind w:firstLine="2597" w:firstLineChars="1176"/>
        <w:rPr>
          <w:b/>
          <w:sz w:val="18"/>
          <w:u w:val="single"/>
        </w:rPr>
      </w:pPr>
      <w:r>
        <w:rPr>
          <w:rFonts w:hint="eastAsia"/>
          <w:b/>
          <w:sz w:val="22"/>
        </w:rPr>
        <w:t>乙    方:</w:t>
      </w:r>
      <w:r>
        <w:rPr>
          <w:rFonts w:hint="eastAsia"/>
          <w:b/>
          <w:sz w:val="22"/>
          <w:u w:val="single"/>
        </w:rPr>
        <w:t xml:space="preserve">                 </w:t>
      </w:r>
      <w:r>
        <w:rPr>
          <w:rFonts w:hint="eastAsia"/>
          <w:bCs/>
          <w:sz w:val="22"/>
          <w:u w:val="single"/>
        </w:rPr>
        <w:t xml:space="preserve">     </w:t>
      </w:r>
    </w:p>
    <w:p>
      <w:pPr>
        <w:spacing w:beforeLines="100" w:line="360" w:lineRule="auto"/>
        <w:ind w:left="410" w:leftChars="171" w:firstLine="2164" w:firstLineChars="980"/>
        <w:rPr>
          <w:bCs/>
          <w:sz w:val="36"/>
          <w:u w:val="single"/>
        </w:rPr>
      </w:pPr>
      <w:r>
        <w:rPr>
          <w:rFonts w:hint="eastAsia"/>
          <w:b/>
          <w:bCs/>
          <w:sz w:val="22"/>
        </w:rPr>
        <w:t>合同签订日期</w:t>
      </w:r>
      <w:r>
        <w:rPr>
          <w:rFonts w:hint="eastAsia"/>
          <w:bCs/>
          <w:sz w:val="22"/>
        </w:rPr>
        <w:t>：</w:t>
      </w:r>
      <w:r>
        <w:rPr>
          <w:rFonts w:hint="eastAsia"/>
          <w:bCs/>
          <w:sz w:val="22"/>
          <w:u w:val="single"/>
        </w:rPr>
        <w:t xml:space="preserve"> </w:t>
      </w:r>
      <w:r>
        <w:rPr>
          <w:rFonts w:hint="eastAsia"/>
          <w:bCs/>
          <w:sz w:val="36"/>
          <w:u w:val="single"/>
        </w:rPr>
        <w:t xml:space="preserve">                          </w:t>
      </w:r>
    </w:p>
    <w:p>
      <w:pPr>
        <w:spacing w:beforeLines="100" w:line="360" w:lineRule="auto"/>
        <w:ind w:left="410" w:leftChars="171" w:firstLine="540" w:firstLineChars="150"/>
        <w:rPr>
          <w:bCs/>
          <w:sz w:val="36"/>
          <w:u w:val="single"/>
        </w:rPr>
      </w:pPr>
      <w:r>
        <w:rPr>
          <w:bCs/>
          <w:sz w:val="36"/>
          <w:u w:val="single"/>
        </w:rPr>
        <w:br w:type="page"/>
      </w:r>
      <w:r>
        <w:rPr>
          <w:rFonts w:hint="eastAsia"/>
          <w:bCs/>
          <w:u w:val="single"/>
        </w:rPr>
        <w:t xml:space="preserve">    </w:t>
      </w:r>
      <w:r>
        <w:rPr>
          <w:rFonts w:hint="eastAsia"/>
          <w:u w:val="single"/>
        </w:rPr>
        <w:t>（</w:t>
      </w:r>
      <w:r>
        <w:rPr>
          <w:rFonts w:hint="eastAsia"/>
          <w:bCs/>
          <w:u w:val="single"/>
        </w:rPr>
        <w:t xml:space="preserve">甲方）   </w:t>
      </w:r>
      <w:r>
        <w:rPr>
          <w:rFonts w:hint="eastAsia"/>
          <w:bCs/>
        </w:rPr>
        <w:t xml:space="preserve">所需 </w:t>
      </w:r>
      <w:r>
        <w:rPr>
          <w:rFonts w:hint="eastAsia"/>
          <w:bCs/>
          <w:u w:val="single"/>
        </w:rPr>
        <w:t xml:space="preserve">    （项目名称)   </w:t>
      </w:r>
      <w:r>
        <w:rPr>
          <w:rFonts w:hint="eastAsia"/>
          <w:bCs/>
        </w:rPr>
        <w:t>经招标在国内以</w:t>
      </w:r>
      <w:r>
        <w:rPr>
          <w:rFonts w:hint="eastAsia"/>
          <w:bCs/>
          <w:u w:val="single"/>
        </w:rPr>
        <w:t>竞争性磋商方式</w:t>
      </w:r>
      <w:r>
        <w:rPr>
          <w:rFonts w:hint="eastAsia"/>
          <w:bCs/>
        </w:rPr>
        <w:t>进行采购，项目编号：</w:t>
      </w:r>
      <w:r>
        <w:rPr>
          <w:rFonts w:hint="eastAsia" w:ascii="??" w:hAnsi="??"/>
          <w:u w:val="single"/>
        </w:rPr>
        <w:t xml:space="preserve">        </w:t>
      </w:r>
      <w:r>
        <w:rPr>
          <w:rFonts w:hint="eastAsia"/>
          <w:bCs/>
        </w:rPr>
        <w:t>，经磋商小组确定</w:t>
      </w:r>
      <w:r>
        <w:rPr>
          <w:rFonts w:hint="eastAsia"/>
          <w:bCs/>
          <w:u w:val="single"/>
        </w:rPr>
        <w:t xml:space="preserve">   （乙方）   </w:t>
      </w:r>
      <w:r>
        <w:rPr>
          <w:rFonts w:hint="eastAsia"/>
          <w:bCs/>
        </w:rPr>
        <w:t>为成交供应商。甲、乙双方根据《中华人民共和国合同法》、《中华人民共和国政府采购法》、《中华人民共和国招标投标法》和其他法律、法规的规定，并按照公正、平等、自愿、诚实信用的原则，同意按照以下条款和条件，签署本合同。</w:t>
      </w:r>
    </w:p>
    <w:p>
      <w:pPr>
        <w:spacing w:line="360" w:lineRule="auto"/>
        <w:ind w:firstLine="501" w:firstLineChars="208"/>
        <w:rPr>
          <w:b/>
          <w:bCs/>
        </w:rPr>
      </w:pPr>
      <w:r>
        <w:rPr>
          <w:rFonts w:hint="eastAsia"/>
          <w:b/>
          <w:bCs/>
        </w:rPr>
        <w:t>一、本合同由合同文本和下列文件组成</w:t>
      </w:r>
    </w:p>
    <w:p>
      <w:pPr>
        <w:spacing w:line="360" w:lineRule="auto"/>
        <w:ind w:firstLine="480"/>
      </w:pPr>
      <w:r>
        <w:rPr>
          <w:rFonts w:hint="eastAsia"/>
        </w:rPr>
        <w:t>1、竞争性磋商文件</w:t>
      </w:r>
    </w:p>
    <w:p>
      <w:pPr>
        <w:spacing w:line="360" w:lineRule="auto"/>
        <w:ind w:firstLine="480"/>
      </w:pPr>
      <w:r>
        <w:rPr>
          <w:rFonts w:hint="eastAsia"/>
        </w:rPr>
        <w:t>2、成交供应商响应文件</w:t>
      </w:r>
    </w:p>
    <w:p>
      <w:pPr>
        <w:spacing w:line="360" w:lineRule="auto"/>
        <w:ind w:firstLine="480"/>
      </w:pPr>
      <w:r>
        <w:rPr>
          <w:rFonts w:hint="eastAsia"/>
        </w:rPr>
        <w:t>3、成交通知书</w:t>
      </w:r>
    </w:p>
    <w:p>
      <w:pPr>
        <w:spacing w:line="360" w:lineRule="auto"/>
        <w:ind w:firstLine="480"/>
      </w:pPr>
      <w:r>
        <w:rPr>
          <w:rFonts w:hint="eastAsia"/>
        </w:rPr>
        <w:t>4、成交供应商在谈判过程中做出的书面澄清或承诺</w:t>
      </w:r>
    </w:p>
    <w:p>
      <w:pPr>
        <w:spacing w:line="360" w:lineRule="auto"/>
        <w:ind w:firstLine="480"/>
      </w:pPr>
      <w:r>
        <w:rPr>
          <w:rFonts w:hint="eastAsia"/>
        </w:rPr>
        <w:t>5、本合同附件</w:t>
      </w:r>
    </w:p>
    <w:p>
      <w:pPr>
        <w:spacing w:line="360" w:lineRule="auto"/>
        <w:ind w:firstLine="501" w:firstLineChars="208"/>
        <w:rPr>
          <w:u w:val="single"/>
        </w:rPr>
      </w:pPr>
      <w:r>
        <w:rPr>
          <w:rFonts w:hint="eastAsia"/>
          <w:b/>
          <w:bCs/>
        </w:rPr>
        <w:t>二、产品的名称、数量、单价、规格和标准（详细清单见附件）</w:t>
      </w:r>
      <w:r>
        <w:rPr>
          <w:rFonts w:hint="eastAsia"/>
          <w:u w:val="single"/>
        </w:rPr>
        <w:t xml:space="preserve">                                                                                                                                                      </w:t>
      </w:r>
    </w:p>
    <w:p>
      <w:pPr>
        <w:spacing w:line="360" w:lineRule="auto"/>
        <w:ind w:firstLine="501" w:firstLineChars="208"/>
        <w:rPr>
          <w:b/>
        </w:rPr>
      </w:pPr>
      <w:r>
        <w:rPr>
          <w:rFonts w:hint="eastAsia"/>
          <w:b/>
          <w:bCs/>
        </w:rPr>
        <w:t>三、合同金额</w:t>
      </w:r>
    </w:p>
    <w:p>
      <w:pPr>
        <w:spacing w:line="360" w:lineRule="auto"/>
        <w:ind w:firstLine="955"/>
      </w:pPr>
      <w:r>
        <w:rPr>
          <w:rFonts w:hint="eastAsia"/>
        </w:rPr>
        <w:t xml:space="preserve">最总报价：人民币 </w:t>
      </w:r>
      <w:r>
        <w:rPr>
          <w:rFonts w:hint="eastAsia"/>
          <w:u w:val="single"/>
        </w:rPr>
        <w:t xml:space="preserve">                    元</w:t>
      </w:r>
      <w:r>
        <w:rPr>
          <w:rFonts w:hint="eastAsia"/>
        </w:rPr>
        <w:t>（大写）</w:t>
      </w:r>
    </w:p>
    <w:p>
      <w:pPr>
        <w:spacing w:line="360" w:lineRule="auto"/>
        <w:ind w:firstLine="955"/>
      </w:pPr>
      <w:r>
        <w:rPr>
          <w:rFonts w:hint="eastAsia"/>
        </w:rPr>
        <w:t xml:space="preserve">          人民币 </w:t>
      </w:r>
      <w:r>
        <w:rPr>
          <w:rFonts w:hint="eastAsia"/>
          <w:u w:val="single"/>
        </w:rPr>
        <w:t xml:space="preserve">                    元</w:t>
      </w:r>
      <w:r>
        <w:rPr>
          <w:rFonts w:hint="eastAsia"/>
        </w:rPr>
        <w:t>（小写）</w:t>
      </w:r>
    </w:p>
    <w:p>
      <w:pPr>
        <w:spacing w:line="360" w:lineRule="auto"/>
        <w:ind w:firstLine="501" w:firstLineChars="208"/>
        <w:rPr>
          <w:b/>
        </w:rPr>
      </w:pPr>
      <w:r>
        <w:rPr>
          <w:rFonts w:hint="eastAsia"/>
          <w:b/>
        </w:rPr>
        <w:t xml:space="preserve">四、货款支付  </w:t>
      </w:r>
    </w:p>
    <w:p>
      <w:pPr>
        <w:spacing w:line="360" w:lineRule="auto"/>
        <w:ind w:firstLine="480" w:firstLineChars="200"/>
      </w:pPr>
      <w:r>
        <w:rPr>
          <w:rFonts w:hint="eastAsia"/>
        </w:rPr>
        <w:t>付款方式：</w:t>
      </w:r>
    </w:p>
    <w:p>
      <w:pPr>
        <w:spacing w:line="360" w:lineRule="auto"/>
        <w:ind w:firstLine="480" w:firstLineChars="200"/>
        <w:rPr>
          <w:b/>
          <w:bCs/>
        </w:rPr>
      </w:pPr>
      <w:r>
        <w:rPr>
          <w:rFonts w:hint="eastAsia"/>
        </w:rPr>
        <w:t xml:space="preserve"> </w:t>
      </w:r>
      <w:r>
        <w:rPr>
          <w:rFonts w:hint="eastAsia"/>
          <w:b/>
          <w:bCs/>
        </w:rPr>
        <w:t>五、服务期</w:t>
      </w:r>
    </w:p>
    <w:p>
      <w:pPr>
        <w:spacing w:line="360" w:lineRule="auto"/>
        <w:ind w:firstLine="480" w:firstLineChars="200"/>
      </w:pPr>
      <w:r>
        <w:rPr>
          <w:rFonts w:hint="eastAsia"/>
        </w:rPr>
        <w:t>1、服务期限：  ；</w:t>
      </w:r>
    </w:p>
    <w:p>
      <w:pPr>
        <w:spacing w:line="360" w:lineRule="auto"/>
        <w:ind w:firstLine="480" w:firstLineChars="200"/>
      </w:pPr>
      <w:r>
        <w:rPr>
          <w:rFonts w:hint="eastAsia"/>
        </w:rPr>
        <w:t>2、供货期：   。</w:t>
      </w:r>
    </w:p>
    <w:p>
      <w:pPr>
        <w:spacing w:line="360" w:lineRule="auto"/>
        <w:ind w:firstLine="482" w:firstLineChars="200"/>
      </w:pPr>
      <w:r>
        <w:rPr>
          <w:rFonts w:hint="eastAsia"/>
          <w:b/>
          <w:bCs/>
        </w:rPr>
        <w:t>六、质量要求</w:t>
      </w:r>
    </w:p>
    <w:p>
      <w:pPr>
        <w:spacing w:line="360" w:lineRule="auto"/>
        <w:ind w:firstLine="480" w:firstLineChars="200"/>
      </w:pPr>
      <w:r>
        <w:rPr>
          <w:rFonts w:hint="eastAsia"/>
        </w:rPr>
        <w:t>合格，且应符合竞争性磋商文件、响应文件及乙方在评标过程中做出的书面澄清及承诺。</w:t>
      </w:r>
    </w:p>
    <w:p>
      <w:pPr>
        <w:tabs>
          <w:tab w:val="left" w:pos="382"/>
        </w:tabs>
        <w:spacing w:line="360" w:lineRule="auto"/>
        <w:ind w:left="324" w:leftChars="135" w:firstLine="99"/>
        <w:rPr>
          <w:b/>
          <w:bCs/>
        </w:rPr>
      </w:pPr>
      <w:r>
        <w:rPr>
          <w:rFonts w:hint="eastAsia"/>
          <w:b/>
          <w:bCs/>
        </w:rPr>
        <w:t>七、包装</w:t>
      </w:r>
    </w:p>
    <w:p>
      <w:pPr>
        <w:spacing w:line="360" w:lineRule="auto"/>
        <w:ind w:firstLine="480" w:firstLineChars="200"/>
      </w:pPr>
      <w:r>
        <w:rPr>
          <w:rFonts w:hint="eastAsia"/>
        </w:rPr>
        <w:t>按照产品的包装应按照国家或业务主管部门的技术规定执行，国家或业务主管部门无技术规定的，应当按双方约定采取足以保护产品安全、完好的包装方式。</w:t>
      </w:r>
    </w:p>
    <w:p>
      <w:pPr>
        <w:spacing w:line="360" w:lineRule="auto"/>
        <w:ind w:left="434" w:leftChars="181" w:firstLine="2"/>
        <w:rPr>
          <w:b/>
          <w:bCs/>
        </w:rPr>
      </w:pPr>
      <w:r>
        <w:rPr>
          <w:rFonts w:hint="eastAsia"/>
          <w:b/>
          <w:bCs/>
        </w:rPr>
        <w:t>八、运输要求</w:t>
      </w:r>
    </w:p>
    <w:p>
      <w:pPr>
        <w:spacing w:line="360" w:lineRule="auto"/>
        <w:ind w:left="434" w:leftChars="181" w:firstLine="2"/>
      </w:pPr>
      <w:r>
        <w:rPr>
          <w:rFonts w:hint="eastAsia"/>
        </w:rPr>
        <w:t>1、运输方式及线路：由乙方自定。</w:t>
      </w:r>
    </w:p>
    <w:p>
      <w:pPr>
        <w:spacing w:line="360" w:lineRule="auto"/>
        <w:ind w:left="434" w:leftChars="181" w:firstLine="2"/>
        <w:rPr>
          <w:b/>
          <w:bCs/>
        </w:rPr>
      </w:pPr>
      <w:r>
        <w:rPr>
          <w:rFonts w:hint="eastAsia"/>
        </w:rPr>
        <w:t>2、运输及相关费用由乙方承担。</w:t>
      </w:r>
    </w:p>
    <w:p>
      <w:pPr>
        <w:spacing w:line="360" w:lineRule="auto"/>
        <w:ind w:left="434" w:leftChars="181" w:firstLine="2"/>
        <w:rPr>
          <w:b/>
          <w:bCs/>
        </w:rPr>
      </w:pPr>
      <w:r>
        <w:rPr>
          <w:rFonts w:hint="eastAsia"/>
          <w:b/>
          <w:bCs/>
        </w:rPr>
        <w:t>九、知识产权</w:t>
      </w:r>
    </w:p>
    <w:p>
      <w:pPr>
        <w:spacing w:line="360" w:lineRule="auto"/>
        <w:ind w:firstLine="480" w:firstLineChars="200"/>
      </w:pPr>
      <w:r>
        <w:rPr>
          <w:rFonts w:hint="eastAsia"/>
        </w:rPr>
        <w:t>乙方应保证甲方在中国境内使用产品或产品的任何一部分时，免受第三方提出的侵犯其知识产权的诉讼。</w:t>
      </w:r>
    </w:p>
    <w:p>
      <w:pPr>
        <w:spacing w:line="360" w:lineRule="auto"/>
        <w:ind w:left="324" w:leftChars="135" w:firstLine="97"/>
        <w:rPr>
          <w:b/>
          <w:bCs/>
        </w:rPr>
      </w:pPr>
      <w:r>
        <w:rPr>
          <w:rFonts w:hint="eastAsia"/>
          <w:b/>
          <w:bCs/>
        </w:rPr>
        <w:t>十、验收</w:t>
      </w:r>
    </w:p>
    <w:p>
      <w:pPr>
        <w:tabs>
          <w:tab w:val="left" w:pos="764"/>
        </w:tabs>
        <w:spacing w:line="360" w:lineRule="auto"/>
        <w:ind w:firstLine="480" w:firstLineChars="200"/>
      </w:pPr>
      <w:r>
        <w:rPr>
          <w:rFonts w:hint="eastAsia"/>
        </w:rPr>
        <w:t>1、产品到达交货地点交付后，甲方和乙方在 2 日内共同检验产品数量和质量等状况，由乙方负责并承担相应的费用，甲方应积极配合。乙方进行安装调试后，由甲方联合验收小组验收。验收合格后，甲、乙双方在《验收报告》上签字确认。</w:t>
      </w:r>
    </w:p>
    <w:p>
      <w:pPr>
        <w:tabs>
          <w:tab w:val="left" w:pos="955"/>
        </w:tabs>
        <w:spacing w:line="360" w:lineRule="auto"/>
        <w:ind w:firstLine="480" w:firstLineChars="200"/>
      </w:pPr>
      <w:r>
        <w:rPr>
          <w:rFonts w:hint="eastAsia"/>
        </w:rPr>
        <w:t>2、对产品的外观质量问题，甲方应在发现和应当发现之日起30日内向乙方提出书面异议，乙方在接到书面异议后，应当在2日内负责处理。甲方逾期提出的，对所交产品视为符合合同的规定。</w:t>
      </w:r>
    </w:p>
    <w:p>
      <w:pPr>
        <w:spacing w:line="360" w:lineRule="auto"/>
        <w:ind w:firstLine="480" w:firstLineChars="200"/>
      </w:pPr>
      <w:r>
        <w:rPr>
          <w:rFonts w:hint="eastAsia"/>
        </w:rPr>
        <w:t>3、经双方共同验收，产品达不到质量或规格要求的，甲方可以拒收，并可以解除合同或扣留履约保证金。</w:t>
      </w:r>
    </w:p>
    <w:p>
      <w:pPr>
        <w:tabs>
          <w:tab w:val="left" w:pos="573"/>
        </w:tabs>
        <w:spacing w:line="360" w:lineRule="auto"/>
        <w:ind w:left="434" w:leftChars="181" w:firstLine="7"/>
        <w:rPr>
          <w:b/>
          <w:bCs/>
        </w:rPr>
      </w:pPr>
      <w:r>
        <w:rPr>
          <w:rFonts w:hint="eastAsia"/>
          <w:b/>
          <w:bCs/>
        </w:rPr>
        <w:t>十一、售后服务</w:t>
      </w:r>
    </w:p>
    <w:p>
      <w:pPr>
        <w:spacing w:line="360" w:lineRule="auto"/>
        <w:ind w:firstLine="600" w:firstLineChars="250"/>
      </w:pPr>
      <w:r>
        <w:rPr>
          <w:rFonts w:hint="eastAsia"/>
        </w:rPr>
        <w:t>1、乙方应按竞争性磋商文件、响应文件及乙方在询标过程中做出的书面说明或承诺提供及时、快速、优质的售后服务。</w:t>
      </w:r>
    </w:p>
    <w:p>
      <w:pPr>
        <w:spacing w:line="360" w:lineRule="auto"/>
        <w:ind w:firstLine="600" w:firstLineChars="250"/>
        <w:rPr>
          <w:u w:val="single"/>
        </w:rPr>
      </w:pPr>
      <w:r>
        <w:rPr>
          <w:rFonts w:hint="eastAsia"/>
        </w:rPr>
        <w:t>2、其他售后服务内容：</w:t>
      </w:r>
      <w:r>
        <w:rPr>
          <w:rFonts w:hint="eastAsia"/>
          <w:u w:val="single"/>
        </w:rPr>
        <w:t xml:space="preserve">                                                                                                                                                                                                                                   </w:t>
      </w:r>
    </w:p>
    <w:p>
      <w:pPr>
        <w:spacing w:line="360" w:lineRule="auto"/>
        <w:ind w:left="434" w:leftChars="181"/>
        <w:rPr>
          <w:b/>
          <w:bCs/>
        </w:rPr>
      </w:pPr>
      <w:r>
        <w:rPr>
          <w:rFonts w:hint="eastAsia"/>
          <w:b/>
          <w:bCs/>
        </w:rPr>
        <w:t>十二、合同生效</w:t>
      </w:r>
    </w:p>
    <w:p>
      <w:pPr>
        <w:spacing w:line="360" w:lineRule="auto"/>
        <w:ind w:firstLine="600" w:firstLineChars="250"/>
        <w:rPr>
          <w:rFonts w:hint="default" w:eastAsia="宋体"/>
          <w:highlight w:val="none"/>
          <w:lang w:val="en-US" w:eastAsia="zh-CN"/>
        </w:rPr>
      </w:pPr>
      <w:r>
        <w:rPr>
          <w:rFonts w:hint="eastAsia"/>
          <w:highlight w:val="none"/>
        </w:rPr>
        <w:t>本合同</w:t>
      </w:r>
      <w:r>
        <w:rPr>
          <w:rFonts w:hint="eastAsia"/>
          <w:highlight w:val="none"/>
          <w:lang w:val="en-US" w:eastAsia="zh-CN"/>
        </w:rPr>
        <w:t>自双方签字盖章之日起生效。</w:t>
      </w:r>
    </w:p>
    <w:p>
      <w:pPr>
        <w:spacing w:line="360" w:lineRule="auto"/>
        <w:ind w:firstLine="482" w:firstLineChars="200"/>
        <w:rPr>
          <w:b/>
          <w:bCs/>
          <w:highlight w:val="none"/>
        </w:rPr>
      </w:pPr>
      <w:r>
        <w:rPr>
          <w:rFonts w:hint="eastAsia"/>
          <w:b/>
          <w:bCs/>
          <w:highlight w:val="none"/>
        </w:rPr>
        <w:t>十三、违约条款</w:t>
      </w:r>
    </w:p>
    <w:p>
      <w:pPr>
        <w:tabs>
          <w:tab w:val="left" w:pos="1146"/>
        </w:tabs>
        <w:spacing w:line="360" w:lineRule="auto"/>
        <w:ind w:firstLine="480" w:firstLineChars="200"/>
      </w:pPr>
      <w:r>
        <w:rPr>
          <w:rFonts w:hint="eastAsia"/>
        </w:rPr>
        <w:t>1、乙方延迟交货，每延迟1日，按合同额1%支付违约金。</w:t>
      </w:r>
    </w:p>
    <w:p>
      <w:pPr>
        <w:tabs>
          <w:tab w:val="left" w:pos="573"/>
          <w:tab w:val="left" w:pos="764"/>
        </w:tabs>
        <w:spacing w:line="360" w:lineRule="auto"/>
        <w:ind w:firstLine="480" w:firstLineChars="200"/>
      </w:pPr>
      <w:r>
        <w:rPr>
          <w:rFonts w:hint="eastAsia"/>
        </w:rPr>
        <w:t>2、乙方履行合同不符合规定，除应按合同约定及时调换外，在调换产品期间，应按调换产品金额每日1%向甲方支付违约金。</w:t>
      </w:r>
    </w:p>
    <w:p>
      <w:pPr>
        <w:spacing w:line="360" w:lineRule="auto"/>
        <w:ind w:firstLine="480" w:firstLineChars="200"/>
      </w:pPr>
      <w:r>
        <w:rPr>
          <w:rFonts w:hint="eastAsia"/>
        </w:rPr>
        <w:t>3、</w:t>
      </w:r>
      <w:r>
        <w:t>一方不按期履行合同，并经另一方提示后30日内仍不履行合同的，守约方有权解除合同，违约方要承担相应的赔偿责任</w:t>
      </w:r>
      <w:r>
        <w:rPr>
          <w:rFonts w:hint="eastAsia"/>
        </w:rPr>
        <w:t>。</w:t>
      </w:r>
    </w:p>
    <w:p>
      <w:pPr>
        <w:spacing w:line="360" w:lineRule="auto"/>
        <w:ind w:firstLine="480" w:firstLineChars="200"/>
      </w:pPr>
      <w:r>
        <w:rPr>
          <w:rFonts w:hint="eastAsia"/>
        </w:rPr>
        <w:t>如乙方违约，甲方有权扣除乙方履约保证金，履约保证金不足部分，甲方保留追索的权利。如甲方违约，甲方应将履约保证金退给乙方。</w:t>
      </w:r>
    </w:p>
    <w:p>
      <w:pPr>
        <w:spacing w:line="360" w:lineRule="auto"/>
        <w:ind w:firstLine="480" w:firstLineChars="200"/>
      </w:pPr>
      <w:r>
        <w:rPr>
          <w:rFonts w:hint="eastAsia"/>
        </w:rPr>
        <w:t>4、如因一方违约，双方未能就赔偿损失达成协议，引起诉讼或仲裁时，违约方除应赔偿对方经济损失外，还应承担对方因诉讼或仲裁所支付的律师代理费等相关费用。</w:t>
      </w:r>
    </w:p>
    <w:p>
      <w:pPr>
        <w:spacing w:line="360" w:lineRule="auto"/>
        <w:ind w:firstLine="480" w:firstLineChars="200"/>
      </w:pPr>
      <w:r>
        <w:rPr>
          <w:rFonts w:hint="eastAsia"/>
        </w:rPr>
        <w:t>5、其它应承担的违约责任，以《中华人民共和国合同法》和其它有关法律、法规规定为准，无相关规定的，双方协商解决。</w:t>
      </w:r>
    </w:p>
    <w:p>
      <w:pPr>
        <w:spacing w:line="360" w:lineRule="auto"/>
        <w:ind w:firstLine="480" w:firstLineChars="200"/>
      </w:pPr>
      <w:r>
        <w:rPr>
          <w:rFonts w:hint="eastAsia"/>
        </w:rPr>
        <w:t>6、按照本合同规定应该偿付的违约金、赔偿金等，应当在明确责任后10日内，按银行规定或双方商定的结算办法付清，否则按逾期付款处理。</w:t>
      </w:r>
    </w:p>
    <w:p>
      <w:pPr>
        <w:spacing w:line="360" w:lineRule="auto"/>
        <w:ind w:left="434" w:leftChars="181"/>
        <w:rPr>
          <w:b/>
          <w:bCs/>
        </w:rPr>
      </w:pPr>
      <w:r>
        <w:rPr>
          <w:rFonts w:hint="eastAsia"/>
          <w:b/>
          <w:bCs/>
        </w:rPr>
        <w:t>十四、不可抗力条款</w:t>
      </w:r>
    </w:p>
    <w:p>
      <w:pPr>
        <w:spacing w:line="360" w:lineRule="auto"/>
        <w:ind w:firstLine="480" w:firstLineChars="200"/>
      </w:pPr>
      <w:r>
        <w:rPr>
          <w:rFonts w:hint="eastAsia"/>
        </w:rPr>
        <w:t>因不可抗力致使一方不能及时或完全履行合同的，应及时通知另一方，双方互不承担责任，并在15天内提供有关不可抗力的相应证明。</w:t>
      </w:r>
    </w:p>
    <w:p>
      <w:pPr>
        <w:spacing w:line="360" w:lineRule="auto"/>
        <w:ind w:firstLine="480" w:firstLineChars="200"/>
        <w:rPr>
          <w:rFonts w:hint="eastAsia" w:eastAsia="宋体"/>
          <w:lang w:eastAsia="zh-CN"/>
        </w:rPr>
      </w:pPr>
      <w:r>
        <w:rPr>
          <w:rFonts w:hint="eastAsia"/>
        </w:rPr>
        <w:t>合同未履行部分是否继续履行、如何履行等问题，可由双方协商解决</w:t>
      </w:r>
      <w:r>
        <w:rPr>
          <w:rFonts w:hint="eastAsia"/>
          <w:lang w:eastAsia="zh-CN"/>
        </w:rPr>
        <w:t>。</w:t>
      </w:r>
    </w:p>
    <w:p>
      <w:pPr>
        <w:spacing w:line="360" w:lineRule="auto"/>
        <w:ind w:left="434" w:leftChars="181"/>
        <w:rPr>
          <w:b/>
          <w:bCs/>
        </w:rPr>
      </w:pPr>
      <w:r>
        <w:rPr>
          <w:rFonts w:hint="eastAsia"/>
          <w:b/>
          <w:bCs/>
        </w:rPr>
        <w:t>十五、争议的解决方式</w:t>
      </w:r>
    </w:p>
    <w:p>
      <w:pPr>
        <w:spacing w:line="360" w:lineRule="auto"/>
        <w:ind w:firstLine="480" w:firstLineChars="200"/>
        <w:rPr>
          <w:rFonts w:hint="eastAsia" w:ascii="宋体" w:hAnsi="宋体" w:eastAsia="宋体" w:cs="宋体"/>
        </w:rPr>
      </w:pPr>
      <w:r>
        <w:rPr>
          <w:rFonts w:hint="eastAsia" w:ascii="宋体" w:hAnsi="宋体" w:eastAsia="宋体" w:cs="宋体"/>
        </w:rPr>
        <w:t>合同发生纠纷时，双方应协商解决，协商不成可以采用下列方式解决：（1）提交济南仲裁委员会仲裁；（2）向甲方当地人民法院起诉。本合同发生纠纷，经双方协商不能解决时，首先采用第(2)种方式予以解决。</w:t>
      </w:r>
    </w:p>
    <w:p>
      <w:pPr>
        <w:pStyle w:val="21"/>
        <w:spacing w:line="360" w:lineRule="auto"/>
        <w:ind w:left="533" w:leftChars="182" w:hanging="96" w:hangingChars="40"/>
        <w:rPr>
          <w:rFonts w:hAnsi="宋体"/>
          <w:b/>
          <w:bCs/>
        </w:rPr>
      </w:pPr>
      <w:r>
        <w:rPr>
          <w:rFonts w:hint="eastAsia" w:hAnsi="宋体"/>
          <w:b/>
          <w:bCs/>
        </w:rPr>
        <w:t>十六、补充协议</w:t>
      </w:r>
    </w:p>
    <w:p>
      <w:pPr>
        <w:pStyle w:val="21"/>
        <w:spacing w:line="360" w:lineRule="auto"/>
        <w:ind w:left="0" w:leftChars="0" w:firstLine="480" w:firstLineChars="200"/>
        <w:rPr>
          <w:rFonts w:hAnsi="宋体"/>
          <w:b/>
          <w:bCs/>
        </w:rPr>
      </w:pPr>
      <w:r>
        <w:rPr>
          <w:rFonts w:hint="eastAsia" w:hAnsi="宋体"/>
        </w:rPr>
        <w:t>合同未尽事宜，经双方协商可签订补充协议，所签订的补充协议与本合同具有同等的法律效力，补充协议的生效应符合本合同第十二条的规定。</w:t>
      </w:r>
    </w:p>
    <w:p>
      <w:pPr>
        <w:spacing w:line="360" w:lineRule="auto"/>
        <w:ind w:left="434" w:leftChars="181" w:firstLine="2"/>
        <w:rPr>
          <w:b/>
          <w:bCs/>
        </w:rPr>
      </w:pPr>
      <w:r>
        <w:rPr>
          <w:rFonts w:hint="eastAsia"/>
          <w:b/>
          <w:bCs/>
        </w:rPr>
        <w:t>十七、合同保存</w:t>
      </w:r>
    </w:p>
    <w:p>
      <w:pPr>
        <w:spacing w:line="360" w:lineRule="auto"/>
        <w:ind w:firstLine="480" w:firstLineChars="200"/>
        <w:rPr>
          <w:rFonts w:hint="eastAsia"/>
        </w:rPr>
      </w:pPr>
      <w:r>
        <w:rPr>
          <w:rFonts w:hint="eastAsia"/>
        </w:rPr>
        <w:t>本合同一式</w:t>
      </w:r>
      <w:r>
        <w:rPr>
          <w:rFonts w:hint="eastAsia"/>
          <w:u w:val="single"/>
        </w:rPr>
        <w:t xml:space="preserve"> </w:t>
      </w:r>
      <w:r>
        <w:rPr>
          <w:rFonts w:hint="eastAsia"/>
          <w:u w:val="single"/>
          <w:lang w:val="en-US" w:eastAsia="zh-CN"/>
        </w:rPr>
        <w:t>肆</w:t>
      </w:r>
      <w:r>
        <w:rPr>
          <w:rFonts w:hint="eastAsia"/>
          <w:u w:val="single"/>
        </w:rPr>
        <w:t xml:space="preserve"> </w:t>
      </w:r>
      <w:r>
        <w:rPr>
          <w:rFonts w:hint="eastAsia"/>
        </w:rPr>
        <w:t>份，甲方</w:t>
      </w:r>
      <w:r>
        <w:rPr>
          <w:rFonts w:hint="eastAsia"/>
          <w:u w:val="single"/>
        </w:rPr>
        <w:t xml:space="preserve"> 贰 </w:t>
      </w:r>
      <w:r>
        <w:rPr>
          <w:rFonts w:hint="eastAsia"/>
        </w:rPr>
        <w:t>份，乙方</w:t>
      </w:r>
      <w:r>
        <w:rPr>
          <w:rFonts w:hint="eastAsia"/>
          <w:u w:val="single"/>
        </w:rPr>
        <w:t xml:space="preserve"> 贰 </w:t>
      </w:r>
      <w:r>
        <w:rPr>
          <w:rFonts w:hint="eastAsia"/>
        </w:rPr>
        <w:t>份，</w:t>
      </w:r>
    </w:p>
    <w:p>
      <w:pPr>
        <w:spacing w:line="360" w:lineRule="auto"/>
        <w:ind w:firstLine="480" w:firstLineChars="200"/>
      </w:pPr>
      <w:r>
        <w:rPr>
          <w:rFonts w:hint="eastAsia"/>
        </w:rPr>
        <w:t>本合同经双方签字盖章后，并签署日期（同时甲方、乙方加盖骑缝章）至双方履行完全部合同规定条款后失效。</w:t>
      </w:r>
    </w:p>
    <w:p>
      <w:pPr>
        <w:spacing w:line="360" w:lineRule="auto"/>
        <w:ind w:firstLine="708" w:firstLineChars="295"/>
      </w:pPr>
      <w:r>
        <w:rPr>
          <w:rFonts w:hint="eastAsia"/>
        </w:rPr>
        <w:t>甲    方（公章）：</w:t>
      </w:r>
      <w:r>
        <w:rPr>
          <w:rFonts w:hint="eastAsia"/>
          <w:bCs/>
        </w:rPr>
        <w:t xml:space="preserve">                        </w:t>
      </w:r>
      <w:r>
        <w:rPr>
          <w:rFonts w:hint="eastAsia"/>
        </w:rPr>
        <w:t xml:space="preserve">乙    方（公章）： </w:t>
      </w:r>
    </w:p>
    <w:p>
      <w:pPr>
        <w:spacing w:beforeLines="50" w:line="360" w:lineRule="auto"/>
        <w:ind w:left="442" w:leftChars="184" w:firstLine="120" w:firstLineChars="50"/>
      </w:pPr>
      <w:r>
        <w:rPr>
          <w:rFonts w:hint="eastAsia"/>
        </w:rPr>
        <w:t>全权代表（签字）：                         全权代表（签字）：</w:t>
      </w:r>
    </w:p>
    <w:p>
      <w:pPr>
        <w:spacing w:beforeLines="50" w:line="360" w:lineRule="auto"/>
        <w:ind w:left="977" w:leftChars="267" w:hanging="336" w:hangingChars="140"/>
      </w:pPr>
      <w:r>
        <w:rPr>
          <w:rFonts w:hint="eastAsia"/>
        </w:rPr>
        <w:t>电    话：                                电    话：</w:t>
      </w:r>
    </w:p>
    <w:p>
      <w:pPr>
        <w:spacing w:beforeLines="50" w:line="360" w:lineRule="auto"/>
        <w:ind w:left="977" w:leftChars="267" w:hanging="336" w:hangingChars="140"/>
      </w:pPr>
      <w:r>
        <w:rPr>
          <w:rFonts w:hint="eastAsia"/>
        </w:rPr>
        <w:t xml:space="preserve">开户单位：                                开户单位： </w:t>
      </w:r>
    </w:p>
    <w:p>
      <w:pPr>
        <w:spacing w:beforeLines="50" w:line="360" w:lineRule="auto"/>
        <w:ind w:left="977" w:leftChars="267" w:hanging="336" w:hangingChars="140"/>
      </w:pPr>
      <w:r>
        <w:rPr>
          <w:rFonts w:hint="eastAsia"/>
        </w:rPr>
        <w:t>开户银行：                                开户银行：</w:t>
      </w:r>
    </w:p>
    <w:p>
      <w:pPr>
        <w:spacing w:beforeLines="50" w:line="360" w:lineRule="auto"/>
        <w:ind w:left="977" w:leftChars="267" w:hanging="336" w:hangingChars="140"/>
      </w:pPr>
      <w:r>
        <w:rPr>
          <w:rFonts w:hint="eastAsia"/>
        </w:rPr>
        <w:t>帐    号：                                帐    号：</w:t>
      </w:r>
    </w:p>
    <w:p>
      <w:pPr>
        <w:spacing w:line="360" w:lineRule="auto"/>
        <w:ind w:left="434" w:leftChars="181" w:firstLine="240" w:firstLineChars="100"/>
        <w:rPr>
          <w:b/>
          <w:bCs/>
        </w:rPr>
      </w:pPr>
      <w:r>
        <w:rPr>
          <w:rFonts w:hint="eastAsia"/>
        </w:rPr>
        <w:t>签订时间：                                签订时间：</w:t>
      </w:r>
    </w:p>
    <w:p>
      <w:pPr>
        <w:pStyle w:val="3"/>
        <w:spacing w:line="360" w:lineRule="auto"/>
        <w:jc w:val="center"/>
      </w:pPr>
      <w:r>
        <w:br w:type="page"/>
      </w:r>
      <w:bookmarkStart w:id="16" w:name="_Toc48913061"/>
      <w:r>
        <w:rPr>
          <w:rFonts w:hint="eastAsia"/>
        </w:rPr>
        <w:t>第五部分  附件</w:t>
      </w:r>
      <w:bookmarkEnd w:id="16"/>
    </w:p>
    <w:p>
      <w:pPr>
        <w:spacing w:line="360" w:lineRule="auto"/>
        <w:rPr>
          <w:b/>
          <w:bCs/>
        </w:rPr>
      </w:pPr>
      <w:r>
        <w:rPr>
          <w:rFonts w:hint="eastAsia"/>
          <w:b/>
          <w:bCs/>
        </w:rPr>
        <w:t>附件1：</w:t>
      </w:r>
    </w:p>
    <w:p>
      <w:pPr>
        <w:pStyle w:val="4"/>
        <w:spacing w:before="0" w:after="0" w:line="360" w:lineRule="auto"/>
        <w:jc w:val="center"/>
        <w:rPr>
          <w:rFonts w:hAnsi="宋体"/>
          <w:sz w:val="24"/>
          <w:szCs w:val="24"/>
        </w:rPr>
      </w:pPr>
      <w:bookmarkStart w:id="17" w:name="_Toc514664498"/>
      <w:bookmarkStart w:id="18" w:name="_Toc514667407"/>
      <w:bookmarkStart w:id="19" w:name="_Toc520707097"/>
      <w:bookmarkStart w:id="20" w:name="_Toc514667477"/>
      <w:bookmarkStart w:id="21" w:name="_Toc10034880"/>
      <w:bookmarkStart w:id="22" w:name="_Toc514678270"/>
      <w:bookmarkStart w:id="23" w:name="_Toc48913062"/>
      <w:r>
        <w:rPr>
          <w:rFonts w:hint="eastAsia" w:ascii="宋体" w:hAnsi="宋体" w:eastAsia="宋体"/>
          <w:sz w:val="28"/>
          <w:szCs w:val="28"/>
        </w:rPr>
        <w:t>一、报价函</w:t>
      </w:r>
      <w:bookmarkEnd w:id="17"/>
      <w:bookmarkEnd w:id="18"/>
      <w:bookmarkEnd w:id="19"/>
      <w:bookmarkEnd w:id="20"/>
      <w:bookmarkEnd w:id="21"/>
      <w:bookmarkEnd w:id="22"/>
      <w:bookmarkEnd w:id="23"/>
    </w:p>
    <w:p>
      <w:pPr>
        <w:pStyle w:val="26"/>
        <w:tabs>
          <w:tab w:val="left" w:pos="5580"/>
        </w:tabs>
        <w:spacing w:line="360" w:lineRule="auto"/>
        <w:rPr>
          <w:rFonts w:hint="default" w:hAnsi="宋体" w:eastAsia="宋体"/>
          <w:sz w:val="24"/>
          <w:szCs w:val="24"/>
          <w:lang w:val="en-US" w:eastAsia="zh-CN"/>
        </w:rPr>
      </w:pPr>
      <w:r>
        <w:rPr>
          <w:rFonts w:hint="eastAsia" w:hAnsi="宋体"/>
          <w:sz w:val="24"/>
          <w:szCs w:val="24"/>
        </w:rPr>
        <w:t>致：</w:t>
      </w:r>
      <w:r>
        <w:rPr>
          <w:rFonts w:hint="eastAsia" w:hAnsi="宋体"/>
          <w:sz w:val="24"/>
          <w:szCs w:val="24"/>
          <w:lang w:val="en-US" w:eastAsia="zh-CN"/>
        </w:rPr>
        <w:t>山东大学第二医院</w:t>
      </w:r>
    </w:p>
    <w:p>
      <w:pPr>
        <w:pStyle w:val="26"/>
        <w:tabs>
          <w:tab w:val="left" w:pos="5580"/>
        </w:tabs>
        <w:spacing w:line="360" w:lineRule="auto"/>
        <w:ind w:firstLine="480" w:firstLineChars="200"/>
        <w:rPr>
          <w:rFonts w:hAnsi="宋体"/>
          <w:sz w:val="24"/>
          <w:szCs w:val="24"/>
        </w:rPr>
      </w:pPr>
      <w:r>
        <w:rPr>
          <w:rFonts w:hint="eastAsia" w:hAnsi="宋体"/>
          <w:sz w:val="24"/>
          <w:szCs w:val="24"/>
        </w:rPr>
        <w:t>经研究，我们决定参加项目编号为</w:t>
      </w:r>
      <w:r>
        <w:rPr>
          <w:rFonts w:hint="eastAsia" w:hAnsi="宋体"/>
          <w:sz w:val="24"/>
          <w:szCs w:val="24"/>
          <w:lang w:val="en-US" w:eastAsia="zh-CN"/>
        </w:rPr>
        <w:t xml:space="preserve">     </w:t>
      </w:r>
      <w:r>
        <w:rPr>
          <w:rFonts w:hint="eastAsia" w:hAnsi="宋体"/>
          <w:sz w:val="24"/>
          <w:szCs w:val="24"/>
        </w:rPr>
        <w:t>的</w:t>
      </w:r>
      <w:r>
        <w:rPr>
          <w:rFonts w:hint="eastAsia" w:hAnsi="宋体"/>
          <w:sz w:val="24"/>
          <w:szCs w:val="24"/>
          <w:lang w:val="en-US" w:eastAsia="zh-CN"/>
        </w:rPr>
        <w:t xml:space="preserve">             </w:t>
      </w:r>
      <w:r>
        <w:rPr>
          <w:rFonts w:hint="eastAsia" w:hAnsi="宋体"/>
          <w:sz w:val="24"/>
          <w:szCs w:val="24"/>
        </w:rPr>
        <w:t>（项目名称）的投标活动并提交响应文件。为此，我方郑重声明以下诸点，并负法律责任。</w:t>
      </w:r>
    </w:p>
    <w:p>
      <w:pPr>
        <w:pStyle w:val="26"/>
        <w:tabs>
          <w:tab w:val="left" w:pos="5580"/>
        </w:tabs>
        <w:spacing w:line="360" w:lineRule="auto"/>
        <w:ind w:firstLine="480" w:firstLineChars="200"/>
        <w:rPr>
          <w:rFonts w:hAnsi="宋体"/>
          <w:sz w:val="24"/>
          <w:szCs w:val="24"/>
        </w:rPr>
      </w:pPr>
      <w:r>
        <w:rPr>
          <w:rFonts w:hAnsi="宋体"/>
          <w:sz w:val="24"/>
          <w:szCs w:val="24"/>
        </w:rPr>
        <w:t>1</w:t>
      </w:r>
      <w:r>
        <w:rPr>
          <w:rFonts w:hint="eastAsia" w:hAnsi="宋体"/>
          <w:sz w:val="24"/>
          <w:szCs w:val="24"/>
        </w:rPr>
        <w:t>、我方提交的响应文件，正本</w:t>
      </w:r>
      <w:r>
        <w:rPr>
          <w:rFonts w:hint="eastAsia" w:hAnsi="宋体"/>
          <w:sz w:val="24"/>
          <w:szCs w:val="24"/>
          <w:u w:val="single"/>
        </w:rPr>
        <w:t>一</w:t>
      </w:r>
      <w:r>
        <w:rPr>
          <w:rFonts w:hint="eastAsia" w:hAnsi="宋体"/>
          <w:sz w:val="24"/>
          <w:szCs w:val="24"/>
        </w:rPr>
        <w:t>份，副本</w:t>
      </w:r>
      <w:r>
        <w:rPr>
          <w:rFonts w:hint="eastAsia" w:hAnsi="宋体"/>
          <w:sz w:val="24"/>
          <w:szCs w:val="24"/>
          <w:u w:val="single"/>
          <w:lang w:val="en-US" w:eastAsia="zh-CN"/>
        </w:rPr>
        <w:t>贰</w:t>
      </w:r>
      <w:r>
        <w:rPr>
          <w:rFonts w:hint="eastAsia" w:hAnsi="宋体"/>
          <w:sz w:val="24"/>
          <w:szCs w:val="24"/>
        </w:rPr>
        <w:t>份。</w:t>
      </w:r>
    </w:p>
    <w:p>
      <w:pPr>
        <w:pStyle w:val="26"/>
        <w:tabs>
          <w:tab w:val="left" w:pos="5580"/>
        </w:tabs>
        <w:spacing w:line="360" w:lineRule="auto"/>
        <w:ind w:firstLine="480" w:firstLineChars="200"/>
        <w:rPr>
          <w:rFonts w:hAnsi="宋体"/>
          <w:sz w:val="24"/>
          <w:szCs w:val="24"/>
        </w:rPr>
      </w:pPr>
      <w:r>
        <w:rPr>
          <w:rFonts w:hAnsi="宋体"/>
          <w:sz w:val="24"/>
          <w:szCs w:val="24"/>
        </w:rPr>
        <w:t>2</w:t>
      </w:r>
      <w:r>
        <w:rPr>
          <w:rFonts w:hint="eastAsia" w:hAnsi="宋体"/>
          <w:sz w:val="24"/>
          <w:szCs w:val="24"/>
        </w:rPr>
        <w:t>、如果我们的响应文件被接受，我们将履行磋商文件中规定的每一项要求，并按我们响应文件中的承诺按期、按质、按量提供服务。</w:t>
      </w:r>
    </w:p>
    <w:p>
      <w:pPr>
        <w:pStyle w:val="26"/>
        <w:tabs>
          <w:tab w:val="left" w:pos="5580"/>
        </w:tabs>
        <w:spacing w:line="360" w:lineRule="auto"/>
        <w:ind w:firstLine="480" w:firstLineChars="200"/>
        <w:rPr>
          <w:rFonts w:hAnsi="宋体"/>
          <w:sz w:val="24"/>
          <w:szCs w:val="24"/>
        </w:rPr>
      </w:pPr>
      <w:r>
        <w:rPr>
          <w:rFonts w:hAnsi="宋体"/>
          <w:sz w:val="24"/>
          <w:szCs w:val="24"/>
        </w:rPr>
        <w:t>3</w:t>
      </w:r>
      <w:r>
        <w:rPr>
          <w:rFonts w:hint="eastAsia" w:hAnsi="宋体"/>
          <w:sz w:val="24"/>
          <w:szCs w:val="24"/>
        </w:rPr>
        <w:t>、我们理解，最低报价不是中标的唯一条件，你们有选择中标人的权力。</w:t>
      </w:r>
    </w:p>
    <w:p>
      <w:pPr>
        <w:pStyle w:val="26"/>
        <w:tabs>
          <w:tab w:val="left" w:pos="5580"/>
        </w:tabs>
        <w:spacing w:line="360" w:lineRule="auto"/>
        <w:ind w:firstLine="480" w:firstLineChars="200"/>
        <w:rPr>
          <w:rFonts w:hAnsi="宋体"/>
          <w:sz w:val="24"/>
          <w:szCs w:val="24"/>
        </w:rPr>
      </w:pPr>
      <w:r>
        <w:rPr>
          <w:rFonts w:hAnsi="宋体"/>
          <w:sz w:val="24"/>
          <w:szCs w:val="24"/>
        </w:rPr>
        <w:t>4</w:t>
      </w:r>
      <w:r>
        <w:rPr>
          <w:rFonts w:hint="eastAsia" w:hAnsi="宋体"/>
          <w:sz w:val="24"/>
          <w:szCs w:val="24"/>
        </w:rPr>
        <w:t>、我方愿按《中华人民共和国合同法》履行自己的全部责任。</w:t>
      </w:r>
    </w:p>
    <w:p>
      <w:pPr>
        <w:pStyle w:val="26"/>
        <w:tabs>
          <w:tab w:val="left" w:pos="5580"/>
        </w:tabs>
        <w:spacing w:line="360" w:lineRule="auto"/>
        <w:ind w:firstLine="480" w:firstLineChars="200"/>
        <w:rPr>
          <w:rFonts w:hAnsi="宋体"/>
          <w:sz w:val="24"/>
          <w:szCs w:val="24"/>
        </w:rPr>
      </w:pPr>
      <w:r>
        <w:rPr>
          <w:rFonts w:hAnsi="宋体"/>
          <w:sz w:val="24"/>
          <w:szCs w:val="24"/>
        </w:rPr>
        <w:t>5</w:t>
      </w:r>
      <w:r>
        <w:rPr>
          <w:rFonts w:hint="eastAsia" w:hAnsi="宋体"/>
          <w:sz w:val="24"/>
          <w:szCs w:val="24"/>
        </w:rPr>
        <w:t>、我方若未成为中标人，贵机构有权不做任何解释。</w:t>
      </w:r>
    </w:p>
    <w:p>
      <w:pPr>
        <w:pStyle w:val="26"/>
        <w:tabs>
          <w:tab w:val="left" w:pos="5580"/>
        </w:tabs>
        <w:spacing w:line="360" w:lineRule="auto"/>
        <w:ind w:firstLine="480" w:firstLineChars="200"/>
        <w:rPr>
          <w:rFonts w:hAnsi="宋体"/>
          <w:sz w:val="24"/>
          <w:szCs w:val="24"/>
        </w:rPr>
      </w:pPr>
      <w:r>
        <w:rPr>
          <w:rFonts w:hint="eastAsia" w:hAnsi="宋体"/>
          <w:sz w:val="24"/>
          <w:szCs w:val="24"/>
          <w:lang w:val="en-US" w:eastAsia="zh-CN"/>
        </w:rPr>
        <w:t>6</w:t>
      </w:r>
      <w:r>
        <w:rPr>
          <w:rFonts w:hint="eastAsia" w:hAnsi="宋体"/>
          <w:sz w:val="24"/>
          <w:szCs w:val="24"/>
        </w:rPr>
        <w:t>、我方的响应文件自开标之日起有效期为</w:t>
      </w:r>
      <w:r>
        <w:rPr>
          <w:rFonts w:hint="eastAsia" w:hAnsi="宋体"/>
          <w:sz w:val="24"/>
          <w:szCs w:val="24"/>
          <w:u w:val="single"/>
        </w:rPr>
        <w:t xml:space="preserve">   </w:t>
      </w:r>
      <w:r>
        <w:rPr>
          <w:rFonts w:hint="eastAsia" w:hAnsi="宋体"/>
          <w:sz w:val="24"/>
          <w:szCs w:val="24"/>
        </w:rPr>
        <w:t>日。</w:t>
      </w:r>
    </w:p>
    <w:p>
      <w:pPr>
        <w:pStyle w:val="26"/>
        <w:tabs>
          <w:tab w:val="left" w:pos="5580"/>
        </w:tabs>
        <w:spacing w:line="360" w:lineRule="auto"/>
        <w:ind w:firstLine="480" w:firstLineChars="200"/>
        <w:rPr>
          <w:rFonts w:hAnsi="宋体"/>
          <w:sz w:val="24"/>
          <w:szCs w:val="24"/>
        </w:rPr>
      </w:pPr>
      <w:r>
        <w:rPr>
          <w:rFonts w:hint="eastAsia" w:hAnsi="宋体"/>
          <w:sz w:val="24"/>
          <w:szCs w:val="24"/>
          <w:lang w:val="en-US" w:eastAsia="zh-CN"/>
        </w:rPr>
        <w:t>7</w:t>
      </w:r>
      <w:r>
        <w:rPr>
          <w:rFonts w:hint="eastAsia" w:hAnsi="宋体"/>
          <w:sz w:val="24"/>
          <w:szCs w:val="24"/>
        </w:rPr>
        <w:t>、与本投标有关的一切正式往来通讯请寄：</w:t>
      </w:r>
    </w:p>
    <w:p>
      <w:pPr>
        <w:pStyle w:val="26"/>
        <w:tabs>
          <w:tab w:val="left" w:pos="5580"/>
        </w:tabs>
        <w:spacing w:line="360" w:lineRule="auto"/>
        <w:ind w:firstLine="480" w:firstLineChars="200"/>
        <w:rPr>
          <w:rFonts w:hAnsi="宋体"/>
          <w:sz w:val="24"/>
          <w:szCs w:val="24"/>
        </w:rPr>
      </w:pPr>
      <w:r>
        <w:rPr>
          <w:rFonts w:hint="eastAsia" w:hAnsi="宋体"/>
          <w:sz w:val="24"/>
          <w:szCs w:val="24"/>
        </w:rPr>
        <w:t xml:space="preserve">地址：           </w:t>
      </w:r>
    </w:p>
    <w:p>
      <w:pPr>
        <w:pStyle w:val="26"/>
        <w:tabs>
          <w:tab w:val="left" w:pos="5580"/>
        </w:tabs>
        <w:spacing w:line="360" w:lineRule="auto"/>
        <w:ind w:firstLine="360" w:firstLineChars="150"/>
        <w:rPr>
          <w:rFonts w:hAnsi="宋体"/>
          <w:sz w:val="24"/>
          <w:szCs w:val="24"/>
        </w:rPr>
      </w:pPr>
      <w:r>
        <w:rPr>
          <w:rFonts w:hint="eastAsia" w:hAnsi="宋体"/>
          <w:sz w:val="24"/>
          <w:szCs w:val="24"/>
        </w:rPr>
        <w:t xml:space="preserve"> 邮政编码：</w:t>
      </w:r>
    </w:p>
    <w:p>
      <w:pPr>
        <w:pStyle w:val="26"/>
        <w:tabs>
          <w:tab w:val="left" w:pos="5580"/>
        </w:tabs>
        <w:spacing w:line="360" w:lineRule="auto"/>
        <w:ind w:firstLine="480" w:firstLineChars="200"/>
        <w:rPr>
          <w:rFonts w:hAnsi="宋体"/>
          <w:sz w:val="24"/>
          <w:szCs w:val="24"/>
        </w:rPr>
      </w:pPr>
      <w:r>
        <w:rPr>
          <w:rFonts w:hint="eastAsia" w:hAnsi="宋体"/>
          <w:sz w:val="24"/>
          <w:szCs w:val="24"/>
        </w:rPr>
        <w:t xml:space="preserve">电话：              </w:t>
      </w:r>
    </w:p>
    <w:p>
      <w:pPr>
        <w:pStyle w:val="26"/>
        <w:tabs>
          <w:tab w:val="left" w:pos="5580"/>
        </w:tabs>
        <w:spacing w:line="360" w:lineRule="auto"/>
        <w:ind w:firstLine="480" w:firstLineChars="200"/>
        <w:rPr>
          <w:rFonts w:hAnsi="宋体"/>
          <w:sz w:val="24"/>
          <w:szCs w:val="24"/>
        </w:rPr>
      </w:pPr>
      <w:r>
        <w:rPr>
          <w:rFonts w:hint="eastAsia" w:hAnsi="宋体"/>
          <w:sz w:val="24"/>
          <w:szCs w:val="24"/>
        </w:rPr>
        <w:t>开户单位：</w:t>
      </w:r>
    </w:p>
    <w:p>
      <w:pPr>
        <w:pStyle w:val="26"/>
        <w:tabs>
          <w:tab w:val="left" w:pos="5580"/>
        </w:tabs>
        <w:spacing w:line="360" w:lineRule="auto"/>
        <w:ind w:firstLine="480" w:firstLineChars="200"/>
        <w:rPr>
          <w:rFonts w:hAnsi="宋体"/>
          <w:sz w:val="24"/>
          <w:szCs w:val="24"/>
        </w:rPr>
      </w:pPr>
      <w:r>
        <w:rPr>
          <w:rFonts w:hint="eastAsia" w:hAnsi="宋体"/>
          <w:sz w:val="24"/>
          <w:szCs w:val="24"/>
        </w:rPr>
        <w:t>开户银行：</w:t>
      </w:r>
    </w:p>
    <w:p>
      <w:pPr>
        <w:pStyle w:val="26"/>
        <w:tabs>
          <w:tab w:val="left" w:pos="5580"/>
        </w:tabs>
        <w:spacing w:line="360" w:lineRule="auto"/>
        <w:ind w:firstLine="480" w:firstLineChars="200"/>
        <w:rPr>
          <w:rFonts w:hAnsi="宋体"/>
          <w:sz w:val="24"/>
          <w:szCs w:val="24"/>
        </w:rPr>
      </w:pPr>
      <w:r>
        <w:rPr>
          <w:rFonts w:hint="eastAsia" w:hAnsi="宋体"/>
          <w:sz w:val="24"/>
          <w:szCs w:val="24"/>
        </w:rPr>
        <w:t>帐号：</w:t>
      </w:r>
    </w:p>
    <w:p>
      <w:pPr>
        <w:pStyle w:val="26"/>
        <w:tabs>
          <w:tab w:val="left" w:pos="5580"/>
        </w:tabs>
        <w:spacing w:line="360" w:lineRule="auto"/>
        <w:ind w:firstLine="480" w:firstLineChars="200"/>
        <w:rPr>
          <w:rFonts w:hAnsi="宋体"/>
          <w:sz w:val="24"/>
          <w:szCs w:val="24"/>
        </w:rPr>
      </w:pPr>
      <w:r>
        <w:rPr>
          <w:rFonts w:hint="eastAsia" w:hAnsi="宋体"/>
          <w:sz w:val="24"/>
          <w:szCs w:val="24"/>
        </w:rPr>
        <w:t>响应单位（印章）</w:t>
      </w:r>
    </w:p>
    <w:p>
      <w:pPr>
        <w:pStyle w:val="26"/>
        <w:tabs>
          <w:tab w:val="left" w:pos="5580"/>
        </w:tabs>
        <w:spacing w:line="360" w:lineRule="auto"/>
        <w:ind w:firstLine="480" w:firstLineChars="200"/>
        <w:rPr>
          <w:b/>
          <w:bCs/>
        </w:rPr>
      </w:pPr>
      <w:r>
        <w:rPr>
          <w:rFonts w:hint="eastAsia" w:hAnsi="宋体"/>
          <w:sz w:val="24"/>
          <w:szCs w:val="24"/>
        </w:rPr>
        <w:t>法定代表人或授权代理人签字：                         年  月  日</w:t>
      </w:r>
      <w:r>
        <w:rPr>
          <w:b/>
          <w:bCs/>
        </w:rPr>
        <w:br w:type="page"/>
      </w:r>
    </w:p>
    <w:p>
      <w:pPr>
        <w:spacing w:line="360" w:lineRule="auto"/>
        <w:rPr>
          <w:sz w:val="28"/>
          <w:szCs w:val="28"/>
        </w:rPr>
      </w:pPr>
      <w:r>
        <w:rPr>
          <w:rFonts w:hint="eastAsia"/>
          <w:b/>
          <w:bCs/>
        </w:rPr>
        <w:t>附件2：</w:t>
      </w:r>
    </w:p>
    <w:p>
      <w:pPr>
        <w:pStyle w:val="4"/>
        <w:spacing w:line="360" w:lineRule="auto"/>
        <w:jc w:val="center"/>
        <w:rPr>
          <w:rFonts w:ascii="宋体" w:hAnsi="宋体" w:eastAsia="宋体"/>
          <w:sz w:val="28"/>
          <w:szCs w:val="28"/>
        </w:rPr>
      </w:pPr>
      <w:bookmarkStart w:id="24" w:name="_Toc520707098"/>
      <w:bookmarkStart w:id="25" w:name="_Toc48913063"/>
      <w:bookmarkStart w:id="26" w:name="_Toc514664499"/>
      <w:bookmarkStart w:id="27" w:name="_Toc514667478"/>
      <w:bookmarkStart w:id="28" w:name="_Toc514667408"/>
      <w:bookmarkStart w:id="29" w:name="_Toc10034881"/>
      <w:bookmarkStart w:id="30" w:name="_Toc514678271"/>
      <w:r>
        <w:rPr>
          <w:rFonts w:hint="eastAsia" w:ascii="宋体" w:hAnsi="宋体" w:eastAsia="宋体"/>
          <w:sz w:val="28"/>
          <w:szCs w:val="28"/>
        </w:rPr>
        <w:t>二、唱价单</w:t>
      </w:r>
      <w:bookmarkEnd w:id="24"/>
      <w:bookmarkEnd w:id="25"/>
      <w:bookmarkEnd w:id="26"/>
      <w:bookmarkEnd w:id="27"/>
      <w:bookmarkEnd w:id="28"/>
      <w:bookmarkEnd w:id="29"/>
      <w:bookmarkEnd w:id="30"/>
    </w:p>
    <w:p>
      <w:pPr>
        <w:pStyle w:val="20"/>
        <w:spacing w:after="0" w:line="360" w:lineRule="auto"/>
        <w:jc w:val="center"/>
        <w:rPr>
          <w:rFonts w:ascii="宋体" w:hAnsi="宋体"/>
          <w:b/>
          <w:sz w:val="28"/>
          <w:szCs w:val="28"/>
        </w:rPr>
      </w:pPr>
      <w:r>
        <w:rPr>
          <w:rFonts w:hint="eastAsia" w:ascii="宋体" w:hAnsi="宋体"/>
          <w:b/>
          <w:sz w:val="28"/>
          <w:szCs w:val="28"/>
        </w:rPr>
        <w:t>（须单独密封，用于公开唱标）</w:t>
      </w:r>
    </w:p>
    <w:p>
      <w:pPr>
        <w:pStyle w:val="21"/>
        <w:spacing w:beforeLines="150" w:line="360" w:lineRule="auto"/>
        <w:ind w:left="0" w:leftChars="0" w:firstLine="0" w:firstLineChars="0"/>
        <w:rPr>
          <w:rFonts w:ascii="宋体" w:hAnsi="宋体"/>
          <w:bCs/>
        </w:rPr>
      </w:pPr>
      <w:r>
        <w:rPr>
          <w:rFonts w:hint="eastAsia" w:ascii="宋体" w:hAnsi="宋体"/>
          <w:bCs/>
        </w:rPr>
        <w:t>项目编号：</w:t>
      </w:r>
    </w:p>
    <w:p>
      <w:pPr>
        <w:spacing w:line="360" w:lineRule="auto"/>
        <w:ind w:right="187"/>
        <w:rPr>
          <w:bCs/>
        </w:rPr>
      </w:pPr>
      <w:r>
        <w:rPr>
          <w:rFonts w:hint="eastAsia"/>
          <w:bCs/>
        </w:rPr>
        <w:t xml:space="preserve">供应商名称（公章）：    </w:t>
      </w:r>
    </w:p>
    <w:p>
      <w:pPr>
        <w:spacing w:line="360" w:lineRule="auto"/>
        <w:ind w:right="187"/>
        <w:rPr>
          <w:bCs/>
        </w:rPr>
      </w:pPr>
      <w:r>
        <w:rPr>
          <w:rFonts w:hint="eastAsia"/>
          <w:bCs/>
        </w:rPr>
        <w:t>法定代表人或授权代理人签字：</w:t>
      </w:r>
    </w:p>
    <w:p>
      <w:pPr>
        <w:tabs>
          <w:tab w:val="left" w:pos="764"/>
        </w:tabs>
        <w:spacing w:line="360" w:lineRule="auto"/>
        <w:ind w:firstLine="1800" w:firstLineChars="750"/>
      </w:pPr>
      <w:r>
        <w:rPr>
          <w:rFonts w:hint="eastAsia"/>
        </w:rPr>
        <w:t xml:space="preserve">                                                   单位：元</w:t>
      </w:r>
    </w:p>
    <w:tbl>
      <w:tblPr>
        <w:tblStyle w:val="50"/>
        <w:tblW w:w="89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2"/>
        <w:gridCol w:w="6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4" w:hRule="atLeast"/>
          <w:jc w:val="center"/>
        </w:trPr>
        <w:tc>
          <w:tcPr>
            <w:tcW w:w="8997" w:type="dxa"/>
            <w:gridSpan w:val="2"/>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pPr>
            <w:r>
              <w:rPr>
                <w:rFonts w:hint="eastAsia"/>
              </w:rPr>
              <w:t>投标单位：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3" w:hRule="atLeast"/>
          <w:jc w:val="center"/>
        </w:trPr>
        <w:tc>
          <w:tcPr>
            <w:tcW w:w="2702"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ind w:left="240" w:hanging="240" w:hangingChars="100"/>
              <w:jc w:val="center"/>
            </w:pPr>
            <w:r>
              <w:rPr>
                <w:rFonts w:hint="eastAsia"/>
              </w:rPr>
              <w:t>总报价</w:t>
            </w:r>
          </w:p>
        </w:tc>
        <w:tc>
          <w:tcPr>
            <w:tcW w:w="629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both"/>
            </w:pPr>
            <w:r>
              <w:rPr>
                <w:rFonts w:hint="eastAsia"/>
              </w:rPr>
              <w:t>大写：</w:t>
            </w:r>
          </w:p>
          <w:p>
            <w:pPr>
              <w:tabs>
                <w:tab w:val="left" w:pos="1337"/>
              </w:tabs>
              <w:spacing w:line="360" w:lineRule="auto"/>
              <w:jc w:val="both"/>
            </w:pPr>
            <w:r>
              <w:rPr>
                <w:rFonts w:hint="eastAsia"/>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8" w:hRule="atLeast"/>
          <w:jc w:val="center"/>
        </w:trPr>
        <w:tc>
          <w:tcPr>
            <w:tcW w:w="2702"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ind w:left="240" w:hanging="240" w:hangingChars="100"/>
              <w:jc w:val="center"/>
            </w:pPr>
            <w:r>
              <w:rPr>
                <w:rFonts w:hint="eastAsia"/>
              </w:rPr>
              <w:t>供货期</w:t>
            </w:r>
          </w:p>
        </w:tc>
        <w:tc>
          <w:tcPr>
            <w:tcW w:w="629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5" w:hRule="atLeast"/>
          <w:jc w:val="center"/>
        </w:trPr>
        <w:tc>
          <w:tcPr>
            <w:tcW w:w="2702"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ind w:left="240" w:hanging="240" w:hangingChars="100"/>
              <w:jc w:val="center"/>
            </w:pPr>
            <w:r>
              <w:rPr>
                <w:rFonts w:hint="eastAsia"/>
              </w:rPr>
              <w:t>质量标准</w:t>
            </w:r>
          </w:p>
        </w:tc>
        <w:tc>
          <w:tcPr>
            <w:tcW w:w="629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9" w:hRule="atLeast"/>
          <w:jc w:val="center"/>
        </w:trPr>
        <w:tc>
          <w:tcPr>
            <w:tcW w:w="2702"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ind w:left="240" w:hanging="240" w:hangingChars="100"/>
              <w:jc w:val="center"/>
            </w:pPr>
            <w:r>
              <w:rPr>
                <w:rFonts w:hint="eastAsia"/>
              </w:rPr>
              <w:t>质保期</w:t>
            </w:r>
          </w:p>
        </w:tc>
        <w:tc>
          <w:tcPr>
            <w:tcW w:w="629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9" w:hRule="atLeast"/>
          <w:jc w:val="center"/>
        </w:trPr>
        <w:tc>
          <w:tcPr>
            <w:tcW w:w="2702"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ind w:left="240" w:hanging="240" w:hangingChars="100"/>
              <w:jc w:val="center"/>
            </w:pPr>
            <w:r>
              <w:rPr>
                <w:rFonts w:hint="eastAsia"/>
              </w:rPr>
              <w:t>对竞争性磋商文件及合同条款的认同程度</w:t>
            </w:r>
          </w:p>
        </w:tc>
        <w:tc>
          <w:tcPr>
            <w:tcW w:w="629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6" w:hRule="atLeast"/>
          <w:jc w:val="center"/>
        </w:trPr>
        <w:tc>
          <w:tcPr>
            <w:tcW w:w="2702"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ind w:left="240" w:hanging="240" w:hangingChars="100"/>
              <w:jc w:val="center"/>
            </w:pPr>
            <w:r>
              <w:rPr>
                <w:rFonts w:hint="eastAsia"/>
              </w:rPr>
              <w:t>供应商现场确认（签字）</w:t>
            </w:r>
          </w:p>
        </w:tc>
        <w:tc>
          <w:tcPr>
            <w:tcW w:w="629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ind w:left="240" w:hanging="240" w:hangingChars="100"/>
            </w:pPr>
          </w:p>
        </w:tc>
      </w:tr>
    </w:tbl>
    <w:p>
      <w:pPr>
        <w:spacing w:line="360" w:lineRule="auto"/>
        <w:ind w:firstLine="120" w:firstLineChars="50"/>
      </w:pPr>
      <w:r>
        <w:rPr>
          <w:rFonts w:hint="eastAsia"/>
          <w:b/>
          <w:bCs/>
        </w:rPr>
        <w:t>备注：本唱价单必须单独密封（一式二份）</w:t>
      </w:r>
    </w:p>
    <w:p>
      <w:pPr>
        <w:pStyle w:val="15"/>
        <w:spacing w:before="0" w:after="0" w:line="360" w:lineRule="auto"/>
        <w:ind w:right="324" w:rightChars="135"/>
        <w:jc w:val="right"/>
        <w:rPr>
          <w:rFonts w:ascii="宋体" w:hAnsi="宋体" w:eastAsia="宋体"/>
          <w:sz w:val="24"/>
        </w:rPr>
      </w:pPr>
      <w:r>
        <w:rPr>
          <w:rFonts w:hint="eastAsia" w:ascii="宋体" w:hAnsi="宋体" w:eastAsia="宋体"/>
          <w:sz w:val="24"/>
        </w:rPr>
        <w:t xml:space="preserve">   年   月   日</w:t>
      </w:r>
    </w:p>
    <w:p>
      <w:pPr>
        <w:spacing w:line="360" w:lineRule="auto"/>
        <w:rPr>
          <w:sz w:val="22"/>
        </w:rPr>
      </w:pPr>
      <w:r>
        <w:rPr>
          <w:b/>
          <w:bCs/>
        </w:rPr>
        <w:br w:type="page"/>
      </w:r>
      <w:r>
        <w:rPr>
          <w:rFonts w:hint="eastAsia"/>
          <w:b/>
          <w:bCs/>
        </w:rPr>
        <w:t>附件3：</w:t>
      </w:r>
    </w:p>
    <w:p>
      <w:pPr>
        <w:pStyle w:val="4"/>
        <w:spacing w:line="360" w:lineRule="auto"/>
        <w:jc w:val="center"/>
        <w:rPr>
          <w:rFonts w:ascii="宋体" w:hAnsi="宋体" w:eastAsia="宋体"/>
          <w:sz w:val="28"/>
          <w:szCs w:val="28"/>
        </w:rPr>
      </w:pPr>
      <w:bookmarkStart w:id="31" w:name="_Toc48913064"/>
      <w:bookmarkStart w:id="32" w:name="_Toc520707099"/>
      <w:bookmarkStart w:id="33" w:name="_Toc514667479"/>
      <w:bookmarkStart w:id="34" w:name="_Toc514678272"/>
      <w:bookmarkStart w:id="35" w:name="_Toc10034882"/>
      <w:bookmarkStart w:id="36" w:name="_Toc514667409"/>
      <w:bookmarkStart w:id="37" w:name="_Toc514664500"/>
      <w:r>
        <w:rPr>
          <w:rFonts w:hint="eastAsia" w:ascii="宋体" w:hAnsi="宋体" w:eastAsia="宋体"/>
          <w:sz w:val="28"/>
          <w:szCs w:val="28"/>
        </w:rPr>
        <w:t>三、授权委托书</w:t>
      </w:r>
      <w:bookmarkEnd w:id="31"/>
      <w:bookmarkEnd w:id="32"/>
      <w:bookmarkEnd w:id="33"/>
      <w:bookmarkEnd w:id="34"/>
      <w:bookmarkEnd w:id="35"/>
      <w:bookmarkEnd w:id="36"/>
      <w:bookmarkEnd w:id="37"/>
    </w:p>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kern w:val="1"/>
        </w:rPr>
      </w:pPr>
      <w:r>
        <w:rPr>
          <w:rFonts w:hint="eastAsia"/>
          <w:b/>
          <w:kern w:val="1"/>
        </w:rPr>
        <w:t>（1）法人证明书</w:t>
      </w:r>
    </w:p>
    <w:p>
      <w:pPr>
        <w:pBdr>
          <w:top w:val="none" w:color="000000" w:sz="0" w:space="0"/>
          <w:left w:val="none" w:color="000000" w:sz="0" w:space="0"/>
          <w:bottom w:val="none" w:color="000000" w:sz="0" w:space="0"/>
          <w:right w:val="none" w:color="000000" w:sz="0" w:space="0"/>
          <w:between w:val="none" w:color="000000" w:sz="0" w:space="0"/>
        </w:pBdr>
        <w:spacing w:line="360" w:lineRule="auto"/>
        <w:ind w:firstLine="480"/>
        <w:rPr>
          <w:kern w:val="1"/>
          <w:sz w:val="22"/>
          <w:u w:val="single"/>
        </w:rPr>
      </w:pPr>
      <w:r>
        <w:rPr>
          <w:rFonts w:hint="eastAsia"/>
          <w:kern w:val="1"/>
          <w:sz w:val="22"/>
        </w:rPr>
        <w:t>供应商名称：</w:t>
      </w:r>
    </w:p>
    <w:p>
      <w:pPr>
        <w:pBdr>
          <w:top w:val="none" w:color="000000" w:sz="0" w:space="0"/>
          <w:left w:val="none" w:color="000000" w:sz="0" w:space="0"/>
          <w:bottom w:val="none" w:color="000000" w:sz="0" w:space="0"/>
          <w:right w:val="none" w:color="000000" w:sz="0" w:space="0"/>
          <w:between w:val="none" w:color="000000" w:sz="0" w:space="0"/>
        </w:pBdr>
        <w:spacing w:line="360" w:lineRule="auto"/>
        <w:ind w:firstLine="480"/>
        <w:rPr>
          <w:kern w:val="1"/>
          <w:sz w:val="22"/>
          <w:u w:val="single"/>
        </w:rPr>
      </w:pPr>
      <w:r>
        <w:rPr>
          <w:rFonts w:hint="eastAsia"/>
          <w:kern w:val="1"/>
          <w:sz w:val="22"/>
        </w:rPr>
        <w:t>单位性质：</w:t>
      </w:r>
    </w:p>
    <w:p>
      <w:pPr>
        <w:pBdr>
          <w:top w:val="none" w:color="000000" w:sz="0" w:space="0"/>
          <w:left w:val="none" w:color="000000" w:sz="0" w:space="0"/>
          <w:bottom w:val="none" w:color="000000" w:sz="0" w:space="0"/>
          <w:right w:val="none" w:color="000000" w:sz="0" w:space="0"/>
          <w:between w:val="none" w:color="000000" w:sz="0" w:space="0"/>
        </w:pBdr>
        <w:spacing w:line="360" w:lineRule="auto"/>
        <w:ind w:firstLine="480"/>
        <w:rPr>
          <w:kern w:val="1"/>
          <w:sz w:val="22"/>
        </w:rPr>
      </w:pPr>
      <w:r>
        <w:rPr>
          <w:rFonts w:hint="eastAsia"/>
          <w:kern w:val="1"/>
          <w:sz w:val="22"/>
        </w:rPr>
        <w:t>地址：</w:t>
      </w:r>
    </w:p>
    <w:p>
      <w:pPr>
        <w:pBdr>
          <w:top w:val="none" w:color="000000" w:sz="0" w:space="0"/>
          <w:left w:val="none" w:color="000000" w:sz="0" w:space="0"/>
          <w:bottom w:val="none" w:color="000000" w:sz="0" w:space="0"/>
          <w:right w:val="none" w:color="000000" w:sz="0" w:space="0"/>
          <w:between w:val="none" w:color="000000" w:sz="0" w:space="0"/>
        </w:pBdr>
        <w:spacing w:line="360" w:lineRule="auto"/>
        <w:ind w:firstLine="480"/>
        <w:rPr>
          <w:kern w:val="1"/>
          <w:sz w:val="22"/>
          <w:u w:val="single"/>
        </w:rPr>
      </w:pPr>
      <w:r>
        <w:rPr>
          <w:rFonts w:hint="eastAsia"/>
          <w:kern w:val="1"/>
          <w:sz w:val="22"/>
        </w:rPr>
        <w:t>成立时间：</w:t>
      </w:r>
      <w:r>
        <w:rPr>
          <w:rFonts w:hint="eastAsia"/>
          <w:kern w:val="1"/>
          <w:sz w:val="22"/>
          <w:u w:val="single"/>
        </w:rPr>
        <w:t xml:space="preserve">         年         月          日</w:t>
      </w:r>
    </w:p>
    <w:p>
      <w:pPr>
        <w:pBdr>
          <w:top w:val="none" w:color="000000" w:sz="0" w:space="0"/>
          <w:left w:val="none" w:color="000000" w:sz="0" w:space="0"/>
          <w:bottom w:val="none" w:color="000000" w:sz="0" w:space="0"/>
          <w:right w:val="none" w:color="000000" w:sz="0" w:space="0"/>
          <w:between w:val="none" w:color="000000" w:sz="0" w:space="0"/>
        </w:pBdr>
        <w:spacing w:line="360" w:lineRule="auto"/>
        <w:ind w:firstLine="480"/>
        <w:rPr>
          <w:kern w:val="1"/>
          <w:sz w:val="22"/>
          <w:u w:val="single"/>
        </w:rPr>
      </w:pPr>
      <w:r>
        <w:rPr>
          <w:rFonts w:hint="eastAsia"/>
          <w:kern w:val="1"/>
          <w:sz w:val="22"/>
        </w:rPr>
        <w:t>经营期限：</w:t>
      </w:r>
    </w:p>
    <w:p>
      <w:pPr>
        <w:pBdr>
          <w:top w:val="none" w:color="000000" w:sz="0" w:space="0"/>
          <w:left w:val="none" w:color="000000" w:sz="0" w:space="0"/>
          <w:bottom w:val="none" w:color="000000" w:sz="0" w:space="0"/>
          <w:right w:val="none" w:color="000000" w:sz="0" w:space="0"/>
          <w:between w:val="none" w:color="000000" w:sz="0" w:space="0"/>
        </w:pBdr>
        <w:spacing w:line="360" w:lineRule="auto"/>
        <w:ind w:firstLine="480"/>
        <w:rPr>
          <w:kern w:val="1"/>
          <w:sz w:val="22"/>
        </w:rPr>
      </w:pPr>
      <w:r>
        <w:rPr>
          <w:rFonts w:hint="eastAsia"/>
          <w:kern w:val="1"/>
          <w:sz w:val="22"/>
        </w:rPr>
        <w:t>姓名：       性别：         年龄 ：           职务：</w:t>
      </w:r>
    </w:p>
    <w:p>
      <w:pPr>
        <w:pBdr>
          <w:top w:val="none" w:color="000000" w:sz="0" w:space="0"/>
          <w:left w:val="none" w:color="000000" w:sz="0" w:space="0"/>
          <w:bottom w:val="none" w:color="000000" w:sz="0" w:space="0"/>
          <w:right w:val="none" w:color="000000" w:sz="0" w:space="0"/>
          <w:between w:val="none" w:color="000000" w:sz="0" w:space="0"/>
        </w:pBdr>
        <w:spacing w:line="360" w:lineRule="auto"/>
        <w:ind w:firstLine="480"/>
        <w:rPr>
          <w:kern w:val="1"/>
          <w:sz w:val="22"/>
        </w:rPr>
      </w:pPr>
      <w:r>
        <w:rPr>
          <w:rFonts w:hint="eastAsia"/>
          <w:kern w:val="1"/>
          <w:sz w:val="22"/>
        </w:rPr>
        <w:t>系 （供应商名称）的法定代表人。</w:t>
      </w:r>
    </w:p>
    <w:p>
      <w:pPr>
        <w:pBdr>
          <w:top w:val="none" w:color="000000" w:sz="0" w:space="0"/>
          <w:left w:val="none" w:color="000000" w:sz="0" w:space="0"/>
          <w:bottom w:val="none" w:color="000000" w:sz="0" w:space="0"/>
          <w:right w:val="none" w:color="000000" w:sz="0" w:space="0"/>
          <w:between w:val="none" w:color="000000" w:sz="0" w:space="0"/>
        </w:pBdr>
        <w:spacing w:line="360" w:lineRule="auto"/>
        <w:ind w:firstLine="919" w:firstLineChars="418"/>
        <w:rPr>
          <w:kern w:val="1"/>
          <w:sz w:val="22"/>
        </w:rPr>
      </w:pPr>
      <w:r>
        <w:rPr>
          <w:rFonts w:hint="eastAsia"/>
          <w:kern w:val="1"/>
          <w:sz w:val="22"/>
        </w:rPr>
        <w:t>特此证明。</w:t>
      </w:r>
    </w:p>
    <w:p>
      <w:pPr>
        <w:pBdr>
          <w:top w:val="none" w:color="000000" w:sz="0" w:space="0"/>
          <w:left w:val="none" w:color="000000" w:sz="0" w:space="0"/>
          <w:bottom w:val="none" w:color="000000" w:sz="0" w:space="0"/>
          <w:right w:val="none" w:color="000000" w:sz="0" w:space="0"/>
          <w:between w:val="none" w:color="000000" w:sz="0" w:space="0"/>
        </w:pBdr>
        <w:spacing w:line="360" w:lineRule="auto"/>
        <w:ind w:right="440" w:firstLine="480"/>
        <w:jc w:val="center"/>
        <w:rPr>
          <w:kern w:val="1"/>
          <w:sz w:val="22"/>
        </w:rPr>
      </w:pPr>
      <w:r>
        <w:rPr>
          <w:rFonts w:hint="eastAsia"/>
          <w:kern w:val="1"/>
          <w:sz w:val="22"/>
        </w:rPr>
        <w:t xml:space="preserve">                                                                                             供应商（盖单位章）：</w:t>
      </w:r>
    </w:p>
    <w:p>
      <w:pPr>
        <w:pBdr>
          <w:top w:val="none" w:color="000000" w:sz="0" w:space="0"/>
          <w:left w:val="none" w:color="000000" w:sz="0" w:space="0"/>
          <w:bottom w:val="none" w:color="000000" w:sz="0" w:space="0"/>
          <w:right w:val="none" w:color="000000" w:sz="0" w:space="0"/>
          <w:between w:val="none" w:color="000000" w:sz="0" w:space="0"/>
        </w:pBdr>
        <w:spacing w:line="360" w:lineRule="auto"/>
        <w:ind w:right="880" w:firstLine="480"/>
        <w:jc w:val="center"/>
        <w:rPr>
          <w:kern w:val="1"/>
          <w:sz w:val="22"/>
        </w:rPr>
      </w:pPr>
      <w:r>
        <w:rPr>
          <w:rFonts w:hint="eastAsia"/>
          <w:kern w:val="1"/>
          <w:sz w:val="22"/>
        </w:rPr>
        <w:t xml:space="preserve">                                                                                                           年    月     日</w:t>
      </w:r>
    </w:p>
    <w:tbl>
      <w:tblPr>
        <w:tblStyle w:val="5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0" w:type="dxa"/>
          </w:tcPr>
          <w:p>
            <w:pPr>
              <w:spacing w:line="360" w:lineRule="auto"/>
              <w:ind w:right="880"/>
              <w:jc w:val="center"/>
              <w:rPr>
                <w:kern w:val="1"/>
                <w:sz w:val="22"/>
              </w:rPr>
            </w:pPr>
          </w:p>
          <w:p>
            <w:pPr>
              <w:spacing w:line="360" w:lineRule="auto"/>
              <w:ind w:right="880"/>
              <w:jc w:val="center"/>
              <w:rPr>
                <w:kern w:val="1"/>
                <w:sz w:val="22"/>
              </w:rPr>
            </w:pPr>
          </w:p>
          <w:p>
            <w:pPr>
              <w:spacing w:line="360" w:lineRule="auto"/>
              <w:ind w:right="880"/>
              <w:jc w:val="center"/>
              <w:rPr>
                <w:kern w:val="1"/>
                <w:sz w:val="22"/>
              </w:rPr>
            </w:pPr>
          </w:p>
          <w:p>
            <w:pPr>
              <w:spacing w:line="360" w:lineRule="auto"/>
              <w:ind w:right="880"/>
              <w:jc w:val="center"/>
              <w:rPr>
                <w:kern w:val="1"/>
                <w:sz w:val="22"/>
              </w:rPr>
            </w:pPr>
            <w:r>
              <w:rPr>
                <w:rFonts w:hint="eastAsia"/>
                <w:color w:val="000000"/>
                <w:spacing w:val="1"/>
                <w:kern w:val="1"/>
              </w:rPr>
              <w:t>（</w:t>
            </w:r>
            <w:r>
              <w:rPr>
                <w:color w:val="000000"/>
                <w:spacing w:val="1"/>
                <w:kern w:val="1"/>
              </w:rPr>
              <w:t>附</w:t>
            </w:r>
            <w:r>
              <w:rPr>
                <w:rFonts w:hint="eastAsia"/>
                <w:color w:val="000000"/>
                <w:spacing w:val="1"/>
                <w:kern w:val="1"/>
              </w:rPr>
              <w:t>法定代表</w:t>
            </w:r>
            <w:r>
              <w:rPr>
                <w:color w:val="000000"/>
                <w:spacing w:val="1"/>
                <w:kern w:val="1"/>
              </w:rPr>
              <w:t>人身份证复印件）</w:t>
            </w:r>
          </w:p>
          <w:p>
            <w:pPr>
              <w:spacing w:line="360" w:lineRule="auto"/>
              <w:ind w:right="880"/>
              <w:jc w:val="center"/>
              <w:rPr>
                <w:kern w:val="1"/>
                <w:sz w:val="22"/>
              </w:rPr>
            </w:pPr>
          </w:p>
          <w:p>
            <w:pPr>
              <w:spacing w:line="360" w:lineRule="auto"/>
              <w:ind w:right="880"/>
              <w:jc w:val="center"/>
              <w:rPr>
                <w:kern w:val="1"/>
                <w:sz w:val="22"/>
              </w:rPr>
            </w:pPr>
          </w:p>
          <w:p>
            <w:pPr>
              <w:spacing w:line="360" w:lineRule="auto"/>
              <w:ind w:right="880"/>
              <w:jc w:val="center"/>
              <w:rPr>
                <w:kern w:val="1"/>
                <w:sz w:val="22"/>
              </w:rPr>
            </w:pPr>
          </w:p>
        </w:tc>
      </w:tr>
    </w:tbl>
    <w:p>
      <w:pPr>
        <w:spacing w:line="360" w:lineRule="auto"/>
        <w:rPr>
          <w:kern w:val="1"/>
          <w:sz w:val="22"/>
        </w:rPr>
      </w:pPr>
      <w:r>
        <w:rPr>
          <w:kern w:val="1"/>
          <w:sz w:val="22"/>
        </w:rPr>
        <w:br w:type="page"/>
      </w:r>
      <w:r>
        <w:rPr>
          <w:rFonts w:hint="eastAsia"/>
          <w:b/>
          <w:bCs/>
        </w:rPr>
        <w:t>附件4：</w:t>
      </w:r>
    </w:p>
    <w:p>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kern w:val="1"/>
        </w:rPr>
      </w:pPr>
      <w:bookmarkStart w:id="38" w:name="_Toc27244"/>
      <w:bookmarkEnd w:id="38"/>
      <w:bookmarkStart w:id="39" w:name="_Toc3867"/>
      <w:bookmarkEnd w:id="39"/>
      <w:bookmarkStart w:id="40" w:name="_Toc260774696"/>
      <w:bookmarkEnd w:id="40"/>
      <w:r>
        <w:rPr>
          <w:rFonts w:hint="eastAsia"/>
          <w:b/>
          <w:kern w:val="1"/>
        </w:rPr>
        <w:t>（2）授权委托书</w:t>
      </w:r>
    </w:p>
    <w:p>
      <w:pPr>
        <w:pBdr>
          <w:top w:val="none" w:color="000000" w:sz="0" w:space="0"/>
          <w:left w:val="none" w:color="000000" w:sz="0" w:space="0"/>
          <w:bottom w:val="none" w:color="000000" w:sz="0" w:space="0"/>
          <w:right w:val="none" w:color="000000" w:sz="0" w:space="0"/>
          <w:between w:val="none" w:color="000000" w:sz="0" w:space="0"/>
        </w:pBdr>
        <w:spacing w:line="360" w:lineRule="auto"/>
        <w:ind w:firstLine="556"/>
        <w:rPr>
          <w:kern w:val="1"/>
        </w:rPr>
      </w:pPr>
      <w:r>
        <w:rPr>
          <w:rFonts w:hint="eastAsia"/>
          <w:kern w:val="1"/>
        </w:rPr>
        <w:t>本授权委托书声明：我</w:t>
      </w:r>
      <w:r>
        <w:rPr>
          <w:rFonts w:hint="eastAsia"/>
          <w:kern w:val="1"/>
          <w:u w:val="single"/>
        </w:rPr>
        <w:t>（姓名）</w:t>
      </w:r>
      <w:r>
        <w:rPr>
          <w:rFonts w:hint="eastAsia"/>
          <w:kern w:val="1"/>
        </w:rPr>
        <w:t>系</w:t>
      </w:r>
      <w:r>
        <w:rPr>
          <w:rFonts w:hint="eastAsia"/>
          <w:kern w:val="1"/>
          <w:u w:val="single"/>
        </w:rPr>
        <w:t>（供应商名称）</w:t>
      </w:r>
      <w:r>
        <w:rPr>
          <w:rFonts w:hint="eastAsia"/>
          <w:kern w:val="1"/>
        </w:rPr>
        <w:t>的法定代表人，现授权委托</w:t>
      </w:r>
      <w:r>
        <w:rPr>
          <w:rFonts w:hint="eastAsia"/>
          <w:kern w:val="1"/>
          <w:u w:val="single"/>
        </w:rPr>
        <w:t xml:space="preserve"> （单位名称）</w:t>
      </w:r>
      <w:r>
        <w:rPr>
          <w:rFonts w:hint="eastAsia"/>
          <w:kern w:val="1"/>
        </w:rPr>
        <w:t>的</w:t>
      </w:r>
      <w:r>
        <w:rPr>
          <w:rFonts w:hint="eastAsia"/>
          <w:kern w:val="1"/>
          <w:u w:val="single"/>
        </w:rPr>
        <w:t>（姓名）</w:t>
      </w:r>
      <w:r>
        <w:rPr>
          <w:rFonts w:hint="eastAsia"/>
          <w:kern w:val="1"/>
        </w:rPr>
        <w:t>为我公司授权代表，以本公司的名义参加</w:t>
      </w:r>
      <w:r>
        <w:rPr>
          <w:rFonts w:hint="eastAsia"/>
          <w:kern w:val="1"/>
          <w:u w:val="single"/>
        </w:rPr>
        <w:t>（采购人）</w:t>
      </w:r>
      <w:r>
        <w:rPr>
          <w:rFonts w:hint="eastAsia"/>
          <w:kern w:val="1"/>
        </w:rPr>
        <w:t>的</w:t>
      </w:r>
      <w:r>
        <w:rPr>
          <w:rFonts w:hint="eastAsia"/>
          <w:kern w:val="1"/>
          <w:u w:val="single"/>
        </w:rPr>
        <w:t>（项目名称）</w:t>
      </w:r>
      <w:r>
        <w:rPr>
          <w:rFonts w:hint="eastAsia"/>
          <w:kern w:val="1"/>
        </w:rPr>
        <w:t>报价活动。授权代表在响应会、评审、合同报价过程中所签署的一切文件和处理与之有关的一切事务。我均予以承认，并承担一切责任。</w:t>
      </w:r>
    </w:p>
    <w:p>
      <w:pPr>
        <w:pBdr>
          <w:top w:val="none" w:color="000000" w:sz="0" w:space="0"/>
          <w:left w:val="none" w:color="000000" w:sz="0" w:space="0"/>
          <w:bottom w:val="none" w:color="000000" w:sz="0" w:space="0"/>
          <w:right w:val="none" w:color="000000" w:sz="0" w:space="0"/>
          <w:between w:val="none" w:color="000000" w:sz="0" w:space="0"/>
        </w:pBdr>
        <w:spacing w:line="360" w:lineRule="auto"/>
        <w:ind w:firstLine="556"/>
        <w:rPr>
          <w:kern w:val="1"/>
        </w:rPr>
      </w:pPr>
      <w:r>
        <w:rPr>
          <w:rFonts w:hint="eastAsia"/>
          <w:kern w:val="1"/>
        </w:rPr>
        <w:t>授权代表无转委托权。特此委托。</w:t>
      </w:r>
    </w:p>
    <w:tbl>
      <w:tblPr>
        <w:tblStyle w:val="5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0" w:type="dxa"/>
          </w:tcPr>
          <w:p>
            <w:pPr>
              <w:spacing w:line="360" w:lineRule="auto"/>
              <w:rPr>
                <w:kern w:val="1"/>
              </w:rPr>
            </w:pPr>
          </w:p>
          <w:p>
            <w:pPr>
              <w:spacing w:line="360" w:lineRule="auto"/>
              <w:rPr>
                <w:kern w:val="1"/>
              </w:rPr>
            </w:pPr>
          </w:p>
          <w:p>
            <w:pPr>
              <w:spacing w:line="360" w:lineRule="auto"/>
              <w:rPr>
                <w:kern w:val="1"/>
              </w:rPr>
            </w:pPr>
          </w:p>
          <w:p>
            <w:pPr>
              <w:pBdr>
                <w:top w:val="none" w:color="000000" w:sz="0" w:space="0"/>
                <w:left w:val="none" w:color="000000" w:sz="0" w:space="0"/>
                <w:bottom w:val="none" w:color="000000" w:sz="0" w:space="0"/>
                <w:right w:val="none" w:color="000000" w:sz="0" w:space="0"/>
                <w:between w:val="none" w:color="000000" w:sz="0" w:space="0"/>
              </w:pBdr>
              <w:spacing w:line="360" w:lineRule="auto"/>
              <w:ind w:firstLine="556"/>
              <w:jc w:val="center"/>
              <w:rPr>
                <w:kern w:val="1"/>
              </w:rPr>
            </w:pPr>
            <w:r>
              <w:rPr>
                <w:rFonts w:hint="eastAsia"/>
                <w:kern w:val="1"/>
              </w:rPr>
              <w:t>附：授权代表身份证复印件</w:t>
            </w:r>
          </w:p>
          <w:p>
            <w:pPr>
              <w:spacing w:line="360" w:lineRule="auto"/>
              <w:rPr>
                <w:kern w:val="1"/>
              </w:rPr>
            </w:pPr>
          </w:p>
          <w:p>
            <w:pPr>
              <w:spacing w:line="360" w:lineRule="auto"/>
              <w:rPr>
                <w:kern w:val="1"/>
              </w:rPr>
            </w:pPr>
          </w:p>
          <w:p>
            <w:pPr>
              <w:spacing w:line="360" w:lineRule="auto"/>
              <w:rPr>
                <w:kern w:val="1"/>
              </w:rPr>
            </w:pPr>
          </w:p>
        </w:tc>
      </w:tr>
    </w:tbl>
    <w:p>
      <w:pPr>
        <w:pBdr>
          <w:top w:val="none" w:color="000000" w:sz="0" w:space="0"/>
          <w:left w:val="none" w:color="000000" w:sz="0" w:space="0"/>
          <w:bottom w:val="none" w:color="000000" w:sz="0" w:space="0"/>
          <w:right w:val="none" w:color="000000" w:sz="0" w:space="0"/>
          <w:between w:val="none" w:color="000000" w:sz="0" w:space="0"/>
        </w:pBdr>
        <w:spacing w:line="360" w:lineRule="auto"/>
        <w:ind w:firstLine="555"/>
        <w:rPr>
          <w:kern w:val="1"/>
        </w:rPr>
      </w:pPr>
    </w:p>
    <w:p>
      <w:pPr>
        <w:pBdr>
          <w:top w:val="none" w:color="000000" w:sz="0" w:space="0"/>
          <w:left w:val="none" w:color="000000" w:sz="0" w:space="0"/>
          <w:bottom w:val="none" w:color="000000" w:sz="0" w:space="0"/>
          <w:right w:val="none" w:color="000000" w:sz="0" w:space="0"/>
          <w:between w:val="none" w:color="000000" w:sz="0" w:space="0"/>
        </w:pBdr>
        <w:spacing w:line="360" w:lineRule="auto"/>
        <w:ind w:firstLine="555"/>
        <w:rPr>
          <w:kern w:val="1"/>
        </w:rPr>
      </w:pPr>
      <w:r>
        <w:rPr>
          <w:rFonts w:hint="eastAsia"/>
          <w:kern w:val="1"/>
        </w:rPr>
        <w:t>授权代表：       性别：       年龄：</w:t>
      </w:r>
    </w:p>
    <w:p>
      <w:pPr>
        <w:pBdr>
          <w:top w:val="none" w:color="000000" w:sz="0" w:space="0"/>
          <w:left w:val="none" w:color="000000" w:sz="0" w:space="0"/>
          <w:bottom w:val="none" w:color="000000" w:sz="0" w:space="0"/>
          <w:right w:val="none" w:color="000000" w:sz="0" w:space="0"/>
          <w:between w:val="none" w:color="000000" w:sz="0" w:space="0"/>
        </w:pBdr>
        <w:spacing w:line="360" w:lineRule="auto"/>
        <w:ind w:firstLine="555"/>
        <w:rPr>
          <w:kern w:val="1"/>
        </w:rPr>
      </w:pPr>
      <w:r>
        <w:rPr>
          <w:rFonts w:hint="eastAsia"/>
          <w:kern w:val="1"/>
        </w:rPr>
        <w:t>单位：                        部门：         职务：</w:t>
      </w:r>
    </w:p>
    <w:p>
      <w:pPr>
        <w:pBdr>
          <w:top w:val="none" w:color="000000" w:sz="0" w:space="0"/>
          <w:left w:val="none" w:color="000000" w:sz="0" w:space="0"/>
          <w:bottom w:val="none" w:color="000000" w:sz="0" w:space="0"/>
          <w:right w:val="none" w:color="000000" w:sz="0" w:space="0"/>
          <w:between w:val="none" w:color="000000" w:sz="0" w:space="0"/>
        </w:pBdr>
        <w:spacing w:line="360" w:lineRule="auto"/>
        <w:ind w:firstLine="555"/>
        <w:rPr>
          <w:kern w:val="1"/>
        </w:rPr>
      </w:pPr>
      <w:r>
        <w:rPr>
          <w:rFonts w:hint="eastAsia"/>
          <w:kern w:val="1"/>
        </w:rPr>
        <w:t>供应商：（盖单位公章）</w:t>
      </w:r>
    </w:p>
    <w:p>
      <w:pPr>
        <w:pBdr>
          <w:top w:val="none" w:color="000000" w:sz="0" w:space="0"/>
          <w:left w:val="none" w:color="000000" w:sz="0" w:space="0"/>
          <w:bottom w:val="none" w:color="000000" w:sz="0" w:space="0"/>
          <w:right w:val="none" w:color="000000" w:sz="0" w:space="0"/>
          <w:between w:val="none" w:color="000000" w:sz="0" w:space="0"/>
        </w:pBdr>
        <w:spacing w:line="360" w:lineRule="auto"/>
        <w:ind w:firstLine="555"/>
        <w:rPr>
          <w:kern w:val="1"/>
        </w:rPr>
      </w:pPr>
      <w:r>
        <w:rPr>
          <w:rFonts w:hint="eastAsia"/>
          <w:kern w:val="1"/>
        </w:rPr>
        <w:t>法定代表人：（签字或盖章）</w:t>
      </w:r>
    </w:p>
    <w:p>
      <w:pPr>
        <w:pBdr>
          <w:top w:val="none" w:color="000000" w:sz="0" w:space="0"/>
          <w:left w:val="none" w:color="000000" w:sz="0" w:space="0"/>
          <w:bottom w:val="none" w:color="000000" w:sz="0" w:space="0"/>
          <w:right w:val="none" w:color="000000" w:sz="0" w:space="0"/>
          <w:between w:val="none" w:color="000000" w:sz="0" w:space="0"/>
        </w:pBdr>
        <w:spacing w:line="360" w:lineRule="auto"/>
        <w:ind w:firstLine="555"/>
        <w:rPr>
          <w:kern w:val="1"/>
        </w:rPr>
      </w:pPr>
      <w:r>
        <w:rPr>
          <w:rFonts w:hint="eastAsia"/>
          <w:kern w:val="1"/>
        </w:rPr>
        <w:t>日期：       年    月    日</w:t>
      </w:r>
    </w:p>
    <w:p>
      <w:pPr>
        <w:spacing w:line="360" w:lineRule="auto"/>
        <w:rPr>
          <w:b/>
          <w:bCs/>
        </w:rPr>
      </w:pPr>
      <w:r>
        <w:rPr>
          <w:b/>
          <w:bCs/>
        </w:rPr>
        <w:br w:type="page"/>
      </w:r>
    </w:p>
    <w:p>
      <w:pPr>
        <w:spacing w:line="360" w:lineRule="auto"/>
        <w:rPr>
          <w:b/>
          <w:bCs/>
        </w:rPr>
      </w:pPr>
      <w:r>
        <w:rPr>
          <w:rFonts w:hint="eastAsia"/>
          <w:b/>
          <w:bCs/>
        </w:rPr>
        <w:t>附件5：</w:t>
      </w:r>
      <w:bookmarkStart w:id="41" w:name="_Toc82500160"/>
      <w:r>
        <w:rPr>
          <w:rFonts w:hint="eastAsia"/>
          <w:b/>
          <w:bCs/>
        </w:rPr>
        <w:t>商务/技术条款偏离表</w:t>
      </w:r>
    </w:p>
    <w:p>
      <w:pPr>
        <w:spacing w:line="360" w:lineRule="auto"/>
        <w:ind w:firstLine="120" w:firstLineChars="50"/>
        <w:jc w:val="center"/>
      </w:pPr>
      <w:r>
        <w:rPr>
          <w:rFonts w:hint="eastAsia"/>
        </w:rPr>
        <w:t>商务/技术条款偏离表</w:t>
      </w:r>
    </w:p>
    <w:p>
      <w:pPr>
        <w:spacing w:line="360" w:lineRule="auto"/>
        <w:ind w:firstLine="120" w:firstLineChars="50"/>
      </w:pPr>
      <w:r>
        <w:rPr>
          <w:rFonts w:hint="eastAsia"/>
        </w:rPr>
        <w:t xml:space="preserve">供应商名称：                </w:t>
      </w:r>
    </w:p>
    <w:tbl>
      <w:tblPr>
        <w:tblStyle w:val="50"/>
        <w:tblW w:w="8998" w:type="dxa"/>
        <w:jc w:val="center"/>
        <w:tblInd w:w="0" w:type="dxa"/>
        <w:tblLayout w:type="fixed"/>
        <w:tblCellMar>
          <w:top w:w="0" w:type="dxa"/>
          <w:left w:w="10" w:type="dxa"/>
          <w:bottom w:w="0" w:type="dxa"/>
          <w:right w:w="10" w:type="dxa"/>
        </w:tblCellMar>
      </w:tblPr>
      <w:tblGrid>
        <w:gridCol w:w="726"/>
        <w:gridCol w:w="1306"/>
        <w:gridCol w:w="2907"/>
        <w:gridCol w:w="1370"/>
        <w:gridCol w:w="2689"/>
      </w:tblGrid>
      <w:tr>
        <w:tblPrEx>
          <w:tblLayout w:type="fixed"/>
          <w:tblCellMar>
            <w:top w:w="0" w:type="dxa"/>
            <w:left w:w="10" w:type="dxa"/>
            <w:bottom w:w="0" w:type="dxa"/>
            <w:right w:w="10" w:type="dxa"/>
          </w:tblCellMar>
        </w:tblPrEx>
        <w:trPr>
          <w:cantSplit/>
          <w:trHeight w:val="936" w:hRule="atLeast"/>
          <w:jc w:val="center"/>
        </w:trPr>
        <w:tc>
          <w:tcPr>
            <w:tcW w:w="72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pPr>
            <w:r>
              <w:rPr>
                <w:rFonts w:hint="eastAsia"/>
              </w:rPr>
              <w:t>序号</w:t>
            </w:r>
          </w:p>
        </w:tc>
        <w:tc>
          <w:tcPr>
            <w:tcW w:w="421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pPr>
            <w:r>
              <w:rPr>
                <w:rFonts w:hint="eastAsia"/>
              </w:rPr>
              <w:t>磋商文件条款</w:t>
            </w:r>
          </w:p>
        </w:tc>
        <w:tc>
          <w:tcPr>
            <w:tcW w:w="405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pPr>
            <w:r>
              <w:rPr>
                <w:rFonts w:hint="eastAsia"/>
              </w:rPr>
              <w:t>响应文件条款</w:t>
            </w:r>
          </w:p>
        </w:tc>
      </w:tr>
      <w:tr>
        <w:tblPrEx>
          <w:tblLayout w:type="fixed"/>
          <w:tblCellMar>
            <w:top w:w="0" w:type="dxa"/>
            <w:left w:w="10" w:type="dxa"/>
            <w:bottom w:w="0" w:type="dxa"/>
            <w:right w:w="10" w:type="dxa"/>
          </w:tblCellMar>
        </w:tblPrEx>
        <w:trPr>
          <w:cantSplit/>
          <w:trHeight w:val="964"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pPr>
          </w:p>
        </w:tc>
        <w:tc>
          <w:tcPr>
            <w:tcW w:w="13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pPr>
            <w:r>
              <w:rPr>
                <w:rFonts w:hint="eastAsia"/>
              </w:rPr>
              <w:t>条款号</w:t>
            </w:r>
          </w:p>
        </w:tc>
        <w:tc>
          <w:tcPr>
            <w:tcW w:w="29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pPr>
            <w:r>
              <w:rPr>
                <w:rFonts w:hint="eastAsia"/>
              </w:rPr>
              <w:t>条款内容</w:t>
            </w:r>
          </w:p>
        </w:tc>
        <w:tc>
          <w:tcPr>
            <w:tcW w:w="13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pPr>
            <w:r>
              <w:rPr>
                <w:rFonts w:hint="eastAsia"/>
              </w:rPr>
              <w:t>条款号</w:t>
            </w:r>
          </w:p>
        </w:tc>
        <w:tc>
          <w:tcPr>
            <w:tcW w:w="26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pPr>
            <w:r>
              <w:rPr>
                <w:rFonts w:hint="eastAsia"/>
              </w:rPr>
              <w:t>条款内容</w:t>
            </w:r>
          </w:p>
        </w:tc>
      </w:tr>
      <w:tr>
        <w:tblPrEx>
          <w:tblLayout w:type="fixed"/>
          <w:tblCellMar>
            <w:top w:w="0" w:type="dxa"/>
            <w:left w:w="10" w:type="dxa"/>
            <w:bottom w:w="0" w:type="dxa"/>
            <w:right w:w="10" w:type="dxa"/>
          </w:tblCellMar>
        </w:tblPrEx>
        <w:trPr>
          <w:trHeight w:val="1390" w:hRule="atLeast"/>
          <w:jc w:val="center"/>
        </w:trPr>
        <w:tc>
          <w:tcPr>
            <w:tcW w:w="7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pPr>
          </w:p>
        </w:tc>
        <w:tc>
          <w:tcPr>
            <w:tcW w:w="13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pPr>
          </w:p>
        </w:tc>
        <w:tc>
          <w:tcPr>
            <w:tcW w:w="29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pPr>
          </w:p>
        </w:tc>
        <w:tc>
          <w:tcPr>
            <w:tcW w:w="13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pPr>
          </w:p>
        </w:tc>
        <w:tc>
          <w:tcPr>
            <w:tcW w:w="26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pPr>
          </w:p>
        </w:tc>
      </w:tr>
      <w:tr>
        <w:tblPrEx>
          <w:tblLayout w:type="fixed"/>
          <w:tblCellMar>
            <w:top w:w="0" w:type="dxa"/>
            <w:left w:w="10" w:type="dxa"/>
            <w:bottom w:w="0" w:type="dxa"/>
            <w:right w:w="10" w:type="dxa"/>
          </w:tblCellMar>
        </w:tblPrEx>
        <w:trPr>
          <w:trHeight w:val="1390" w:hRule="atLeast"/>
          <w:jc w:val="center"/>
        </w:trPr>
        <w:tc>
          <w:tcPr>
            <w:tcW w:w="7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pPr>
          </w:p>
        </w:tc>
        <w:tc>
          <w:tcPr>
            <w:tcW w:w="13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pPr>
          </w:p>
        </w:tc>
        <w:tc>
          <w:tcPr>
            <w:tcW w:w="29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pPr>
          </w:p>
        </w:tc>
        <w:tc>
          <w:tcPr>
            <w:tcW w:w="13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pPr>
          </w:p>
        </w:tc>
        <w:tc>
          <w:tcPr>
            <w:tcW w:w="26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pPr>
          </w:p>
        </w:tc>
      </w:tr>
      <w:tr>
        <w:tblPrEx>
          <w:tblLayout w:type="fixed"/>
          <w:tblCellMar>
            <w:top w:w="0" w:type="dxa"/>
            <w:left w:w="10" w:type="dxa"/>
            <w:bottom w:w="0" w:type="dxa"/>
            <w:right w:w="10" w:type="dxa"/>
          </w:tblCellMar>
        </w:tblPrEx>
        <w:trPr>
          <w:trHeight w:val="1390" w:hRule="atLeast"/>
          <w:jc w:val="center"/>
        </w:trPr>
        <w:tc>
          <w:tcPr>
            <w:tcW w:w="7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pPr>
          </w:p>
        </w:tc>
        <w:tc>
          <w:tcPr>
            <w:tcW w:w="13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pPr>
          </w:p>
        </w:tc>
        <w:tc>
          <w:tcPr>
            <w:tcW w:w="29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pPr>
          </w:p>
        </w:tc>
        <w:tc>
          <w:tcPr>
            <w:tcW w:w="13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pPr>
          </w:p>
        </w:tc>
        <w:tc>
          <w:tcPr>
            <w:tcW w:w="26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pPr>
          </w:p>
        </w:tc>
      </w:tr>
      <w:tr>
        <w:tblPrEx>
          <w:tblLayout w:type="fixed"/>
          <w:tblCellMar>
            <w:top w:w="0" w:type="dxa"/>
            <w:left w:w="10" w:type="dxa"/>
            <w:bottom w:w="0" w:type="dxa"/>
            <w:right w:w="10" w:type="dxa"/>
          </w:tblCellMar>
        </w:tblPrEx>
        <w:trPr>
          <w:trHeight w:val="1390" w:hRule="atLeast"/>
          <w:jc w:val="center"/>
        </w:trPr>
        <w:tc>
          <w:tcPr>
            <w:tcW w:w="7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pPr>
          </w:p>
        </w:tc>
        <w:tc>
          <w:tcPr>
            <w:tcW w:w="13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pPr>
          </w:p>
        </w:tc>
        <w:tc>
          <w:tcPr>
            <w:tcW w:w="29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pPr>
          </w:p>
        </w:tc>
        <w:tc>
          <w:tcPr>
            <w:tcW w:w="13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pPr>
          </w:p>
        </w:tc>
        <w:tc>
          <w:tcPr>
            <w:tcW w:w="26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pPr>
          </w:p>
        </w:tc>
      </w:tr>
    </w:tbl>
    <w:p>
      <w:pPr>
        <w:spacing w:line="360" w:lineRule="auto"/>
        <w:ind w:firstLine="120" w:firstLineChars="50"/>
      </w:pPr>
      <w:r>
        <w:rPr>
          <w:rFonts w:hint="eastAsia"/>
        </w:rPr>
        <w:t xml:space="preserve">供应商（盖单位公章）：    </w:t>
      </w:r>
    </w:p>
    <w:p>
      <w:pPr>
        <w:spacing w:line="360" w:lineRule="auto"/>
        <w:ind w:firstLine="480" w:firstLineChars="200"/>
      </w:pPr>
    </w:p>
    <w:p>
      <w:pPr>
        <w:spacing w:line="360" w:lineRule="auto"/>
        <w:ind w:firstLine="120" w:firstLineChars="50"/>
        <w:rPr>
          <w:bCs/>
        </w:rPr>
      </w:pPr>
      <w:r>
        <w:rPr>
          <w:rFonts w:hint="eastAsia"/>
        </w:rPr>
        <w:t xml:space="preserve">法定代表人或授权代表（签字或盖章）：   </w:t>
      </w:r>
    </w:p>
    <w:p>
      <w:pPr>
        <w:spacing w:line="360" w:lineRule="auto"/>
        <w:ind w:firstLine="480" w:firstLineChars="200"/>
        <w:jc w:val="right"/>
        <w:rPr>
          <w:bCs/>
        </w:rPr>
      </w:pPr>
    </w:p>
    <w:p>
      <w:pPr>
        <w:spacing w:line="360" w:lineRule="auto"/>
        <w:ind w:firstLine="120" w:firstLineChars="50"/>
      </w:pPr>
      <w:r>
        <w:rPr>
          <w:rFonts w:hint="eastAsia"/>
        </w:rPr>
        <w:t>日期：年   月   日：</w:t>
      </w:r>
    </w:p>
    <w:p>
      <w:pPr>
        <w:spacing w:line="360" w:lineRule="auto"/>
        <w:rPr>
          <w:b/>
          <w:bCs/>
        </w:rPr>
      </w:pPr>
    </w:p>
    <w:p>
      <w:pPr>
        <w:spacing w:line="360" w:lineRule="auto"/>
        <w:rPr>
          <w:b/>
          <w:bCs/>
        </w:rPr>
      </w:pPr>
    </w:p>
    <w:p>
      <w:pPr>
        <w:spacing w:line="360" w:lineRule="auto"/>
        <w:rPr>
          <w:b/>
          <w:bCs/>
        </w:rPr>
      </w:pPr>
      <w:r>
        <w:rPr>
          <w:b/>
          <w:bCs/>
        </w:rPr>
        <w:br w:type="page"/>
      </w:r>
    </w:p>
    <w:bookmarkEnd w:id="41"/>
    <w:p>
      <w:pPr>
        <w:spacing w:line="360" w:lineRule="auto"/>
        <w:rPr>
          <w:sz w:val="28"/>
          <w:szCs w:val="28"/>
        </w:rPr>
      </w:pPr>
      <w:bookmarkStart w:id="42" w:name="_Toc520707105"/>
      <w:bookmarkStart w:id="43" w:name="_Toc515349839"/>
      <w:bookmarkStart w:id="44" w:name="_Toc511035344"/>
      <w:bookmarkStart w:id="45" w:name="_Toc514664506"/>
      <w:bookmarkStart w:id="46" w:name="_Toc514667415"/>
      <w:bookmarkStart w:id="47" w:name="_Toc514678278"/>
      <w:bookmarkStart w:id="48" w:name="_Toc514667485"/>
      <w:r>
        <w:rPr>
          <w:rFonts w:hint="eastAsia"/>
          <w:b/>
          <w:bCs/>
        </w:rPr>
        <w:t>附件</w:t>
      </w:r>
      <w:r>
        <w:rPr>
          <w:rFonts w:hint="eastAsia"/>
          <w:b/>
          <w:bCs/>
          <w:lang w:val="en-US" w:eastAsia="zh-CN"/>
        </w:rPr>
        <w:t>6</w:t>
      </w:r>
      <w:r>
        <w:rPr>
          <w:rFonts w:hint="eastAsia"/>
          <w:b/>
          <w:bCs/>
        </w:rPr>
        <w:t>：</w:t>
      </w:r>
    </w:p>
    <w:p>
      <w:pPr>
        <w:spacing w:line="360" w:lineRule="auto"/>
        <w:rPr>
          <w:b/>
          <w:bCs/>
          <w:kern w:val="2"/>
          <w:sz w:val="21"/>
        </w:rPr>
      </w:pPr>
    </w:p>
    <w:p>
      <w:pPr>
        <w:spacing w:line="360" w:lineRule="auto"/>
        <w:rPr>
          <w:rFonts w:cs="Times New Roman"/>
          <w:b/>
          <w:bCs/>
          <w:kern w:val="2"/>
          <w:sz w:val="28"/>
          <w:szCs w:val="28"/>
        </w:rPr>
      </w:pPr>
    </w:p>
    <w:p>
      <w:pPr>
        <w:spacing w:line="360" w:lineRule="auto"/>
        <w:rPr>
          <w:rFonts w:cs="Times New Roman"/>
          <w:b/>
          <w:bCs/>
          <w:kern w:val="2"/>
          <w:sz w:val="28"/>
          <w:szCs w:val="28"/>
        </w:rPr>
      </w:pPr>
      <w:r>
        <w:rPr>
          <w:rFonts w:hint="eastAsia" w:cs="Times New Roman"/>
          <w:b/>
          <w:bCs/>
          <w:kern w:val="2"/>
          <w:sz w:val="28"/>
          <w:szCs w:val="28"/>
        </w:rPr>
        <w:t>参加政府采购活动前3年内在经营活动中没有重大违法记录的书面声明</w:t>
      </w:r>
    </w:p>
    <w:p>
      <w:pPr>
        <w:widowControl w:val="0"/>
        <w:spacing w:line="360" w:lineRule="auto"/>
        <w:ind w:firstLine="480" w:firstLineChars="200"/>
        <w:jc w:val="both"/>
        <w:rPr>
          <w:rFonts w:cs="Times New Roman"/>
          <w:bCs/>
          <w:kern w:val="2"/>
        </w:rPr>
      </w:pPr>
    </w:p>
    <w:p>
      <w:pPr>
        <w:widowControl w:val="0"/>
        <w:spacing w:line="360" w:lineRule="auto"/>
        <w:ind w:firstLine="480" w:firstLineChars="200"/>
        <w:jc w:val="both"/>
        <w:rPr>
          <w:rFonts w:cs="Times New Roman"/>
          <w:bCs/>
          <w:kern w:val="2"/>
        </w:rPr>
      </w:pPr>
      <w:r>
        <w:rPr>
          <w:rFonts w:hint="eastAsia" w:cs="Times New Roman"/>
          <w:bCs/>
          <w:kern w:val="2"/>
        </w:rPr>
        <w:t>我方在参加</w:t>
      </w:r>
      <w:r>
        <w:rPr>
          <w:rFonts w:hint="eastAsia" w:cs="Times New Roman"/>
          <w:bCs/>
          <w:kern w:val="2"/>
          <w:u w:val="single"/>
        </w:rPr>
        <w:t xml:space="preserve">           （项目名称）</w:t>
      </w:r>
      <w:r>
        <w:rPr>
          <w:rFonts w:hint="eastAsia" w:cs="Times New Roman"/>
          <w:bCs/>
          <w:kern w:val="2"/>
        </w:rPr>
        <w:t>的政府采购活动前3年内，我方被公开披露或查处的违法违规行为：</w:t>
      </w:r>
      <w:r>
        <w:rPr>
          <w:rFonts w:hint="eastAsia" w:cs="Times New Roman"/>
          <w:bCs/>
          <w:kern w:val="2"/>
          <w:u w:val="single"/>
        </w:rPr>
        <w:t xml:space="preserve">                          </w:t>
      </w:r>
      <w:r>
        <w:rPr>
          <w:rFonts w:hint="eastAsia" w:cs="Times New Roman"/>
          <w:bCs/>
          <w:kern w:val="2"/>
        </w:rPr>
        <w:t>，在经营活动中没有重大违法记录（重大违法记录指供应商因违法经营受到刑事处罚或者责令停产停业、吊销许可证或者执照、较大数额罚款等行政处罚）。</w:t>
      </w:r>
    </w:p>
    <w:p>
      <w:pPr>
        <w:widowControl w:val="0"/>
        <w:spacing w:line="360" w:lineRule="auto"/>
        <w:ind w:firstLine="480" w:firstLineChars="200"/>
        <w:jc w:val="both"/>
        <w:rPr>
          <w:rFonts w:cs="Times New Roman"/>
          <w:bCs/>
          <w:kern w:val="2"/>
        </w:rPr>
      </w:pPr>
    </w:p>
    <w:p>
      <w:pPr>
        <w:widowControl w:val="0"/>
        <w:spacing w:line="360" w:lineRule="auto"/>
        <w:ind w:firstLine="480" w:firstLineChars="200"/>
        <w:jc w:val="both"/>
        <w:rPr>
          <w:rFonts w:cs="Times New Roman"/>
          <w:bCs/>
          <w:kern w:val="2"/>
        </w:rPr>
      </w:pPr>
    </w:p>
    <w:p>
      <w:pPr>
        <w:widowControl w:val="0"/>
        <w:spacing w:line="360" w:lineRule="auto"/>
        <w:ind w:firstLine="480" w:firstLineChars="200"/>
        <w:jc w:val="both"/>
        <w:rPr>
          <w:rFonts w:cs="Times New Roman"/>
          <w:bCs/>
          <w:kern w:val="2"/>
        </w:rPr>
      </w:pPr>
    </w:p>
    <w:p>
      <w:pPr>
        <w:widowControl w:val="0"/>
        <w:spacing w:line="360" w:lineRule="auto"/>
        <w:ind w:firstLine="480" w:firstLineChars="200"/>
        <w:jc w:val="both"/>
        <w:rPr>
          <w:rFonts w:cs="Times New Roman"/>
          <w:bCs/>
          <w:kern w:val="2"/>
        </w:rPr>
      </w:pPr>
    </w:p>
    <w:p>
      <w:pPr>
        <w:widowControl w:val="0"/>
        <w:spacing w:line="360" w:lineRule="auto"/>
        <w:ind w:firstLine="1440" w:firstLineChars="600"/>
        <w:jc w:val="both"/>
        <w:rPr>
          <w:rFonts w:cs="Times New Roman"/>
          <w:bCs/>
          <w:kern w:val="2"/>
        </w:rPr>
      </w:pPr>
      <w:r>
        <w:rPr>
          <w:rFonts w:hint="eastAsia" w:cs="Times New Roman"/>
          <w:bCs/>
          <w:kern w:val="2"/>
        </w:rPr>
        <w:t>投  标  人：</w:t>
      </w:r>
      <w:r>
        <w:rPr>
          <w:rFonts w:hint="eastAsia" w:cs="Times New Roman"/>
          <w:bCs/>
          <w:kern w:val="2"/>
          <w:u w:val="single"/>
        </w:rPr>
        <w:t xml:space="preserve">                       （盖单位公章）</w:t>
      </w:r>
    </w:p>
    <w:p>
      <w:pPr>
        <w:widowControl w:val="0"/>
        <w:spacing w:line="360" w:lineRule="auto"/>
        <w:ind w:firstLine="1440" w:firstLineChars="600"/>
        <w:jc w:val="both"/>
        <w:rPr>
          <w:rFonts w:cs="Times New Roman"/>
          <w:bCs/>
          <w:kern w:val="2"/>
        </w:rPr>
      </w:pPr>
      <w:r>
        <w:rPr>
          <w:rFonts w:hint="eastAsia" w:cs="Times New Roman"/>
          <w:bCs/>
          <w:kern w:val="2"/>
        </w:rPr>
        <w:t>法定代表人（负责人）：</w:t>
      </w:r>
      <w:r>
        <w:rPr>
          <w:rFonts w:hint="eastAsia" w:cs="Times New Roman"/>
          <w:bCs/>
          <w:kern w:val="2"/>
          <w:u w:val="single"/>
        </w:rPr>
        <w:t xml:space="preserve">                （签字或加盖个人名章）</w:t>
      </w:r>
    </w:p>
    <w:p>
      <w:pPr>
        <w:widowControl w:val="0"/>
        <w:spacing w:line="360" w:lineRule="auto"/>
        <w:ind w:firstLine="1440" w:firstLineChars="600"/>
        <w:jc w:val="both"/>
        <w:rPr>
          <w:rFonts w:cs="Times New Roman"/>
          <w:bCs/>
          <w:kern w:val="2"/>
        </w:rPr>
      </w:pPr>
      <w:r>
        <w:rPr>
          <w:rFonts w:hint="eastAsia" w:cs="Times New Roman"/>
          <w:bCs/>
          <w:kern w:val="2"/>
        </w:rPr>
        <w:t>日      期：</w:t>
      </w:r>
      <w:r>
        <w:rPr>
          <w:rFonts w:hint="eastAsia" w:cs="Times New Roman"/>
          <w:bCs/>
          <w:kern w:val="2"/>
          <w:u w:val="single"/>
        </w:rPr>
        <w:t xml:space="preserve">      </w:t>
      </w:r>
      <w:r>
        <w:rPr>
          <w:rFonts w:hint="eastAsia" w:cs="Times New Roman"/>
          <w:bCs/>
          <w:kern w:val="2"/>
        </w:rPr>
        <w:t>年</w:t>
      </w:r>
      <w:r>
        <w:rPr>
          <w:rFonts w:hint="eastAsia" w:cs="Times New Roman"/>
          <w:bCs/>
          <w:kern w:val="2"/>
          <w:u w:val="single"/>
        </w:rPr>
        <w:t xml:space="preserve">   </w:t>
      </w:r>
      <w:r>
        <w:rPr>
          <w:rFonts w:hint="eastAsia" w:cs="Times New Roman"/>
          <w:bCs/>
          <w:kern w:val="2"/>
        </w:rPr>
        <w:t>月</w:t>
      </w:r>
      <w:r>
        <w:rPr>
          <w:rFonts w:hint="eastAsia" w:cs="Times New Roman"/>
          <w:bCs/>
          <w:kern w:val="2"/>
          <w:u w:val="single"/>
        </w:rPr>
        <w:t xml:space="preserve">   </w:t>
      </w:r>
      <w:r>
        <w:rPr>
          <w:rFonts w:hint="eastAsia" w:cs="Times New Roman"/>
          <w:bCs/>
          <w:kern w:val="2"/>
        </w:rPr>
        <w:t>日</w:t>
      </w:r>
    </w:p>
    <w:p>
      <w:pPr>
        <w:spacing w:line="360" w:lineRule="auto"/>
        <w:rPr>
          <w:b/>
          <w:bCs/>
          <w:kern w:val="2"/>
          <w:sz w:val="21"/>
        </w:rPr>
      </w:pPr>
      <w:r>
        <w:rPr>
          <w:sz w:val="21"/>
        </w:rPr>
        <w:br w:type="page"/>
      </w:r>
    </w:p>
    <w:bookmarkEnd w:id="42"/>
    <w:bookmarkEnd w:id="43"/>
    <w:bookmarkEnd w:id="44"/>
    <w:bookmarkEnd w:id="45"/>
    <w:bookmarkEnd w:id="46"/>
    <w:bookmarkEnd w:id="47"/>
    <w:bookmarkEnd w:id="48"/>
    <w:p>
      <w:pPr>
        <w:spacing w:line="360" w:lineRule="auto"/>
        <w:rPr>
          <w:b/>
          <w:bCs/>
        </w:rPr>
      </w:pPr>
      <w:bookmarkStart w:id="49" w:name="_Toc515349841"/>
      <w:bookmarkStart w:id="50" w:name="_Toc514667417"/>
      <w:bookmarkStart w:id="51" w:name="_Toc520707107"/>
      <w:bookmarkStart w:id="52" w:name="_Toc511035346"/>
      <w:bookmarkStart w:id="53" w:name="_Toc514664508"/>
      <w:bookmarkStart w:id="54" w:name="_Toc514667487"/>
      <w:bookmarkStart w:id="55" w:name="_Toc514678280"/>
      <w:r>
        <w:rPr>
          <w:rFonts w:hint="eastAsia"/>
          <w:b/>
          <w:bCs/>
        </w:rPr>
        <w:t>附件</w:t>
      </w:r>
      <w:r>
        <w:rPr>
          <w:rFonts w:hint="eastAsia"/>
          <w:b/>
          <w:bCs/>
          <w:lang w:val="en-US" w:eastAsia="zh-CN"/>
        </w:rPr>
        <w:t>7</w:t>
      </w:r>
      <w:r>
        <w:rPr>
          <w:rFonts w:hint="eastAsia"/>
          <w:b/>
          <w:bCs/>
        </w:rPr>
        <w:t>：</w:t>
      </w:r>
      <w:bookmarkEnd w:id="49"/>
      <w:bookmarkEnd w:id="50"/>
      <w:bookmarkEnd w:id="51"/>
      <w:bookmarkEnd w:id="52"/>
      <w:bookmarkEnd w:id="53"/>
      <w:bookmarkEnd w:id="54"/>
      <w:bookmarkEnd w:id="55"/>
    </w:p>
    <w:p>
      <w:pPr>
        <w:pStyle w:val="2"/>
        <w:rPr>
          <w:sz w:val="21"/>
        </w:rPr>
      </w:pPr>
    </w:p>
    <w:p>
      <w:pPr>
        <w:pStyle w:val="219"/>
      </w:pPr>
      <w:bookmarkStart w:id="56" w:name="_Toc20972_WPSOffice_Level2"/>
      <w:bookmarkStart w:id="57" w:name="_Toc32305_WPSOffice_Level2"/>
      <w:bookmarkStart w:id="58" w:name="_Toc2360_WPSOffice_Level2"/>
      <w:bookmarkStart w:id="59" w:name="_Toc8716_WPSOffice_Level2"/>
      <w:bookmarkStart w:id="60" w:name="_Toc30106_WPSOffice_Level2"/>
      <w:bookmarkStart w:id="61" w:name="_Toc22041_WPSOffice_Level2"/>
      <w:bookmarkStart w:id="62" w:name="_Toc12623_WPSOffice_Level2"/>
      <w:bookmarkStart w:id="63" w:name="_Toc13857_WPSOffice_Level2"/>
      <w:r>
        <w:rPr>
          <w:rFonts w:hint="eastAsia"/>
        </w:rPr>
        <w:t>报价组成明细表</w:t>
      </w:r>
      <w:bookmarkEnd w:id="56"/>
      <w:bookmarkEnd w:id="57"/>
      <w:bookmarkEnd w:id="58"/>
      <w:bookmarkEnd w:id="59"/>
      <w:bookmarkEnd w:id="60"/>
      <w:bookmarkEnd w:id="61"/>
      <w:bookmarkEnd w:id="62"/>
      <w:bookmarkEnd w:id="63"/>
    </w:p>
    <w:p>
      <w:pPr>
        <w:spacing w:beforeLines="50" w:line="360" w:lineRule="auto"/>
        <w:ind w:right="480"/>
      </w:pPr>
      <w:r>
        <w:rPr>
          <w:rFonts w:hint="eastAsia"/>
        </w:rPr>
        <w:t>项目名称：</w:t>
      </w:r>
    </w:p>
    <w:p>
      <w:pPr>
        <w:spacing w:beforeLines="50" w:line="360" w:lineRule="auto"/>
        <w:ind w:right="480"/>
      </w:pPr>
      <w:r>
        <w:rPr>
          <w:rFonts w:hint="eastAsia"/>
        </w:rPr>
        <w:t>项目编号：</w:t>
      </w:r>
    </w:p>
    <w:p>
      <w:pPr>
        <w:spacing w:beforeLines="50" w:line="360" w:lineRule="auto"/>
        <w:ind w:right="480"/>
      </w:pPr>
      <w:r>
        <w:rPr>
          <w:rFonts w:hint="eastAsia"/>
        </w:rPr>
        <w:t xml:space="preserve">供应商名称（公章）：                 </w:t>
      </w:r>
    </w:p>
    <w:p>
      <w:pPr>
        <w:spacing w:beforeLines="50" w:line="360" w:lineRule="auto"/>
        <w:ind w:right="480"/>
      </w:pPr>
      <w:r>
        <w:rPr>
          <w:rFonts w:hint="eastAsia"/>
        </w:rPr>
        <w:t xml:space="preserve">法定代表人或授权代理人签字：           </w:t>
      </w:r>
    </w:p>
    <w:p>
      <w:pPr>
        <w:spacing w:beforeLines="50" w:line="360" w:lineRule="auto"/>
        <w:ind w:right="480"/>
      </w:pPr>
      <w:r>
        <w:rPr>
          <w:rFonts w:hint="eastAsia"/>
        </w:rPr>
        <w:t>年   月   日                                                        单位：元</w:t>
      </w:r>
    </w:p>
    <w:tbl>
      <w:tblPr>
        <w:tblStyle w:val="50"/>
        <w:tblW w:w="9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027"/>
        <w:gridCol w:w="1926"/>
        <w:gridCol w:w="1399"/>
        <w:gridCol w:w="1105"/>
        <w:gridCol w:w="767"/>
        <w:gridCol w:w="955"/>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jc w:val="center"/>
        </w:trPr>
        <w:tc>
          <w:tcPr>
            <w:tcW w:w="1490" w:type="dxa"/>
            <w:vAlign w:val="center"/>
          </w:tcPr>
          <w:p>
            <w:pPr>
              <w:tabs>
                <w:tab w:val="left" w:pos="1337"/>
              </w:tabs>
              <w:spacing w:line="360" w:lineRule="auto"/>
              <w:jc w:val="center"/>
            </w:pPr>
          </w:p>
        </w:tc>
        <w:tc>
          <w:tcPr>
            <w:tcW w:w="1027" w:type="dxa"/>
            <w:vAlign w:val="center"/>
          </w:tcPr>
          <w:p>
            <w:pPr>
              <w:tabs>
                <w:tab w:val="left" w:pos="1337"/>
              </w:tabs>
              <w:spacing w:line="360" w:lineRule="auto"/>
              <w:jc w:val="center"/>
            </w:pPr>
          </w:p>
        </w:tc>
        <w:tc>
          <w:tcPr>
            <w:tcW w:w="1926" w:type="dxa"/>
            <w:vAlign w:val="center"/>
          </w:tcPr>
          <w:p>
            <w:pPr>
              <w:tabs>
                <w:tab w:val="left" w:pos="1337"/>
              </w:tabs>
              <w:spacing w:line="360" w:lineRule="auto"/>
              <w:jc w:val="center"/>
            </w:pPr>
          </w:p>
        </w:tc>
        <w:tc>
          <w:tcPr>
            <w:tcW w:w="1399" w:type="dxa"/>
            <w:vAlign w:val="center"/>
          </w:tcPr>
          <w:p>
            <w:pPr>
              <w:tabs>
                <w:tab w:val="left" w:pos="1337"/>
              </w:tabs>
              <w:spacing w:line="360" w:lineRule="auto"/>
              <w:jc w:val="center"/>
            </w:pPr>
          </w:p>
        </w:tc>
        <w:tc>
          <w:tcPr>
            <w:tcW w:w="1105" w:type="dxa"/>
            <w:vAlign w:val="center"/>
          </w:tcPr>
          <w:p>
            <w:pPr>
              <w:tabs>
                <w:tab w:val="left" w:pos="1337"/>
              </w:tabs>
              <w:spacing w:line="360" w:lineRule="auto"/>
              <w:jc w:val="center"/>
            </w:pPr>
          </w:p>
        </w:tc>
        <w:tc>
          <w:tcPr>
            <w:tcW w:w="767" w:type="dxa"/>
            <w:vAlign w:val="center"/>
          </w:tcPr>
          <w:p>
            <w:pPr>
              <w:tabs>
                <w:tab w:val="left" w:pos="1337"/>
              </w:tabs>
              <w:spacing w:line="360" w:lineRule="auto"/>
              <w:jc w:val="center"/>
            </w:pPr>
          </w:p>
        </w:tc>
        <w:tc>
          <w:tcPr>
            <w:tcW w:w="955" w:type="dxa"/>
            <w:vAlign w:val="center"/>
          </w:tcPr>
          <w:p>
            <w:pPr>
              <w:tabs>
                <w:tab w:val="left" w:pos="1337"/>
              </w:tabs>
              <w:spacing w:line="360" w:lineRule="auto"/>
              <w:jc w:val="center"/>
            </w:pPr>
          </w:p>
        </w:tc>
        <w:tc>
          <w:tcPr>
            <w:tcW w:w="1073" w:type="dxa"/>
            <w:vAlign w:val="center"/>
          </w:tcPr>
          <w:p>
            <w:pPr>
              <w:tabs>
                <w:tab w:val="left" w:pos="1337"/>
              </w:tabs>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jc w:val="center"/>
        </w:trPr>
        <w:tc>
          <w:tcPr>
            <w:tcW w:w="1490" w:type="dxa"/>
            <w:vAlign w:val="center"/>
          </w:tcPr>
          <w:p>
            <w:pPr>
              <w:tabs>
                <w:tab w:val="left" w:pos="1337"/>
              </w:tabs>
              <w:spacing w:line="360" w:lineRule="auto"/>
              <w:jc w:val="center"/>
            </w:pPr>
          </w:p>
        </w:tc>
        <w:tc>
          <w:tcPr>
            <w:tcW w:w="1027" w:type="dxa"/>
            <w:vAlign w:val="center"/>
          </w:tcPr>
          <w:p>
            <w:pPr>
              <w:tabs>
                <w:tab w:val="left" w:pos="1337"/>
              </w:tabs>
              <w:spacing w:line="360" w:lineRule="auto"/>
              <w:jc w:val="center"/>
            </w:pPr>
          </w:p>
        </w:tc>
        <w:tc>
          <w:tcPr>
            <w:tcW w:w="1926" w:type="dxa"/>
            <w:vAlign w:val="center"/>
          </w:tcPr>
          <w:p>
            <w:pPr>
              <w:tabs>
                <w:tab w:val="left" w:pos="1337"/>
              </w:tabs>
              <w:spacing w:line="360" w:lineRule="auto"/>
              <w:jc w:val="center"/>
            </w:pPr>
          </w:p>
        </w:tc>
        <w:tc>
          <w:tcPr>
            <w:tcW w:w="1399" w:type="dxa"/>
            <w:vAlign w:val="center"/>
          </w:tcPr>
          <w:p>
            <w:pPr>
              <w:tabs>
                <w:tab w:val="left" w:pos="1337"/>
              </w:tabs>
              <w:spacing w:line="360" w:lineRule="auto"/>
              <w:jc w:val="center"/>
            </w:pPr>
          </w:p>
        </w:tc>
        <w:tc>
          <w:tcPr>
            <w:tcW w:w="1105" w:type="dxa"/>
            <w:vAlign w:val="center"/>
          </w:tcPr>
          <w:p>
            <w:pPr>
              <w:tabs>
                <w:tab w:val="left" w:pos="1337"/>
              </w:tabs>
              <w:spacing w:line="360" w:lineRule="auto"/>
              <w:jc w:val="center"/>
            </w:pPr>
          </w:p>
        </w:tc>
        <w:tc>
          <w:tcPr>
            <w:tcW w:w="767" w:type="dxa"/>
            <w:vAlign w:val="center"/>
          </w:tcPr>
          <w:p>
            <w:pPr>
              <w:tabs>
                <w:tab w:val="left" w:pos="1337"/>
              </w:tabs>
              <w:spacing w:line="360" w:lineRule="auto"/>
              <w:jc w:val="center"/>
            </w:pPr>
          </w:p>
        </w:tc>
        <w:tc>
          <w:tcPr>
            <w:tcW w:w="955" w:type="dxa"/>
            <w:vAlign w:val="center"/>
          </w:tcPr>
          <w:p>
            <w:pPr>
              <w:tabs>
                <w:tab w:val="left" w:pos="1337"/>
              </w:tabs>
              <w:spacing w:line="360" w:lineRule="auto"/>
              <w:jc w:val="center"/>
            </w:pPr>
          </w:p>
        </w:tc>
        <w:tc>
          <w:tcPr>
            <w:tcW w:w="1073" w:type="dxa"/>
            <w:vAlign w:val="center"/>
          </w:tcPr>
          <w:p>
            <w:pPr>
              <w:tabs>
                <w:tab w:val="left" w:pos="1337"/>
              </w:tabs>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jc w:val="center"/>
        </w:trPr>
        <w:tc>
          <w:tcPr>
            <w:tcW w:w="1490" w:type="dxa"/>
            <w:vAlign w:val="center"/>
          </w:tcPr>
          <w:p>
            <w:pPr>
              <w:tabs>
                <w:tab w:val="left" w:pos="1337"/>
              </w:tabs>
              <w:spacing w:line="360" w:lineRule="auto"/>
              <w:jc w:val="center"/>
            </w:pPr>
          </w:p>
        </w:tc>
        <w:tc>
          <w:tcPr>
            <w:tcW w:w="1027" w:type="dxa"/>
            <w:vAlign w:val="center"/>
          </w:tcPr>
          <w:p>
            <w:pPr>
              <w:tabs>
                <w:tab w:val="left" w:pos="1337"/>
              </w:tabs>
              <w:spacing w:line="360" w:lineRule="auto"/>
              <w:jc w:val="center"/>
            </w:pPr>
          </w:p>
        </w:tc>
        <w:tc>
          <w:tcPr>
            <w:tcW w:w="1926" w:type="dxa"/>
            <w:vAlign w:val="center"/>
          </w:tcPr>
          <w:p>
            <w:pPr>
              <w:tabs>
                <w:tab w:val="left" w:pos="1337"/>
              </w:tabs>
              <w:spacing w:line="360" w:lineRule="auto"/>
              <w:jc w:val="center"/>
            </w:pPr>
          </w:p>
        </w:tc>
        <w:tc>
          <w:tcPr>
            <w:tcW w:w="1399" w:type="dxa"/>
            <w:vAlign w:val="center"/>
          </w:tcPr>
          <w:p>
            <w:pPr>
              <w:tabs>
                <w:tab w:val="left" w:pos="1337"/>
              </w:tabs>
              <w:spacing w:line="360" w:lineRule="auto"/>
              <w:jc w:val="center"/>
            </w:pPr>
          </w:p>
        </w:tc>
        <w:tc>
          <w:tcPr>
            <w:tcW w:w="1105" w:type="dxa"/>
            <w:vAlign w:val="center"/>
          </w:tcPr>
          <w:p>
            <w:pPr>
              <w:tabs>
                <w:tab w:val="left" w:pos="1337"/>
              </w:tabs>
              <w:spacing w:line="360" w:lineRule="auto"/>
              <w:jc w:val="center"/>
            </w:pPr>
          </w:p>
        </w:tc>
        <w:tc>
          <w:tcPr>
            <w:tcW w:w="767" w:type="dxa"/>
            <w:vAlign w:val="center"/>
          </w:tcPr>
          <w:p>
            <w:pPr>
              <w:tabs>
                <w:tab w:val="left" w:pos="1337"/>
              </w:tabs>
              <w:spacing w:line="360" w:lineRule="auto"/>
              <w:jc w:val="center"/>
            </w:pPr>
          </w:p>
        </w:tc>
        <w:tc>
          <w:tcPr>
            <w:tcW w:w="955" w:type="dxa"/>
            <w:vAlign w:val="center"/>
          </w:tcPr>
          <w:p>
            <w:pPr>
              <w:tabs>
                <w:tab w:val="left" w:pos="1337"/>
              </w:tabs>
              <w:spacing w:line="360" w:lineRule="auto"/>
              <w:jc w:val="center"/>
            </w:pPr>
          </w:p>
        </w:tc>
        <w:tc>
          <w:tcPr>
            <w:tcW w:w="1073" w:type="dxa"/>
            <w:vAlign w:val="center"/>
          </w:tcPr>
          <w:p>
            <w:pPr>
              <w:tabs>
                <w:tab w:val="left" w:pos="1337"/>
              </w:tabs>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jc w:val="center"/>
        </w:trPr>
        <w:tc>
          <w:tcPr>
            <w:tcW w:w="1490" w:type="dxa"/>
            <w:vAlign w:val="center"/>
          </w:tcPr>
          <w:p>
            <w:pPr>
              <w:tabs>
                <w:tab w:val="left" w:pos="1337"/>
              </w:tabs>
              <w:spacing w:line="360" w:lineRule="auto"/>
              <w:jc w:val="center"/>
            </w:pPr>
          </w:p>
        </w:tc>
        <w:tc>
          <w:tcPr>
            <w:tcW w:w="1027" w:type="dxa"/>
            <w:vAlign w:val="center"/>
          </w:tcPr>
          <w:p>
            <w:pPr>
              <w:tabs>
                <w:tab w:val="left" w:pos="1337"/>
              </w:tabs>
              <w:spacing w:line="360" w:lineRule="auto"/>
              <w:jc w:val="center"/>
            </w:pPr>
          </w:p>
        </w:tc>
        <w:tc>
          <w:tcPr>
            <w:tcW w:w="1926" w:type="dxa"/>
            <w:vAlign w:val="center"/>
          </w:tcPr>
          <w:p>
            <w:pPr>
              <w:tabs>
                <w:tab w:val="left" w:pos="1337"/>
              </w:tabs>
              <w:spacing w:line="360" w:lineRule="auto"/>
              <w:jc w:val="center"/>
            </w:pPr>
          </w:p>
        </w:tc>
        <w:tc>
          <w:tcPr>
            <w:tcW w:w="1399" w:type="dxa"/>
            <w:vAlign w:val="center"/>
          </w:tcPr>
          <w:p>
            <w:pPr>
              <w:tabs>
                <w:tab w:val="left" w:pos="1337"/>
              </w:tabs>
              <w:spacing w:line="360" w:lineRule="auto"/>
              <w:jc w:val="center"/>
            </w:pPr>
          </w:p>
        </w:tc>
        <w:tc>
          <w:tcPr>
            <w:tcW w:w="1105" w:type="dxa"/>
            <w:vAlign w:val="center"/>
          </w:tcPr>
          <w:p>
            <w:pPr>
              <w:tabs>
                <w:tab w:val="left" w:pos="1337"/>
              </w:tabs>
              <w:spacing w:line="360" w:lineRule="auto"/>
              <w:jc w:val="center"/>
            </w:pPr>
          </w:p>
        </w:tc>
        <w:tc>
          <w:tcPr>
            <w:tcW w:w="767" w:type="dxa"/>
            <w:vAlign w:val="center"/>
          </w:tcPr>
          <w:p>
            <w:pPr>
              <w:tabs>
                <w:tab w:val="left" w:pos="1337"/>
              </w:tabs>
              <w:spacing w:line="360" w:lineRule="auto"/>
              <w:jc w:val="center"/>
            </w:pPr>
          </w:p>
        </w:tc>
        <w:tc>
          <w:tcPr>
            <w:tcW w:w="955" w:type="dxa"/>
            <w:vAlign w:val="center"/>
          </w:tcPr>
          <w:p>
            <w:pPr>
              <w:tabs>
                <w:tab w:val="left" w:pos="1337"/>
              </w:tabs>
              <w:spacing w:line="360" w:lineRule="auto"/>
              <w:jc w:val="center"/>
            </w:pPr>
          </w:p>
        </w:tc>
        <w:tc>
          <w:tcPr>
            <w:tcW w:w="1073" w:type="dxa"/>
            <w:vAlign w:val="center"/>
          </w:tcPr>
          <w:p>
            <w:pPr>
              <w:tabs>
                <w:tab w:val="left" w:pos="1337"/>
              </w:tabs>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jc w:val="center"/>
        </w:trPr>
        <w:tc>
          <w:tcPr>
            <w:tcW w:w="1490" w:type="dxa"/>
            <w:vAlign w:val="center"/>
          </w:tcPr>
          <w:p>
            <w:pPr>
              <w:tabs>
                <w:tab w:val="left" w:pos="1337"/>
              </w:tabs>
              <w:spacing w:line="360" w:lineRule="auto"/>
              <w:jc w:val="center"/>
            </w:pPr>
          </w:p>
        </w:tc>
        <w:tc>
          <w:tcPr>
            <w:tcW w:w="1027" w:type="dxa"/>
            <w:vAlign w:val="center"/>
          </w:tcPr>
          <w:p>
            <w:pPr>
              <w:tabs>
                <w:tab w:val="left" w:pos="1337"/>
              </w:tabs>
              <w:spacing w:line="360" w:lineRule="auto"/>
              <w:jc w:val="center"/>
            </w:pPr>
          </w:p>
        </w:tc>
        <w:tc>
          <w:tcPr>
            <w:tcW w:w="1926" w:type="dxa"/>
            <w:vAlign w:val="center"/>
          </w:tcPr>
          <w:p>
            <w:pPr>
              <w:tabs>
                <w:tab w:val="left" w:pos="1337"/>
              </w:tabs>
              <w:spacing w:line="360" w:lineRule="auto"/>
              <w:jc w:val="center"/>
            </w:pPr>
          </w:p>
        </w:tc>
        <w:tc>
          <w:tcPr>
            <w:tcW w:w="1399" w:type="dxa"/>
            <w:vAlign w:val="center"/>
          </w:tcPr>
          <w:p>
            <w:pPr>
              <w:tabs>
                <w:tab w:val="left" w:pos="1337"/>
              </w:tabs>
              <w:spacing w:line="360" w:lineRule="auto"/>
              <w:jc w:val="center"/>
            </w:pPr>
          </w:p>
        </w:tc>
        <w:tc>
          <w:tcPr>
            <w:tcW w:w="1105" w:type="dxa"/>
            <w:vAlign w:val="center"/>
          </w:tcPr>
          <w:p>
            <w:pPr>
              <w:tabs>
                <w:tab w:val="left" w:pos="1337"/>
              </w:tabs>
              <w:spacing w:line="360" w:lineRule="auto"/>
              <w:jc w:val="center"/>
            </w:pPr>
          </w:p>
        </w:tc>
        <w:tc>
          <w:tcPr>
            <w:tcW w:w="767" w:type="dxa"/>
            <w:vAlign w:val="center"/>
          </w:tcPr>
          <w:p>
            <w:pPr>
              <w:tabs>
                <w:tab w:val="left" w:pos="1337"/>
              </w:tabs>
              <w:spacing w:line="360" w:lineRule="auto"/>
              <w:jc w:val="center"/>
            </w:pPr>
          </w:p>
        </w:tc>
        <w:tc>
          <w:tcPr>
            <w:tcW w:w="955" w:type="dxa"/>
            <w:vAlign w:val="center"/>
          </w:tcPr>
          <w:p>
            <w:pPr>
              <w:tabs>
                <w:tab w:val="left" w:pos="1337"/>
              </w:tabs>
              <w:spacing w:line="360" w:lineRule="auto"/>
              <w:jc w:val="center"/>
            </w:pPr>
          </w:p>
        </w:tc>
        <w:tc>
          <w:tcPr>
            <w:tcW w:w="1073" w:type="dxa"/>
            <w:vAlign w:val="center"/>
          </w:tcPr>
          <w:p>
            <w:pPr>
              <w:tabs>
                <w:tab w:val="left" w:pos="1337"/>
              </w:tabs>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805" w:hRule="atLeast"/>
          <w:jc w:val="center"/>
        </w:trPr>
        <w:tc>
          <w:tcPr>
            <w:tcW w:w="1490" w:type="dxa"/>
            <w:vAlign w:val="center"/>
          </w:tcPr>
          <w:p>
            <w:pPr>
              <w:tabs>
                <w:tab w:val="left" w:pos="1337"/>
              </w:tabs>
              <w:spacing w:line="360" w:lineRule="auto"/>
              <w:jc w:val="center"/>
            </w:pPr>
          </w:p>
        </w:tc>
        <w:tc>
          <w:tcPr>
            <w:tcW w:w="1027" w:type="dxa"/>
            <w:vAlign w:val="center"/>
          </w:tcPr>
          <w:p>
            <w:pPr>
              <w:tabs>
                <w:tab w:val="left" w:pos="1337"/>
              </w:tabs>
              <w:spacing w:line="360" w:lineRule="auto"/>
              <w:jc w:val="center"/>
            </w:pPr>
          </w:p>
        </w:tc>
        <w:tc>
          <w:tcPr>
            <w:tcW w:w="1926" w:type="dxa"/>
            <w:vAlign w:val="center"/>
          </w:tcPr>
          <w:p>
            <w:pPr>
              <w:tabs>
                <w:tab w:val="left" w:pos="1337"/>
              </w:tabs>
              <w:spacing w:line="360" w:lineRule="auto"/>
              <w:jc w:val="center"/>
            </w:pPr>
          </w:p>
        </w:tc>
        <w:tc>
          <w:tcPr>
            <w:tcW w:w="1399" w:type="dxa"/>
            <w:vAlign w:val="center"/>
          </w:tcPr>
          <w:p>
            <w:pPr>
              <w:tabs>
                <w:tab w:val="left" w:pos="1337"/>
              </w:tabs>
              <w:spacing w:line="360" w:lineRule="auto"/>
              <w:jc w:val="center"/>
            </w:pPr>
          </w:p>
        </w:tc>
        <w:tc>
          <w:tcPr>
            <w:tcW w:w="1105" w:type="dxa"/>
            <w:vAlign w:val="center"/>
          </w:tcPr>
          <w:p>
            <w:pPr>
              <w:tabs>
                <w:tab w:val="left" w:pos="1337"/>
              </w:tabs>
              <w:spacing w:line="360" w:lineRule="auto"/>
              <w:jc w:val="center"/>
            </w:pPr>
          </w:p>
        </w:tc>
        <w:tc>
          <w:tcPr>
            <w:tcW w:w="767" w:type="dxa"/>
            <w:vAlign w:val="center"/>
          </w:tcPr>
          <w:p>
            <w:pPr>
              <w:tabs>
                <w:tab w:val="left" w:pos="1337"/>
              </w:tabs>
              <w:spacing w:line="360" w:lineRule="auto"/>
              <w:jc w:val="center"/>
            </w:pPr>
          </w:p>
        </w:tc>
        <w:tc>
          <w:tcPr>
            <w:tcW w:w="955" w:type="dxa"/>
            <w:vAlign w:val="center"/>
          </w:tcPr>
          <w:p>
            <w:pPr>
              <w:tabs>
                <w:tab w:val="left" w:pos="1337"/>
              </w:tabs>
              <w:spacing w:line="360" w:lineRule="auto"/>
              <w:jc w:val="center"/>
            </w:pPr>
          </w:p>
        </w:tc>
        <w:tc>
          <w:tcPr>
            <w:tcW w:w="1073" w:type="dxa"/>
            <w:vAlign w:val="center"/>
          </w:tcPr>
          <w:p>
            <w:pPr>
              <w:tabs>
                <w:tab w:val="left" w:pos="1337"/>
              </w:tabs>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jc w:val="center"/>
        </w:trPr>
        <w:tc>
          <w:tcPr>
            <w:tcW w:w="2517" w:type="dxa"/>
            <w:gridSpan w:val="2"/>
            <w:vMerge w:val="restart"/>
            <w:tcBorders>
              <w:left w:val="single" w:color="auto" w:sz="4" w:space="0"/>
            </w:tcBorders>
            <w:vAlign w:val="center"/>
          </w:tcPr>
          <w:p>
            <w:pPr>
              <w:tabs>
                <w:tab w:val="left" w:pos="1337"/>
              </w:tabs>
              <w:spacing w:line="360" w:lineRule="auto"/>
              <w:jc w:val="center"/>
            </w:pPr>
            <w:r>
              <w:rPr>
                <w:rFonts w:hint="eastAsia"/>
              </w:rPr>
              <w:t>合  计</w:t>
            </w:r>
          </w:p>
        </w:tc>
        <w:tc>
          <w:tcPr>
            <w:tcW w:w="7225" w:type="dxa"/>
            <w:gridSpan w:val="6"/>
            <w:vAlign w:val="center"/>
          </w:tcPr>
          <w:p>
            <w:pPr>
              <w:tabs>
                <w:tab w:val="left" w:pos="1337"/>
              </w:tabs>
              <w:spacing w:line="360" w:lineRule="auto"/>
            </w:pPr>
            <w:r>
              <w:rPr>
                <w:rFonts w:hint="eastAsia"/>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atLeast"/>
          <w:jc w:val="center"/>
        </w:trPr>
        <w:tc>
          <w:tcPr>
            <w:tcW w:w="2517" w:type="dxa"/>
            <w:gridSpan w:val="2"/>
            <w:vMerge w:val="continue"/>
            <w:tcBorders>
              <w:left w:val="single" w:color="auto" w:sz="4" w:space="0"/>
            </w:tcBorders>
            <w:vAlign w:val="center"/>
          </w:tcPr>
          <w:p>
            <w:pPr>
              <w:tabs>
                <w:tab w:val="left" w:pos="1337"/>
              </w:tabs>
              <w:spacing w:line="360" w:lineRule="auto"/>
              <w:jc w:val="center"/>
            </w:pPr>
          </w:p>
        </w:tc>
        <w:tc>
          <w:tcPr>
            <w:tcW w:w="7225" w:type="dxa"/>
            <w:gridSpan w:val="6"/>
            <w:vAlign w:val="center"/>
          </w:tcPr>
          <w:p>
            <w:pPr>
              <w:tabs>
                <w:tab w:val="left" w:pos="1337"/>
              </w:tabs>
              <w:spacing w:line="360" w:lineRule="auto"/>
            </w:pPr>
            <w:r>
              <w:rPr>
                <w:rFonts w:hint="eastAsia"/>
              </w:rPr>
              <w:t>大写：</w:t>
            </w:r>
          </w:p>
        </w:tc>
      </w:tr>
    </w:tbl>
    <w:p>
      <w:pPr>
        <w:pStyle w:val="2"/>
        <w:rPr>
          <w:b/>
          <w:bCs/>
        </w:rPr>
      </w:pPr>
    </w:p>
    <w:p>
      <w:pPr>
        <w:spacing w:line="360" w:lineRule="auto"/>
        <w:rPr>
          <w:b/>
          <w:bCs/>
        </w:rPr>
      </w:pPr>
      <w:bookmarkStart w:id="64" w:name="_Toc514667418"/>
      <w:bookmarkStart w:id="65" w:name="_Toc48913067"/>
      <w:bookmarkStart w:id="66" w:name="_Toc10034886"/>
      <w:bookmarkStart w:id="67" w:name="_Toc520707108"/>
      <w:bookmarkStart w:id="68" w:name="_Toc514664509"/>
      <w:bookmarkStart w:id="69" w:name="_Toc514678281"/>
      <w:bookmarkStart w:id="70" w:name="_Toc514667488"/>
    </w:p>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r>
        <w:rPr>
          <w:rFonts w:hint="eastAsia"/>
          <w:b/>
          <w:bCs/>
        </w:rPr>
        <w:t>附件</w:t>
      </w:r>
      <w:r>
        <w:rPr>
          <w:rFonts w:hint="eastAsia"/>
          <w:b/>
          <w:bCs/>
          <w:lang w:val="en-US" w:eastAsia="zh-CN"/>
        </w:rPr>
        <w:t>8</w:t>
      </w:r>
      <w:r>
        <w:rPr>
          <w:rFonts w:hint="eastAsia"/>
          <w:b/>
          <w:bCs/>
        </w:rPr>
        <w:t>：</w:t>
      </w:r>
    </w:p>
    <w:p>
      <w:pPr>
        <w:pStyle w:val="4"/>
        <w:spacing w:line="360" w:lineRule="auto"/>
        <w:jc w:val="center"/>
        <w:rPr>
          <w:rFonts w:ascii="宋体" w:hAnsi="宋体" w:eastAsia="宋体"/>
          <w:sz w:val="28"/>
          <w:szCs w:val="28"/>
        </w:rPr>
        <w:sectPr>
          <w:footerReference r:id="rId9" w:type="default"/>
          <w:pgSz w:w="11907" w:h="16840"/>
          <w:pgMar w:top="1593" w:right="1418" w:bottom="1418" w:left="1418" w:header="851" w:footer="851" w:gutter="0"/>
          <w:cols w:space="720" w:num="1"/>
          <w:docGrid w:linePitch="290" w:charSpace="-3931"/>
        </w:sectPr>
      </w:pPr>
      <w:r>
        <w:rPr>
          <w:rFonts w:hint="eastAsia" w:ascii="宋体" w:hAnsi="宋体" w:eastAsia="宋体"/>
          <w:sz w:val="28"/>
          <w:szCs w:val="28"/>
        </w:rPr>
        <w:t>封面格式</w:t>
      </w:r>
      <w:bookmarkEnd w:id="64"/>
      <w:bookmarkEnd w:id="65"/>
      <w:bookmarkEnd w:id="66"/>
      <w:bookmarkEnd w:id="67"/>
      <w:bookmarkEnd w:id="68"/>
      <w:bookmarkEnd w:id="69"/>
      <w:bookmarkEnd w:id="70"/>
    </w:p>
    <w:tbl>
      <w:tblPr>
        <w:tblStyle w:val="50"/>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trPr>
        <w:tc>
          <w:tcPr>
            <w:tcW w:w="4285" w:type="dxa"/>
          </w:tcPr>
          <w:p>
            <w:pPr>
              <w:pStyle w:val="21"/>
              <w:spacing w:line="360" w:lineRule="auto"/>
              <w:ind w:left="0" w:leftChars="0" w:firstLine="0" w:firstLineChars="0"/>
              <w:jc w:val="left"/>
              <w:rPr>
                <w:rFonts w:ascii="宋体" w:hAnsi="宋体"/>
                <w:b/>
                <w:sz w:val="30"/>
              </w:rPr>
            </w:pPr>
            <w:r>
              <w:rPr>
                <w:rFonts w:hint="eastAsia" w:ascii="宋体" w:hAnsi="宋体"/>
                <w:b/>
                <w:sz w:val="30"/>
              </w:rPr>
              <w:t>响应文件</w:t>
            </w:r>
          </w:p>
          <w:p>
            <w:pPr>
              <w:pStyle w:val="21"/>
              <w:spacing w:line="360" w:lineRule="auto"/>
              <w:ind w:left="0" w:leftChars="0" w:firstLine="0" w:firstLineChars="0"/>
              <w:jc w:val="left"/>
              <w:rPr>
                <w:rFonts w:ascii="宋体" w:hAnsi="宋体"/>
                <w:sz w:val="30"/>
              </w:rPr>
            </w:pPr>
            <w:r>
              <w:rPr>
                <w:rFonts w:hint="eastAsia" w:ascii="宋体" w:hAnsi="宋体"/>
                <w:b/>
                <w:sz w:val="30"/>
              </w:rPr>
              <w:t>（正本）</w:t>
            </w:r>
          </w:p>
          <w:p>
            <w:pPr>
              <w:pStyle w:val="21"/>
              <w:spacing w:line="360" w:lineRule="auto"/>
              <w:ind w:left="0" w:leftChars="0" w:firstLine="0" w:firstLineChars="0"/>
              <w:jc w:val="left"/>
              <w:rPr>
                <w:rFonts w:ascii="宋体" w:hAnsi="宋体"/>
              </w:rPr>
            </w:pPr>
            <w:r>
              <w:rPr>
                <w:rFonts w:hint="eastAsia" w:ascii="宋体" w:hAnsi="宋体"/>
              </w:rPr>
              <w:t>项目编号：</w:t>
            </w:r>
          </w:p>
          <w:p>
            <w:pPr>
              <w:pStyle w:val="21"/>
              <w:spacing w:line="360" w:lineRule="auto"/>
              <w:ind w:left="0" w:leftChars="0" w:firstLine="0" w:firstLineChars="0"/>
              <w:jc w:val="left"/>
              <w:rPr>
                <w:rFonts w:ascii="宋体" w:hAnsi="宋体"/>
              </w:rPr>
            </w:pPr>
            <w:r>
              <w:rPr>
                <w:rFonts w:hint="eastAsia" w:ascii="宋体" w:hAnsi="宋体"/>
              </w:rPr>
              <w:t>包号：</w:t>
            </w:r>
          </w:p>
          <w:p>
            <w:pPr>
              <w:pStyle w:val="21"/>
              <w:spacing w:line="360" w:lineRule="auto"/>
              <w:ind w:left="0" w:leftChars="0" w:firstLine="0" w:firstLineChars="0"/>
              <w:jc w:val="left"/>
              <w:rPr>
                <w:rFonts w:ascii="宋体" w:hAnsi="宋体"/>
                <w:u w:val="single"/>
              </w:rPr>
            </w:pPr>
            <w:r>
              <w:rPr>
                <w:rFonts w:hint="eastAsia" w:ascii="宋体" w:hAnsi="宋体"/>
              </w:rPr>
              <w:t>项目名称：</w:t>
            </w:r>
          </w:p>
          <w:p>
            <w:pPr>
              <w:pStyle w:val="21"/>
              <w:spacing w:line="360" w:lineRule="auto"/>
              <w:ind w:left="0" w:leftChars="0" w:firstLine="0" w:firstLineChars="0"/>
              <w:jc w:val="left"/>
              <w:rPr>
                <w:rFonts w:ascii="宋体" w:hAnsi="宋体"/>
              </w:rPr>
            </w:pPr>
            <w:r>
              <w:rPr>
                <w:rFonts w:hint="eastAsia" w:ascii="宋体" w:hAnsi="宋体"/>
              </w:rPr>
              <w:t>供应商名称（公章）：</w:t>
            </w:r>
          </w:p>
          <w:p>
            <w:pPr>
              <w:pStyle w:val="21"/>
              <w:spacing w:line="360" w:lineRule="auto"/>
              <w:ind w:left="0" w:leftChars="0" w:firstLine="0" w:firstLineChars="0"/>
              <w:jc w:val="left"/>
              <w:rPr>
                <w:rFonts w:ascii="宋体" w:hAnsi="宋体"/>
              </w:rPr>
            </w:pPr>
            <w:r>
              <w:rPr>
                <w:rFonts w:hint="eastAsia" w:ascii="宋体" w:hAnsi="宋体"/>
              </w:rPr>
              <w:t>地址：</w:t>
            </w:r>
          </w:p>
          <w:p>
            <w:pPr>
              <w:pStyle w:val="21"/>
              <w:spacing w:line="360" w:lineRule="auto"/>
              <w:ind w:left="0" w:leftChars="0" w:firstLine="0" w:firstLineChars="0"/>
              <w:jc w:val="left"/>
              <w:rPr>
                <w:rFonts w:ascii="宋体" w:hAnsi="宋体"/>
              </w:rPr>
            </w:pPr>
            <w:r>
              <w:rPr>
                <w:rFonts w:hint="eastAsia" w:ascii="宋体" w:hAnsi="宋体"/>
              </w:rPr>
              <w:t>邮编：</w:t>
            </w:r>
          </w:p>
          <w:p>
            <w:pPr>
              <w:pStyle w:val="21"/>
              <w:spacing w:line="360" w:lineRule="auto"/>
              <w:ind w:left="0" w:leftChars="0" w:firstLine="0" w:firstLineChars="0"/>
              <w:jc w:val="left"/>
              <w:rPr>
                <w:rFonts w:ascii="宋体" w:hAnsi="宋体"/>
              </w:rPr>
            </w:pPr>
            <w:r>
              <w:rPr>
                <w:rFonts w:hint="eastAsia" w:ascii="宋体" w:hAnsi="宋体"/>
              </w:rPr>
              <w:t>电话：</w:t>
            </w:r>
          </w:p>
          <w:p>
            <w:pPr>
              <w:pStyle w:val="21"/>
              <w:spacing w:line="360" w:lineRule="auto"/>
              <w:ind w:left="1586" w:leftChars="0" w:hanging="1586" w:hangingChars="661"/>
              <w:rPr>
                <w:rFonts w:ascii="宋体" w:hAnsi="宋体"/>
              </w:rPr>
            </w:pPr>
            <w:r>
              <w:rPr>
                <w:rFonts w:hint="eastAsia" w:ascii="宋体" w:hAnsi="宋体"/>
              </w:rPr>
              <w:t>传真：</w:t>
            </w:r>
          </w:p>
        </w:tc>
        <w:tc>
          <w:tcPr>
            <w:tcW w:w="4775" w:type="dxa"/>
          </w:tcPr>
          <w:p>
            <w:pPr>
              <w:pStyle w:val="21"/>
              <w:spacing w:line="360" w:lineRule="auto"/>
              <w:ind w:left="0" w:leftChars="0" w:firstLine="0" w:firstLineChars="0"/>
              <w:jc w:val="left"/>
              <w:rPr>
                <w:rFonts w:ascii="宋体" w:hAnsi="宋体"/>
                <w:b/>
                <w:sz w:val="30"/>
              </w:rPr>
            </w:pPr>
            <w:r>
              <w:rPr>
                <w:rFonts w:hint="eastAsia" w:ascii="宋体" w:hAnsi="宋体"/>
                <w:b/>
                <w:sz w:val="30"/>
              </w:rPr>
              <w:t>响应文件</w:t>
            </w:r>
          </w:p>
          <w:p>
            <w:pPr>
              <w:pStyle w:val="21"/>
              <w:spacing w:line="360" w:lineRule="auto"/>
              <w:ind w:left="0" w:leftChars="0" w:firstLine="0" w:firstLineChars="0"/>
              <w:jc w:val="left"/>
              <w:rPr>
                <w:rFonts w:ascii="宋体" w:hAnsi="宋体"/>
                <w:sz w:val="30"/>
              </w:rPr>
            </w:pPr>
            <w:r>
              <w:rPr>
                <w:rFonts w:hint="eastAsia" w:ascii="宋体" w:hAnsi="宋体"/>
                <w:b/>
                <w:sz w:val="30"/>
              </w:rPr>
              <w:t>（副本）</w:t>
            </w:r>
          </w:p>
          <w:p>
            <w:pPr>
              <w:pStyle w:val="21"/>
              <w:spacing w:line="360" w:lineRule="auto"/>
              <w:ind w:left="0" w:leftChars="0" w:firstLine="0" w:firstLineChars="0"/>
              <w:jc w:val="left"/>
              <w:rPr>
                <w:rFonts w:ascii="宋体" w:hAnsi="宋体"/>
              </w:rPr>
            </w:pPr>
            <w:r>
              <w:rPr>
                <w:rFonts w:hint="eastAsia" w:ascii="宋体" w:hAnsi="宋体"/>
              </w:rPr>
              <w:t>项目编号：</w:t>
            </w:r>
          </w:p>
          <w:p>
            <w:pPr>
              <w:pStyle w:val="21"/>
              <w:spacing w:line="360" w:lineRule="auto"/>
              <w:ind w:left="0" w:leftChars="0" w:firstLine="0" w:firstLineChars="0"/>
              <w:jc w:val="left"/>
              <w:rPr>
                <w:rFonts w:ascii="宋体" w:hAnsi="宋体"/>
              </w:rPr>
            </w:pPr>
            <w:r>
              <w:rPr>
                <w:rFonts w:hint="eastAsia" w:ascii="宋体" w:hAnsi="宋体"/>
              </w:rPr>
              <w:t>包号：</w:t>
            </w:r>
          </w:p>
          <w:p>
            <w:pPr>
              <w:pStyle w:val="21"/>
              <w:spacing w:line="360" w:lineRule="auto"/>
              <w:ind w:left="0" w:leftChars="0" w:firstLine="0" w:firstLineChars="0"/>
              <w:jc w:val="left"/>
              <w:rPr>
                <w:rFonts w:ascii="宋体" w:hAnsi="宋体"/>
                <w:u w:val="single"/>
              </w:rPr>
            </w:pPr>
            <w:r>
              <w:rPr>
                <w:rFonts w:hint="eastAsia" w:ascii="宋体" w:hAnsi="宋体"/>
              </w:rPr>
              <w:t>项目名称：</w:t>
            </w:r>
          </w:p>
          <w:p>
            <w:pPr>
              <w:pStyle w:val="21"/>
              <w:spacing w:line="360" w:lineRule="auto"/>
              <w:ind w:left="0" w:leftChars="0" w:firstLine="0" w:firstLineChars="0"/>
              <w:jc w:val="left"/>
              <w:rPr>
                <w:rFonts w:ascii="宋体" w:hAnsi="宋体"/>
              </w:rPr>
            </w:pPr>
            <w:r>
              <w:rPr>
                <w:rFonts w:hint="eastAsia" w:ascii="宋体" w:hAnsi="宋体"/>
              </w:rPr>
              <w:t>供应商名称（公章）：</w:t>
            </w:r>
          </w:p>
          <w:p>
            <w:pPr>
              <w:pStyle w:val="21"/>
              <w:spacing w:line="360" w:lineRule="auto"/>
              <w:ind w:left="0" w:leftChars="0" w:firstLine="0" w:firstLineChars="0"/>
              <w:jc w:val="left"/>
              <w:rPr>
                <w:rFonts w:ascii="宋体" w:hAnsi="宋体"/>
              </w:rPr>
            </w:pPr>
            <w:r>
              <w:rPr>
                <w:rFonts w:hint="eastAsia" w:ascii="宋体" w:hAnsi="宋体"/>
              </w:rPr>
              <w:t>地址：</w:t>
            </w:r>
          </w:p>
          <w:p>
            <w:pPr>
              <w:pStyle w:val="21"/>
              <w:spacing w:line="360" w:lineRule="auto"/>
              <w:ind w:left="0" w:leftChars="0" w:firstLine="0" w:firstLineChars="0"/>
              <w:jc w:val="left"/>
              <w:rPr>
                <w:rFonts w:ascii="宋体" w:hAnsi="宋体"/>
              </w:rPr>
            </w:pPr>
            <w:r>
              <w:rPr>
                <w:rFonts w:hint="eastAsia" w:ascii="宋体" w:hAnsi="宋体"/>
              </w:rPr>
              <w:t>邮编：</w:t>
            </w:r>
          </w:p>
          <w:p>
            <w:pPr>
              <w:pStyle w:val="21"/>
              <w:spacing w:line="360" w:lineRule="auto"/>
              <w:ind w:left="0" w:leftChars="0" w:firstLine="0" w:firstLineChars="0"/>
              <w:jc w:val="left"/>
              <w:rPr>
                <w:rFonts w:ascii="宋体" w:hAnsi="宋体"/>
              </w:rPr>
            </w:pPr>
            <w:r>
              <w:rPr>
                <w:rFonts w:hint="eastAsia" w:ascii="宋体" w:hAnsi="宋体"/>
              </w:rPr>
              <w:t>电话：</w:t>
            </w:r>
          </w:p>
          <w:p>
            <w:pPr>
              <w:pStyle w:val="21"/>
              <w:spacing w:line="360" w:lineRule="auto"/>
              <w:ind w:left="1586" w:leftChars="0" w:hanging="1586" w:hangingChars="661"/>
              <w:rPr>
                <w:rFonts w:ascii="宋体" w:hAnsi="宋体"/>
              </w:rPr>
            </w:pPr>
            <w:r>
              <w:rPr>
                <w:rFonts w:hint="eastAsia" w:ascii="宋体" w:hAnsi="宋体"/>
              </w:rPr>
              <w:t xml:space="preserve">传真： </w:t>
            </w:r>
          </w:p>
        </w:tc>
      </w:tr>
    </w:tbl>
    <w:p>
      <w:pPr>
        <w:pStyle w:val="21"/>
        <w:spacing w:line="360" w:lineRule="auto"/>
        <w:ind w:left="1997" w:firstLine="470"/>
        <w:rPr>
          <w:rFonts w:ascii="宋体" w:hAnsi="宋体"/>
        </w:rPr>
      </w:pPr>
    </w:p>
    <w:tbl>
      <w:tblPr>
        <w:tblStyle w:val="50"/>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trPr>
        <w:tc>
          <w:tcPr>
            <w:tcW w:w="4285" w:type="dxa"/>
            <w:tcBorders>
              <w:bottom w:val="single" w:color="auto" w:sz="4" w:space="0"/>
            </w:tcBorders>
          </w:tcPr>
          <w:p>
            <w:pPr>
              <w:pStyle w:val="21"/>
              <w:spacing w:line="360" w:lineRule="auto"/>
              <w:ind w:left="1997" w:firstLine="590"/>
              <w:jc w:val="center"/>
              <w:rPr>
                <w:rFonts w:ascii="宋体" w:hAnsi="宋体"/>
                <w:b/>
                <w:sz w:val="30"/>
              </w:rPr>
            </w:pPr>
          </w:p>
          <w:p>
            <w:pPr>
              <w:pStyle w:val="21"/>
              <w:spacing w:line="360" w:lineRule="auto"/>
              <w:ind w:left="0" w:leftChars="0" w:firstLine="0" w:firstLineChars="0"/>
              <w:rPr>
                <w:rFonts w:ascii="宋体" w:hAnsi="宋体"/>
                <w:sz w:val="30"/>
              </w:rPr>
            </w:pPr>
            <w:r>
              <w:rPr>
                <w:rFonts w:hint="eastAsia" w:ascii="宋体" w:hAnsi="宋体"/>
                <w:b/>
                <w:sz w:val="30"/>
              </w:rPr>
              <w:t xml:space="preserve">唱价单              </w:t>
            </w:r>
          </w:p>
          <w:p>
            <w:pPr>
              <w:pStyle w:val="21"/>
              <w:spacing w:line="360" w:lineRule="auto"/>
              <w:ind w:left="1997" w:firstLine="353"/>
              <w:rPr>
                <w:rFonts w:ascii="宋体" w:hAnsi="宋体"/>
                <w:sz w:val="18"/>
              </w:rPr>
            </w:pPr>
          </w:p>
          <w:p>
            <w:pPr>
              <w:pStyle w:val="21"/>
              <w:spacing w:line="360" w:lineRule="auto"/>
              <w:ind w:left="0" w:leftChars="0" w:firstLine="0" w:firstLineChars="0"/>
              <w:rPr>
                <w:rFonts w:ascii="宋体" w:hAnsi="宋体"/>
              </w:rPr>
            </w:pPr>
            <w:r>
              <w:rPr>
                <w:rFonts w:hint="eastAsia" w:ascii="宋体" w:hAnsi="宋体"/>
              </w:rPr>
              <w:t>项目编号：</w:t>
            </w:r>
          </w:p>
          <w:p>
            <w:pPr>
              <w:pStyle w:val="21"/>
              <w:spacing w:line="360" w:lineRule="auto"/>
              <w:ind w:left="0" w:leftChars="0" w:firstLine="0" w:firstLineChars="0"/>
              <w:rPr>
                <w:rFonts w:ascii="宋体" w:hAnsi="宋体"/>
              </w:rPr>
            </w:pPr>
            <w:r>
              <w:rPr>
                <w:rFonts w:hint="eastAsia" w:ascii="宋体" w:hAnsi="宋体"/>
              </w:rPr>
              <w:t>包号：</w:t>
            </w:r>
          </w:p>
          <w:p>
            <w:pPr>
              <w:pStyle w:val="21"/>
              <w:spacing w:line="360" w:lineRule="auto"/>
              <w:ind w:left="0" w:leftChars="0" w:firstLine="0" w:firstLineChars="0"/>
              <w:rPr>
                <w:rFonts w:ascii="宋体" w:hAnsi="宋体"/>
                <w:u w:val="single"/>
              </w:rPr>
            </w:pPr>
            <w:r>
              <w:rPr>
                <w:rFonts w:hint="eastAsia" w:ascii="宋体" w:hAnsi="宋体"/>
              </w:rPr>
              <w:t>项目名称：</w:t>
            </w:r>
          </w:p>
          <w:p>
            <w:pPr>
              <w:pStyle w:val="21"/>
              <w:spacing w:line="360" w:lineRule="auto"/>
              <w:ind w:left="0" w:leftChars="0" w:firstLine="0" w:firstLineChars="0"/>
              <w:rPr>
                <w:rFonts w:ascii="宋体" w:hAnsi="宋体"/>
              </w:rPr>
            </w:pPr>
            <w:r>
              <w:rPr>
                <w:rFonts w:hint="eastAsia" w:ascii="宋体" w:hAnsi="宋体"/>
              </w:rPr>
              <w:t>供应商名称（公章）：</w:t>
            </w:r>
          </w:p>
        </w:tc>
        <w:tc>
          <w:tcPr>
            <w:tcW w:w="4775" w:type="dxa"/>
            <w:tcBorders>
              <w:bottom w:val="single" w:color="auto" w:sz="4" w:space="0"/>
            </w:tcBorders>
          </w:tcPr>
          <w:p>
            <w:pPr>
              <w:pStyle w:val="21"/>
              <w:spacing w:line="360" w:lineRule="auto"/>
              <w:ind w:left="0" w:leftChars="0" w:firstLine="0" w:firstLineChars="0"/>
              <w:rPr>
                <w:rFonts w:ascii="宋体" w:hAnsi="宋体"/>
              </w:rPr>
            </w:pPr>
          </w:p>
          <w:p>
            <w:pPr>
              <w:pStyle w:val="21"/>
              <w:spacing w:line="360" w:lineRule="auto"/>
              <w:ind w:left="0" w:leftChars="0" w:firstLine="0" w:firstLineChars="0"/>
              <w:rPr>
                <w:rFonts w:ascii="宋体" w:hAnsi="宋体"/>
              </w:rPr>
            </w:pPr>
            <w:r>
              <w:rPr>
                <w:rFonts w:hint="eastAsia" w:ascii="宋体" w:hAnsi="宋体"/>
                <w:b/>
                <w:sz w:val="30"/>
              </w:rPr>
              <w:t xml:space="preserve">电子文档   </w:t>
            </w:r>
          </w:p>
          <w:p>
            <w:pPr>
              <w:pStyle w:val="21"/>
              <w:spacing w:line="360" w:lineRule="auto"/>
              <w:ind w:left="1997" w:firstLine="470"/>
              <w:rPr>
                <w:rFonts w:ascii="宋体" w:hAnsi="宋体"/>
              </w:rPr>
            </w:pPr>
          </w:p>
          <w:p>
            <w:pPr>
              <w:pStyle w:val="21"/>
              <w:spacing w:line="360" w:lineRule="auto"/>
              <w:ind w:left="0" w:leftChars="0" w:firstLine="0" w:firstLineChars="0"/>
              <w:rPr>
                <w:rFonts w:ascii="宋体" w:hAnsi="宋体"/>
              </w:rPr>
            </w:pPr>
            <w:r>
              <w:rPr>
                <w:rFonts w:hint="eastAsia" w:ascii="宋体" w:hAnsi="宋体"/>
              </w:rPr>
              <w:t>项目编号：</w:t>
            </w:r>
          </w:p>
          <w:p>
            <w:pPr>
              <w:pStyle w:val="21"/>
              <w:spacing w:line="360" w:lineRule="auto"/>
              <w:ind w:left="0" w:leftChars="0" w:firstLine="0" w:firstLineChars="0"/>
              <w:rPr>
                <w:rFonts w:ascii="宋体" w:hAnsi="宋体"/>
              </w:rPr>
            </w:pPr>
            <w:r>
              <w:rPr>
                <w:rFonts w:hint="eastAsia" w:ascii="宋体" w:hAnsi="宋体"/>
              </w:rPr>
              <w:t>包号：</w:t>
            </w:r>
          </w:p>
          <w:p>
            <w:pPr>
              <w:pStyle w:val="21"/>
              <w:spacing w:line="360" w:lineRule="auto"/>
              <w:ind w:left="0" w:leftChars="0" w:firstLine="0" w:firstLineChars="0"/>
              <w:rPr>
                <w:rFonts w:ascii="宋体" w:hAnsi="宋体"/>
              </w:rPr>
            </w:pPr>
            <w:r>
              <w:rPr>
                <w:rFonts w:hint="eastAsia" w:ascii="宋体" w:hAnsi="宋体"/>
              </w:rPr>
              <w:t>项目名称：</w:t>
            </w:r>
          </w:p>
          <w:p>
            <w:pPr>
              <w:pStyle w:val="21"/>
              <w:spacing w:line="360" w:lineRule="auto"/>
              <w:ind w:left="0" w:leftChars="0" w:firstLine="0" w:firstLineChars="0"/>
              <w:rPr>
                <w:rFonts w:ascii="宋体" w:hAnsi="宋体"/>
              </w:rPr>
            </w:pPr>
            <w:r>
              <w:rPr>
                <w:rFonts w:hint="eastAsia" w:ascii="宋体" w:hAnsi="宋体"/>
              </w:rPr>
              <w:t>供应商名称（公章）：</w:t>
            </w:r>
          </w:p>
        </w:tc>
      </w:tr>
    </w:tbl>
    <w:p>
      <w:pPr>
        <w:pStyle w:val="21"/>
        <w:spacing w:line="360" w:lineRule="auto"/>
        <w:ind w:left="0" w:leftChars="0" w:firstLine="0" w:firstLineChars="0"/>
        <w:rPr>
          <w:rFonts w:ascii="宋体" w:hAnsi="宋体"/>
          <w:b/>
          <w:bCs/>
          <w:sz w:val="32"/>
        </w:rPr>
      </w:pPr>
      <w:r>
        <w:rPr>
          <w:rFonts w:hint="eastAsia" w:ascii="宋体" w:hAnsi="宋体"/>
          <w:b/>
          <w:bCs/>
          <w:sz w:val="32"/>
        </w:rPr>
        <w:t>封口格式：</w:t>
      </w:r>
    </w:p>
    <w:tbl>
      <w:tblPr>
        <w:tblStyle w:val="50"/>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9168" w:type="dxa"/>
            <w:tcBorders>
              <w:bottom w:val="single" w:color="auto" w:sz="4" w:space="0"/>
            </w:tcBorders>
            <w:vAlign w:val="center"/>
          </w:tcPr>
          <w:p>
            <w:pPr>
              <w:pStyle w:val="21"/>
              <w:spacing w:line="360" w:lineRule="auto"/>
              <w:ind w:left="0" w:leftChars="0" w:firstLine="0" w:firstLineChars="0"/>
              <w:rPr>
                <w:rFonts w:ascii="宋体" w:hAnsi="宋体"/>
              </w:rPr>
            </w:pPr>
            <w:r>
              <w:rPr>
                <w:rFonts w:hint="eastAsia" w:ascii="宋体" w:hAnsi="宋体"/>
              </w:rPr>
              <w:t>………………………于   年  月  日   时之前不准启封（公章）………………………</w:t>
            </w:r>
          </w:p>
        </w:tc>
      </w:tr>
    </w:tbl>
    <w:p>
      <w:pPr>
        <w:pStyle w:val="3"/>
        <w:spacing w:line="360" w:lineRule="auto"/>
        <w:jc w:val="center"/>
      </w:pPr>
      <w:bookmarkStart w:id="71" w:name="_Toc48913068"/>
    </w:p>
    <w:p>
      <w:pPr>
        <w:spacing w:line="360" w:lineRule="auto"/>
        <w:rPr>
          <w:rFonts w:ascii="Times New Roman" w:hAnsi="Times New Roman" w:cs="Times New Roman"/>
          <w:kern w:val="44"/>
          <w:sz w:val="44"/>
          <w:szCs w:val="44"/>
        </w:rPr>
      </w:pPr>
      <w:r>
        <w:br w:type="page"/>
      </w:r>
    </w:p>
    <w:p>
      <w:pPr>
        <w:pStyle w:val="3"/>
        <w:spacing w:line="360" w:lineRule="auto"/>
        <w:jc w:val="center"/>
      </w:pPr>
      <w:r>
        <w:rPr>
          <w:rFonts w:hint="eastAsia"/>
        </w:rPr>
        <w:t>第六部分 评分细则</w:t>
      </w:r>
      <w:bookmarkEnd w:id="71"/>
    </w:p>
    <w:p>
      <w:pPr>
        <w:spacing w:line="360" w:lineRule="auto"/>
        <w:ind w:firstLine="480" w:firstLineChars="200"/>
      </w:pPr>
      <w:r>
        <w:rPr>
          <w:rFonts w:hint="eastAsia"/>
        </w:rPr>
        <w:t>为规范本次磋商文件工作，结合本工程的实际，按照公开，公正，公平的原则，择优选择中标单位，特制定本评标办法。</w:t>
      </w:r>
    </w:p>
    <w:p>
      <w:pPr>
        <w:spacing w:line="360" w:lineRule="auto"/>
        <w:ind w:firstLine="480"/>
      </w:pPr>
      <w:r>
        <w:rPr>
          <w:rFonts w:hint="eastAsia"/>
        </w:rPr>
        <w:t>磋商小组根据供应商的资格、资信、技术、商务的响应情况，按如下评分细则进行综合评议打分，推荐</w:t>
      </w:r>
      <w:r>
        <w:rPr>
          <w:rFonts w:hint="eastAsia"/>
          <w:lang w:val="en-US" w:eastAsia="zh-CN"/>
        </w:rPr>
        <w:t>一</w:t>
      </w:r>
      <w:r>
        <w:rPr>
          <w:rFonts w:hint="eastAsia"/>
        </w:rPr>
        <w:t>名成交候选人，并提交经磋商小组成员签字的评标报告。</w:t>
      </w:r>
    </w:p>
    <w:p>
      <w:pPr>
        <w:pStyle w:val="4"/>
        <w:spacing w:line="360" w:lineRule="auto"/>
        <w:jc w:val="center"/>
      </w:pPr>
      <w:bookmarkStart w:id="72" w:name="_Toc300747429"/>
      <w:bookmarkEnd w:id="72"/>
      <w:bookmarkStart w:id="73" w:name="_Toc8221"/>
      <w:bookmarkEnd w:id="73"/>
      <w:bookmarkStart w:id="74" w:name="_Toc766"/>
      <w:bookmarkEnd w:id="74"/>
      <w:bookmarkStart w:id="75" w:name="_Toc488132523"/>
      <w:bookmarkStart w:id="76" w:name="_Toc48913069"/>
      <w:r>
        <w:rPr>
          <w:rFonts w:hint="eastAsia"/>
        </w:rPr>
        <w:t>评审细则（满分100分）</w:t>
      </w:r>
      <w:bookmarkEnd w:id="75"/>
      <w:bookmarkEnd w:id="76"/>
    </w:p>
    <w:tbl>
      <w:tblPr>
        <w:tblStyle w:val="50"/>
        <w:tblW w:w="9085" w:type="dxa"/>
        <w:tblInd w:w="0" w:type="dxa"/>
        <w:tblLayout w:type="fixed"/>
        <w:tblCellMar>
          <w:top w:w="0" w:type="dxa"/>
          <w:left w:w="0" w:type="dxa"/>
          <w:bottom w:w="0" w:type="dxa"/>
          <w:right w:w="0" w:type="dxa"/>
        </w:tblCellMar>
      </w:tblPr>
      <w:tblGrid>
        <w:gridCol w:w="2615"/>
        <w:gridCol w:w="6470"/>
      </w:tblGrid>
      <w:tr>
        <w:tblPrEx>
          <w:tblLayout w:type="fixed"/>
          <w:tblCellMar>
            <w:top w:w="0" w:type="dxa"/>
            <w:left w:w="0" w:type="dxa"/>
            <w:bottom w:w="0" w:type="dxa"/>
            <w:right w:w="0" w:type="dxa"/>
          </w:tblCellMar>
        </w:tblPrEx>
        <w:trPr>
          <w:trHeight w:val="630" w:hRule="atLeast"/>
        </w:trPr>
        <w:tc>
          <w:tcPr>
            <w:tcW w:w="2615" w:type="dxa"/>
            <w:tcBorders>
              <w:top w:val="single" w:color="000000" w:sz="4" w:space="0"/>
              <w:left w:val="single" w:color="000000" w:sz="4" w:space="0"/>
              <w:bottom w:val="single" w:color="000000" w:sz="4" w:space="0"/>
              <w:right w:val="single" w:color="000000" w:sz="4" w:space="0"/>
            </w:tcBorders>
            <w:tcMar>
              <w:top w:w="9" w:type="dxa"/>
              <w:left w:w="9" w:type="dxa"/>
              <w:right w:w="9" w:type="dxa"/>
            </w:tcMar>
            <w:vAlign w:val="center"/>
          </w:tcPr>
          <w:p>
            <w:pPr>
              <w:spacing w:line="360" w:lineRule="auto"/>
              <w:jc w:val="center"/>
              <w:textAlignment w:val="center"/>
              <w:rPr>
                <w:b/>
                <w:color w:val="000000"/>
              </w:rPr>
            </w:pPr>
            <w:r>
              <w:rPr>
                <w:rFonts w:hint="eastAsia"/>
                <w:b/>
                <w:color w:val="000000"/>
              </w:rPr>
              <w:t>评审项目</w:t>
            </w:r>
          </w:p>
        </w:tc>
        <w:tc>
          <w:tcPr>
            <w:tcW w:w="6470" w:type="dxa"/>
            <w:tcBorders>
              <w:top w:val="single" w:color="000000" w:sz="4" w:space="0"/>
              <w:left w:val="single" w:color="000000" w:sz="4" w:space="0"/>
              <w:bottom w:val="single" w:color="000000" w:sz="4" w:space="0"/>
              <w:right w:val="single" w:color="000000" w:sz="4" w:space="0"/>
            </w:tcBorders>
            <w:tcMar>
              <w:top w:w="9" w:type="dxa"/>
              <w:left w:w="9" w:type="dxa"/>
              <w:right w:w="9" w:type="dxa"/>
            </w:tcMar>
            <w:vAlign w:val="center"/>
          </w:tcPr>
          <w:p>
            <w:pPr>
              <w:spacing w:line="360" w:lineRule="auto"/>
              <w:jc w:val="center"/>
              <w:textAlignment w:val="center"/>
              <w:rPr>
                <w:b/>
                <w:color w:val="000000"/>
              </w:rPr>
            </w:pPr>
            <w:r>
              <w:rPr>
                <w:rFonts w:hint="eastAsia"/>
                <w:b/>
                <w:color w:val="000000"/>
              </w:rPr>
              <w:t>评分标准</w:t>
            </w:r>
          </w:p>
        </w:tc>
      </w:tr>
      <w:tr>
        <w:tblPrEx>
          <w:tblLayout w:type="fixed"/>
          <w:tblCellMar>
            <w:top w:w="0" w:type="dxa"/>
            <w:left w:w="0" w:type="dxa"/>
            <w:bottom w:w="0" w:type="dxa"/>
            <w:right w:w="0" w:type="dxa"/>
          </w:tblCellMar>
        </w:tblPrEx>
        <w:trPr>
          <w:trHeight w:val="485" w:hRule="atLeast"/>
        </w:trPr>
        <w:tc>
          <w:tcPr>
            <w:tcW w:w="2615" w:type="dxa"/>
            <w:tcBorders>
              <w:top w:val="single" w:color="000000" w:sz="4" w:space="0"/>
              <w:left w:val="single" w:color="000000" w:sz="4" w:space="0"/>
              <w:bottom w:val="single" w:color="000000" w:sz="4" w:space="0"/>
              <w:right w:val="single" w:color="000000" w:sz="4" w:space="0"/>
            </w:tcBorders>
            <w:tcMar>
              <w:top w:w="9" w:type="dxa"/>
              <w:left w:w="9" w:type="dxa"/>
              <w:right w:w="9" w:type="dxa"/>
            </w:tcMar>
            <w:vAlign w:val="center"/>
          </w:tcPr>
          <w:p>
            <w:pPr>
              <w:spacing w:line="360" w:lineRule="auto"/>
              <w:jc w:val="center"/>
              <w:textAlignment w:val="center"/>
              <w:rPr>
                <w:color w:val="000000"/>
              </w:rPr>
            </w:pPr>
            <w:r>
              <w:rPr>
                <w:rFonts w:hint="eastAsia"/>
                <w:color w:val="000000"/>
              </w:rPr>
              <w:t>报价部分</w:t>
            </w:r>
          </w:p>
          <w:p>
            <w:pPr>
              <w:spacing w:line="360" w:lineRule="auto"/>
              <w:jc w:val="center"/>
              <w:textAlignment w:val="center"/>
              <w:rPr>
                <w:color w:val="000000"/>
              </w:rPr>
            </w:pPr>
            <w:r>
              <w:rPr>
                <w:rFonts w:hint="eastAsia"/>
                <w:color w:val="000000"/>
              </w:rPr>
              <w:t>（30分）</w:t>
            </w:r>
          </w:p>
        </w:tc>
        <w:tc>
          <w:tcPr>
            <w:tcW w:w="6470" w:type="dxa"/>
            <w:tcBorders>
              <w:top w:val="single" w:color="000000" w:sz="4" w:space="0"/>
              <w:left w:val="single" w:color="000000" w:sz="4" w:space="0"/>
              <w:bottom w:val="single" w:color="000000" w:sz="4" w:space="0"/>
              <w:right w:val="single" w:color="000000" w:sz="4" w:space="0"/>
            </w:tcBorders>
            <w:tcMar>
              <w:top w:w="9" w:type="dxa"/>
              <w:left w:w="9" w:type="dxa"/>
              <w:right w:w="9" w:type="dxa"/>
            </w:tcMar>
            <w:vAlign w:val="center"/>
          </w:tcPr>
          <w:p>
            <w:pPr>
              <w:spacing w:line="360" w:lineRule="auto"/>
              <w:textAlignment w:val="center"/>
              <w:rPr>
                <w:color w:val="000000"/>
              </w:rPr>
            </w:pPr>
            <w:r>
              <w:rPr>
                <w:rFonts w:hint="eastAsia"/>
                <w:color w:val="000000"/>
              </w:rPr>
              <w:t>以满足招标文件要求且投标价格最低的投标报价为评标基准价，其价格为满分30分，其他投标人价格分按照下列公式计算：投标报价得分=（评标基准价/投标报价）×30%×100。</w:t>
            </w:r>
          </w:p>
        </w:tc>
      </w:tr>
      <w:tr>
        <w:tblPrEx>
          <w:tblLayout w:type="fixed"/>
          <w:tblCellMar>
            <w:top w:w="0" w:type="dxa"/>
            <w:left w:w="0" w:type="dxa"/>
            <w:bottom w:w="0" w:type="dxa"/>
            <w:right w:w="0" w:type="dxa"/>
          </w:tblCellMar>
        </w:tblPrEx>
        <w:trPr>
          <w:trHeight w:val="485" w:hRule="atLeast"/>
        </w:trPr>
        <w:tc>
          <w:tcPr>
            <w:tcW w:w="2615" w:type="dxa"/>
            <w:tcBorders>
              <w:top w:val="single" w:color="000000" w:sz="4" w:space="0"/>
              <w:left w:val="single" w:color="000000" w:sz="4" w:space="0"/>
              <w:bottom w:val="single" w:color="000000" w:sz="4" w:space="0"/>
              <w:right w:val="single" w:color="000000" w:sz="4" w:space="0"/>
            </w:tcBorders>
            <w:tcMar>
              <w:top w:w="9" w:type="dxa"/>
              <w:left w:w="9" w:type="dxa"/>
              <w:right w:w="9" w:type="dxa"/>
            </w:tcMar>
            <w:vAlign w:val="center"/>
          </w:tcPr>
          <w:p>
            <w:pPr>
              <w:pStyle w:val="49"/>
              <w:spacing w:line="360" w:lineRule="auto"/>
              <w:ind w:left="0" w:leftChars="0" w:firstLine="0" w:firstLineChars="0"/>
              <w:jc w:val="center"/>
              <w:rPr>
                <w:rFonts w:ascii="宋体" w:hAnsi="宋体" w:cs="宋体"/>
              </w:rPr>
            </w:pPr>
            <w:r>
              <w:rPr>
                <w:rFonts w:hint="eastAsia" w:ascii="宋体" w:hAnsi="宋体" w:cs="宋体"/>
              </w:rPr>
              <w:t>报价合理性</w:t>
            </w:r>
          </w:p>
          <w:p>
            <w:pPr>
              <w:pStyle w:val="49"/>
              <w:spacing w:line="360" w:lineRule="auto"/>
              <w:ind w:left="0" w:leftChars="0" w:firstLine="0" w:firstLineChars="0"/>
              <w:jc w:val="center"/>
              <w:rPr>
                <w:rFonts w:ascii="宋体" w:hAnsi="宋体" w:cs="宋体"/>
                <w:b/>
                <w:color w:val="000000"/>
                <w:kern w:val="0"/>
              </w:rPr>
            </w:pPr>
            <w:r>
              <w:rPr>
                <w:rFonts w:hint="eastAsia" w:ascii="宋体" w:hAnsi="宋体" w:cs="宋体"/>
              </w:rPr>
              <w:t>（5分）</w:t>
            </w:r>
          </w:p>
        </w:tc>
        <w:tc>
          <w:tcPr>
            <w:tcW w:w="6470" w:type="dxa"/>
            <w:tcBorders>
              <w:top w:val="single" w:color="000000" w:sz="4" w:space="0"/>
              <w:left w:val="single" w:color="000000" w:sz="4" w:space="0"/>
              <w:bottom w:val="single" w:color="000000" w:sz="4" w:space="0"/>
              <w:right w:val="single" w:color="000000" w:sz="4" w:space="0"/>
            </w:tcBorders>
            <w:tcMar>
              <w:top w:w="9" w:type="dxa"/>
              <w:left w:w="9" w:type="dxa"/>
              <w:right w:w="9" w:type="dxa"/>
            </w:tcMar>
            <w:vAlign w:val="center"/>
          </w:tcPr>
          <w:p>
            <w:pPr>
              <w:spacing w:line="360" w:lineRule="auto"/>
              <w:textAlignment w:val="center"/>
              <w:rPr>
                <w:color w:val="000000"/>
              </w:rPr>
            </w:pPr>
            <w:r>
              <w:rPr>
                <w:rFonts w:hint="eastAsia"/>
              </w:rPr>
              <w:t xml:space="preserve">经专家评审综合单价计算合理，得5分；发生超出常规不均衡报价（明显高或明显低于市场报价）每处扣0.5 分；有单项费用与总费用不相吻合而又解释不清的，扣1 分。                </w:t>
            </w:r>
          </w:p>
        </w:tc>
      </w:tr>
      <w:tr>
        <w:tblPrEx>
          <w:tblLayout w:type="fixed"/>
          <w:tblCellMar>
            <w:top w:w="0" w:type="dxa"/>
            <w:left w:w="0" w:type="dxa"/>
            <w:bottom w:w="0" w:type="dxa"/>
            <w:right w:w="0" w:type="dxa"/>
          </w:tblCellMar>
        </w:tblPrEx>
        <w:trPr>
          <w:trHeight w:val="485" w:hRule="atLeast"/>
        </w:trPr>
        <w:tc>
          <w:tcPr>
            <w:tcW w:w="2615" w:type="dxa"/>
            <w:tcBorders>
              <w:top w:val="single" w:color="000000" w:sz="4" w:space="0"/>
              <w:left w:val="single" w:color="000000" w:sz="4" w:space="0"/>
              <w:bottom w:val="single" w:color="000000" w:sz="4" w:space="0"/>
              <w:right w:val="single" w:color="000000" w:sz="4" w:space="0"/>
            </w:tcBorders>
            <w:tcMar>
              <w:top w:w="9" w:type="dxa"/>
              <w:left w:w="9" w:type="dxa"/>
              <w:right w:w="9" w:type="dxa"/>
            </w:tcMar>
            <w:vAlign w:val="center"/>
          </w:tcPr>
          <w:p>
            <w:pPr>
              <w:spacing w:line="360" w:lineRule="auto"/>
              <w:jc w:val="center"/>
              <w:rPr>
                <w:color w:val="000000"/>
              </w:rPr>
            </w:pPr>
            <w:r>
              <w:rPr>
                <w:rFonts w:hint="eastAsia"/>
                <w:color w:val="000000"/>
              </w:rPr>
              <w:t>供货保证措施及方案（10分）</w:t>
            </w:r>
          </w:p>
        </w:tc>
        <w:tc>
          <w:tcPr>
            <w:tcW w:w="6470" w:type="dxa"/>
            <w:tcBorders>
              <w:top w:val="single" w:color="000000" w:sz="4" w:space="0"/>
              <w:left w:val="single" w:color="000000" w:sz="4" w:space="0"/>
              <w:bottom w:val="single" w:color="000000" w:sz="4" w:space="0"/>
              <w:right w:val="single" w:color="000000" w:sz="4" w:space="0"/>
            </w:tcBorders>
            <w:tcMar>
              <w:top w:w="9" w:type="dxa"/>
              <w:left w:w="9" w:type="dxa"/>
              <w:right w:w="9" w:type="dxa"/>
            </w:tcMar>
            <w:vAlign w:val="center"/>
          </w:tcPr>
          <w:p>
            <w:pPr>
              <w:spacing w:line="360" w:lineRule="auto"/>
              <w:rPr>
                <w:color w:val="000000"/>
              </w:rPr>
            </w:pPr>
            <w:r>
              <w:rPr>
                <w:rFonts w:hint="eastAsia"/>
                <w:color w:val="000000"/>
              </w:rPr>
              <w:t>根据供应商供货时间的响应程度及保证措施供货时间安排合理并优于项目要求等可行性方案。评委根据其描述情况打分，详细、科学、合理为第一档满分10分，内容比较充实为第二档满分7分；能满足采购文件要求为第三档满分4分；专家针对同档次响应文件横向比较，依次扣减1分，若此条缺项不得分。</w:t>
            </w:r>
          </w:p>
        </w:tc>
      </w:tr>
      <w:tr>
        <w:tblPrEx>
          <w:tblLayout w:type="fixed"/>
          <w:tblCellMar>
            <w:top w:w="0" w:type="dxa"/>
            <w:left w:w="0" w:type="dxa"/>
            <w:bottom w:w="0" w:type="dxa"/>
            <w:right w:w="0" w:type="dxa"/>
          </w:tblCellMar>
        </w:tblPrEx>
        <w:trPr>
          <w:trHeight w:val="485" w:hRule="atLeast"/>
        </w:trPr>
        <w:tc>
          <w:tcPr>
            <w:tcW w:w="2615" w:type="dxa"/>
            <w:tcBorders>
              <w:top w:val="single" w:color="000000" w:sz="4" w:space="0"/>
              <w:left w:val="single" w:color="000000" w:sz="4" w:space="0"/>
              <w:bottom w:val="single" w:color="000000" w:sz="4" w:space="0"/>
              <w:right w:val="single" w:color="000000" w:sz="4" w:space="0"/>
            </w:tcBorders>
            <w:tcMar>
              <w:top w:w="9" w:type="dxa"/>
              <w:left w:w="9" w:type="dxa"/>
              <w:right w:w="9" w:type="dxa"/>
            </w:tcMar>
            <w:vAlign w:val="center"/>
          </w:tcPr>
          <w:p>
            <w:pPr>
              <w:spacing w:line="360" w:lineRule="auto"/>
              <w:jc w:val="center"/>
              <w:textAlignment w:val="center"/>
            </w:pPr>
            <w:r>
              <w:rPr>
                <w:rFonts w:hint="eastAsia"/>
              </w:rPr>
              <w:t>安装调试方案</w:t>
            </w:r>
          </w:p>
          <w:p>
            <w:pPr>
              <w:spacing w:line="360" w:lineRule="auto"/>
              <w:jc w:val="center"/>
              <w:textAlignment w:val="center"/>
            </w:pPr>
            <w:r>
              <w:rPr>
                <w:rFonts w:hint="eastAsia"/>
              </w:rPr>
              <w:t>（15分）</w:t>
            </w:r>
          </w:p>
          <w:p>
            <w:pPr>
              <w:spacing w:line="360" w:lineRule="auto"/>
              <w:jc w:val="center"/>
              <w:rPr>
                <w:color w:val="000000"/>
              </w:rPr>
            </w:pPr>
          </w:p>
        </w:tc>
        <w:tc>
          <w:tcPr>
            <w:tcW w:w="6470" w:type="dxa"/>
            <w:tcBorders>
              <w:top w:val="single" w:color="000000" w:sz="4" w:space="0"/>
              <w:left w:val="single" w:color="000000" w:sz="4" w:space="0"/>
              <w:bottom w:val="single" w:color="000000" w:sz="4" w:space="0"/>
              <w:right w:val="single" w:color="000000" w:sz="4" w:space="0"/>
            </w:tcBorders>
            <w:tcMar>
              <w:top w:w="9" w:type="dxa"/>
              <w:left w:w="9" w:type="dxa"/>
              <w:right w:w="9" w:type="dxa"/>
            </w:tcMar>
            <w:vAlign w:val="center"/>
          </w:tcPr>
          <w:p>
            <w:pPr>
              <w:spacing w:line="360" w:lineRule="auto"/>
              <w:rPr>
                <w:color w:val="000000"/>
              </w:rPr>
            </w:pPr>
            <w:r>
              <w:rPr>
                <w:rFonts w:hint="eastAsia"/>
              </w:rPr>
              <w:t>根据投标人提供的安装、调试方案中的技术保障措施、工艺、规范、</w:t>
            </w:r>
            <w:r>
              <w:rPr>
                <w:rFonts w:hint="eastAsia"/>
                <w:color w:val="000000"/>
              </w:rPr>
              <w:t>安全保证措施</w:t>
            </w:r>
            <w:r>
              <w:rPr>
                <w:rFonts w:hint="eastAsia"/>
              </w:rPr>
              <w:t>、人员安排等进行综合评分</w:t>
            </w:r>
            <w:r>
              <w:rPr>
                <w:rFonts w:hint="eastAsia"/>
                <w:color w:val="000000"/>
              </w:rPr>
              <w:t>，满分15分</w:t>
            </w:r>
            <w:r>
              <w:rPr>
                <w:rFonts w:hint="eastAsia"/>
              </w:rPr>
              <w:t>。技术保障措施、工艺、规范、</w:t>
            </w:r>
            <w:r>
              <w:rPr>
                <w:rFonts w:hint="eastAsia"/>
                <w:color w:val="000000"/>
              </w:rPr>
              <w:t>安全保证措施</w:t>
            </w:r>
            <w:r>
              <w:rPr>
                <w:rFonts w:hint="eastAsia"/>
              </w:rPr>
              <w:t>、人员安排</w:t>
            </w:r>
            <w:r>
              <w:rPr>
                <w:rFonts w:hint="eastAsia"/>
                <w:color w:val="000000"/>
              </w:rPr>
              <w:t>每一项内容科学、可行的，每项得3分，</w:t>
            </w:r>
            <w:r>
              <w:rPr>
                <w:rFonts w:hint="eastAsia"/>
              </w:rPr>
              <w:t>技术保障措施、工艺、规范、</w:t>
            </w:r>
            <w:r>
              <w:rPr>
                <w:rFonts w:hint="eastAsia"/>
                <w:color w:val="000000"/>
              </w:rPr>
              <w:t>安全保证措施</w:t>
            </w:r>
            <w:r>
              <w:rPr>
                <w:rFonts w:hint="eastAsia"/>
              </w:rPr>
              <w:t>、人员安排</w:t>
            </w:r>
            <w:r>
              <w:rPr>
                <w:rFonts w:hint="eastAsia"/>
                <w:color w:val="000000"/>
              </w:rPr>
              <w:t>每一项内容可行但不够科学的，每项得1分，每一项内容不科学</w:t>
            </w:r>
            <w:r>
              <w:rPr>
                <w:rFonts w:hint="eastAsia"/>
              </w:rPr>
              <w:t>不可行或缺项不得分。</w:t>
            </w:r>
          </w:p>
        </w:tc>
      </w:tr>
      <w:tr>
        <w:tblPrEx>
          <w:tblLayout w:type="fixed"/>
          <w:tblCellMar>
            <w:top w:w="0" w:type="dxa"/>
            <w:left w:w="0" w:type="dxa"/>
            <w:bottom w:w="0" w:type="dxa"/>
            <w:right w:w="0" w:type="dxa"/>
          </w:tblCellMar>
        </w:tblPrEx>
        <w:trPr>
          <w:trHeight w:val="412" w:hRule="atLeast"/>
        </w:trPr>
        <w:tc>
          <w:tcPr>
            <w:tcW w:w="2615" w:type="dxa"/>
            <w:tcBorders>
              <w:top w:val="single" w:color="000000" w:sz="4" w:space="0"/>
              <w:left w:val="single" w:color="000000" w:sz="4" w:space="0"/>
              <w:bottom w:val="single" w:color="000000" w:sz="4" w:space="0"/>
              <w:right w:val="single" w:color="000000" w:sz="4" w:space="0"/>
            </w:tcBorders>
            <w:tcMar>
              <w:top w:w="9" w:type="dxa"/>
              <w:left w:w="9" w:type="dxa"/>
              <w:right w:w="9" w:type="dxa"/>
            </w:tcMar>
            <w:vAlign w:val="center"/>
          </w:tcPr>
          <w:p>
            <w:pPr>
              <w:spacing w:line="360" w:lineRule="auto"/>
              <w:jc w:val="center"/>
              <w:textAlignment w:val="center"/>
              <w:rPr>
                <w:color w:val="000000"/>
              </w:rPr>
            </w:pPr>
            <w:r>
              <w:rPr>
                <w:rFonts w:hint="eastAsia"/>
                <w:color w:val="000000"/>
              </w:rPr>
              <w:t>质量保证措施及与交警系统对接方案</w:t>
            </w:r>
          </w:p>
          <w:p>
            <w:pPr>
              <w:spacing w:line="360" w:lineRule="auto"/>
              <w:jc w:val="center"/>
              <w:textAlignment w:val="center"/>
              <w:rPr>
                <w:color w:val="000000"/>
              </w:rPr>
            </w:pPr>
            <w:r>
              <w:rPr>
                <w:rFonts w:hint="eastAsia"/>
                <w:color w:val="000000"/>
              </w:rPr>
              <w:t>（15分）</w:t>
            </w:r>
          </w:p>
        </w:tc>
        <w:tc>
          <w:tcPr>
            <w:tcW w:w="6470" w:type="dxa"/>
            <w:tcBorders>
              <w:top w:val="single" w:color="000000" w:sz="4" w:space="0"/>
              <w:left w:val="single" w:color="000000" w:sz="4" w:space="0"/>
              <w:bottom w:val="single" w:color="000000" w:sz="4" w:space="0"/>
              <w:right w:val="single" w:color="000000" w:sz="4" w:space="0"/>
            </w:tcBorders>
            <w:tcMar>
              <w:top w:w="9" w:type="dxa"/>
              <w:left w:w="9" w:type="dxa"/>
              <w:right w:w="9" w:type="dxa"/>
            </w:tcMar>
          </w:tcPr>
          <w:p>
            <w:pPr>
              <w:spacing w:line="360" w:lineRule="auto"/>
            </w:pPr>
            <w:r>
              <w:rPr>
                <w:rFonts w:hint="eastAsia"/>
              </w:rPr>
              <w:t>根据供应商对质量保证措施及</w:t>
            </w:r>
            <w:r>
              <w:rPr>
                <w:rFonts w:hint="eastAsia"/>
                <w:color w:val="000000"/>
              </w:rPr>
              <w:t>与交警系统对接</w:t>
            </w:r>
            <w:r>
              <w:rPr>
                <w:rFonts w:hint="eastAsia"/>
              </w:rPr>
              <w:t>方案的描述包括但不限于所投报的工艺设计、 制作标准、细节处理、</w:t>
            </w:r>
            <w:r>
              <w:rPr>
                <w:rFonts w:hint="eastAsia"/>
                <w:color w:val="000000"/>
              </w:rPr>
              <w:t>系统对接</w:t>
            </w:r>
            <w:r>
              <w:rPr>
                <w:rFonts w:hint="eastAsia"/>
              </w:rPr>
              <w:t>及对磋商文件做出的响应情况进行评价；</w:t>
            </w:r>
            <w:r>
              <w:rPr>
                <w:rFonts w:hint="eastAsia"/>
                <w:color w:val="000000"/>
              </w:rPr>
              <w:t>评委根据其描述情况打分，详细、科学、合理为第一档满分15分，内容比较充实为第二档满分13分；能满足采购文件要求为第三档满分10分；专家针对同档次响应文件横向比较，依次扣减1分，若此条缺项不得分。</w:t>
            </w:r>
          </w:p>
        </w:tc>
      </w:tr>
      <w:tr>
        <w:tblPrEx>
          <w:tblLayout w:type="fixed"/>
          <w:tblCellMar>
            <w:top w:w="0" w:type="dxa"/>
            <w:left w:w="0" w:type="dxa"/>
            <w:bottom w:w="0" w:type="dxa"/>
            <w:right w:w="0" w:type="dxa"/>
          </w:tblCellMar>
        </w:tblPrEx>
        <w:trPr>
          <w:trHeight w:val="412" w:hRule="atLeast"/>
        </w:trPr>
        <w:tc>
          <w:tcPr>
            <w:tcW w:w="2615" w:type="dxa"/>
            <w:tcBorders>
              <w:top w:val="single" w:color="000000" w:sz="4" w:space="0"/>
              <w:left w:val="single" w:color="000000" w:sz="4" w:space="0"/>
              <w:bottom w:val="single" w:color="000000" w:sz="4" w:space="0"/>
              <w:right w:val="single" w:color="000000" w:sz="4" w:space="0"/>
            </w:tcBorders>
            <w:tcMar>
              <w:top w:w="9" w:type="dxa"/>
              <w:left w:w="9" w:type="dxa"/>
              <w:right w:w="9" w:type="dxa"/>
            </w:tcMar>
            <w:vAlign w:val="center"/>
          </w:tcPr>
          <w:p>
            <w:pPr>
              <w:spacing w:line="360" w:lineRule="auto"/>
              <w:jc w:val="center"/>
              <w:textAlignment w:val="center"/>
              <w:rPr>
                <w:color w:val="000000"/>
              </w:rPr>
            </w:pPr>
            <w:r>
              <w:rPr>
                <w:rFonts w:hint="eastAsia"/>
                <w:color w:val="000000"/>
              </w:rPr>
              <w:t>售后服务（20分）</w:t>
            </w:r>
          </w:p>
        </w:tc>
        <w:tc>
          <w:tcPr>
            <w:tcW w:w="6470" w:type="dxa"/>
            <w:tcBorders>
              <w:top w:val="single" w:color="000000" w:sz="4" w:space="0"/>
              <w:left w:val="single" w:color="000000" w:sz="4" w:space="0"/>
              <w:bottom w:val="single" w:color="000000" w:sz="4" w:space="0"/>
              <w:right w:val="single" w:color="000000" w:sz="4" w:space="0"/>
            </w:tcBorders>
            <w:tcMar>
              <w:top w:w="9" w:type="dxa"/>
              <w:left w:w="9" w:type="dxa"/>
              <w:right w:w="9" w:type="dxa"/>
            </w:tcMar>
            <w:vAlign w:val="center"/>
          </w:tcPr>
          <w:p>
            <w:pPr>
              <w:spacing w:line="360" w:lineRule="auto"/>
              <w:textAlignment w:val="center"/>
            </w:pPr>
            <w:r>
              <w:rPr>
                <w:rFonts w:hint="eastAsia"/>
              </w:rPr>
              <w:t>评委根据各投标供应商针对本项目的供货组织方案、产品调换、产品修整、免费维修期限、售后服务方案等各方面进行综合比较。评委根据其描述情况打分，详细、科学、合理为第一档满分20分，内容比较充实为第二档满分15分；能满足采购文件要求为第三档满分10分；专家针对同档次响应文件横向比较，依次扣减2分，若此条缺项不得分。</w:t>
            </w:r>
          </w:p>
        </w:tc>
      </w:tr>
      <w:tr>
        <w:tblPrEx>
          <w:tblLayout w:type="fixed"/>
          <w:tblCellMar>
            <w:top w:w="0" w:type="dxa"/>
            <w:left w:w="0" w:type="dxa"/>
            <w:bottom w:w="0" w:type="dxa"/>
            <w:right w:w="0" w:type="dxa"/>
          </w:tblCellMar>
        </w:tblPrEx>
        <w:trPr>
          <w:trHeight w:val="412" w:hRule="atLeast"/>
        </w:trPr>
        <w:tc>
          <w:tcPr>
            <w:tcW w:w="2615" w:type="dxa"/>
            <w:tcBorders>
              <w:top w:val="single" w:color="000000" w:sz="4" w:space="0"/>
              <w:left w:val="single" w:color="000000" w:sz="4" w:space="0"/>
              <w:bottom w:val="single" w:color="000000" w:sz="4" w:space="0"/>
              <w:right w:val="single" w:color="000000" w:sz="4" w:space="0"/>
            </w:tcBorders>
            <w:tcMar>
              <w:top w:w="9" w:type="dxa"/>
              <w:left w:w="9" w:type="dxa"/>
              <w:right w:w="9" w:type="dxa"/>
            </w:tcMar>
            <w:vAlign w:val="center"/>
          </w:tcPr>
          <w:p>
            <w:pPr>
              <w:spacing w:line="360" w:lineRule="auto"/>
              <w:jc w:val="center"/>
            </w:pPr>
            <w:r>
              <w:rPr>
                <w:rFonts w:hint="eastAsia"/>
              </w:rPr>
              <w:t>标书的制作及响应文件的响应情况（5分）</w:t>
            </w:r>
          </w:p>
        </w:tc>
        <w:tc>
          <w:tcPr>
            <w:tcW w:w="6470" w:type="dxa"/>
            <w:tcBorders>
              <w:top w:val="single" w:color="000000" w:sz="4" w:space="0"/>
              <w:left w:val="single" w:color="000000" w:sz="4" w:space="0"/>
              <w:bottom w:val="single" w:color="000000" w:sz="4" w:space="0"/>
              <w:right w:val="single" w:color="000000" w:sz="4" w:space="0"/>
            </w:tcBorders>
            <w:tcMar>
              <w:top w:w="9" w:type="dxa"/>
              <w:left w:w="9" w:type="dxa"/>
              <w:right w:w="9" w:type="dxa"/>
            </w:tcMar>
            <w:vAlign w:val="center"/>
          </w:tcPr>
          <w:p>
            <w:pPr>
              <w:spacing w:line="360" w:lineRule="auto"/>
              <w:textAlignment w:val="center"/>
              <w:rPr>
                <w:color w:val="000000"/>
              </w:rPr>
            </w:pPr>
            <w:r>
              <w:rPr>
                <w:rFonts w:hint="eastAsia"/>
                <w:color w:val="000000"/>
              </w:rPr>
              <w:t>标书制作是否规范，内容是否完整，文字是否清晰，标书中对技术等各部分的描述是否准确等最多得5分，每有一处不完善、描述不准确的扣1分，扣完为止。</w:t>
            </w:r>
          </w:p>
        </w:tc>
      </w:tr>
    </w:tbl>
    <w:p>
      <w:pPr>
        <w:spacing w:line="360" w:lineRule="auto"/>
        <w:rPr>
          <w:rFonts w:cs="仿宋_GB2312"/>
          <w:b/>
          <w:bCs/>
        </w:rPr>
      </w:pPr>
      <w:r>
        <w:rPr>
          <w:rFonts w:hint="eastAsia" w:cs="仿宋_GB2312"/>
          <w:b/>
          <w:bCs/>
        </w:rPr>
        <w:t>注:</w:t>
      </w:r>
    </w:p>
    <w:p>
      <w:pPr>
        <w:snapToGrid w:val="0"/>
        <w:spacing w:beforeLines="30" w:line="360" w:lineRule="auto"/>
        <w:rPr>
          <w:b/>
          <w:bCs/>
          <w:szCs w:val="21"/>
        </w:rPr>
      </w:pPr>
      <w:r>
        <w:rPr>
          <w:rFonts w:hint="eastAsia"/>
          <w:b/>
          <w:bCs/>
          <w:szCs w:val="21"/>
        </w:rPr>
        <w:t>1、对评委打分进行汇总时，所有评委打分的算术平均值作为供应商最终得分。</w:t>
      </w:r>
    </w:p>
    <w:p>
      <w:pPr>
        <w:snapToGrid w:val="0"/>
        <w:spacing w:beforeLines="30" w:line="360" w:lineRule="auto"/>
        <w:rPr>
          <w:b/>
          <w:snapToGrid w:val="0"/>
        </w:rPr>
      </w:pPr>
      <w:r>
        <w:rPr>
          <w:rFonts w:hint="eastAsia"/>
          <w:b/>
          <w:snapToGrid w:val="0"/>
        </w:rPr>
        <w:t>2、以上评分内容涉及到的证件均以证书原件</w:t>
      </w:r>
      <w:r>
        <w:rPr>
          <w:rFonts w:hint="eastAsia"/>
          <w:b/>
          <w:snapToGrid w:val="0"/>
          <w:lang w:val="en-US" w:eastAsia="zh-CN"/>
        </w:rPr>
        <w:t>扫描件</w:t>
      </w:r>
      <w:r>
        <w:rPr>
          <w:rFonts w:hint="eastAsia"/>
          <w:b/>
          <w:snapToGrid w:val="0"/>
        </w:rPr>
        <w:t>为准（</w:t>
      </w:r>
      <w:r>
        <w:rPr>
          <w:rFonts w:hint="eastAsia"/>
          <w:b/>
        </w:rPr>
        <w:t>或在线提供证明资料</w:t>
      </w:r>
      <w:r>
        <w:rPr>
          <w:rFonts w:hint="eastAsia"/>
          <w:b/>
          <w:snapToGrid w:val="0"/>
        </w:rPr>
        <w:t>）否则不作为加分的依据；</w:t>
      </w:r>
    </w:p>
    <w:p>
      <w:pPr>
        <w:snapToGrid w:val="0"/>
        <w:spacing w:beforeLines="30" w:line="360" w:lineRule="auto"/>
        <w:rPr>
          <w:b/>
          <w:snapToGrid w:val="0"/>
        </w:rPr>
      </w:pPr>
      <w:r>
        <w:rPr>
          <w:rFonts w:hint="eastAsia"/>
          <w:b/>
          <w:snapToGrid w:val="0"/>
        </w:rPr>
        <w:t>3、以上证件等必须真实有效，否则一经查出按废标处理。</w:t>
      </w:r>
    </w:p>
    <w:p>
      <w:pPr>
        <w:snapToGrid w:val="0"/>
        <w:spacing w:beforeLines="30" w:line="360" w:lineRule="auto"/>
        <w:rPr>
          <w:b/>
          <w:snapToGrid w:val="0"/>
        </w:rPr>
      </w:pPr>
      <w:r>
        <w:rPr>
          <w:rFonts w:hint="eastAsia"/>
          <w:b/>
          <w:snapToGrid w:val="0"/>
        </w:rPr>
        <w:t>4、报价单位报价超政府采购预算，视为无效投标。</w:t>
      </w:r>
      <w:bookmarkStart w:id="77" w:name="_Toc24098"/>
      <w:bookmarkEnd w:id="77"/>
    </w:p>
    <w:sectPr>
      <w:headerReference r:id="rId10" w:type="first"/>
      <w:footerReference r:id="rId11" w:type="default"/>
      <w:footerReference r:id="rId12" w:type="even"/>
      <w:type w:val="continuous"/>
      <w:pgSz w:w="11907" w:h="16840"/>
      <w:pgMar w:top="1593" w:right="1418" w:bottom="1418" w:left="1418" w:header="851" w:footer="851" w:gutter="0"/>
      <w:pgNumType w:fmt="decimalFullWidth"/>
      <w:cols w:space="720" w:num="1"/>
      <w:titlePg/>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34"/>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Palatino Linotype"/>
    <w:panose1 w:val="02040503050406030204"/>
    <w:charset w:val="00"/>
    <w:family w:val="roman"/>
    <w:pitch w:val="default"/>
    <w:sig w:usb0="00000000" w:usb1="00000000"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Arial Unicode MS">
    <w:altName w:val="宋体"/>
    <w:panose1 w:val="020B0604020202020204"/>
    <w:charset w:val="86"/>
    <w:family w:val="roman"/>
    <w:pitch w:val="default"/>
    <w:sig w:usb0="00000000" w:usb1="00000000" w:usb2="0000003F" w:usb3="00000000" w:csb0="601F00FF" w:csb1="FFFF0000"/>
  </w:font>
  <w:font w:name="ˎ̥">
    <w:altName w:val="Times New Roman"/>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华文细黑">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080E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fldChar w:fldCharType="begin"/>
    </w:r>
    <w:r>
      <w:rPr>
        <w:rStyle w:val="54"/>
      </w:rPr>
      <w:instrText xml:space="preserve">PAGE  </w:instrText>
    </w:r>
    <w: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535"/>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1"/>
                            <w:rPr>
                              <w:rStyle w:val="54"/>
                            </w:rPr>
                          </w:pPr>
                          <w:r>
                            <w:fldChar w:fldCharType="begin"/>
                          </w:r>
                          <w:r>
                            <w:rPr>
                              <w:rStyle w:val="54"/>
                            </w:rPr>
                            <w:instrText xml:space="preserve">PAGE  </w:instrText>
                          </w:r>
                          <w:r>
                            <w:fldChar w:fldCharType="separate"/>
                          </w:r>
                          <w:r>
                            <w:rPr>
                              <w:rStyle w:val="54"/>
                            </w:rPr>
                            <w:t>41</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UpE27vQEAAGIDAAAOAAAAAAAAAAEAIAAAAB4BAABkcnMvZTJvRG9jLnhtbFBLBQYAAAAA&#10;BgAGAFkBAABNBQAAAAA=&#10;">
              <v:fill on="f" focussize="0,0"/>
              <v:stroke on="f"/>
              <v:imagedata o:title=""/>
              <o:lock v:ext="edit" aspectratio="f"/>
              <v:textbox inset="0mm,0mm,0mm,0mm" style="mso-fit-shape-to-text:t;">
                <w:txbxContent>
                  <w:p>
                    <w:pPr>
                      <w:pStyle w:val="31"/>
                      <w:rPr>
                        <w:rStyle w:val="54"/>
                      </w:rPr>
                    </w:pPr>
                    <w:r>
                      <w:fldChar w:fldCharType="begin"/>
                    </w:r>
                    <w:r>
                      <w:rPr>
                        <w:rStyle w:val="54"/>
                      </w:rPr>
                      <w:instrText xml:space="preserve">PAGE  </w:instrText>
                    </w:r>
                    <w:r>
                      <w:fldChar w:fldCharType="separate"/>
                    </w:r>
                    <w:r>
                      <w:rPr>
                        <w:rStyle w:val="54"/>
                      </w:rPr>
                      <w:t>41</w:t>
                    </w:r>
                    <w:r>
                      <w:fldChar w:fldCharType="end"/>
                    </w:r>
                  </w:p>
                </w:txbxContent>
              </v:textbox>
            </v:shape>
          </w:pict>
        </mc:Fallback>
      </mc:AlternateConten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1"/>
                          </w:pPr>
                          <w:r>
                            <w:fldChar w:fldCharType="begin"/>
                          </w:r>
                          <w:r>
                            <w:instrText xml:space="preserve"> PAGE  \* MERGEFORMAT </w:instrText>
                          </w:r>
                          <w:r>
                            <w:fldChar w:fldCharType="separate"/>
                          </w:r>
                          <w:r>
                            <w:rPr>
                              <w:rFonts w:hint="eastAsia"/>
                            </w:rPr>
                            <w:t>４４</w:t>
                          </w:r>
                          <w:r>
                            <w:rPr>
                              <w:rFonts w:hint="eastAsi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Q6JisrsBAABiAwAADgAAAAAAAAABACAAAAAeAQAAZHJzL2Uyb0RvYy54bWxQSwUGAAAAAAYA&#10;BgBZAQAASwU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rPr>
                        <w:rFonts w:hint="eastAsia"/>
                      </w:rPr>
                      <w:t>４４</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３０</w:t>
    </w:r>
    <w: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1CB8FE"/>
    <w:multiLevelType w:val="singleLevel"/>
    <w:tmpl w:val="A61CB8FE"/>
    <w:lvl w:ilvl="0" w:tentative="0">
      <w:start w:val="6"/>
      <w:numFmt w:val="chineseCounting"/>
      <w:suff w:val="nothing"/>
      <w:lvlText w:val="%1、"/>
      <w:lvlJc w:val="left"/>
      <w:rPr>
        <w:rFonts w:hint="eastAsia"/>
      </w:rPr>
    </w:lvl>
  </w:abstractNum>
  <w:abstractNum w:abstractNumId="1">
    <w:nsid w:val="7E0E6AB4"/>
    <w:multiLevelType w:val="singleLevel"/>
    <w:tmpl w:val="7E0E6AB4"/>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0928"/>
    <w:rsid w:val="00000ABE"/>
    <w:rsid w:val="000022E5"/>
    <w:rsid w:val="00002D1F"/>
    <w:rsid w:val="00002EBE"/>
    <w:rsid w:val="00003795"/>
    <w:rsid w:val="000037D6"/>
    <w:rsid w:val="00003DAC"/>
    <w:rsid w:val="00004DF3"/>
    <w:rsid w:val="0000590D"/>
    <w:rsid w:val="00006694"/>
    <w:rsid w:val="000066E2"/>
    <w:rsid w:val="0001078B"/>
    <w:rsid w:val="0001099C"/>
    <w:rsid w:val="00010AB7"/>
    <w:rsid w:val="000128D0"/>
    <w:rsid w:val="00012E83"/>
    <w:rsid w:val="00013CBC"/>
    <w:rsid w:val="00014919"/>
    <w:rsid w:val="00015989"/>
    <w:rsid w:val="00015FDD"/>
    <w:rsid w:val="000163B0"/>
    <w:rsid w:val="00016732"/>
    <w:rsid w:val="0002205E"/>
    <w:rsid w:val="00022274"/>
    <w:rsid w:val="00022B02"/>
    <w:rsid w:val="00022EE4"/>
    <w:rsid w:val="00026CC0"/>
    <w:rsid w:val="00030105"/>
    <w:rsid w:val="00031212"/>
    <w:rsid w:val="00031E2F"/>
    <w:rsid w:val="000332A8"/>
    <w:rsid w:val="00037715"/>
    <w:rsid w:val="00037826"/>
    <w:rsid w:val="0004011E"/>
    <w:rsid w:val="00041068"/>
    <w:rsid w:val="0004283B"/>
    <w:rsid w:val="000429A0"/>
    <w:rsid w:val="00043079"/>
    <w:rsid w:val="000457BA"/>
    <w:rsid w:val="000468AB"/>
    <w:rsid w:val="000478A2"/>
    <w:rsid w:val="00047E42"/>
    <w:rsid w:val="00051755"/>
    <w:rsid w:val="00052AFF"/>
    <w:rsid w:val="00053600"/>
    <w:rsid w:val="00054554"/>
    <w:rsid w:val="000547D9"/>
    <w:rsid w:val="00055398"/>
    <w:rsid w:val="000557AC"/>
    <w:rsid w:val="000562BF"/>
    <w:rsid w:val="00056661"/>
    <w:rsid w:val="000568BA"/>
    <w:rsid w:val="000575E0"/>
    <w:rsid w:val="00060282"/>
    <w:rsid w:val="00063553"/>
    <w:rsid w:val="00063F8F"/>
    <w:rsid w:val="00064100"/>
    <w:rsid w:val="0006451B"/>
    <w:rsid w:val="00065064"/>
    <w:rsid w:val="00065258"/>
    <w:rsid w:val="00065823"/>
    <w:rsid w:val="00066105"/>
    <w:rsid w:val="00070EB7"/>
    <w:rsid w:val="000713E9"/>
    <w:rsid w:val="00071AA2"/>
    <w:rsid w:val="00071BCF"/>
    <w:rsid w:val="00072601"/>
    <w:rsid w:val="000726E1"/>
    <w:rsid w:val="0007322B"/>
    <w:rsid w:val="0007331F"/>
    <w:rsid w:val="00074812"/>
    <w:rsid w:val="000748A7"/>
    <w:rsid w:val="0007490D"/>
    <w:rsid w:val="0007511A"/>
    <w:rsid w:val="00075614"/>
    <w:rsid w:val="0007572B"/>
    <w:rsid w:val="000772E3"/>
    <w:rsid w:val="00077361"/>
    <w:rsid w:val="00077BCF"/>
    <w:rsid w:val="00080225"/>
    <w:rsid w:val="00081659"/>
    <w:rsid w:val="00083CBE"/>
    <w:rsid w:val="00084A2A"/>
    <w:rsid w:val="00085FDE"/>
    <w:rsid w:val="00086360"/>
    <w:rsid w:val="00086672"/>
    <w:rsid w:val="00090232"/>
    <w:rsid w:val="00093785"/>
    <w:rsid w:val="00094E03"/>
    <w:rsid w:val="00094EB4"/>
    <w:rsid w:val="000953F2"/>
    <w:rsid w:val="0009588F"/>
    <w:rsid w:val="00096412"/>
    <w:rsid w:val="00096DEB"/>
    <w:rsid w:val="00097FA2"/>
    <w:rsid w:val="000A0028"/>
    <w:rsid w:val="000A0171"/>
    <w:rsid w:val="000A336F"/>
    <w:rsid w:val="000A3A0E"/>
    <w:rsid w:val="000A3EA2"/>
    <w:rsid w:val="000A4615"/>
    <w:rsid w:val="000A5EA9"/>
    <w:rsid w:val="000A69A0"/>
    <w:rsid w:val="000A6BE2"/>
    <w:rsid w:val="000B1403"/>
    <w:rsid w:val="000B2352"/>
    <w:rsid w:val="000B2C89"/>
    <w:rsid w:val="000B2D80"/>
    <w:rsid w:val="000B3E6E"/>
    <w:rsid w:val="000B415B"/>
    <w:rsid w:val="000B4F2D"/>
    <w:rsid w:val="000B5F79"/>
    <w:rsid w:val="000B6316"/>
    <w:rsid w:val="000B67AC"/>
    <w:rsid w:val="000B7481"/>
    <w:rsid w:val="000B750F"/>
    <w:rsid w:val="000B773F"/>
    <w:rsid w:val="000B7B16"/>
    <w:rsid w:val="000C03DE"/>
    <w:rsid w:val="000C1506"/>
    <w:rsid w:val="000C16B4"/>
    <w:rsid w:val="000C21D8"/>
    <w:rsid w:val="000C2B5E"/>
    <w:rsid w:val="000C3996"/>
    <w:rsid w:val="000C3DD9"/>
    <w:rsid w:val="000C3F95"/>
    <w:rsid w:val="000C452F"/>
    <w:rsid w:val="000C4E4C"/>
    <w:rsid w:val="000C6E5E"/>
    <w:rsid w:val="000C7515"/>
    <w:rsid w:val="000D1B24"/>
    <w:rsid w:val="000D2B11"/>
    <w:rsid w:val="000D3F86"/>
    <w:rsid w:val="000D4801"/>
    <w:rsid w:val="000D538E"/>
    <w:rsid w:val="000D636D"/>
    <w:rsid w:val="000D699F"/>
    <w:rsid w:val="000E0853"/>
    <w:rsid w:val="000E1710"/>
    <w:rsid w:val="000E1965"/>
    <w:rsid w:val="000E2105"/>
    <w:rsid w:val="000E4811"/>
    <w:rsid w:val="000E499B"/>
    <w:rsid w:val="000E5E82"/>
    <w:rsid w:val="000E6B51"/>
    <w:rsid w:val="000E7C30"/>
    <w:rsid w:val="000F1E5D"/>
    <w:rsid w:val="000F4292"/>
    <w:rsid w:val="000F4846"/>
    <w:rsid w:val="000F4BB4"/>
    <w:rsid w:val="000F5710"/>
    <w:rsid w:val="000F57C4"/>
    <w:rsid w:val="000F5FEF"/>
    <w:rsid w:val="000F658F"/>
    <w:rsid w:val="000F745C"/>
    <w:rsid w:val="000F7AD9"/>
    <w:rsid w:val="0010072E"/>
    <w:rsid w:val="00100B23"/>
    <w:rsid w:val="00101203"/>
    <w:rsid w:val="0010238C"/>
    <w:rsid w:val="00102C18"/>
    <w:rsid w:val="0010320E"/>
    <w:rsid w:val="00104D6B"/>
    <w:rsid w:val="00105B14"/>
    <w:rsid w:val="00105E9B"/>
    <w:rsid w:val="00106A52"/>
    <w:rsid w:val="00106D00"/>
    <w:rsid w:val="00107B14"/>
    <w:rsid w:val="00110290"/>
    <w:rsid w:val="001122E1"/>
    <w:rsid w:val="00112ADA"/>
    <w:rsid w:val="00112C98"/>
    <w:rsid w:val="00113DF1"/>
    <w:rsid w:val="00115945"/>
    <w:rsid w:val="00115A86"/>
    <w:rsid w:val="00116E64"/>
    <w:rsid w:val="00121CEA"/>
    <w:rsid w:val="001300C4"/>
    <w:rsid w:val="00130608"/>
    <w:rsid w:val="00130DCF"/>
    <w:rsid w:val="00132C58"/>
    <w:rsid w:val="00133438"/>
    <w:rsid w:val="001341D5"/>
    <w:rsid w:val="00135071"/>
    <w:rsid w:val="00135683"/>
    <w:rsid w:val="001361B6"/>
    <w:rsid w:val="00137EE3"/>
    <w:rsid w:val="00141CE5"/>
    <w:rsid w:val="001432BF"/>
    <w:rsid w:val="00144121"/>
    <w:rsid w:val="0014432A"/>
    <w:rsid w:val="001446A9"/>
    <w:rsid w:val="001456D0"/>
    <w:rsid w:val="001457C8"/>
    <w:rsid w:val="00146507"/>
    <w:rsid w:val="001477F6"/>
    <w:rsid w:val="00147991"/>
    <w:rsid w:val="00147D10"/>
    <w:rsid w:val="0015281E"/>
    <w:rsid w:val="00153B04"/>
    <w:rsid w:val="001552F7"/>
    <w:rsid w:val="0015530D"/>
    <w:rsid w:val="001558BB"/>
    <w:rsid w:val="00156B5F"/>
    <w:rsid w:val="00156D0C"/>
    <w:rsid w:val="00161085"/>
    <w:rsid w:val="0016127A"/>
    <w:rsid w:val="00161527"/>
    <w:rsid w:val="00161F51"/>
    <w:rsid w:val="00162965"/>
    <w:rsid w:val="001642D8"/>
    <w:rsid w:val="00164514"/>
    <w:rsid w:val="001652CC"/>
    <w:rsid w:val="00165A1E"/>
    <w:rsid w:val="00167279"/>
    <w:rsid w:val="00170BA1"/>
    <w:rsid w:val="00171613"/>
    <w:rsid w:val="00172A27"/>
    <w:rsid w:val="0017377B"/>
    <w:rsid w:val="00175C50"/>
    <w:rsid w:val="001774F6"/>
    <w:rsid w:val="001801A7"/>
    <w:rsid w:val="001828DC"/>
    <w:rsid w:val="00183F98"/>
    <w:rsid w:val="00186CBF"/>
    <w:rsid w:val="001907F3"/>
    <w:rsid w:val="00191936"/>
    <w:rsid w:val="00191CFB"/>
    <w:rsid w:val="00192C69"/>
    <w:rsid w:val="001931C9"/>
    <w:rsid w:val="0019341F"/>
    <w:rsid w:val="001936BE"/>
    <w:rsid w:val="00193D6A"/>
    <w:rsid w:val="0019442E"/>
    <w:rsid w:val="00194ABD"/>
    <w:rsid w:val="001961E9"/>
    <w:rsid w:val="00196D30"/>
    <w:rsid w:val="001979DD"/>
    <w:rsid w:val="001A2791"/>
    <w:rsid w:val="001A4CA8"/>
    <w:rsid w:val="001A5239"/>
    <w:rsid w:val="001A5A8B"/>
    <w:rsid w:val="001A5F93"/>
    <w:rsid w:val="001A7AFA"/>
    <w:rsid w:val="001B037E"/>
    <w:rsid w:val="001B0723"/>
    <w:rsid w:val="001B2828"/>
    <w:rsid w:val="001B2D9B"/>
    <w:rsid w:val="001B2E8C"/>
    <w:rsid w:val="001B3BC0"/>
    <w:rsid w:val="001B3EDE"/>
    <w:rsid w:val="001B428E"/>
    <w:rsid w:val="001B506D"/>
    <w:rsid w:val="001B5389"/>
    <w:rsid w:val="001B54DB"/>
    <w:rsid w:val="001B67CB"/>
    <w:rsid w:val="001B768E"/>
    <w:rsid w:val="001B7DF3"/>
    <w:rsid w:val="001C3650"/>
    <w:rsid w:val="001C3B91"/>
    <w:rsid w:val="001C3CEF"/>
    <w:rsid w:val="001C41E1"/>
    <w:rsid w:val="001C498D"/>
    <w:rsid w:val="001C4FA8"/>
    <w:rsid w:val="001C54CA"/>
    <w:rsid w:val="001C62C3"/>
    <w:rsid w:val="001C795C"/>
    <w:rsid w:val="001D01F6"/>
    <w:rsid w:val="001D02EB"/>
    <w:rsid w:val="001D481E"/>
    <w:rsid w:val="001D710F"/>
    <w:rsid w:val="001D78E5"/>
    <w:rsid w:val="001E1351"/>
    <w:rsid w:val="001E4217"/>
    <w:rsid w:val="001E60D1"/>
    <w:rsid w:val="001E7324"/>
    <w:rsid w:val="001F0ADF"/>
    <w:rsid w:val="001F293A"/>
    <w:rsid w:val="001F2D18"/>
    <w:rsid w:val="001F36CD"/>
    <w:rsid w:val="001F5AD9"/>
    <w:rsid w:val="001F6072"/>
    <w:rsid w:val="001F70C1"/>
    <w:rsid w:val="002003E3"/>
    <w:rsid w:val="0020114A"/>
    <w:rsid w:val="002016DE"/>
    <w:rsid w:val="0020180A"/>
    <w:rsid w:val="00201D12"/>
    <w:rsid w:val="00202E5B"/>
    <w:rsid w:val="00203C20"/>
    <w:rsid w:val="00205D85"/>
    <w:rsid w:val="002062E5"/>
    <w:rsid w:val="0021037B"/>
    <w:rsid w:val="00210EAB"/>
    <w:rsid w:val="0021193B"/>
    <w:rsid w:val="0021193F"/>
    <w:rsid w:val="00211BE4"/>
    <w:rsid w:val="00211C00"/>
    <w:rsid w:val="002132AB"/>
    <w:rsid w:val="002147AF"/>
    <w:rsid w:val="00214C47"/>
    <w:rsid w:val="00216505"/>
    <w:rsid w:val="00217C04"/>
    <w:rsid w:val="002214DA"/>
    <w:rsid w:val="002215AD"/>
    <w:rsid w:val="00222277"/>
    <w:rsid w:val="00222BC1"/>
    <w:rsid w:val="00223714"/>
    <w:rsid w:val="00223AD7"/>
    <w:rsid w:val="00223BD2"/>
    <w:rsid w:val="00224549"/>
    <w:rsid w:val="00224B43"/>
    <w:rsid w:val="00224B81"/>
    <w:rsid w:val="00226184"/>
    <w:rsid w:val="002278F1"/>
    <w:rsid w:val="002329EE"/>
    <w:rsid w:val="002331B9"/>
    <w:rsid w:val="00233F03"/>
    <w:rsid w:val="00240E45"/>
    <w:rsid w:val="00243310"/>
    <w:rsid w:val="002434C6"/>
    <w:rsid w:val="00243532"/>
    <w:rsid w:val="00243C42"/>
    <w:rsid w:val="00243C4A"/>
    <w:rsid w:val="00244E22"/>
    <w:rsid w:val="00246773"/>
    <w:rsid w:val="00246EE8"/>
    <w:rsid w:val="0025039F"/>
    <w:rsid w:val="002517E4"/>
    <w:rsid w:val="00251B7E"/>
    <w:rsid w:val="002521FA"/>
    <w:rsid w:val="00253447"/>
    <w:rsid w:val="00254C2B"/>
    <w:rsid w:val="00254FA8"/>
    <w:rsid w:val="0025632E"/>
    <w:rsid w:val="00256BBE"/>
    <w:rsid w:val="00256E91"/>
    <w:rsid w:val="002576B0"/>
    <w:rsid w:val="002576FD"/>
    <w:rsid w:val="00257A8C"/>
    <w:rsid w:val="00257F5E"/>
    <w:rsid w:val="00260EBD"/>
    <w:rsid w:val="00263513"/>
    <w:rsid w:val="00263C0C"/>
    <w:rsid w:val="00265732"/>
    <w:rsid w:val="00265B6B"/>
    <w:rsid w:val="00265D15"/>
    <w:rsid w:val="00267CE0"/>
    <w:rsid w:val="00270CF6"/>
    <w:rsid w:val="00271258"/>
    <w:rsid w:val="00273164"/>
    <w:rsid w:val="00273C25"/>
    <w:rsid w:val="00275138"/>
    <w:rsid w:val="00275343"/>
    <w:rsid w:val="00276024"/>
    <w:rsid w:val="0027696B"/>
    <w:rsid w:val="00276BD3"/>
    <w:rsid w:val="00277F57"/>
    <w:rsid w:val="00280808"/>
    <w:rsid w:val="00281D4C"/>
    <w:rsid w:val="00282D27"/>
    <w:rsid w:val="00284E38"/>
    <w:rsid w:val="00285553"/>
    <w:rsid w:val="00285F8C"/>
    <w:rsid w:val="00287CA9"/>
    <w:rsid w:val="002907BD"/>
    <w:rsid w:val="002932C1"/>
    <w:rsid w:val="00295355"/>
    <w:rsid w:val="0029662E"/>
    <w:rsid w:val="00296885"/>
    <w:rsid w:val="0029688B"/>
    <w:rsid w:val="00296A77"/>
    <w:rsid w:val="00296ACB"/>
    <w:rsid w:val="002A0442"/>
    <w:rsid w:val="002A1FAD"/>
    <w:rsid w:val="002A7537"/>
    <w:rsid w:val="002A7825"/>
    <w:rsid w:val="002B1689"/>
    <w:rsid w:val="002B3241"/>
    <w:rsid w:val="002B406A"/>
    <w:rsid w:val="002B6104"/>
    <w:rsid w:val="002B688C"/>
    <w:rsid w:val="002B6EA3"/>
    <w:rsid w:val="002C0FD1"/>
    <w:rsid w:val="002C1A1A"/>
    <w:rsid w:val="002C2431"/>
    <w:rsid w:val="002C3C9C"/>
    <w:rsid w:val="002C5BB1"/>
    <w:rsid w:val="002C5F44"/>
    <w:rsid w:val="002D05CC"/>
    <w:rsid w:val="002D13A4"/>
    <w:rsid w:val="002D16A6"/>
    <w:rsid w:val="002D1788"/>
    <w:rsid w:val="002D2515"/>
    <w:rsid w:val="002D3451"/>
    <w:rsid w:val="002D3B02"/>
    <w:rsid w:val="002D43CC"/>
    <w:rsid w:val="002D6554"/>
    <w:rsid w:val="002D65D5"/>
    <w:rsid w:val="002D7C95"/>
    <w:rsid w:val="002E0287"/>
    <w:rsid w:val="002E1026"/>
    <w:rsid w:val="002E4861"/>
    <w:rsid w:val="002E48ED"/>
    <w:rsid w:val="002E5ED0"/>
    <w:rsid w:val="002F11D7"/>
    <w:rsid w:val="002F1234"/>
    <w:rsid w:val="002F1630"/>
    <w:rsid w:val="002F2723"/>
    <w:rsid w:val="002F372A"/>
    <w:rsid w:val="002F3F80"/>
    <w:rsid w:val="002F471E"/>
    <w:rsid w:val="002F559B"/>
    <w:rsid w:val="002F5806"/>
    <w:rsid w:val="002F669A"/>
    <w:rsid w:val="002F68D6"/>
    <w:rsid w:val="003019EC"/>
    <w:rsid w:val="00302F7B"/>
    <w:rsid w:val="00303041"/>
    <w:rsid w:val="00303F0D"/>
    <w:rsid w:val="00305357"/>
    <w:rsid w:val="00306D7E"/>
    <w:rsid w:val="00307955"/>
    <w:rsid w:val="00307C04"/>
    <w:rsid w:val="003104A6"/>
    <w:rsid w:val="003107B7"/>
    <w:rsid w:val="00310BBB"/>
    <w:rsid w:val="00310D18"/>
    <w:rsid w:val="00311B00"/>
    <w:rsid w:val="00313B7C"/>
    <w:rsid w:val="00315202"/>
    <w:rsid w:val="003171FE"/>
    <w:rsid w:val="00317BC1"/>
    <w:rsid w:val="0032098E"/>
    <w:rsid w:val="0032172A"/>
    <w:rsid w:val="00322D6C"/>
    <w:rsid w:val="00322DB8"/>
    <w:rsid w:val="00323CBD"/>
    <w:rsid w:val="003243F5"/>
    <w:rsid w:val="00324D2F"/>
    <w:rsid w:val="00325BC0"/>
    <w:rsid w:val="00331035"/>
    <w:rsid w:val="003327C7"/>
    <w:rsid w:val="00333235"/>
    <w:rsid w:val="00334249"/>
    <w:rsid w:val="00334948"/>
    <w:rsid w:val="00335613"/>
    <w:rsid w:val="0033584D"/>
    <w:rsid w:val="00337176"/>
    <w:rsid w:val="003372DE"/>
    <w:rsid w:val="00341DD7"/>
    <w:rsid w:val="003432E8"/>
    <w:rsid w:val="00345B6E"/>
    <w:rsid w:val="003505D3"/>
    <w:rsid w:val="003514EA"/>
    <w:rsid w:val="003548D4"/>
    <w:rsid w:val="0035550F"/>
    <w:rsid w:val="0035553B"/>
    <w:rsid w:val="00355595"/>
    <w:rsid w:val="003563F5"/>
    <w:rsid w:val="0035697D"/>
    <w:rsid w:val="003572B4"/>
    <w:rsid w:val="003610BF"/>
    <w:rsid w:val="00361E59"/>
    <w:rsid w:val="00363B93"/>
    <w:rsid w:val="003648C9"/>
    <w:rsid w:val="00364936"/>
    <w:rsid w:val="00365DCB"/>
    <w:rsid w:val="00365DF3"/>
    <w:rsid w:val="00372B7E"/>
    <w:rsid w:val="00372CD5"/>
    <w:rsid w:val="00373055"/>
    <w:rsid w:val="003732B0"/>
    <w:rsid w:val="00373D84"/>
    <w:rsid w:val="003749A5"/>
    <w:rsid w:val="00374F64"/>
    <w:rsid w:val="00375C68"/>
    <w:rsid w:val="00377E10"/>
    <w:rsid w:val="00383664"/>
    <w:rsid w:val="003837A1"/>
    <w:rsid w:val="00383B31"/>
    <w:rsid w:val="003859D0"/>
    <w:rsid w:val="00385FEE"/>
    <w:rsid w:val="003868F6"/>
    <w:rsid w:val="00386B4F"/>
    <w:rsid w:val="003903DB"/>
    <w:rsid w:val="00390D35"/>
    <w:rsid w:val="00390F4F"/>
    <w:rsid w:val="00393800"/>
    <w:rsid w:val="00394E7B"/>
    <w:rsid w:val="00396DCD"/>
    <w:rsid w:val="0039714E"/>
    <w:rsid w:val="003973D3"/>
    <w:rsid w:val="00397E3B"/>
    <w:rsid w:val="003A31E5"/>
    <w:rsid w:val="003A363C"/>
    <w:rsid w:val="003A466A"/>
    <w:rsid w:val="003A4ADA"/>
    <w:rsid w:val="003A6B29"/>
    <w:rsid w:val="003B030D"/>
    <w:rsid w:val="003B08EA"/>
    <w:rsid w:val="003B164F"/>
    <w:rsid w:val="003B2A44"/>
    <w:rsid w:val="003B44DD"/>
    <w:rsid w:val="003B68C6"/>
    <w:rsid w:val="003C005B"/>
    <w:rsid w:val="003C0064"/>
    <w:rsid w:val="003C02EA"/>
    <w:rsid w:val="003C0E46"/>
    <w:rsid w:val="003C11AB"/>
    <w:rsid w:val="003C1480"/>
    <w:rsid w:val="003C255D"/>
    <w:rsid w:val="003C30EA"/>
    <w:rsid w:val="003C414E"/>
    <w:rsid w:val="003C464B"/>
    <w:rsid w:val="003C4717"/>
    <w:rsid w:val="003C59E5"/>
    <w:rsid w:val="003C6F1D"/>
    <w:rsid w:val="003C715F"/>
    <w:rsid w:val="003D0390"/>
    <w:rsid w:val="003D13E9"/>
    <w:rsid w:val="003D1726"/>
    <w:rsid w:val="003D30E0"/>
    <w:rsid w:val="003D4A3B"/>
    <w:rsid w:val="003D5C9E"/>
    <w:rsid w:val="003D62F7"/>
    <w:rsid w:val="003E0FB1"/>
    <w:rsid w:val="003E1009"/>
    <w:rsid w:val="003E27DB"/>
    <w:rsid w:val="003E2BDA"/>
    <w:rsid w:val="003E3171"/>
    <w:rsid w:val="003E31B0"/>
    <w:rsid w:val="003E6D46"/>
    <w:rsid w:val="003E6DD9"/>
    <w:rsid w:val="003E743A"/>
    <w:rsid w:val="003E7C21"/>
    <w:rsid w:val="003E7CE9"/>
    <w:rsid w:val="003F1D81"/>
    <w:rsid w:val="003F2667"/>
    <w:rsid w:val="003F3027"/>
    <w:rsid w:val="003F432A"/>
    <w:rsid w:val="003F466A"/>
    <w:rsid w:val="003F4C1D"/>
    <w:rsid w:val="003F5C15"/>
    <w:rsid w:val="003F65F2"/>
    <w:rsid w:val="003F6E71"/>
    <w:rsid w:val="003F743C"/>
    <w:rsid w:val="00401477"/>
    <w:rsid w:val="004016D5"/>
    <w:rsid w:val="004020AF"/>
    <w:rsid w:val="00402E06"/>
    <w:rsid w:val="00404EEA"/>
    <w:rsid w:val="00407220"/>
    <w:rsid w:val="00407E33"/>
    <w:rsid w:val="004122A6"/>
    <w:rsid w:val="00412382"/>
    <w:rsid w:val="0041349F"/>
    <w:rsid w:val="00413822"/>
    <w:rsid w:val="00413E23"/>
    <w:rsid w:val="00415C4D"/>
    <w:rsid w:val="00422BC9"/>
    <w:rsid w:val="004230BE"/>
    <w:rsid w:val="00424B04"/>
    <w:rsid w:val="004251F3"/>
    <w:rsid w:val="0042522A"/>
    <w:rsid w:val="004257E6"/>
    <w:rsid w:val="0042658F"/>
    <w:rsid w:val="004276AF"/>
    <w:rsid w:val="00427B3B"/>
    <w:rsid w:val="00431FB5"/>
    <w:rsid w:val="004344C8"/>
    <w:rsid w:val="00434C46"/>
    <w:rsid w:val="00435710"/>
    <w:rsid w:val="004368BC"/>
    <w:rsid w:val="004373B4"/>
    <w:rsid w:val="004378D9"/>
    <w:rsid w:val="004417ED"/>
    <w:rsid w:val="004441D8"/>
    <w:rsid w:val="0044509F"/>
    <w:rsid w:val="00445C6A"/>
    <w:rsid w:val="0044610B"/>
    <w:rsid w:val="0044779E"/>
    <w:rsid w:val="004506AE"/>
    <w:rsid w:val="00452DDC"/>
    <w:rsid w:val="00453971"/>
    <w:rsid w:val="00453D7D"/>
    <w:rsid w:val="00456BC6"/>
    <w:rsid w:val="00457D3B"/>
    <w:rsid w:val="004612E3"/>
    <w:rsid w:val="00461B37"/>
    <w:rsid w:val="0046476B"/>
    <w:rsid w:val="00465145"/>
    <w:rsid w:val="00471DB1"/>
    <w:rsid w:val="00473147"/>
    <w:rsid w:val="004752CF"/>
    <w:rsid w:val="00475B5B"/>
    <w:rsid w:val="004766C8"/>
    <w:rsid w:val="00476A0B"/>
    <w:rsid w:val="004773AC"/>
    <w:rsid w:val="004823DE"/>
    <w:rsid w:val="0048337A"/>
    <w:rsid w:val="0048366B"/>
    <w:rsid w:val="00483800"/>
    <w:rsid w:val="00486438"/>
    <w:rsid w:val="00487A34"/>
    <w:rsid w:val="00490AE1"/>
    <w:rsid w:val="00490B26"/>
    <w:rsid w:val="00490F14"/>
    <w:rsid w:val="00491406"/>
    <w:rsid w:val="004922BE"/>
    <w:rsid w:val="004935F1"/>
    <w:rsid w:val="00493813"/>
    <w:rsid w:val="0049442E"/>
    <w:rsid w:val="004944C8"/>
    <w:rsid w:val="00496262"/>
    <w:rsid w:val="004967FD"/>
    <w:rsid w:val="00496BC7"/>
    <w:rsid w:val="004A1706"/>
    <w:rsid w:val="004A310A"/>
    <w:rsid w:val="004A4B17"/>
    <w:rsid w:val="004A4B48"/>
    <w:rsid w:val="004A64EB"/>
    <w:rsid w:val="004A7B11"/>
    <w:rsid w:val="004B1E41"/>
    <w:rsid w:val="004B2810"/>
    <w:rsid w:val="004B29D1"/>
    <w:rsid w:val="004B2A23"/>
    <w:rsid w:val="004B6485"/>
    <w:rsid w:val="004B6E84"/>
    <w:rsid w:val="004B72EF"/>
    <w:rsid w:val="004C12DF"/>
    <w:rsid w:val="004C2B1F"/>
    <w:rsid w:val="004D11B9"/>
    <w:rsid w:val="004D28C0"/>
    <w:rsid w:val="004D3022"/>
    <w:rsid w:val="004D4709"/>
    <w:rsid w:val="004D4FC2"/>
    <w:rsid w:val="004D7067"/>
    <w:rsid w:val="004E1150"/>
    <w:rsid w:val="004E12B4"/>
    <w:rsid w:val="004E4936"/>
    <w:rsid w:val="004E750F"/>
    <w:rsid w:val="004F0CA1"/>
    <w:rsid w:val="004F0EA3"/>
    <w:rsid w:val="004F35A5"/>
    <w:rsid w:val="004F4C71"/>
    <w:rsid w:val="004F5684"/>
    <w:rsid w:val="004F6DD9"/>
    <w:rsid w:val="005000CC"/>
    <w:rsid w:val="00500131"/>
    <w:rsid w:val="00500269"/>
    <w:rsid w:val="005005BB"/>
    <w:rsid w:val="00500A8A"/>
    <w:rsid w:val="005011F4"/>
    <w:rsid w:val="0050343F"/>
    <w:rsid w:val="0050438D"/>
    <w:rsid w:val="00504E85"/>
    <w:rsid w:val="0050621D"/>
    <w:rsid w:val="00506512"/>
    <w:rsid w:val="00507188"/>
    <w:rsid w:val="00510BFE"/>
    <w:rsid w:val="00513EC2"/>
    <w:rsid w:val="00514284"/>
    <w:rsid w:val="00514E71"/>
    <w:rsid w:val="00515987"/>
    <w:rsid w:val="00516181"/>
    <w:rsid w:val="005166A1"/>
    <w:rsid w:val="00517723"/>
    <w:rsid w:val="00517840"/>
    <w:rsid w:val="00517ED2"/>
    <w:rsid w:val="00520773"/>
    <w:rsid w:val="005229E7"/>
    <w:rsid w:val="00522DE8"/>
    <w:rsid w:val="00524FE2"/>
    <w:rsid w:val="005274A1"/>
    <w:rsid w:val="005306BE"/>
    <w:rsid w:val="005309B4"/>
    <w:rsid w:val="005313A0"/>
    <w:rsid w:val="0053220E"/>
    <w:rsid w:val="0053248E"/>
    <w:rsid w:val="00532615"/>
    <w:rsid w:val="005339EE"/>
    <w:rsid w:val="00533FD1"/>
    <w:rsid w:val="0053725A"/>
    <w:rsid w:val="00543DA6"/>
    <w:rsid w:val="005448AF"/>
    <w:rsid w:val="00544A8E"/>
    <w:rsid w:val="00544CB4"/>
    <w:rsid w:val="00545B98"/>
    <w:rsid w:val="00551517"/>
    <w:rsid w:val="00551C58"/>
    <w:rsid w:val="00552AE5"/>
    <w:rsid w:val="00552D5E"/>
    <w:rsid w:val="00553CBE"/>
    <w:rsid w:val="00553CF8"/>
    <w:rsid w:val="00554B05"/>
    <w:rsid w:val="00554DFA"/>
    <w:rsid w:val="005551BC"/>
    <w:rsid w:val="00555239"/>
    <w:rsid w:val="005577CA"/>
    <w:rsid w:val="00557D0A"/>
    <w:rsid w:val="00561858"/>
    <w:rsid w:val="00561BE1"/>
    <w:rsid w:val="00563707"/>
    <w:rsid w:val="00563B49"/>
    <w:rsid w:val="005649E3"/>
    <w:rsid w:val="00567D5E"/>
    <w:rsid w:val="00571EE1"/>
    <w:rsid w:val="005726D3"/>
    <w:rsid w:val="00574B97"/>
    <w:rsid w:val="00574D0A"/>
    <w:rsid w:val="00576C3C"/>
    <w:rsid w:val="00577D23"/>
    <w:rsid w:val="00580470"/>
    <w:rsid w:val="00580670"/>
    <w:rsid w:val="00580A65"/>
    <w:rsid w:val="0058335D"/>
    <w:rsid w:val="00584545"/>
    <w:rsid w:val="0058476C"/>
    <w:rsid w:val="005878A3"/>
    <w:rsid w:val="005912CA"/>
    <w:rsid w:val="0059263C"/>
    <w:rsid w:val="00594385"/>
    <w:rsid w:val="00594757"/>
    <w:rsid w:val="00597825"/>
    <w:rsid w:val="005A0282"/>
    <w:rsid w:val="005A33A6"/>
    <w:rsid w:val="005A3E01"/>
    <w:rsid w:val="005A527C"/>
    <w:rsid w:val="005A552D"/>
    <w:rsid w:val="005A5A7B"/>
    <w:rsid w:val="005A6D42"/>
    <w:rsid w:val="005B0CB1"/>
    <w:rsid w:val="005B0E7A"/>
    <w:rsid w:val="005B1335"/>
    <w:rsid w:val="005B1955"/>
    <w:rsid w:val="005B2570"/>
    <w:rsid w:val="005B263E"/>
    <w:rsid w:val="005B2D5B"/>
    <w:rsid w:val="005B35BE"/>
    <w:rsid w:val="005B3928"/>
    <w:rsid w:val="005B71B7"/>
    <w:rsid w:val="005B74C4"/>
    <w:rsid w:val="005C1C76"/>
    <w:rsid w:val="005C78A5"/>
    <w:rsid w:val="005D0E82"/>
    <w:rsid w:val="005D0ED4"/>
    <w:rsid w:val="005D1006"/>
    <w:rsid w:val="005D571E"/>
    <w:rsid w:val="005D6763"/>
    <w:rsid w:val="005D67B8"/>
    <w:rsid w:val="005E0689"/>
    <w:rsid w:val="005E073C"/>
    <w:rsid w:val="005E0B4A"/>
    <w:rsid w:val="005E1FBD"/>
    <w:rsid w:val="005E23E3"/>
    <w:rsid w:val="005E2ADB"/>
    <w:rsid w:val="005E2CA1"/>
    <w:rsid w:val="005E3BF5"/>
    <w:rsid w:val="005E48A1"/>
    <w:rsid w:val="005E6E14"/>
    <w:rsid w:val="005E7B05"/>
    <w:rsid w:val="005F08FE"/>
    <w:rsid w:val="005F1FAC"/>
    <w:rsid w:val="005F3628"/>
    <w:rsid w:val="005F4CB8"/>
    <w:rsid w:val="005F586E"/>
    <w:rsid w:val="005F79C6"/>
    <w:rsid w:val="005F7C06"/>
    <w:rsid w:val="00600A91"/>
    <w:rsid w:val="0060291A"/>
    <w:rsid w:val="00602ACC"/>
    <w:rsid w:val="0060307E"/>
    <w:rsid w:val="006036E2"/>
    <w:rsid w:val="00604508"/>
    <w:rsid w:val="00604563"/>
    <w:rsid w:val="00604E91"/>
    <w:rsid w:val="00605BD0"/>
    <w:rsid w:val="00607446"/>
    <w:rsid w:val="00610DD4"/>
    <w:rsid w:val="00615325"/>
    <w:rsid w:val="00615BF2"/>
    <w:rsid w:val="00617142"/>
    <w:rsid w:val="00621060"/>
    <w:rsid w:val="0062147A"/>
    <w:rsid w:val="006217A1"/>
    <w:rsid w:val="00621981"/>
    <w:rsid w:val="00621C29"/>
    <w:rsid w:val="00623AF5"/>
    <w:rsid w:val="00624D4E"/>
    <w:rsid w:val="0062555B"/>
    <w:rsid w:val="006264D8"/>
    <w:rsid w:val="00630A27"/>
    <w:rsid w:val="006314EC"/>
    <w:rsid w:val="00633850"/>
    <w:rsid w:val="00633F33"/>
    <w:rsid w:val="00634D35"/>
    <w:rsid w:val="006355E8"/>
    <w:rsid w:val="00636D08"/>
    <w:rsid w:val="0064003E"/>
    <w:rsid w:val="00640C5F"/>
    <w:rsid w:val="006413F1"/>
    <w:rsid w:val="006430C6"/>
    <w:rsid w:val="006438A1"/>
    <w:rsid w:val="00645968"/>
    <w:rsid w:val="006478FF"/>
    <w:rsid w:val="00647DDC"/>
    <w:rsid w:val="0065216D"/>
    <w:rsid w:val="00652B77"/>
    <w:rsid w:val="00655418"/>
    <w:rsid w:val="006555AC"/>
    <w:rsid w:val="006600C5"/>
    <w:rsid w:val="0066081D"/>
    <w:rsid w:val="00661A60"/>
    <w:rsid w:val="00662229"/>
    <w:rsid w:val="00662233"/>
    <w:rsid w:val="00663331"/>
    <w:rsid w:val="00663D1C"/>
    <w:rsid w:val="006646F5"/>
    <w:rsid w:val="0066659C"/>
    <w:rsid w:val="006705F3"/>
    <w:rsid w:val="00673748"/>
    <w:rsid w:val="00673D14"/>
    <w:rsid w:val="00674E84"/>
    <w:rsid w:val="00676680"/>
    <w:rsid w:val="0068128E"/>
    <w:rsid w:val="00682057"/>
    <w:rsid w:val="00683099"/>
    <w:rsid w:val="006839FA"/>
    <w:rsid w:val="00684509"/>
    <w:rsid w:val="00686136"/>
    <w:rsid w:val="0068645A"/>
    <w:rsid w:val="0068682A"/>
    <w:rsid w:val="00686ABC"/>
    <w:rsid w:val="0068707C"/>
    <w:rsid w:val="00687B75"/>
    <w:rsid w:val="00692802"/>
    <w:rsid w:val="00695A1C"/>
    <w:rsid w:val="00696688"/>
    <w:rsid w:val="0069695F"/>
    <w:rsid w:val="006A0C55"/>
    <w:rsid w:val="006A2208"/>
    <w:rsid w:val="006A3539"/>
    <w:rsid w:val="006A3631"/>
    <w:rsid w:val="006A58ED"/>
    <w:rsid w:val="006A7361"/>
    <w:rsid w:val="006B0F16"/>
    <w:rsid w:val="006B10F1"/>
    <w:rsid w:val="006B54C8"/>
    <w:rsid w:val="006B695F"/>
    <w:rsid w:val="006B6B5B"/>
    <w:rsid w:val="006B7AF1"/>
    <w:rsid w:val="006C1321"/>
    <w:rsid w:val="006C3C82"/>
    <w:rsid w:val="006C6141"/>
    <w:rsid w:val="006C6A31"/>
    <w:rsid w:val="006C792C"/>
    <w:rsid w:val="006C7EEF"/>
    <w:rsid w:val="006D04B4"/>
    <w:rsid w:val="006D2182"/>
    <w:rsid w:val="006D2235"/>
    <w:rsid w:val="006D2942"/>
    <w:rsid w:val="006D295A"/>
    <w:rsid w:val="006D4C2C"/>
    <w:rsid w:val="006D714A"/>
    <w:rsid w:val="006E03DE"/>
    <w:rsid w:val="006E0649"/>
    <w:rsid w:val="006E1D3E"/>
    <w:rsid w:val="006E24AD"/>
    <w:rsid w:val="006E398E"/>
    <w:rsid w:val="006E51E0"/>
    <w:rsid w:val="006E6A3F"/>
    <w:rsid w:val="006E6BA5"/>
    <w:rsid w:val="006E6E6B"/>
    <w:rsid w:val="006E7776"/>
    <w:rsid w:val="006F043D"/>
    <w:rsid w:val="006F0DC7"/>
    <w:rsid w:val="006F2C9F"/>
    <w:rsid w:val="006F2FFB"/>
    <w:rsid w:val="006F3DD5"/>
    <w:rsid w:val="006F642B"/>
    <w:rsid w:val="006F6C43"/>
    <w:rsid w:val="006F75AC"/>
    <w:rsid w:val="007003B9"/>
    <w:rsid w:val="00701DC5"/>
    <w:rsid w:val="00703A3A"/>
    <w:rsid w:val="0070418C"/>
    <w:rsid w:val="007056D0"/>
    <w:rsid w:val="0070626C"/>
    <w:rsid w:val="00710820"/>
    <w:rsid w:val="00710CD2"/>
    <w:rsid w:val="00711482"/>
    <w:rsid w:val="0071182B"/>
    <w:rsid w:val="00712AA9"/>
    <w:rsid w:val="00713723"/>
    <w:rsid w:val="00716963"/>
    <w:rsid w:val="00717B00"/>
    <w:rsid w:val="0072115A"/>
    <w:rsid w:val="00722027"/>
    <w:rsid w:val="00723141"/>
    <w:rsid w:val="007269B6"/>
    <w:rsid w:val="00730D9B"/>
    <w:rsid w:val="007317B6"/>
    <w:rsid w:val="00732B4B"/>
    <w:rsid w:val="00732B7B"/>
    <w:rsid w:val="00734B25"/>
    <w:rsid w:val="00735A2E"/>
    <w:rsid w:val="0073674E"/>
    <w:rsid w:val="00740308"/>
    <w:rsid w:val="00740C70"/>
    <w:rsid w:val="0074186D"/>
    <w:rsid w:val="007437FD"/>
    <w:rsid w:val="0074430E"/>
    <w:rsid w:val="00745C43"/>
    <w:rsid w:val="0074686C"/>
    <w:rsid w:val="00746AA2"/>
    <w:rsid w:val="007471C3"/>
    <w:rsid w:val="00750893"/>
    <w:rsid w:val="00750C78"/>
    <w:rsid w:val="007535B9"/>
    <w:rsid w:val="007536B4"/>
    <w:rsid w:val="00753E8A"/>
    <w:rsid w:val="0075438C"/>
    <w:rsid w:val="007577B2"/>
    <w:rsid w:val="0076270A"/>
    <w:rsid w:val="00764DEE"/>
    <w:rsid w:val="00765E7A"/>
    <w:rsid w:val="007700F1"/>
    <w:rsid w:val="00770A82"/>
    <w:rsid w:val="0077274D"/>
    <w:rsid w:val="007728C2"/>
    <w:rsid w:val="00774BBB"/>
    <w:rsid w:val="00774DE9"/>
    <w:rsid w:val="00775A1F"/>
    <w:rsid w:val="00775B56"/>
    <w:rsid w:val="007765DE"/>
    <w:rsid w:val="007767E6"/>
    <w:rsid w:val="00777D3E"/>
    <w:rsid w:val="0078293B"/>
    <w:rsid w:val="0078407C"/>
    <w:rsid w:val="007846E3"/>
    <w:rsid w:val="0078682A"/>
    <w:rsid w:val="00787775"/>
    <w:rsid w:val="00787EB3"/>
    <w:rsid w:val="00790190"/>
    <w:rsid w:val="00790A28"/>
    <w:rsid w:val="00790D98"/>
    <w:rsid w:val="00792F74"/>
    <w:rsid w:val="0079619A"/>
    <w:rsid w:val="00796666"/>
    <w:rsid w:val="00796C46"/>
    <w:rsid w:val="007A0A10"/>
    <w:rsid w:val="007A156D"/>
    <w:rsid w:val="007A2008"/>
    <w:rsid w:val="007A3628"/>
    <w:rsid w:val="007A375E"/>
    <w:rsid w:val="007A4519"/>
    <w:rsid w:val="007A4DD8"/>
    <w:rsid w:val="007A6B0B"/>
    <w:rsid w:val="007B026F"/>
    <w:rsid w:val="007B0B94"/>
    <w:rsid w:val="007B259A"/>
    <w:rsid w:val="007B2D51"/>
    <w:rsid w:val="007B4747"/>
    <w:rsid w:val="007B48F7"/>
    <w:rsid w:val="007B4F04"/>
    <w:rsid w:val="007B571F"/>
    <w:rsid w:val="007B5E29"/>
    <w:rsid w:val="007C0A88"/>
    <w:rsid w:val="007C49C1"/>
    <w:rsid w:val="007C6FF9"/>
    <w:rsid w:val="007D08F2"/>
    <w:rsid w:val="007D0E94"/>
    <w:rsid w:val="007D182D"/>
    <w:rsid w:val="007D36F3"/>
    <w:rsid w:val="007D37DD"/>
    <w:rsid w:val="007D4B82"/>
    <w:rsid w:val="007D4C50"/>
    <w:rsid w:val="007E0D4C"/>
    <w:rsid w:val="007E4004"/>
    <w:rsid w:val="007E55B6"/>
    <w:rsid w:val="007E60C5"/>
    <w:rsid w:val="007E621D"/>
    <w:rsid w:val="007E7BC4"/>
    <w:rsid w:val="007E7FBD"/>
    <w:rsid w:val="007F0A6C"/>
    <w:rsid w:val="007F1D75"/>
    <w:rsid w:val="007F3453"/>
    <w:rsid w:val="007F4767"/>
    <w:rsid w:val="007F59D8"/>
    <w:rsid w:val="007F726A"/>
    <w:rsid w:val="007F78CC"/>
    <w:rsid w:val="008005D7"/>
    <w:rsid w:val="00800BB7"/>
    <w:rsid w:val="00800CD1"/>
    <w:rsid w:val="00805777"/>
    <w:rsid w:val="0080691E"/>
    <w:rsid w:val="00806C74"/>
    <w:rsid w:val="00806F50"/>
    <w:rsid w:val="00807846"/>
    <w:rsid w:val="00807CBB"/>
    <w:rsid w:val="00807FB3"/>
    <w:rsid w:val="008109A3"/>
    <w:rsid w:val="008109D9"/>
    <w:rsid w:val="00812411"/>
    <w:rsid w:val="00812CB9"/>
    <w:rsid w:val="00814D04"/>
    <w:rsid w:val="0081544E"/>
    <w:rsid w:val="008162FE"/>
    <w:rsid w:val="008200A4"/>
    <w:rsid w:val="00821A14"/>
    <w:rsid w:val="00827ADE"/>
    <w:rsid w:val="008301BA"/>
    <w:rsid w:val="008355DE"/>
    <w:rsid w:val="00837E40"/>
    <w:rsid w:val="00840B32"/>
    <w:rsid w:val="0084213B"/>
    <w:rsid w:val="00842442"/>
    <w:rsid w:val="008443AF"/>
    <w:rsid w:val="00844A3C"/>
    <w:rsid w:val="00844AF7"/>
    <w:rsid w:val="008465F7"/>
    <w:rsid w:val="00851520"/>
    <w:rsid w:val="00852421"/>
    <w:rsid w:val="0085378E"/>
    <w:rsid w:val="00854A19"/>
    <w:rsid w:val="00855401"/>
    <w:rsid w:val="0085648C"/>
    <w:rsid w:val="00857E6D"/>
    <w:rsid w:val="00861032"/>
    <w:rsid w:val="00861FFB"/>
    <w:rsid w:val="008628D8"/>
    <w:rsid w:val="00866114"/>
    <w:rsid w:val="00866CFF"/>
    <w:rsid w:val="00867A7E"/>
    <w:rsid w:val="00870D3A"/>
    <w:rsid w:val="00873357"/>
    <w:rsid w:val="00873A0D"/>
    <w:rsid w:val="00873D79"/>
    <w:rsid w:val="008758BD"/>
    <w:rsid w:val="00876B69"/>
    <w:rsid w:val="00880C4F"/>
    <w:rsid w:val="00880E07"/>
    <w:rsid w:val="008825E4"/>
    <w:rsid w:val="008827D5"/>
    <w:rsid w:val="00884447"/>
    <w:rsid w:val="00885ACD"/>
    <w:rsid w:val="00885C11"/>
    <w:rsid w:val="00886BAE"/>
    <w:rsid w:val="0089032C"/>
    <w:rsid w:val="00892D08"/>
    <w:rsid w:val="00893C5B"/>
    <w:rsid w:val="00894D55"/>
    <w:rsid w:val="00896483"/>
    <w:rsid w:val="008A1A62"/>
    <w:rsid w:val="008A1EDB"/>
    <w:rsid w:val="008A21F4"/>
    <w:rsid w:val="008A22ED"/>
    <w:rsid w:val="008A3D66"/>
    <w:rsid w:val="008A47F4"/>
    <w:rsid w:val="008A5550"/>
    <w:rsid w:val="008A5E71"/>
    <w:rsid w:val="008A6877"/>
    <w:rsid w:val="008A7381"/>
    <w:rsid w:val="008A7979"/>
    <w:rsid w:val="008B013A"/>
    <w:rsid w:val="008B028D"/>
    <w:rsid w:val="008B0449"/>
    <w:rsid w:val="008B04D6"/>
    <w:rsid w:val="008B12FC"/>
    <w:rsid w:val="008B29A1"/>
    <w:rsid w:val="008B3435"/>
    <w:rsid w:val="008B457A"/>
    <w:rsid w:val="008B5B2B"/>
    <w:rsid w:val="008B5D03"/>
    <w:rsid w:val="008B6066"/>
    <w:rsid w:val="008B65CA"/>
    <w:rsid w:val="008B6E22"/>
    <w:rsid w:val="008B7507"/>
    <w:rsid w:val="008B7516"/>
    <w:rsid w:val="008B7683"/>
    <w:rsid w:val="008B7781"/>
    <w:rsid w:val="008B7FE3"/>
    <w:rsid w:val="008C0EA4"/>
    <w:rsid w:val="008C151A"/>
    <w:rsid w:val="008C300F"/>
    <w:rsid w:val="008C34A9"/>
    <w:rsid w:val="008C34EA"/>
    <w:rsid w:val="008C3997"/>
    <w:rsid w:val="008C3D11"/>
    <w:rsid w:val="008C4465"/>
    <w:rsid w:val="008C57FD"/>
    <w:rsid w:val="008C76DA"/>
    <w:rsid w:val="008D1943"/>
    <w:rsid w:val="008D216F"/>
    <w:rsid w:val="008D3779"/>
    <w:rsid w:val="008D39E7"/>
    <w:rsid w:val="008D3B82"/>
    <w:rsid w:val="008D4A20"/>
    <w:rsid w:val="008D752C"/>
    <w:rsid w:val="008E159F"/>
    <w:rsid w:val="008E2459"/>
    <w:rsid w:val="008E2EA7"/>
    <w:rsid w:val="008E3BE7"/>
    <w:rsid w:val="008E3EE7"/>
    <w:rsid w:val="008E71DA"/>
    <w:rsid w:val="008E783D"/>
    <w:rsid w:val="008E796D"/>
    <w:rsid w:val="008F0092"/>
    <w:rsid w:val="008F2359"/>
    <w:rsid w:val="008F25CA"/>
    <w:rsid w:val="008F3336"/>
    <w:rsid w:val="008F4DFA"/>
    <w:rsid w:val="008F5B6D"/>
    <w:rsid w:val="00900019"/>
    <w:rsid w:val="009000E9"/>
    <w:rsid w:val="00904B18"/>
    <w:rsid w:val="00905188"/>
    <w:rsid w:val="00905BF3"/>
    <w:rsid w:val="0090618E"/>
    <w:rsid w:val="009061C9"/>
    <w:rsid w:val="00906434"/>
    <w:rsid w:val="00906637"/>
    <w:rsid w:val="00906D67"/>
    <w:rsid w:val="00910197"/>
    <w:rsid w:val="00910752"/>
    <w:rsid w:val="0091181A"/>
    <w:rsid w:val="00912A20"/>
    <w:rsid w:val="00912BB1"/>
    <w:rsid w:val="00912D7F"/>
    <w:rsid w:val="0091390E"/>
    <w:rsid w:val="00913C87"/>
    <w:rsid w:val="0091526A"/>
    <w:rsid w:val="00915DCC"/>
    <w:rsid w:val="00916375"/>
    <w:rsid w:val="0091645C"/>
    <w:rsid w:val="009214D2"/>
    <w:rsid w:val="009217CE"/>
    <w:rsid w:val="00921F78"/>
    <w:rsid w:val="00923B52"/>
    <w:rsid w:val="00924766"/>
    <w:rsid w:val="009302F1"/>
    <w:rsid w:val="009304A8"/>
    <w:rsid w:val="00930604"/>
    <w:rsid w:val="00930B61"/>
    <w:rsid w:val="00931C3F"/>
    <w:rsid w:val="009321FE"/>
    <w:rsid w:val="00933154"/>
    <w:rsid w:val="00933CAE"/>
    <w:rsid w:val="00934E6E"/>
    <w:rsid w:val="00935728"/>
    <w:rsid w:val="00940CBB"/>
    <w:rsid w:val="00941ACD"/>
    <w:rsid w:val="00941B3D"/>
    <w:rsid w:val="00944BB3"/>
    <w:rsid w:val="00945074"/>
    <w:rsid w:val="00947749"/>
    <w:rsid w:val="009504B6"/>
    <w:rsid w:val="0095218F"/>
    <w:rsid w:val="0095226B"/>
    <w:rsid w:val="009522E3"/>
    <w:rsid w:val="009523D8"/>
    <w:rsid w:val="0095286E"/>
    <w:rsid w:val="009542D9"/>
    <w:rsid w:val="00954EA8"/>
    <w:rsid w:val="00956B00"/>
    <w:rsid w:val="009572F3"/>
    <w:rsid w:val="00957F31"/>
    <w:rsid w:val="009600A0"/>
    <w:rsid w:val="009605CF"/>
    <w:rsid w:val="00960C7A"/>
    <w:rsid w:val="00961262"/>
    <w:rsid w:val="0096491E"/>
    <w:rsid w:val="009652A8"/>
    <w:rsid w:val="00965CB3"/>
    <w:rsid w:val="00967AC7"/>
    <w:rsid w:val="00967B26"/>
    <w:rsid w:val="0097025F"/>
    <w:rsid w:val="009709D3"/>
    <w:rsid w:val="00970A02"/>
    <w:rsid w:val="0097106F"/>
    <w:rsid w:val="00971EEF"/>
    <w:rsid w:val="0097394E"/>
    <w:rsid w:val="00973E37"/>
    <w:rsid w:val="009745FF"/>
    <w:rsid w:val="00977C12"/>
    <w:rsid w:val="00977D66"/>
    <w:rsid w:val="00980D54"/>
    <w:rsid w:val="009821D1"/>
    <w:rsid w:val="00983C46"/>
    <w:rsid w:val="00984B12"/>
    <w:rsid w:val="00985741"/>
    <w:rsid w:val="00986CA8"/>
    <w:rsid w:val="00987B25"/>
    <w:rsid w:val="00987BB6"/>
    <w:rsid w:val="00987E31"/>
    <w:rsid w:val="0099093A"/>
    <w:rsid w:val="00990B43"/>
    <w:rsid w:val="00990C42"/>
    <w:rsid w:val="009920FE"/>
    <w:rsid w:val="00992793"/>
    <w:rsid w:val="00993150"/>
    <w:rsid w:val="009936F2"/>
    <w:rsid w:val="00994DD6"/>
    <w:rsid w:val="009978B6"/>
    <w:rsid w:val="009A0DF9"/>
    <w:rsid w:val="009A42A2"/>
    <w:rsid w:val="009A42CD"/>
    <w:rsid w:val="009A50CA"/>
    <w:rsid w:val="009A69CA"/>
    <w:rsid w:val="009A6BA7"/>
    <w:rsid w:val="009B16C7"/>
    <w:rsid w:val="009B1FBD"/>
    <w:rsid w:val="009B21BE"/>
    <w:rsid w:val="009B2431"/>
    <w:rsid w:val="009B2D53"/>
    <w:rsid w:val="009B32DA"/>
    <w:rsid w:val="009B36DF"/>
    <w:rsid w:val="009B4F8E"/>
    <w:rsid w:val="009B628D"/>
    <w:rsid w:val="009B6DA5"/>
    <w:rsid w:val="009B6EA0"/>
    <w:rsid w:val="009C0C36"/>
    <w:rsid w:val="009C41A8"/>
    <w:rsid w:val="009C58F1"/>
    <w:rsid w:val="009C619E"/>
    <w:rsid w:val="009C62B1"/>
    <w:rsid w:val="009C6E00"/>
    <w:rsid w:val="009C7C29"/>
    <w:rsid w:val="009D0023"/>
    <w:rsid w:val="009D02EB"/>
    <w:rsid w:val="009D3C69"/>
    <w:rsid w:val="009D3D3C"/>
    <w:rsid w:val="009D464C"/>
    <w:rsid w:val="009D4E58"/>
    <w:rsid w:val="009D4F98"/>
    <w:rsid w:val="009D7921"/>
    <w:rsid w:val="009E178F"/>
    <w:rsid w:val="009E1AFF"/>
    <w:rsid w:val="009E295C"/>
    <w:rsid w:val="009E309E"/>
    <w:rsid w:val="009E7584"/>
    <w:rsid w:val="009E7C32"/>
    <w:rsid w:val="009E7EFE"/>
    <w:rsid w:val="009F539B"/>
    <w:rsid w:val="009F559B"/>
    <w:rsid w:val="009F66CF"/>
    <w:rsid w:val="009F6762"/>
    <w:rsid w:val="009F7079"/>
    <w:rsid w:val="009F738F"/>
    <w:rsid w:val="00A009A8"/>
    <w:rsid w:val="00A00BEB"/>
    <w:rsid w:val="00A013FB"/>
    <w:rsid w:val="00A02DEB"/>
    <w:rsid w:val="00A037AD"/>
    <w:rsid w:val="00A0421D"/>
    <w:rsid w:val="00A04349"/>
    <w:rsid w:val="00A04B32"/>
    <w:rsid w:val="00A06541"/>
    <w:rsid w:val="00A069B4"/>
    <w:rsid w:val="00A06DC0"/>
    <w:rsid w:val="00A131F3"/>
    <w:rsid w:val="00A137B4"/>
    <w:rsid w:val="00A13804"/>
    <w:rsid w:val="00A14100"/>
    <w:rsid w:val="00A15794"/>
    <w:rsid w:val="00A163D1"/>
    <w:rsid w:val="00A20589"/>
    <w:rsid w:val="00A2167A"/>
    <w:rsid w:val="00A2339A"/>
    <w:rsid w:val="00A2438F"/>
    <w:rsid w:val="00A255CB"/>
    <w:rsid w:val="00A259EA"/>
    <w:rsid w:val="00A260DD"/>
    <w:rsid w:val="00A263B4"/>
    <w:rsid w:val="00A267F9"/>
    <w:rsid w:val="00A26E86"/>
    <w:rsid w:val="00A27AA8"/>
    <w:rsid w:val="00A30124"/>
    <w:rsid w:val="00A3167D"/>
    <w:rsid w:val="00A33620"/>
    <w:rsid w:val="00A37A37"/>
    <w:rsid w:val="00A405C0"/>
    <w:rsid w:val="00A407DF"/>
    <w:rsid w:val="00A41BBF"/>
    <w:rsid w:val="00A4393A"/>
    <w:rsid w:val="00A44777"/>
    <w:rsid w:val="00A454C9"/>
    <w:rsid w:val="00A46D46"/>
    <w:rsid w:val="00A4792F"/>
    <w:rsid w:val="00A5053A"/>
    <w:rsid w:val="00A50CF0"/>
    <w:rsid w:val="00A52F5D"/>
    <w:rsid w:val="00A55BD6"/>
    <w:rsid w:val="00A55F02"/>
    <w:rsid w:val="00A56402"/>
    <w:rsid w:val="00A564B3"/>
    <w:rsid w:val="00A60F84"/>
    <w:rsid w:val="00A63322"/>
    <w:rsid w:val="00A668A4"/>
    <w:rsid w:val="00A751A5"/>
    <w:rsid w:val="00A753E2"/>
    <w:rsid w:val="00A75C77"/>
    <w:rsid w:val="00A7649E"/>
    <w:rsid w:val="00A77221"/>
    <w:rsid w:val="00A77CB6"/>
    <w:rsid w:val="00A81D45"/>
    <w:rsid w:val="00A823CE"/>
    <w:rsid w:val="00A82EE3"/>
    <w:rsid w:val="00A83D29"/>
    <w:rsid w:val="00A83F89"/>
    <w:rsid w:val="00A852C8"/>
    <w:rsid w:val="00A857E0"/>
    <w:rsid w:val="00A86FBA"/>
    <w:rsid w:val="00A87224"/>
    <w:rsid w:val="00A906DA"/>
    <w:rsid w:val="00A92355"/>
    <w:rsid w:val="00A92868"/>
    <w:rsid w:val="00A92A81"/>
    <w:rsid w:val="00A94A6F"/>
    <w:rsid w:val="00A966F6"/>
    <w:rsid w:val="00AA069B"/>
    <w:rsid w:val="00AA081C"/>
    <w:rsid w:val="00AA242D"/>
    <w:rsid w:val="00AA5551"/>
    <w:rsid w:val="00AA7D79"/>
    <w:rsid w:val="00AB02F3"/>
    <w:rsid w:val="00AB0396"/>
    <w:rsid w:val="00AB1233"/>
    <w:rsid w:val="00AB1BB8"/>
    <w:rsid w:val="00AB2D48"/>
    <w:rsid w:val="00AB5660"/>
    <w:rsid w:val="00AB5D34"/>
    <w:rsid w:val="00AC5321"/>
    <w:rsid w:val="00AC63A7"/>
    <w:rsid w:val="00AC6D04"/>
    <w:rsid w:val="00AC7A3E"/>
    <w:rsid w:val="00AD0EB6"/>
    <w:rsid w:val="00AD2D5D"/>
    <w:rsid w:val="00AD30BB"/>
    <w:rsid w:val="00AD4576"/>
    <w:rsid w:val="00AD565F"/>
    <w:rsid w:val="00AD6524"/>
    <w:rsid w:val="00AD7255"/>
    <w:rsid w:val="00AD7FD2"/>
    <w:rsid w:val="00AE1ECB"/>
    <w:rsid w:val="00AE5273"/>
    <w:rsid w:val="00AE62BE"/>
    <w:rsid w:val="00AE680A"/>
    <w:rsid w:val="00AE735A"/>
    <w:rsid w:val="00AF0CE3"/>
    <w:rsid w:val="00AF0F5A"/>
    <w:rsid w:val="00AF4459"/>
    <w:rsid w:val="00AF4478"/>
    <w:rsid w:val="00AF462F"/>
    <w:rsid w:val="00AF4ED6"/>
    <w:rsid w:val="00AF4F69"/>
    <w:rsid w:val="00AF6BB7"/>
    <w:rsid w:val="00AF6D36"/>
    <w:rsid w:val="00AF7067"/>
    <w:rsid w:val="00AF7D37"/>
    <w:rsid w:val="00AF7D40"/>
    <w:rsid w:val="00B01029"/>
    <w:rsid w:val="00B01A24"/>
    <w:rsid w:val="00B0238F"/>
    <w:rsid w:val="00B0375D"/>
    <w:rsid w:val="00B0397C"/>
    <w:rsid w:val="00B03ADA"/>
    <w:rsid w:val="00B03AE2"/>
    <w:rsid w:val="00B0514D"/>
    <w:rsid w:val="00B05EDC"/>
    <w:rsid w:val="00B07D17"/>
    <w:rsid w:val="00B07F71"/>
    <w:rsid w:val="00B1018A"/>
    <w:rsid w:val="00B10838"/>
    <w:rsid w:val="00B10C6D"/>
    <w:rsid w:val="00B14ABF"/>
    <w:rsid w:val="00B16C5C"/>
    <w:rsid w:val="00B16DEA"/>
    <w:rsid w:val="00B174A1"/>
    <w:rsid w:val="00B22A59"/>
    <w:rsid w:val="00B2301F"/>
    <w:rsid w:val="00B244B7"/>
    <w:rsid w:val="00B259CB"/>
    <w:rsid w:val="00B276D5"/>
    <w:rsid w:val="00B27DCC"/>
    <w:rsid w:val="00B27F6D"/>
    <w:rsid w:val="00B30EE4"/>
    <w:rsid w:val="00B34574"/>
    <w:rsid w:val="00B36906"/>
    <w:rsid w:val="00B3741E"/>
    <w:rsid w:val="00B400C9"/>
    <w:rsid w:val="00B41428"/>
    <w:rsid w:val="00B41C86"/>
    <w:rsid w:val="00B41D91"/>
    <w:rsid w:val="00B45069"/>
    <w:rsid w:val="00B45516"/>
    <w:rsid w:val="00B4570A"/>
    <w:rsid w:val="00B46929"/>
    <w:rsid w:val="00B50B49"/>
    <w:rsid w:val="00B52627"/>
    <w:rsid w:val="00B5553C"/>
    <w:rsid w:val="00B55877"/>
    <w:rsid w:val="00B605D2"/>
    <w:rsid w:val="00B6212A"/>
    <w:rsid w:val="00B64212"/>
    <w:rsid w:val="00B66700"/>
    <w:rsid w:val="00B713AB"/>
    <w:rsid w:val="00B716FF"/>
    <w:rsid w:val="00B7474D"/>
    <w:rsid w:val="00B756CA"/>
    <w:rsid w:val="00B75A26"/>
    <w:rsid w:val="00B76E25"/>
    <w:rsid w:val="00B83143"/>
    <w:rsid w:val="00B83655"/>
    <w:rsid w:val="00B85EFE"/>
    <w:rsid w:val="00B87B07"/>
    <w:rsid w:val="00B90ED3"/>
    <w:rsid w:val="00B92C13"/>
    <w:rsid w:val="00B92EEE"/>
    <w:rsid w:val="00B93388"/>
    <w:rsid w:val="00B93948"/>
    <w:rsid w:val="00B93B15"/>
    <w:rsid w:val="00B94B15"/>
    <w:rsid w:val="00B952E2"/>
    <w:rsid w:val="00B95F2A"/>
    <w:rsid w:val="00BA0892"/>
    <w:rsid w:val="00BA0F0C"/>
    <w:rsid w:val="00BA13B7"/>
    <w:rsid w:val="00BA14D8"/>
    <w:rsid w:val="00BA259D"/>
    <w:rsid w:val="00BA5106"/>
    <w:rsid w:val="00BA560F"/>
    <w:rsid w:val="00BA7F38"/>
    <w:rsid w:val="00BB128D"/>
    <w:rsid w:val="00BB18B0"/>
    <w:rsid w:val="00BB271D"/>
    <w:rsid w:val="00BB2E24"/>
    <w:rsid w:val="00BB47FC"/>
    <w:rsid w:val="00BB4F09"/>
    <w:rsid w:val="00BB7161"/>
    <w:rsid w:val="00BB7B04"/>
    <w:rsid w:val="00BB7F10"/>
    <w:rsid w:val="00BC18C2"/>
    <w:rsid w:val="00BC21D0"/>
    <w:rsid w:val="00BC2819"/>
    <w:rsid w:val="00BC369C"/>
    <w:rsid w:val="00BC4038"/>
    <w:rsid w:val="00BC4719"/>
    <w:rsid w:val="00BC56C9"/>
    <w:rsid w:val="00BC7F7F"/>
    <w:rsid w:val="00BD02E8"/>
    <w:rsid w:val="00BD0DB8"/>
    <w:rsid w:val="00BD2A79"/>
    <w:rsid w:val="00BD301C"/>
    <w:rsid w:val="00BD375E"/>
    <w:rsid w:val="00BD519A"/>
    <w:rsid w:val="00BD52E5"/>
    <w:rsid w:val="00BD5B11"/>
    <w:rsid w:val="00BD68E0"/>
    <w:rsid w:val="00BE0B70"/>
    <w:rsid w:val="00BE18FF"/>
    <w:rsid w:val="00BE203F"/>
    <w:rsid w:val="00BE2C0F"/>
    <w:rsid w:val="00BE2E83"/>
    <w:rsid w:val="00BE364F"/>
    <w:rsid w:val="00BE3B99"/>
    <w:rsid w:val="00BE4AD5"/>
    <w:rsid w:val="00BE606A"/>
    <w:rsid w:val="00BF0105"/>
    <w:rsid w:val="00BF0412"/>
    <w:rsid w:val="00BF0C09"/>
    <w:rsid w:val="00BF0EEE"/>
    <w:rsid w:val="00BF1AB5"/>
    <w:rsid w:val="00BF29D6"/>
    <w:rsid w:val="00BF5A8F"/>
    <w:rsid w:val="00BF611F"/>
    <w:rsid w:val="00BF660A"/>
    <w:rsid w:val="00BF76C3"/>
    <w:rsid w:val="00BF771D"/>
    <w:rsid w:val="00BF7812"/>
    <w:rsid w:val="00BF7CF0"/>
    <w:rsid w:val="00BF7EF5"/>
    <w:rsid w:val="00C0029F"/>
    <w:rsid w:val="00C03094"/>
    <w:rsid w:val="00C04A36"/>
    <w:rsid w:val="00C04DA9"/>
    <w:rsid w:val="00C05392"/>
    <w:rsid w:val="00C05E34"/>
    <w:rsid w:val="00C116C9"/>
    <w:rsid w:val="00C11D16"/>
    <w:rsid w:val="00C1252A"/>
    <w:rsid w:val="00C12DDE"/>
    <w:rsid w:val="00C162CA"/>
    <w:rsid w:val="00C164F5"/>
    <w:rsid w:val="00C17E5A"/>
    <w:rsid w:val="00C20CEA"/>
    <w:rsid w:val="00C20D01"/>
    <w:rsid w:val="00C21206"/>
    <w:rsid w:val="00C21935"/>
    <w:rsid w:val="00C21C59"/>
    <w:rsid w:val="00C223AB"/>
    <w:rsid w:val="00C22CB4"/>
    <w:rsid w:val="00C23390"/>
    <w:rsid w:val="00C23C76"/>
    <w:rsid w:val="00C23E79"/>
    <w:rsid w:val="00C25B34"/>
    <w:rsid w:val="00C266E9"/>
    <w:rsid w:val="00C27D60"/>
    <w:rsid w:val="00C33561"/>
    <w:rsid w:val="00C34436"/>
    <w:rsid w:val="00C34F0C"/>
    <w:rsid w:val="00C35F2C"/>
    <w:rsid w:val="00C369B1"/>
    <w:rsid w:val="00C400C0"/>
    <w:rsid w:val="00C40D7A"/>
    <w:rsid w:val="00C4220C"/>
    <w:rsid w:val="00C42C2C"/>
    <w:rsid w:val="00C4654B"/>
    <w:rsid w:val="00C472A6"/>
    <w:rsid w:val="00C47348"/>
    <w:rsid w:val="00C50086"/>
    <w:rsid w:val="00C51DA4"/>
    <w:rsid w:val="00C54C51"/>
    <w:rsid w:val="00C55843"/>
    <w:rsid w:val="00C56ECC"/>
    <w:rsid w:val="00C57067"/>
    <w:rsid w:val="00C575DC"/>
    <w:rsid w:val="00C57DBF"/>
    <w:rsid w:val="00C6035F"/>
    <w:rsid w:val="00C60B88"/>
    <w:rsid w:val="00C62752"/>
    <w:rsid w:val="00C62A49"/>
    <w:rsid w:val="00C63B53"/>
    <w:rsid w:val="00C64ABB"/>
    <w:rsid w:val="00C659D3"/>
    <w:rsid w:val="00C6615F"/>
    <w:rsid w:val="00C679C0"/>
    <w:rsid w:val="00C67DCF"/>
    <w:rsid w:val="00C702B0"/>
    <w:rsid w:val="00C70A27"/>
    <w:rsid w:val="00C70C8F"/>
    <w:rsid w:val="00C71477"/>
    <w:rsid w:val="00C72D43"/>
    <w:rsid w:val="00C73AD0"/>
    <w:rsid w:val="00C76FD2"/>
    <w:rsid w:val="00C80DAB"/>
    <w:rsid w:val="00C82265"/>
    <w:rsid w:val="00C84920"/>
    <w:rsid w:val="00C84F5E"/>
    <w:rsid w:val="00C858CF"/>
    <w:rsid w:val="00C8714D"/>
    <w:rsid w:val="00C8747A"/>
    <w:rsid w:val="00C9110D"/>
    <w:rsid w:val="00C92E47"/>
    <w:rsid w:val="00C9321A"/>
    <w:rsid w:val="00C94C45"/>
    <w:rsid w:val="00C95D3E"/>
    <w:rsid w:val="00C95EEB"/>
    <w:rsid w:val="00C963B0"/>
    <w:rsid w:val="00C971C6"/>
    <w:rsid w:val="00C97F64"/>
    <w:rsid w:val="00CA07AC"/>
    <w:rsid w:val="00CA0B05"/>
    <w:rsid w:val="00CA0BD0"/>
    <w:rsid w:val="00CA21DA"/>
    <w:rsid w:val="00CA40C5"/>
    <w:rsid w:val="00CA5315"/>
    <w:rsid w:val="00CA55D0"/>
    <w:rsid w:val="00CA5949"/>
    <w:rsid w:val="00CA5A94"/>
    <w:rsid w:val="00CB0B98"/>
    <w:rsid w:val="00CB1FC6"/>
    <w:rsid w:val="00CB2618"/>
    <w:rsid w:val="00CB2734"/>
    <w:rsid w:val="00CB3515"/>
    <w:rsid w:val="00CB46FA"/>
    <w:rsid w:val="00CB61A0"/>
    <w:rsid w:val="00CC0C34"/>
    <w:rsid w:val="00CC5032"/>
    <w:rsid w:val="00CC7EB3"/>
    <w:rsid w:val="00CD033F"/>
    <w:rsid w:val="00CD17DA"/>
    <w:rsid w:val="00CD2099"/>
    <w:rsid w:val="00CD2117"/>
    <w:rsid w:val="00CD35D5"/>
    <w:rsid w:val="00CD3AFF"/>
    <w:rsid w:val="00CD3FED"/>
    <w:rsid w:val="00CD47C1"/>
    <w:rsid w:val="00CD49D6"/>
    <w:rsid w:val="00CD5151"/>
    <w:rsid w:val="00CD5682"/>
    <w:rsid w:val="00CD6BF4"/>
    <w:rsid w:val="00CD73F5"/>
    <w:rsid w:val="00CD7572"/>
    <w:rsid w:val="00CE0FFF"/>
    <w:rsid w:val="00CE19C6"/>
    <w:rsid w:val="00CE1F61"/>
    <w:rsid w:val="00CE2C94"/>
    <w:rsid w:val="00CE2E61"/>
    <w:rsid w:val="00CE4D73"/>
    <w:rsid w:val="00CE4FAB"/>
    <w:rsid w:val="00CE52D2"/>
    <w:rsid w:val="00CE6465"/>
    <w:rsid w:val="00CE6484"/>
    <w:rsid w:val="00CE729E"/>
    <w:rsid w:val="00CF038F"/>
    <w:rsid w:val="00CF113E"/>
    <w:rsid w:val="00CF1C2D"/>
    <w:rsid w:val="00CF7079"/>
    <w:rsid w:val="00CF7156"/>
    <w:rsid w:val="00CF78CB"/>
    <w:rsid w:val="00CF7D0B"/>
    <w:rsid w:val="00D001D4"/>
    <w:rsid w:val="00D0125F"/>
    <w:rsid w:val="00D015C2"/>
    <w:rsid w:val="00D01661"/>
    <w:rsid w:val="00D02563"/>
    <w:rsid w:val="00D0261C"/>
    <w:rsid w:val="00D03EF6"/>
    <w:rsid w:val="00D04D29"/>
    <w:rsid w:val="00D06961"/>
    <w:rsid w:val="00D07DAF"/>
    <w:rsid w:val="00D10592"/>
    <w:rsid w:val="00D10A15"/>
    <w:rsid w:val="00D112C7"/>
    <w:rsid w:val="00D113B4"/>
    <w:rsid w:val="00D119A7"/>
    <w:rsid w:val="00D130F7"/>
    <w:rsid w:val="00D13ECC"/>
    <w:rsid w:val="00D14C6B"/>
    <w:rsid w:val="00D1523C"/>
    <w:rsid w:val="00D155E7"/>
    <w:rsid w:val="00D1738B"/>
    <w:rsid w:val="00D1772B"/>
    <w:rsid w:val="00D2082F"/>
    <w:rsid w:val="00D21832"/>
    <w:rsid w:val="00D2208C"/>
    <w:rsid w:val="00D22C06"/>
    <w:rsid w:val="00D22D52"/>
    <w:rsid w:val="00D2319D"/>
    <w:rsid w:val="00D23805"/>
    <w:rsid w:val="00D23FEF"/>
    <w:rsid w:val="00D24997"/>
    <w:rsid w:val="00D26325"/>
    <w:rsid w:val="00D2721E"/>
    <w:rsid w:val="00D2729B"/>
    <w:rsid w:val="00D30F77"/>
    <w:rsid w:val="00D32597"/>
    <w:rsid w:val="00D32F1E"/>
    <w:rsid w:val="00D35DC1"/>
    <w:rsid w:val="00D368BF"/>
    <w:rsid w:val="00D36DFD"/>
    <w:rsid w:val="00D40A19"/>
    <w:rsid w:val="00D416AB"/>
    <w:rsid w:val="00D44154"/>
    <w:rsid w:val="00D469BD"/>
    <w:rsid w:val="00D46A94"/>
    <w:rsid w:val="00D46B21"/>
    <w:rsid w:val="00D47BA2"/>
    <w:rsid w:val="00D55434"/>
    <w:rsid w:val="00D55A84"/>
    <w:rsid w:val="00D56917"/>
    <w:rsid w:val="00D57A4D"/>
    <w:rsid w:val="00D6037C"/>
    <w:rsid w:val="00D60B7E"/>
    <w:rsid w:val="00D6344D"/>
    <w:rsid w:val="00D63C96"/>
    <w:rsid w:val="00D6474F"/>
    <w:rsid w:val="00D6485D"/>
    <w:rsid w:val="00D64886"/>
    <w:rsid w:val="00D64EE4"/>
    <w:rsid w:val="00D663A5"/>
    <w:rsid w:val="00D67376"/>
    <w:rsid w:val="00D701D2"/>
    <w:rsid w:val="00D71175"/>
    <w:rsid w:val="00D71F41"/>
    <w:rsid w:val="00D72249"/>
    <w:rsid w:val="00D72640"/>
    <w:rsid w:val="00D726B0"/>
    <w:rsid w:val="00D72DCD"/>
    <w:rsid w:val="00D73229"/>
    <w:rsid w:val="00D73E0D"/>
    <w:rsid w:val="00D7432C"/>
    <w:rsid w:val="00D74615"/>
    <w:rsid w:val="00D74C9E"/>
    <w:rsid w:val="00D75656"/>
    <w:rsid w:val="00D7580B"/>
    <w:rsid w:val="00D75B4E"/>
    <w:rsid w:val="00D75F15"/>
    <w:rsid w:val="00D75FEB"/>
    <w:rsid w:val="00D763CB"/>
    <w:rsid w:val="00D7695E"/>
    <w:rsid w:val="00D814A4"/>
    <w:rsid w:val="00D82652"/>
    <w:rsid w:val="00D82C1D"/>
    <w:rsid w:val="00D82C96"/>
    <w:rsid w:val="00D839EE"/>
    <w:rsid w:val="00D845AA"/>
    <w:rsid w:val="00D8460A"/>
    <w:rsid w:val="00D846DF"/>
    <w:rsid w:val="00D84908"/>
    <w:rsid w:val="00D8610B"/>
    <w:rsid w:val="00D87429"/>
    <w:rsid w:val="00D905B1"/>
    <w:rsid w:val="00D91638"/>
    <w:rsid w:val="00D917E3"/>
    <w:rsid w:val="00D920CC"/>
    <w:rsid w:val="00D9248B"/>
    <w:rsid w:val="00D92820"/>
    <w:rsid w:val="00D96747"/>
    <w:rsid w:val="00D970C1"/>
    <w:rsid w:val="00DA0336"/>
    <w:rsid w:val="00DA0A4D"/>
    <w:rsid w:val="00DA2B60"/>
    <w:rsid w:val="00DA45F7"/>
    <w:rsid w:val="00DA494A"/>
    <w:rsid w:val="00DA6CF2"/>
    <w:rsid w:val="00DA70F4"/>
    <w:rsid w:val="00DA7109"/>
    <w:rsid w:val="00DB09AA"/>
    <w:rsid w:val="00DB247B"/>
    <w:rsid w:val="00DB2B39"/>
    <w:rsid w:val="00DB2FA4"/>
    <w:rsid w:val="00DB4B9C"/>
    <w:rsid w:val="00DB4C7C"/>
    <w:rsid w:val="00DB673C"/>
    <w:rsid w:val="00DB7DD4"/>
    <w:rsid w:val="00DC14F0"/>
    <w:rsid w:val="00DC1E93"/>
    <w:rsid w:val="00DC28F0"/>
    <w:rsid w:val="00DC2D12"/>
    <w:rsid w:val="00DC4368"/>
    <w:rsid w:val="00DC4E3D"/>
    <w:rsid w:val="00DC5418"/>
    <w:rsid w:val="00DC5CED"/>
    <w:rsid w:val="00DC602F"/>
    <w:rsid w:val="00DC708A"/>
    <w:rsid w:val="00DD252A"/>
    <w:rsid w:val="00DD354A"/>
    <w:rsid w:val="00DD3D7B"/>
    <w:rsid w:val="00DD5842"/>
    <w:rsid w:val="00DD6840"/>
    <w:rsid w:val="00DE0181"/>
    <w:rsid w:val="00DE03DE"/>
    <w:rsid w:val="00DE0530"/>
    <w:rsid w:val="00DE056D"/>
    <w:rsid w:val="00DE05E6"/>
    <w:rsid w:val="00DE2580"/>
    <w:rsid w:val="00DE4F97"/>
    <w:rsid w:val="00DE53C9"/>
    <w:rsid w:val="00DE56ED"/>
    <w:rsid w:val="00DE6A9F"/>
    <w:rsid w:val="00DE6B00"/>
    <w:rsid w:val="00DE75A1"/>
    <w:rsid w:val="00DE7D2C"/>
    <w:rsid w:val="00DE7DB6"/>
    <w:rsid w:val="00DE7DDB"/>
    <w:rsid w:val="00DF041F"/>
    <w:rsid w:val="00DF0B6A"/>
    <w:rsid w:val="00DF16FF"/>
    <w:rsid w:val="00DF18A3"/>
    <w:rsid w:val="00DF2BF4"/>
    <w:rsid w:val="00DF2D2E"/>
    <w:rsid w:val="00DF3435"/>
    <w:rsid w:val="00DF3C6A"/>
    <w:rsid w:val="00DF3CB8"/>
    <w:rsid w:val="00DF4BA9"/>
    <w:rsid w:val="00DF5B14"/>
    <w:rsid w:val="00DF5E4F"/>
    <w:rsid w:val="00DF7C25"/>
    <w:rsid w:val="00E015BD"/>
    <w:rsid w:val="00E02257"/>
    <w:rsid w:val="00E03171"/>
    <w:rsid w:val="00E047D1"/>
    <w:rsid w:val="00E06BCA"/>
    <w:rsid w:val="00E074AF"/>
    <w:rsid w:val="00E10138"/>
    <w:rsid w:val="00E112B5"/>
    <w:rsid w:val="00E1216A"/>
    <w:rsid w:val="00E134C8"/>
    <w:rsid w:val="00E1482F"/>
    <w:rsid w:val="00E14A42"/>
    <w:rsid w:val="00E153B4"/>
    <w:rsid w:val="00E2009D"/>
    <w:rsid w:val="00E20CF6"/>
    <w:rsid w:val="00E222E5"/>
    <w:rsid w:val="00E254A2"/>
    <w:rsid w:val="00E25BE5"/>
    <w:rsid w:val="00E25FF8"/>
    <w:rsid w:val="00E26F95"/>
    <w:rsid w:val="00E27292"/>
    <w:rsid w:val="00E31D7C"/>
    <w:rsid w:val="00E32E8A"/>
    <w:rsid w:val="00E34DC0"/>
    <w:rsid w:val="00E37D27"/>
    <w:rsid w:val="00E401F9"/>
    <w:rsid w:val="00E4115B"/>
    <w:rsid w:val="00E42853"/>
    <w:rsid w:val="00E42C13"/>
    <w:rsid w:val="00E43211"/>
    <w:rsid w:val="00E43A91"/>
    <w:rsid w:val="00E43CB1"/>
    <w:rsid w:val="00E44886"/>
    <w:rsid w:val="00E450C8"/>
    <w:rsid w:val="00E45554"/>
    <w:rsid w:val="00E469CA"/>
    <w:rsid w:val="00E46E56"/>
    <w:rsid w:val="00E470A6"/>
    <w:rsid w:val="00E50D5F"/>
    <w:rsid w:val="00E51040"/>
    <w:rsid w:val="00E51A3B"/>
    <w:rsid w:val="00E52068"/>
    <w:rsid w:val="00E52C26"/>
    <w:rsid w:val="00E52D6B"/>
    <w:rsid w:val="00E53543"/>
    <w:rsid w:val="00E54566"/>
    <w:rsid w:val="00E55353"/>
    <w:rsid w:val="00E55471"/>
    <w:rsid w:val="00E5664A"/>
    <w:rsid w:val="00E56BDB"/>
    <w:rsid w:val="00E619EF"/>
    <w:rsid w:val="00E6380F"/>
    <w:rsid w:val="00E6452B"/>
    <w:rsid w:val="00E65024"/>
    <w:rsid w:val="00E65D06"/>
    <w:rsid w:val="00E731D7"/>
    <w:rsid w:val="00E75E89"/>
    <w:rsid w:val="00E7647A"/>
    <w:rsid w:val="00E764CC"/>
    <w:rsid w:val="00E774E8"/>
    <w:rsid w:val="00E77A36"/>
    <w:rsid w:val="00E806D9"/>
    <w:rsid w:val="00E80C3C"/>
    <w:rsid w:val="00E8262B"/>
    <w:rsid w:val="00E8399B"/>
    <w:rsid w:val="00E8479C"/>
    <w:rsid w:val="00E8605A"/>
    <w:rsid w:val="00E8643F"/>
    <w:rsid w:val="00E87629"/>
    <w:rsid w:val="00E878CF"/>
    <w:rsid w:val="00E90144"/>
    <w:rsid w:val="00E90813"/>
    <w:rsid w:val="00E9422F"/>
    <w:rsid w:val="00E94E90"/>
    <w:rsid w:val="00E94EBF"/>
    <w:rsid w:val="00E96AE4"/>
    <w:rsid w:val="00E970DB"/>
    <w:rsid w:val="00E97584"/>
    <w:rsid w:val="00E97D15"/>
    <w:rsid w:val="00EA071C"/>
    <w:rsid w:val="00EA1165"/>
    <w:rsid w:val="00EA11C8"/>
    <w:rsid w:val="00EA154E"/>
    <w:rsid w:val="00EA16D9"/>
    <w:rsid w:val="00EA3A48"/>
    <w:rsid w:val="00EA3B7A"/>
    <w:rsid w:val="00EA3EC7"/>
    <w:rsid w:val="00EA7CB5"/>
    <w:rsid w:val="00EB1471"/>
    <w:rsid w:val="00EB2761"/>
    <w:rsid w:val="00EB50C3"/>
    <w:rsid w:val="00EB739E"/>
    <w:rsid w:val="00EC4DF9"/>
    <w:rsid w:val="00EC5BC6"/>
    <w:rsid w:val="00EC6AF3"/>
    <w:rsid w:val="00ED03E2"/>
    <w:rsid w:val="00ED0782"/>
    <w:rsid w:val="00ED27E6"/>
    <w:rsid w:val="00ED2F29"/>
    <w:rsid w:val="00ED348E"/>
    <w:rsid w:val="00ED4347"/>
    <w:rsid w:val="00ED6AFD"/>
    <w:rsid w:val="00ED6FBD"/>
    <w:rsid w:val="00ED7277"/>
    <w:rsid w:val="00EE399A"/>
    <w:rsid w:val="00EE48D2"/>
    <w:rsid w:val="00EE5BFD"/>
    <w:rsid w:val="00EE605D"/>
    <w:rsid w:val="00EE648C"/>
    <w:rsid w:val="00EE7341"/>
    <w:rsid w:val="00EE7F3D"/>
    <w:rsid w:val="00EF088D"/>
    <w:rsid w:val="00EF230D"/>
    <w:rsid w:val="00EF4B41"/>
    <w:rsid w:val="00EF56E4"/>
    <w:rsid w:val="00EF5CD0"/>
    <w:rsid w:val="00EF5FC6"/>
    <w:rsid w:val="00EF7732"/>
    <w:rsid w:val="00EF77FD"/>
    <w:rsid w:val="00EF7EAE"/>
    <w:rsid w:val="00F002DF"/>
    <w:rsid w:val="00F00373"/>
    <w:rsid w:val="00F00772"/>
    <w:rsid w:val="00F00A16"/>
    <w:rsid w:val="00F0102D"/>
    <w:rsid w:val="00F01094"/>
    <w:rsid w:val="00F011E2"/>
    <w:rsid w:val="00F0129F"/>
    <w:rsid w:val="00F01929"/>
    <w:rsid w:val="00F01A37"/>
    <w:rsid w:val="00F0274E"/>
    <w:rsid w:val="00F03ACF"/>
    <w:rsid w:val="00F05845"/>
    <w:rsid w:val="00F05F65"/>
    <w:rsid w:val="00F0690D"/>
    <w:rsid w:val="00F06F36"/>
    <w:rsid w:val="00F0797D"/>
    <w:rsid w:val="00F07A44"/>
    <w:rsid w:val="00F128BA"/>
    <w:rsid w:val="00F13659"/>
    <w:rsid w:val="00F13B42"/>
    <w:rsid w:val="00F14180"/>
    <w:rsid w:val="00F20935"/>
    <w:rsid w:val="00F20D1F"/>
    <w:rsid w:val="00F22316"/>
    <w:rsid w:val="00F2261D"/>
    <w:rsid w:val="00F23E5F"/>
    <w:rsid w:val="00F2424F"/>
    <w:rsid w:val="00F24E88"/>
    <w:rsid w:val="00F27A1C"/>
    <w:rsid w:val="00F27AD2"/>
    <w:rsid w:val="00F33AC3"/>
    <w:rsid w:val="00F3485F"/>
    <w:rsid w:val="00F356B4"/>
    <w:rsid w:val="00F36667"/>
    <w:rsid w:val="00F36B8A"/>
    <w:rsid w:val="00F36F03"/>
    <w:rsid w:val="00F37066"/>
    <w:rsid w:val="00F4027F"/>
    <w:rsid w:val="00F4279F"/>
    <w:rsid w:val="00F43730"/>
    <w:rsid w:val="00F450AC"/>
    <w:rsid w:val="00F46B72"/>
    <w:rsid w:val="00F46EC8"/>
    <w:rsid w:val="00F5013A"/>
    <w:rsid w:val="00F52786"/>
    <w:rsid w:val="00F527F4"/>
    <w:rsid w:val="00F547E6"/>
    <w:rsid w:val="00F557D0"/>
    <w:rsid w:val="00F6046D"/>
    <w:rsid w:val="00F605CA"/>
    <w:rsid w:val="00F60D90"/>
    <w:rsid w:val="00F61B06"/>
    <w:rsid w:val="00F63136"/>
    <w:rsid w:val="00F660A6"/>
    <w:rsid w:val="00F674DF"/>
    <w:rsid w:val="00F67FA8"/>
    <w:rsid w:val="00F71280"/>
    <w:rsid w:val="00F722B6"/>
    <w:rsid w:val="00F732C7"/>
    <w:rsid w:val="00F7377B"/>
    <w:rsid w:val="00F73C06"/>
    <w:rsid w:val="00F750A2"/>
    <w:rsid w:val="00F77CF7"/>
    <w:rsid w:val="00F82772"/>
    <w:rsid w:val="00F85D36"/>
    <w:rsid w:val="00F8665E"/>
    <w:rsid w:val="00F87E9F"/>
    <w:rsid w:val="00F918E5"/>
    <w:rsid w:val="00F91B4B"/>
    <w:rsid w:val="00F92ADA"/>
    <w:rsid w:val="00F930B1"/>
    <w:rsid w:val="00F93A44"/>
    <w:rsid w:val="00F948D3"/>
    <w:rsid w:val="00F94B24"/>
    <w:rsid w:val="00F95A60"/>
    <w:rsid w:val="00F96E94"/>
    <w:rsid w:val="00F971A2"/>
    <w:rsid w:val="00FA099A"/>
    <w:rsid w:val="00FA1D82"/>
    <w:rsid w:val="00FA29A2"/>
    <w:rsid w:val="00FA4070"/>
    <w:rsid w:val="00FA43FB"/>
    <w:rsid w:val="00FA452A"/>
    <w:rsid w:val="00FA56E5"/>
    <w:rsid w:val="00FA5F39"/>
    <w:rsid w:val="00FB3118"/>
    <w:rsid w:val="00FB3180"/>
    <w:rsid w:val="00FB3535"/>
    <w:rsid w:val="00FB3605"/>
    <w:rsid w:val="00FB4A04"/>
    <w:rsid w:val="00FB4ACF"/>
    <w:rsid w:val="00FB5A8E"/>
    <w:rsid w:val="00FB5C6A"/>
    <w:rsid w:val="00FB5EC8"/>
    <w:rsid w:val="00FB7826"/>
    <w:rsid w:val="00FC055A"/>
    <w:rsid w:val="00FC0626"/>
    <w:rsid w:val="00FC23A4"/>
    <w:rsid w:val="00FC3198"/>
    <w:rsid w:val="00FC36A7"/>
    <w:rsid w:val="00FC404C"/>
    <w:rsid w:val="00FC4213"/>
    <w:rsid w:val="00FC427E"/>
    <w:rsid w:val="00FC4DC5"/>
    <w:rsid w:val="00FC4E0B"/>
    <w:rsid w:val="00FC4F56"/>
    <w:rsid w:val="00FC5899"/>
    <w:rsid w:val="00FC6BD5"/>
    <w:rsid w:val="00FC6DDA"/>
    <w:rsid w:val="00FC79D4"/>
    <w:rsid w:val="00FD0571"/>
    <w:rsid w:val="00FD06BE"/>
    <w:rsid w:val="00FD0893"/>
    <w:rsid w:val="00FD0D97"/>
    <w:rsid w:val="00FD3488"/>
    <w:rsid w:val="00FD679F"/>
    <w:rsid w:val="00FD75BD"/>
    <w:rsid w:val="00FD7FE1"/>
    <w:rsid w:val="00FE2167"/>
    <w:rsid w:val="00FE27DD"/>
    <w:rsid w:val="00FE2D3C"/>
    <w:rsid w:val="00FE3532"/>
    <w:rsid w:val="00FE3B29"/>
    <w:rsid w:val="00FE46C1"/>
    <w:rsid w:val="00FE554A"/>
    <w:rsid w:val="00FE5E64"/>
    <w:rsid w:val="00FE6E44"/>
    <w:rsid w:val="00FF2C43"/>
    <w:rsid w:val="00FF308A"/>
    <w:rsid w:val="00FF3E44"/>
    <w:rsid w:val="00FF4142"/>
    <w:rsid w:val="00FF42C0"/>
    <w:rsid w:val="00FF4C63"/>
    <w:rsid w:val="00FF4FC5"/>
    <w:rsid w:val="00FF5462"/>
    <w:rsid w:val="00FF6884"/>
    <w:rsid w:val="00FF6A80"/>
    <w:rsid w:val="00FF7353"/>
    <w:rsid w:val="00FF7BC1"/>
    <w:rsid w:val="01153B5E"/>
    <w:rsid w:val="022B2547"/>
    <w:rsid w:val="02973E13"/>
    <w:rsid w:val="02CF6AE7"/>
    <w:rsid w:val="03F6606C"/>
    <w:rsid w:val="049A528A"/>
    <w:rsid w:val="09153CFB"/>
    <w:rsid w:val="09F52FED"/>
    <w:rsid w:val="0AA40A33"/>
    <w:rsid w:val="0B892750"/>
    <w:rsid w:val="0C823BE6"/>
    <w:rsid w:val="0D6342EB"/>
    <w:rsid w:val="0DB53EED"/>
    <w:rsid w:val="0E451EAD"/>
    <w:rsid w:val="10BC2E6D"/>
    <w:rsid w:val="10E36BFB"/>
    <w:rsid w:val="11855BA4"/>
    <w:rsid w:val="13531663"/>
    <w:rsid w:val="14285621"/>
    <w:rsid w:val="14957986"/>
    <w:rsid w:val="157F1800"/>
    <w:rsid w:val="17803F59"/>
    <w:rsid w:val="178E404E"/>
    <w:rsid w:val="182421DF"/>
    <w:rsid w:val="19C07C5D"/>
    <w:rsid w:val="1A0452A9"/>
    <w:rsid w:val="1AAA494B"/>
    <w:rsid w:val="1D306D6A"/>
    <w:rsid w:val="1D3B7729"/>
    <w:rsid w:val="1E866C4F"/>
    <w:rsid w:val="1EC24AA2"/>
    <w:rsid w:val="1F8266D5"/>
    <w:rsid w:val="201216CC"/>
    <w:rsid w:val="2116073D"/>
    <w:rsid w:val="226565A0"/>
    <w:rsid w:val="22B013E2"/>
    <w:rsid w:val="250A12D8"/>
    <w:rsid w:val="2672316A"/>
    <w:rsid w:val="26A80506"/>
    <w:rsid w:val="27924C59"/>
    <w:rsid w:val="27CF05B7"/>
    <w:rsid w:val="2BCF4BB0"/>
    <w:rsid w:val="2C8E23F6"/>
    <w:rsid w:val="2D564872"/>
    <w:rsid w:val="2E997AAC"/>
    <w:rsid w:val="2F5E78A7"/>
    <w:rsid w:val="2FA915DD"/>
    <w:rsid w:val="31BD5BF7"/>
    <w:rsid w:val="32936978"/>
    <w:rsid w:val="34963589"/>
    <w:rsid w:val="34C2538C"/>
    <w:rsid w:val="34FC4CA7"/>
    <w:rsid w:val="351762EC"/>
    <w:rsid w:val="376A1248"/>
    <w:rsid w:val="38031532"/>
    <w:rsid w:val="388A6D85"/>
    <w:rsid w:val="3F696108"/>
    <w:rsid w:val="3FA51A39"/>
    <w:rsid w:val="404443EB"/>
    <w:rsid w:val="418B4DE1"/>
    <w:rsid w:val="41AA5CAC"/>
    <w:rsid w:val="44146475"/>
    <w:rsid w:val="468861E8"/>
    <w:rsid w:val="470D3CAA"/>
    <w:rsid w:val="47FA64FC"/>
    <w:rsid w:val="485E0D03"/>
    <w:rsid w:val="495D6EA0"/>
    <w:rsid w:val="49885F49"/>
    <w:rsid w:val="49FC2E94"/>
    <w:rsid w:val="4A201170"/>
    <w:rsid w:val="4A83029C"/>
    <w:rsid w:val="4AFD01D9"/>
    <w:rsid w:val="4BF87EDB"/>
    <w:rsid w:val="4CFC2C89"/>
    <w:rsid w:val="4DCB6D15"/>
    <w:rsid w:val="4DEE0F0A"/>
    <w:rsid w:val="4E0B7281"/>
    <w:rsid w:val="4E7D0381"/>
    <w:rsid w:val="4ED02721"/>
    <w:rsid w:val="4EEF7EED"/>
    <w:rsid w:val="4FEE6109"/>
    <w:rsid w:val="507B34D7"/>
    <w:rsid w:val="50EE61E7"/>
    <w:rsid w:val="52643918"/>
    <w:rsid w:val="52EE16E6"/>
    <w:rsid w:val="55393075"/>
    <w:rsid w:val="555D234B"/>
    <w:rsid w:val="55716601"/>
    <w:rsid w:val="55C840E5"/>
    <w:rsid w:val="564C7BCE"/>
    <w:rsid w:val="57073816"/>
    <w:rsid w:val="57BB76BD"/>
    <w:rsid w:val="5971451F"/>
    <w:rsid w:val="59796BFA"/>
    <w:rsid w:val="5A693F66"/>
    <w:rsid w:val="5B70795D"/>
    <w:rsid w:val="5BD8071A"/>
    <w:rsid w:val="5D867C81"/>
    <w:rsid w:val="5E106AC1"/>
    <w:rsid w:val="5E992AC8"/>
    <w:rsid w:val="5FD23091"/>
    <w:rsid w:val="614F7193"/>
    <w:rsid w:val="617C0B19"/>
    <w:rsid w:val="62625022"/>
    <w:rsid w:val="63C751C6"/>
    <w:rsid w:val="669869F3"/>
    <w:rsid w:val="66DA0637"/>
    <w:rsid w:val="670A5A15"/>
    <w:rsid w:val="67726B1F"/>
    <w:rsid w:val="68A92D03"/>
    <w:rsid w:val="698B5437"/>
    <w:rsid w:val="6A49284D"/>
    <w:rsid w:val="6AE86E1D"/>
    <w:rsid w:val="6C890C1C"/>
    <w:rsid w:val="6CE8552E"/>
    <w:rsid w:val="6CEB3241"/>
    <w:rsid w:val="6D57473B"/>
    <w:rsid w:val="6D6F2F81"/>
    <w:rsid w:val="6E9F0B34"/>
    <w:rsid w:val="6FFE689C"/>
    <w:rsid w:val="711635AC"/>
    <w:rsid w:val="71E462B2"/>
    <w:rsid w:val="72654BA8"/>
    <w:rsid w:val="72E135E8"/>
    <w:rsid w:val="72EA4E36"/>
    <w:rsid w:val="731157A9"/>
    <w:rsid w:val="7D3D0594"/>
    <w:rsid w:val="7F1640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iPriority="99"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61"/>
    <w:qFormat/>
    <w:uiPriority w:val="0"/>
    <w:pPr>
      <w:keepNext/>
      <w:keepLines/>
      <w:widowControl w:val="0"/>
      <w:spacing w:before="340" w:after="330" w:line="578" w:lineRule="auto"/>
      <w:jc w:val="both"/>
      <w:outlineLvl w:val="0"/>
    </w:pPr>
    <w:rPr>
      <w:rFonts w:ascii="Times New Roman" w:hAnsi="Times New Roman" w:cs="Times New Roman"/>
      <w:b/>
      <w:bCs/>
      <w:kern w:val="44"/>
      <w:sz w:val="44"/>
      <w:szCs w:val="44"/>
    </w:rPr>
  </w:style>
  <w:style w:type="paragraph" w:styleId="4">
    <w:name w:val="heading 2"/>
    <w:basedOn w:val="1"/>
    <w:next w:val="1"/>
    <w:link w:val="62"/>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rPr>
  </w:style>
  <w:style w:type="paragraph" w:styleId="5">
    <w:name w:val="heading 3"/>
    <w:next w:val="1"/>
    <w:link w:val="63"/>
    <w:qFormat/>
    <w:uiPriority w:val="0"/>
    <w:pPr>
      <w:keepNext/>
      <w:keepLines/>
      <w:widowControl w:val="0"/>
      <w:pBdr>
        <w:top w:val="none" w:color="000000" w:sz="0" w:space="3"/>
        <w:left w:val="none" w:color="000000" w:sz="0" w:space="3"/>
        <w:bottom w:val="none" w:color="000000" w:sz="0" w:space="3"/>
        <w:right w:val="none" w:color="000000" w:sz="0" w:space="3"/>
        <w:between w:val="none" w:color="000000" w:sz="0" w:space="0"/>
      </w:pBdr>
      <w:spacing w:before="260" w:after="260" w:line="415" w:lineRule="auto"/>
      <w:ind w:firstLine="643"/>
      <w:jc w:val="both"/>
      <w:outlineLvl w:val="2"/>
    </w:pPr>
    <w:rPr>
      <w:rFonts w:ascii="Times New Roman" w:hAnsi="Times New Roman" w:eastAsia="宋体" w:cs="Times New Roman"/>
      <w:b/>
      <w:bCs/>
      <w:kern w:val="1"/>
      <w:sz w:val="32"/>
      <w:szCs w:val="32"/>
      <w:lang w:val="en-US" w:eastAsia="zh-CN" w:bidi="ar-SA"/>
    </w:rPr>
  </w:style>
  <w:style w:type="paragraph" w:styleId="6">
    <w:name w:val="heading 4"/>
    <w:next w:val="1"/>
    <w:link w:val="64"/>
    <w:qFormat/>
    <w:uiPriority w:val="0"/>
    <w:pPr>
      <w:keepNext/>
      <w:keepLines/>
      <w:widowControl w:val="0"/>
      <w:pBdr>
        <w:top w:val="none" w:color="000000" w:sz="0" w:space="3"/>
        <w:left w:val="none" w:color="000000" w:sz="0" w:space="3"/>
        <w:bottom w:val="none" w:color="000000" w:sz="0" w:space="3"/>
        <w:right w:val="none" w:color="000000" w:sz="0" w:space="3"/>
        <w:between w:val="none" w:color="000000" w:sz="0" w:space="0"/>
      </w:pBdr>
      <w:spacing w:before="280" w:after="290" w:line="377" w:lineRule="auto"/>
      <w:jc w:val="both"/>
      <w:outlineLvl w:val="3"/>
    </w:pPr>
    <w:rPr>
      <w:rFonts w:ascii="Arial" w:hAnsi="Arial" w:eastAsia="黑体" w:cs="Times New Roman"/>
      <w:b/>
      <w:bCs/>
      <w:kern w:val="1"/>
      <w:sz w:val="28"/>
      <w:szCs w:val="28"/>
      <w:lang w:val="en-US" w:eastAsia="zh-CN" w:bidi="ar-SA"/>
    </w:rPr>
  </w:style>
  <w:style w:type="paragraph" w:styleId="7">
    <w:name w:val="heading 5"/>
    <w:next w:val="1"/>
    <w:link w:val="65"/>
    <w:qFormat/>
    <w:uiPriority w:val="0"/>
    <w:pPr>
      <w:keepNext/>
      <w:keepLines/>
      <w:widowControl w:val="0"/>
      <w:pBdr>
        <w:top w:val="none" w:color="000000" w:sz="0" w:space="3"/>
        <w:left w:val="none" w:color="000000" w:sz="0" w:space="3"/>
        <w:bottom w:val="none" w:color="000000" w:sz="0" w:space="3"/>
        <w:right w:val="none" w:color="000000" w:sz="0" w:space="3"/>
        <w:between w:val="none" w:color="000000" w:sz="0" w:space="0"/>
      </w:pBdr>
      <w:spacing w:before="280" w:after="290" w:line="377" w:lineRule="auto"/>
      <w:jc w:val="both"/>
      <w:outlineLvl w:val="4"/>
    </w:pPr>
    <w:rPr>
      <w:rFonts w:ascii="Times New Roman" w:hAnsi="Times New Roman" w:eastAsia="宋体" w:cs="Times New Roman"/>
      <w:b/>
      <w:bCs/>
      <w:kern w:val="1"/>
      <w:sz w:val="28"/>
      <w:szCs w:val="28"/>
      <w:lang w:val="en-US" w:eastAsia="zh-CN" w:bidi="ar-SA"/>
    </w:rPr>
  </w:style>
  <w:style w:type="paragraph" w:styleId="8">
    <w:name w:val="heading 6"/>
    <w:next w:val="1"/>
    <w:link w:val="66"/>
    <w:qFormat/>
    <w:uiPriority w:val="0"/>
    <w:pPr>
      <w:keepNext/>
      <w:keepLines/>
      <w:widowControl w:val="0"/>
      <w:pBdr>
        <w:top w:val="none" w:color="000000" w:sz="0" w:space="3"/>
        <w:left w:val="none" w:color="000000" w:sz="0" w:space="3"/>
        <w:bottom w:val="none" w:color="000000" w:sz="0" w:space="3"/>
        <w:right w:val="none" w:color="000000" w:sz="0" w:space="3"/>
        <w:between w:val="none" w:color="000000" w:sz="0" w:space="0"/>
      </w:pBdr>
      <w:spacing w:before="240" w:after="64" w:line="319" w:lineRule="auto"/>
      <w:jc w:val="both"/>
      <w:outlineLvl w:val="5"/>
    </w:pPr>
    <w:rPr>
      <w:rFonts w:ascii="Arial" w:hAnsi="Arial" w:eastAsia="黑体" w:cs="Times New Roman"/>
      <w:b/>
      <w:bCs/>
      <w:kern w:val="1"/>
      <w:sz w:val="24"/>
      <w:szCs w:val="24"/>
      <w:lang w:val="en-US" w:eastAsia="zh-CN" w:bidi="ar-SA"/>
    </w:rPr>
  </w:style>
  <w:style w:type="paragraph" w:styleId="9">
    <w:name w:val="heading 7"/>
    <w:next w:val="1"/>
    <w:link w:val="67"/>
    <w:qFormat/>
    <w:uiPriority w:val="0"/>
    <w:pPr>
      <w:keepNext/>
      <w:keepLines/>
      <w:widowControl w:val="0"/>
      <w:pBdr>
        <w:top w:val="none" w:color="000000" w:sz="0" w:space="3"/>
        <w:left w:val="none" w:color="000000" w:sz="0" w:space="3"/>
        <w:bottom w:val="none" w:color="000000" w:sz="0" w:space="3"/>
        <w:right w:val="none" w:color="000000" w:sz="0" w:space="3"/>
        <w:between w:val="none" w:color="000000" w:sz="0" w:space="0"/>
      </w:pBdr>
      <w:spacing w:before="120" w:after="120"/>
      <w:jc w:val="both"/>
      <w:outlineLvl w:val="6"/>
    </w:pPr>
    <w:rPr>
      <w:rFonts w:ascii="黑体" w:hAnsi="黑体" w:eastAsia="黑体" w:cs="Times New Roman"/>
      <w:bCs/>
      <w:kern w:val="1"/>
      <w:sz w:val="24"/>
      <w:szCs w:val="24"/>
      <w:lang w:val="en-US" w:eastAsia="zh-CN" w:bidi="ar-SA"/>
    </w:rPr>
  </w:style>
  <w:style w:type="paragraph" w:styleId="10">
    <w:name w:val="heading 8"/>
    <w:basedOn w:val="1"/>
    <w:next w:val="1"/>
    <w:link w:val="68"/>
    <w:qFormat/>
    <w:uiPriority w:val="0"/>
    <w:pPr>
      <w:keepNext/>
      <w:keepLines/>
      <w:tabs>
        <w:tab w:val="left" w:pos="1440"/>
      </w:tabs>
      <w:spacing w:before="240" w:after="64" w:line="319" w:lineRule="auto"/>
      <w:ind w:left="1440" w:hanging="1440"/>
      <w:outlineLvl w:val="7"/>
    </w:pPr>
    <w:rPr>
      <w:rFonts w:ascii="Arial" w:hAnsi="Arial" w:eastAsia="黑体" w:cs="Times New Roman"/>
    </w:rPr>
  </w:style>
  <w:style w:type="paragraph" w:styleId="11">
    <w:name w:val="heading 9"/>
    <w:basedOn w:val="1"/>
    <w:next w:val="1"/>
    <w:link w:val="69"/>
    <w:qFormat/>
    <w:uiPriority w:val="0"/>
    <w:pPr>
      <w:keepNext/>
      <w:keepLines/>
      <w:tabs>
        <w:tab w:val="left" w:pos="1584"/>
      </w:tabs>
      <w:spacing w:before="240" w:after="64" w:line="319" w:lineRule="auto"/>
      <w:ind w:left="1584" w:hanging="1584"/>
      <w:outlineLvl w:val="8"/>
    </w:pPr>
    <w:rPr>
      <w:rFonts w:ascii="Arial" w:hAnsi="Arial" w:eastAsia="黑体" w:cs="Times New Roman"/>
      <w:sz w:val="21"/>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 w:type="paragraph" w:styleId="12">
    <w:name w:val="List 3"/>
    <w:basedOn w:val="1"/>
    <w:qFormat/>
    <w:uiPriority w:val="0"/>
    <w:pPr>
      <w:widowControl w:val="0"/>
      <w:ind w:left="100" w:leftChars="400" w:hanging="200" w:hangingChars="200"/>
      <w:jc w:val="both"/>
    </w:pPr>
    <w:rPr>
      <w:rFonts w:ascii="Times New Roman" w:hAnsi="Times New Roman" w:cs="Times New Roman"/>
      <w:kern w:val="2"/>
      <w:sz w:val="21"/>
    </w:rPr>
  </w:style>
  <w:style w:type="paragraph" w:styleId="13">
    <w:name w:val="toc 7"/>
    <w:basedOn w:val="1"/>
    <w:next w:val="1"/>
    <w:qFormat/>
    <w:uiPriority w:val="0"/>
    <w:pPr>
      <w:widowControl w:val="0"/>
      <w:ind w:left="2520" w:leftChars="1200"/>
      <w:jc w:val="both"/>
    </w:pPr>
    <w:rPr>
      <w:rFonts w:ascii="Times New Roman" w:hAnsi="Times New Roman" w:cs="Times New Roman"/>
      <w:kern w:val="2"/>
      <w:sz w:val="21"/>
    </w:rPr>
  </w:style>
  <w:style w:type="paragraph" w:styleId="14">
    <w:name w:val="Normal Indent"/>
    <w:qFormat/>
    <w:uiPriority w:val="0"/>
    <w:pPr>
      <w:pBdr>
        <w:top w:val="none" w:color="000000" w:sz="0" w:space="3"/>
        <w:left w:val="none" w:color="000000" w:sz="0" w:space="3"/>
        <w:bottom w:val="none" w:color="000000" w:sz="0" w:space="3"/>
        <w:right w:val="none" w:color="000000" w:sz="0" w:space="3"/>
        <w:between w:val="none" w:color="000000" w:sz="0" w:space="0"/>
      </w:pBdr>
      <w:ind w:firstLine="420"/>
    </w:pPr>
    <w:rPr>
      <w:rFonts w:ascii="Times New Roman" w:hAnsi="Times New Roman" w:eastAsia="宋体" w:cs="Times New Roman"/>
      <w:kern w:val="1"/>
      <w:lang w:val="en-US" w:eastAsia="zh-CN" w:bidi="ar-SA"/>
    </w:rPr>
  </w:style>
  <w:style w:type="paragraph" w:styleId="15">
    <w:name w:val="caption"/>
    <w:basedOn w:val="1"/>
    <w:next w:val="1"/>
    <w:qFormat/>
    <w:uiPriority w:val="0"/>
    <w:pPr>
      <w:widowControl w:val="0"/>
      <w:spacing w:before="152" w:after="160"/>
      <w:jc w:val="both"/>
    </w:pPr>
    <w:rPr>
      <w:rFonts w:ascii="Arial" w:hAnsi="Arial" w:eastAsia="黑体" w:cs="Arial"/>
      <w:kern w:val="2"/>
      <w:sz w:val="20"/>
      <w:szCs w:val="20"/>
    </w:rPr>
  </w:style>
  <w:style w:type="paragraph" w:styleId="16">
    <w:name w:val="Document Map"/>
    <w:basedOn w:val="1"/>
    <w:link w:val="73"/>
    <w:qFormat/>
    <w:uiPriority w:val="0"/>
    <w:pPr>
      <w:widowControl w:val="0"/>
      <w:shd w:val="clear" w:color="auto" w:fill="000080"/>
      <w:jc w:val="both"/>
    </w:pPr>
    <w:rPr>
      <w:rFonts w:ascii="Times New Roman" w:hAnsi="Times New Roman" w:cs="Times New Roman"/>
      <w:kern w:val="2"/>
      <w:sz w:val="21"/>
    </w:rPr>
  </w:style>
  <w:style w:type="paragraph" w:styleId="17">
    <w:name w:val="annotation text"/>
    <w:basedOn w:val="1"/>
    <w:link w:val="70"/>
    <w:qFormat/>
    <w:uiPriority w:val="0"/>
    <w:pPr>
      <w:widowControl w:val="0"/>
    </w:pPr>
    <w:rPr>
      <w:rFonts w:ascii="Times New Roman" w:hAnsi="Times New Roman" w:cs="Times New Roman"/>
      <w:kern w:val="2"/>
      <w:sz w:val="21"/>
    </w:rPr>
  </w:style>
  <w:style w:type="paragraph" w:styleId="18">
    <w:name w:val="Salutation"/>
    <w:basedOn w:val="1"/>
    <w:next w:val="1"/>
    <w:link w:val="74"/>
    <w:qFormat/>
    <w:uiPriority w:val="0"/>
    <w:pPr>
      <w:widowControl w:val="0"/>
      <w:jc w:val="both"/>
    </w:pPr>
    <w:rPr>
      <w:rFonts w:ascii="Times New Roman" w:hAnsi="Times New Roman" w:cs="Times New Roman"/>
      <w:kern w:val="2"/>
      <w:sz w:val="28"/>
    </w:rPr>
  </w:style>
  <w:style w:type="paragraph" w:styleId="19">
    <w:name w:val="Body Text 3"/>
    <w:link w:val="86"/>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line="360" w:lineRule="auto"/>
      <w:jc w:val="both"/>
    </w:pPr>
    <w:rPr>
      <w:rFonts w:ascii="仿宋_GB2312" w:hAnsi="仿宋_GB2312" w:eastAsia="仿宋_GB2312" w:cs="Times New Roman"/>
      <w:bCs/>
      <w:kern w:val="1"/>
      <w:sz w:val="24"/>
      <w:szCs w:val="30"/>
      <w:lang w:val="en-US" w:eastAsia="zh-CN" w:bidi="ar-SA"/>
    </w:rPr>
  </w:style>
  <w:style w:type="paragraph" w:styleId="20">
    <w:name w:val="Body Text"/>
    <w:basedOn w:val="1"/>
    <w:link w:val="72"/>
    <w:qFormat/>
    <w:uiPriority w:val="0"/>
    <w:pPr>
      <w:widowControl w:val="0"/>
      <w:spacing w:after="120"/>
      <w:jc w:val="both"/>
    </w:pPr>
    <w:rPr>
      <w:rFonts w:ascii="Times New Roman" w:hAnsi="Times New Roman" w:cs="Times New Roman"/>
      <w:kern w:val="2"/>
      <w:sz w:val="21"/>
    </w:rPr>
  </w:style>
  <w:style w:type="paragraph" w:styleId="21">
    <w:name w:val="Body Text Indent"/>
    <w:basedOn w:val="1"/>
    <w:next w:val="1"/>
    <w:link w:val="75"/>
    <w:qFormat/>
    <w:uiPriority w:val="0"/>
    <w:pPr>
      <w:widowControl w:val="0"/>
      <w:spacing w:line="500" w:lineRule="exact"/>
      <w:ind w:left="1588" w:leftChars="832" w:firstLine="433" w:firstLineChars="196"/>
      <w:jc w:val="both"/>
    </w:pPr>
    <w:rPr>
      <w:rFonts w:ascii="Times New Roman" w:hAnsi="Times New Roman" w:cs="Times New Roman"/>
      <w:kern w:val="2"/>
    </w:rPr>
  </w:style>
  <w:style w:type="paragraph" w:styleId="22">
    <w:name w:val="List 2"/>
    <w:basedOn w:val="1"/>
    <w:qFormat/>
    <w:uiPriority w:val="0"/>
    <w:pPr>
      <w:widowControl w:val="0"/>
      <w:ind w:left="100" w:leftChars="200" w:hanging="200" w:hangingChars="200"/>
      <w:jc w:val="both"/>
    </w:pPr>
    <w:rPr>
      <w:rFonts w:ascii="Times New Roman" w:hAnsi="Times New Roman" w:cs="Times New Roman"/>
      <w:kern w:val="2"/>
      <w:sz w:val="21"/>
    </w:rPr>
  </w:style>
  <w:style w:type="paragraph" w:styleId="23">
    <w:name w:val="Block Text"/>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line="360" w:lineRule="auto"/>
      <w:ind w:left="504" w:right="23" w:firstLine="36"/>
      <w:jc w:val="both"/>
    </w:pPr>
    <w:rPr>
      <w:rFonts w:ascii="宋体" w:hAnsi="宋体" w:eastAsia="宋体" w:cs="Times New Roman"/>
      <w:kern w:val="1"/>
      <w:sz w:val="21"/>
      <w:szCs w:val="24"/>
      <w:lang w:val="en-US" w:eastAsia="zh-CN" w:bidi="ar-SA"/>
    </w:rPr>
  </w:style>
  <w:style w:type="paragraph" w:styleId="24">
    <w:name w:val="toc 5"/>
    <w:basedOn w:val="1"/>
    <w:next w:val="1"/>
    <w:qFormat/>
    <w:uiPriority w:val="0"/>
    <w:pPr>
      <w:widowControl w:val="0"/>
      <w:ind w:left="1680" w:leftChars="800"/>
      <w:jc w:val="both"/>
    </w:pPr>
    <w:rPr>
      <w:rFonts w:ascii="Times New Roman" w:hAnsi="Times New Roman" w:cs="Times New Roman"/>
      <w:kern w:val="2"/>
      <w:sz w:val="21"/>
    </w:rPr>
  </w:style>
  <w:style w:type="paragraph" w:styleId="25">
    <w:name w:val="toc 3"/>
    <w:next w:val="1"/>
    <w:qFormat/>
    <w:uiPriority w:val="39"/>
    <w:pPr>
      <w:pBdr>
        <w:top w:val="none" w:color="000000" w:sz="0" w:space="3"/>
        <w:left w:val="none" w:color="000000" w:sz="0" w:space="3"/>
        <w:bottom w:val="none" w:color="000000" w:sz="0" w:space="3"/>
        <w:right w:val="none" w:color="000000" w:sz="0" w:space="3"/>
        <w:between w:val="none" w:color="000000" w:sz="0" w:space="0"/>
      </w:pBdr>
      <w:tabs>
        <w:tab w:val="right" w:leader="dot" w:pos="9639"/>
      </w:tabs>
      <w:spacing w:line="360" w:lineRule="auto"/>
      <w:ind w:left="400"/>
    </w:pPr>
    <w:rPr>
      <w:rFonts w:ascii="Times New Roman" w:hAnsi="Times New Roman" w:eastAsia="宋体" w:cs="Times New Roman"/>
      <w:i/>
      <w:kern w:val="1"/>
      <w:lang w:val="en-US" w:eastAsia="zh-CN" w:bidi="ar-SA"/>
    </w:rPr>
  </w:style>
  <w:style w:type="paragraph" w:styleId="26">
    <w:name w:val="Plain Text"/>
    <w:basedOn w:val="1"/>
    <w:link w:val="76"/>
    <w:qFormat/>
    <w:uiPriority w:val="0"/>
    <w:pPr>
      <w:widowControl w:val="0"/>
      <w:jc w:val="both"/>
    </w:pPr>
    <w:rPr>
      <w:rFonts w:hAnsi="Courier New" w:cs="Times New Roman"/>
      <w:kern w:val="2"/>
      <w:sz w:val="21"/>
      <w:szCs w:val="20"/>
    </w:rPr>
  </w:style>
  <w:style w:type="paragraph" w:styleId="27">
    <w:name w:val="toc 8"/>
    <w:basedOn w:val="1"/>
    <w:next w:val="1"/>
    <w:qFormat/>
    <w:uiPriority w:val="0"/>
    <w:pPr>
      <w:widowControl w:val="0"/>
      <w:ind w:left="2940" w:leftChars="1400"/>
      <w:jc w:val="both"/>
    </w:pPr>
    <w:rPr>
      <w:rFonts w:ascii="Times New Roman" w:hAnsi="Times New Roman" w:cs="Times New Roman"/>
      <w:kern w:val="2"/>
      <w:sz w:val="21"/>
    </w:rPr>
  </w:style>
  <w:style w:type="paragraph" w:styleId="28">
    <w:name w:val="Date"/>
    <w:next w:val="1"/>
    <w:link w:val="87"/>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100"/>
      <w:jc w:val="both"/>
    </w:pPr>
    <w:rPr>
      <w:rFonts w:ascii="Times New Roman" w:hAnsi="Times New Roman" w:eastAsia="宋体" w:cs="Times New Roman"/>
      <w:kern w:val="1"/>
      <w:sz w:val="28"/>
      <w:szCs w:val="24"/>
      <w:lang w:val="en-US" w:eastAsia="zh-CN" w:bidi="ar-SA"/>
    </w:rPr>
  </w:style>
  <w:style w:type="paragraph" w:styleId="29">
    <w:name w:val="Body Text Indent 2"/>
    <w:basedOn w:val="1"/>
    <w:link w:val="77"/>
    <w:qFormat/>
    <w:uiPriority w:val="0"/>
    <w:pPr>
      <w:widowControl w:val="0"/>
      <w:spacing w:after="120" w:line="480" w:lineRule="auto"/>
      <w:ind w:left="420" w:leftChars="200"/>
      <w:jc w:val="both"/>
    </w:pPr>
    <w:rPr>
      <w:rFonts w:ascii="Times New Roman" w:hAnsi="Times New Roman" w:cs="Times New Roman"/>
      <w:kern w:val="2"/>
      <w:sz w:val="21"/>
    </w:rPr>
  </w:style>
  <w:style w:type="paragraph" w:styleId="30">
    <w:name w:val="Balloon Text"/>
    <w:basedOn w:val="1"/>
    <w:link w:val="78"/>
    <w:qFormat/>
    <w:uiPriority w:val="0"/>
    <w:pPr>
      <w:widowControl w:val="0"/>
      <w:jc w:val="both"/>
    </w:pPr>
    <w:rPr>
      <w:rFonts w:ascii="Times New Roman" w:hAnsi="Times New Roman" w:cs="Times New Roman"/>
      <w:kern w:val="2"/>
      <w:sz w:val="18"/>
      <w:szCs w:val="18"/>
    </w:rPr>
  </w:style>
  <w:style w:type="paragraph" w:styleId="31">
    <w:name w:val="footer"/>
    <w:basedOn w:val="1"/>
    <w:link w:val="79"/>
    <w:qFormat/>
    <w:uiPriority w:val="0"/>
    <w:pPr>
      <w:widowControl w:val="0"/>
      <w:tabs>
        <w:tab w:val="center" w:pos="4153"/>
        <w:tab w:val="right" w:pos="8306"/>
      </w:tabs>
      <w:snapToGrid w:val="0"/>
    </w:pPr>
    <w:rPr>
      <w:rFonts w:ascii="Times New Roman" w:hAnsi="Times New Roman" w:cs="Times New Roman"/>
      <w:kern w:val="2"/>
      <w:sz w:val="18"/>
      <w:szCs w:val="18"/>
    </w:rPr>
  </w:style>
  <w:style w:type="paragraph" w:styleId="32">
    <w:name w:val="header"/>
    <w:basedOn w:val="1"/>
    <w:link w:val="80"/>
    <w:qFormat/>
    <w:uiPriority w:val="0"/>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33">
    <w:name w:val="toc 1"/>
    <w:basedOn w:val="1"/>
    <w:next w:val="1"/>
    <w:qFormat/>
    <w:uiPriority w:val="39"/>
    <w:pPr>
      <w:widowControl w:val="0"/>
      <w:tabs>
        <w:tab w:val="right" w:leader="dot" w:pos="9061"/>
      </w:tabs>
      <w:spacing w:line="440" w:lineRule="exact"/>
      <w:jc w:val="center"/>
    </w:pPr>
    <w:rPr>
      <w:rFonts w:ascii="Times New Roman" w:hAnsi="Times New Roman" w:eastAsia="黑体" w:cs="Times New Roman"/>
      <w:b/>
      <w:bCs/>
      <w:kern w:val="2"/>
    </w:rPr>
  </w:style>
  <w:style w:type="paragraph" w:styleId="34">
    <w:name w:val="toc 4"/>
    <w:basedOn w:val="1"/>
    <w:next w:val="1"/>
    <w:unhideWhenUsed/>
    <w:qFormat/>
    <w:uiPriority w:val="0"/>
    <w:pPr>
      <w:widowControl w:val="0"/>
      <w:pBdr>
        <w:top w:val="none" w:color="000000" w:sz="0" w:space="0"/>
        <w:left w:val="none" w:color="000000" w:sz="0" w:space="0"/>
        <w:bottom w:val="none" w:color="000000" w:sz="0" w:space="0"/>
        <w:right w:val="none" w:color="000000" w:sz="0" w:space="0"/>
        <w:between w:val="none" w:color="000000" w:sz="0" w:space="0"/>
      </w:pBdr>
      <w:ind w:left="1260" w:leftChars="600"/>
      <w:jc w:val="both"/>
    </w:pPr>
    <w:rPr>
      <w:rFonts w:ascii="Times New Roman" w:hAnsi="Times New Roman" w:cs="Times New Roman"/>
      <w:kern w:val="1"/>
      <w:sz w:val="22"/>
    </w:rPr>
  </w:style>
  <w:style w:type="paragraph" w:styleId="35">
    <w:name w:val="Subtitle"/>
    <w:basedOn w:val="1"/>
    <w:next w:val="1"/>
    <w:link w:val="81"/>
    <w:qFormat/>
    <w:uiPriority w:val="0"/>
    <w:pPr>
      <w:widowControl w:val="0"/>
      <w:spacing w:before="240" w:after="60" w:line="312" w:lineRule="auto"/>
      <w:jc w:val="center"/>
      <w:outlineLvl w:val="1"/>
    </w:pPr>
    <w:rPr>
      <w:rFonts w:ascii="Cambria" w:hAnsi="Cambria" w:cs="Times New Roman"/>
      <w:b/>
      <w:bCs/>
      <w:kern w:val="28"/>
      <w:sz w:val="32"/>
      <w:szCs w:val="32"/>
    </w:rPr>
  </w:style>
  <w:style w:type="paragraph" w:styleId="36">
    <w:name w:val="List"/>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200" w:hanging="200"/>
      <w:contextualSpacing/>
      <w:jc w:val="both"/>
    </w:pPr>
    <w:rPr>
      <w:rFonts w:ascii="Times New Roman" w:hAnsi="Times New Roman" w:eastAsia="宋体" w:cs="Times New Roman"/>
      <w:kern w:val="1"/>
      <w:sz w:val="21"/>
      <w:szCs w:val="24"/>
      <w:lang w:val="en-US" w:eastAsia="zh-CN" w:bidi="ar-SA"/>
    </w:rPr>
  </w:style>
  <w:style w:type="paragraph" w:styleId="37">
    <w:name w:val="footnote text"/>
    <w:basedOn w:val="1"/>
    <w:link w:val="82"/>
    <w:qFormat/>
    <w:uiPriority w:val="0"/>
    <w:pPr>
      <w:widowControl w:val="0"/>
      <w:adjustRightInd w:val="0"/>
      <w:spacing w:line="312" w:lineRule="atLeast"/>
      <w:textAlignment w:val="baseline"/>
    </w:pPr>
    <w:rPr>
      <w:rFonts w:ascii="Times New Roman" w:hAnsi="Times New Roman" w:cs="Times New Roman"/>
      <w:sz w:val="18"/>
      <w:szCs w:val="20"/>
    </w:rPr>
  </w:style>
  <w:style w:type="paragraph" w:styleId="38">
    <w:name w:val="toc 6"/>
    <w:next w:val="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1050"/>
    </w:pPr>
    <w:rPr>
      <w:rFonts w:ascii="Times New Roman" w:hAnsi="Times New Roman" w:eastAsia="宋体" w:cs="Times New Roman"/>
      <w:kern w:val="1"/>
      <w:sz w:val="18"/>
      <w:szCs w:val="18"/>
      <w:lang w:val="en-US" w:eastAsia="zh-CN" w:bidi="ar-SA"/>
    </w:rPr>
  </w:style>
  <w:style w:type="paragraph" w:styleId="39">
    <w:name w:val="Body Text Indent 3"/>
    <w:basedOn w:val="1"/>
    <w:link w:val="83"/>
    <w:qFormat/>
    <w:uiPriority w:val="0"/>
    <w:pPr>
      <w:widowControl w:val="0"/>
      <w:tabs>
        <w:tab w:val="left" w:pos="1134"/>
        <w:tab w:val="left" w:pos="5481"/>
        <w:tab w:val="left" w:pos="5859"/>
      </w:tabs>
      <w:spacing w:line="500" w:lineRule="exact"/>
      <w:ind w:firstLine="8275" w:firstLineChars="1200"/>
      <w:jc w:val="both"/>
    </w:pPr>
    <w:rPr>
      <w:rFonts w:ascii="Times New Roman" w:hAnsi="Times New Roman" w:eastAsia="黑体" w:cs="Times New Roman"/>
      <w:b/>
      <w:bCs/>
      <w:kern w:val="2"/>
      <w:sz w:val="72"/>
    </w:rPr>
  </w:style>
  <w:style w:type="paragraph" w:styleId="40">
    <w:name w:val="table of figures"/>
    <w:basedOn w:val="1"/>
    <w:next w:val="1"/>
    <w:qFormat/>
    <w:uiPriority w:val="0"/>
    <w:pPr>
      <w:widowControl w:val="0"/>
      <w:ind w:left="200" w:leftChars="200" w:hanging="200" w:hangingChars="200"/>
      <w:jc w:val="both"/>
    </w:pPr>
    <w:rPr>
      <w:rFonts w:ascii="Times New Roman" w:hAnsi="Times New Roman" w:cs="Times New Roman"/>
      <w:kern w:val="2"/>
      <w:sz w:val="21"/>
    </w:rPr>
  </w:style>
  <w:style w:type="paragraph" w:styleId="41">
    <w:name w:val="toc 2"/>
    <w:basedOn w:val="1"/>
    <w:next w:val="1"/>
    <w:qFormat/>
    <w:uiPriority w:val="39"/>
    <w:pPr>
      <w:widowControl w:val="0"/>
      <w:ind w:left="420" w:leftChars="200"/>
      <w:jc w:val="both"/>
    </w:pPr>
    <w:rPr>
      <w:rFonts w:ascii="Times New Roman" w:hAnsi="Times New Roman" w:cs="Times New Roman"/>
      <w:kern w:val="2"/>
      <w:sz w:val="21"/>
    </w:rPr>
  </w:style>
  <w:style w:type="paragraph" w:styleId="42">
    <w:name w:val="toc 9"/>
    <w:basedOn w:val="1"/>
    <w:next w:val="1"/>
    <w:qFormat/>
    <w:uiPriority w:val="0"/>
    <w:pPr>
      <w:widowControl w:val="0"/>
      <w:ind w:left="3360" w:leftChars="1600"/>
      <w:jc w:val="both"/>
    </w:pPr>
    <w:rPr>
      <w:rFonts w:ascii="Times New Roman" w:hAnsi="Times New Roman" w:cs="Times New Roman"/>
      <w:kern w:val="2"/>
      <w:sz w:val="21"/>
    </w:rPr>
  </w:style>
  <w:style w:type="paragraph" w:styleId="43">
    <w:name w:val="Body Text 2"/>
    <w:link w:val="90"/>
    <w:qFormat/>
    <w:uiPriority w:val="0"/>
    <w:pPr>
      <w:pBdr>
        <w:top w:val="none" w:color="000000" w:sz="0" w:space="3"/>
        <w:left w:val="none" w:color="000000" w:sz="0" w:space="3"/>
        <w:bottom w:val="none" w:color="000000" w:sz="0" w:space="3"/>
        <w:right w:val="none" w:color="000000" w:sz="0" w:space="3"/>
        <w:between w:val="none" w:color="000000" w:sz="0" w:space="0"/>
      </w:pBdr>
      <w:spacing w:line="440" w:lineRule="exact"/>
    </w:pPr>
    <w:rPr>
      <w:rFonts w:ascii="楷体_GB2312" w:hAnsi="楷体_GB2312" w:eastAsia="楷体_GB2312" w:cs="Times New Roman"/>
      <w:b/>
      <w:bCs/>
      <w:kern w:val="1"/>
      <w:sz w:val="24"/>
      <w:szCs w:val="21"/>
      <w:u w:val="single"/>
      <w:lang w:val="en-US" w:eastAsia="zh-CN" w:bidi="ar-SA"/>
    </w:rPr>
  </w:style>
  <w:style w:type="paragraph" w:styleId="44">
    <w:name w:val="HTML Preformatted"/>
    <w:link w:val="91"/>
    <w:qFormat/>
    <w:uiPriority w:val="0"/>
    <w:pPr>
      <w:pBdr>
        <w:top w:val="none" w:color="000000" w:sz="0" w:space="3"/>
        <w:left w:val="none" w:color="000000" w:sz="0" w:space="3"/>
        <w:bottom w:val="none" w:color="000000" w:sz="0" w:space="3"/>
        <w:right w:val="none" w:color="000000" w:sz="0" w:space="3"/>
        <w:between w:val="none" w:color="000000"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Times New Roman"/>
      <w:kern w:val="1"/>
      <w:sz w:val="24"/>
      <w:szCs w:val="24"/>
      <w:lang w:val="en-US" w:eastAsia="zh-CN" w:bidi="ar-SA"/>
    </w:rPr>
  </w:style>
  <w:style w:type="paragraph" w:styleId="45">
    <w:name w:val="Normal (Web)"/>
    <w:basedOn w:val="1"/>
    <w:qFormat/>
    <w:uiPriority w:val="99"/>
    <w:pPr>
      <w:widowControl w:val="0"/>
      <w:spacing w:beforeAutospacing="1" w:afterAutospacing="1"/>
      <w:jc w:val="both"/>
    </w:pPr>
    <w:rPr>
      <w:kern w:val="2"/>
    </w:rPr>
  </w:style>
  <w:style w:type="paragraph" w:styleId="46">
    <w:name w:val="Title"/>
    <w:link w:val="92"/>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before="240" w:after="60"/>
      <w:jc w:val="center"/>
      <w:outlineLvl w:val="0"/>
    </w:pPr>
    <w:rPr>
      <w:rFonts w:ascii="Cambria" w:hAnsi="Cambria" w:eastAsia="宋体" w:cs="Times New Roman"/>
      <w:b/>
      <w:bCs/>
      <w:kern w:val="1"/>
      <w:sz w:val="32"/>
      <w:szCs w:val="32"/>
      <w:lang w:val="en-US" w:eastAsia="zh-CN" w:bidi="ar-SA"/>
    </w:rPr>
  </w:style>
  <w:style w:type="paragraph" w:styleId="47">
    <w:name w:val="annotation subject"/>
    <w:basedOn w:val="17"/>
    <w:next w:val="17"/>
    <w:link w:val="71"/>
    <w:qFormat/>
    <w:uiPriority w:val="0"/>
    <w:rPr>
      <w:b/>
      <w:bCs/>
    </w:rPr>
  </w:style>
  <w:style w:type="paragraph" w:styleId="48">
    <w:name w:val="Body Text First Indent"/>
    <w:basedOn w:val="20"/>
    <w:qFormat/>
    <w:uiPriority w:val="0"/>
    <w:pPr>
      <w:ind w:firstLine="420" w:firstLineChars="100"/>
    </w:pPr>
  </w:style>
  <w:style w:type="paragraph" w:styleId="49">
    <w:name w:val="Body Text First Indent 2"/>
    <w:basedOn w:val="21"/>
    <w:qFormat/>
    <w:uiPriority w:val="99"/>
    <w:pPr>
      <w:ind w:firstLine="420" w:firstLineChars="200"/>
    </w:p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3">
    <w:name w:val="Strong"/>
    <w:qFormat/>
    <w:uiPriority w:val="0"/>
    <w:rPr>
      <w:b/>
      <w:bCs/>
    </w:rPr>
  </w:style>
  <w:style w:type="character" w:styleId="54">
    <w:name w:val="page number"/>
    <w:basedOn w:val="52"/>
    <w:qFormat/>
    <w:uiPriority w:val="0"/>
  </w:style>
  <w:style w:type="character" w:styleId="55">
    <w:name w:val="FollowedHyperlink"/>
    <w:qFormat/>
    <w:uiPriority w:val="0"/>
    <w:rPr>
      <w:color w:val="231816"/>
      <w:u w:val="none"/>
    </w:rPr>
  </w:style>
  <w:style w:type="character" w:styleId="56">
    <w:name w:val="Emphasis"/>
    <w:qFormat/>
    <w:uiPriority w:val="20"/>
  </w:style>
  <w:style w:type="character" w:styleId="57">
    <w:name w:val="Hyperlink"/>
    <w:qFormat/>
    <w:uiPriority w:val="99"/>
    <w:rPr>
      <w:rFonts w:ascii="微软雅黑" w:hAnsi="微软雅黑" w:eastAsia="微软雅黑" w:cs="微软雅黑"/>
      <w:color w:val="3E3E3E"/>
      <w:sz w:val="21"/>
      <w:szCs w:val="21"/>
      <w:u w:val="none"/>
    </w:rPr>
  </w:style>
  <w:style w:type="character" w:styleId="58">
    <w:name w:val="annotation reference"/>
    <w:qFormat/>
    <w:uiPriority w:val="0"/>
    <w:rPr>
      <w:sz w:val="21"/>
      <w:szCs w:val="21"/>
    </w:rPr>
  </w:style>
  <w:style w:type="character" w:styleId="59">
    <w:name w:val="HTML Cite"/>
    <w:basedOn w:val="52"/>
    <w:unhideWhenUsed/>
    <w:qFormat/>
    <w:uiPriority w:val="99"/>
    <w:rPr>
      <w:rFonts w:ascii="Verdana" w:hAnsi="Verdana" w:eastAsia="楷体_GB2312" w:cs="宋体"/>
      <w:b/>
      <w:iCs/>
      <w:color w:val="008000"/>
      <w:kern w:val="0"/>
      <w:sz w:val="20"/>
      <w:szCs w:val="20"/>
      <w:u w:val="wavyHeavy" w:color="FF0000"/>
      <w:lang w:eastAsia="en-US"/>
    </w:rPr>
  </w:style>
  <w:style w:type="character" w:styleId="60">
    <w:name w:val="footnote reference"/>
    <w:basedOn w:val="52"/>
    <w:qFormat/>
    <w:uiPriority w:val="0"/>
    <w:rPr>
      <w:rFonts w:ascii="Verdana" w:hAnsi="Verdana" w:eastAsia="楷体_GB2312" w:cs="宋体"/>
      <w:b/>
      <w:i/>
      <w:iCs/>
      <w:color w:val="000000"/>
      <w:kern w:val="0"/>
      <w:sz w:val="20"/>
      <w:szCs w:val="20"/>
      <w:u w:val="wavyHeavy" w:color="FF0000"/>
      <w:vertAlign w:val="superscript"/>
      <w:lang w:eastAsia="en-US"/>
    </w:rPr>
  </w:style>
  <w:style w:type="character" w:customStyle="1" w:styleId="61">
    <w:name w:val="标题 1 Char"/>
    <w:basedOn w:val="52"/>
    <w:link w:val="3"/>
    <w:qFormat/>
    <w:uiPriority w:val="0"/>
    <w:rPr>
      <w:b/>
      <w:bCs/>
      <w:kern w:val="44"/>
      <w:sz w:val="44"/>
      <w:szCs w:val="44"/>
    </w:rPr>
  </w:style>
  <w:style w:type="character" w:customStyle="1" w:styleId="62">
    <w:name w:val="标题 2 Char"/>
    <w:link w:val="4"/>
    <w:qFormat/>
    <w:uiPriority w:val="0"/>
    <w:rPr>
      <w:rFonts w:ascii="Arial" w:hAnsi="Arial" w:eastAsia="黑体"/>
      <w:b/>
      <w:bCs/>
      <w:kern w:val="2"/>
      <w:sz w:val="32"/>
      <w:szCs w:val="32"/>
    </w:rPr>
  </w:style>
  <w:style w:type="character" w:customStyle="1" w:styleId="63">
    <w:name w:val="标题 3 Char"/>
    <w:basedOn w:val="52"/>
    <w:link w:val="5"/>
    <w:qFormat/>
    <w:uiPriority w:val="0"/>
    <w:rPr>
      <w:b/>
      <w:bCs/>
      <w:kern w:val="1"/>
      <w:sz w:val="32"/>
      <w:szCs w:val="32"/>
    </w:rPr>
  </w:style>
  <w:style w:type="character" w:customStyle="1" w:styleId="64">
    <w:name w:val="标题 4 Char"/>
    <w:basedOn w:val="52"/>
    <w:link w:val="6"/>
    <w:qFormat/>
    <w:uiPriority w:val="0"/>
    <w:rPr>
      <w:rFonts w:ascii="Arial" w:hAnsi="Arial" w:eastAsia="黑体"/>
      <w:b/>
      <w:bCs/>
      <w:kern w:val="1"/>
      <w:sz w:val="28"/>
      <w:szCs w:val="28"/>
    </w:rPr>
  </w:style>
  <w:style w:type="character" w:customStyle="1" w:styleId="65">
    <w:name w:val="标题 5 Char"/>
    <w:basedOn w:val="52"/>
    <w:link w:val="7"/>
    <w:qFormat/>
    <w:uiPriority w:val="0"/>
    <w:rPr>
      <w:b/>
      <w:bCs/>
      <w:kern w:val="1"/>
      <w:sz w:val="28"/>
      <w:szCs w:val="28"/>
    </w:rPr>
  </w:style>
  <w:style w:type="character" w:customStyle="1" w:styleId="66">
    <w:name w:val="标题 6 Char"/>
    <w:basedOn w:val="52"/>
    <w:link w:val="8"/>
    <w:qFormat/>
    <w:uiPriority w:val="0"/>
    <w:rPr>
      <w:rFonts w:ascii="Arial" w:hAnsi="Arial" w:eastAsia="黑体"/>
      <w:b/>
      <w:bCs/>
      <w:kern w:val="1"/>
      <w:sz w:val="24"/>
      <w:szCs w:val="24"/>
    </w:rPr>
  </w:style>
  <w:style w:type="character" w:customStyle="1" w:styleId="67">
    <w:name w:val="标题 7 Char"/>
    <w:basedOn w:val="52"/>
    <w:link w:val="9"/>
    <w:qFormat/>
    <w:uiPriority w:val="0"/>
    <w:rPr>
      <w:rFonts w:ascii="黑体" w:hAnsi="黑体" w:eastAsia="黑体"/>
      <w:bCs/>
      <w:kern w:val="1"/>
      <w:sz w:val="24"/>
      <w:szCs w:val="24"/>
    </w:rPr>
  </w:style>
  <w:style w:type="character" w:customStyle="1" w:styleId="68">
    <w:name w:val="标题 8 Char"/>
    <w:basedOn w:val="52"/>
    <w:link w:val="10"/>
    <w:qFormat/>
    <w:uiPriority w:val="0"/>
    <w:rPr>
      <w:rFonts w:ascii="Arial" w:hAnsi="Arial" w:eastAsia="黑体"/>
      <w:sz w:val="24"/>
      <w:szCs w:val="24"/>
    </w:rPr>
  </w:style>
  <w:style w:type="character" w:customStyle="1" w:styleId="69">
    <w:name w:val="标题 9 Char"/>
    <w:basedOn w:val="52"/>
    <w:link w:val="11"/>
    <w:qFormat/>
    <w:uiPriority w:val="0"/>
    <w:rPr>
      <w:rFonts w:ascii="Arial" w:hAnsi="Arial" w:eastAsia="黑体"/>
      <w:sz w:val="21"/>
      <w:szCs w:val="21"/>
    </w:rPr>
  </w:style>
  <w:style w:type="character" w:customStyle="1" w:styleId="70">
    <w:name w:val="批注文字 Char"/>
    <w:link w:val="17"/>
    <w:qFormat/>
    <w:uiPriority w:val="0"/>
    <w:rPr>
      <w:kern w:val="2"/>
      <w:sz w:val="21"/>
      <w:szCs w:val="24"/>
    </w:rPr>
  </w:style>
  <w:style w:type="character" w:customStyle="1" w:styleId="71">
    <w:name w:val="批注主题 Char"/>
    <w:basedOn w:val="70"/>
    <w:link w:val="47"/>
    <w:qFormat/>
    <w:uiPriority w:val="0"/>
    <w:rPr>
      <w:b/>
      <w:bCs/>
      <w:kern w:val="2"/>
      <w:sz w:val="21"/>
      <w:szCs w:val="24"/>
    </w:rPr>
  </w:style>
  <w:style w:type="character" w:customStyle="1" w:styleId="72">
    <w:name w:val="正文文本 Char"/>
    <w:link w:val="20"/>
    <w:qFormat/>
    <w:uiPriority w:val="0"/>
    <w:rPr>
      <w:kern w:val="2"/>
      <w:sz w:val="21"/>
      <w:szCs w:val="24"/>
    </w:rPr>
  </w:style>
  <w:style w:type="character" w:customStyle="1" w:styleId="73">
    <w:name w:val="文档结构图 Char"/>
    <w:basedOn w:val="52"/>
    <w:link w:val="16"/>
    <w:qFormat/>
    <w:uiPriority w:val="0"/>
    <w:rPr>
      <w:kern w:val="2"/>
      <w:sz w:val="21"/>
      <w:szCs w:val="24"/>
      <w:shd w:val="clear" w:color="auto" w:fill="000080"/>
    </w:rPr>
  </w:style>
  <w:style w:type="character" w:customStyle="1" w:styleId="74">
    <w:name w:val="称呼 Char"/>
    <w:link w:val="18"/>
    <w:qFormat/>
    <w:uiPriority w:val="0"/>
    <w:rPr>
      <w:kern w:val="2"/>
      <w:sz w:val="28"/>
      <w:szCs w:val="24"/>
    </w:rPr>
  </w:style>
  <w:style w:type="character" w:customStyle="1" w:styleId="75">
    <w:name w:val="正文文本缩进 Char"/>
    <w:link w:val="21"/>
    <w:qFormat/>
    <w:uiPriority w:val="0"/>
    <w:rPr>
      <w:kern w:val="2"/>
      <w:sz w:val="24"/>
      <w:szCs w:val="24"/>
    </w:rPr>
  </w:style>
  <w:style w:type="character" w:customStyle="1" w:styleId="76">
    <w:name w:val="纯文本 Char"/>
    <w:link w:val="26"/>
    <w:qFormat/>
    <w:uiPriority w:val="0"/>
    <w:rPr>
      <w:rFonts w:ascii="宋体" w:hAnsi="Courier New"/>
      <w:kern w:val="2"/>
      <w:sz w:val="21"/>
    </w:rPr>
  </w:style>
  <w:style w:type="character" w:customStyle="1" w:styleId="77">
    <w:name w:val="正文文本缩进 2 Char"/>
    <w:basedOn w:val="52"/>
    <w:link w:val="29"/>
    <w:qFormat/>
    <w:uiPriority w:val="0"/>
    <w:rPr>
      <w:kern w:val="2"/>
      <w:sz w:val="21"/>
      <w:szCs w:val="24"/>
    </w:rPr>
  </w:style>
  <w:style w:type="character" w:customStyle="1" w:styleId="78">
    <w:name w:val="批注框文本 Char"/>
    <w:basedOn w:val="52"/>
    <w:link w:val="30"/>
    <w:qFormat/>
    <w:uiPriority w:val="0"/>
    <w:rPr>
      <w:kern w:val="2"/>
      <w:sz w:val="18"/>
      <w:szCs w:val="18"/>
    </w:rPr>
  </w:style>
  <w:style w:type="character" w:customStyle="1" w:styleId="79">
    <w:name w:val="页脚 Char1"/>
    <w:link w:val="31"/>
    <w:qFormat/>
    <w:uiPriority w:val="0"/>
    <w:rPr>
      <w:kern w:val="2"/>
      <w:sz w:val="18"/>
      <w:szCs w:val="18"/>
    </w:rPr>
  </w:style>
  <w:style w:type="character" w:customStyle="1" w:styleId="80">
    <w:name w:val="页眉 Char1"/>
    <w:link w:val="32"/>
    <w:qFormat/>
    <w:uiPriority w:val="0"/>
    <w:rPr>
      <w:kern w:val="2"/>
      <w:sz w:val="18"/>
      <w:szCs w:val="18"/>
    </w:rPr>
  </w:style>
  <w:style w:type="character" w:customStyle="1" w:styleId="81">
    <w:name w:val="副标题 Char"/>
    <w:link w:val="35"/>
    <w:qFormat/>
    <w:uiPriority w:val="0"/>
    <w:rPr>
      <w:rFonts w:ascii="Cambria" w:hAnsi="Cambria" w:cs="Times New Roman"/>
      <w:b/>
      <w:bCs/>
      <w:kern w:val="28"/>
      <w:sz w:val="32"/>
      <w:szCs w:val="32"/>
    </w:rPr>
  </w:style>
  <w:style w:type="character" w:customStyle="1" w:styleId="82">
    <w:name w:val="脚注文本 Char"/>
    <w:link w:val="37"/>
    <w:qFormat/>
    <w:uiPriority w:val="0"/>
    <w:rPr>
      <w:sz w:val="18"/>
    </w:rPr>
  </w:style>
  <w:style w:type="character" w:customStyle="1" w:styleId="83">
    <w:name w:val="正文文本缩进 3 Char"/>
    <w:basedOn w:val="52"/>
    <w:link w:val="39"/>
    <w:qFormat/>
    <w:uiPriority w:val="0"/>
    <w:rPr>
      <w:rFonts w:eastAsia="黑体"/>
      <w:b/>
      <w:bCs/>
      <w:kern w:val="2"/>
      <w:sz w:val="72"/>
      <w:szCs w:val="24"/>
    </w:rPr>
  </w:style>
  <w:style w:type="paragraph" w:customStyle="1" w:styleId="84">
    <w:name w:val="默认段落字体 Para Char Char Char Char Char Char Char Char Char Char Char Char Char"/>
    <w:basedOn w:val="16"/>
    <w:qFormat/>
    <w:uiPriority w:val="0"/>
    <w:rPr>
      <w:rFonts w:ascii="Tahoma" w:hAnsi="Tahoma"/>
      <w:sz w:val="24"/>
    </w:rPr>
  </w:style>
  <w:style w:type="paragraph" w:customStyle="1" w:styleId="85">
    <w:name w:val="无间隔1"/>
    <w:qFormat/>
    <w:uiPriority w:val="0"/>
    <w:pPr>
      <w:widowControl w:val="0"/>
      <w:pBdr>
        <w:top w:val="none" w:color="000000" w:sz="0" w:space="3"/>
        <w:left w:val="none" w:color="000000" w:sz="0" w:space="3"/>
        <w:bottom w:val="none" w:color="000000" w:sz="0" w:space="3"/>
        <w:right w:val="none" w:color="000000" w:sz="0" w:space="3"/>
        <w:between w:val="none" w:color="000000" w:sz="0" w:space="0"/>
      </w:pBdr>
    </w:pPr>
    <w:rPr>
      <w:rFonts w:ascii="Calibri" w:hAnsi="Calibri" w:eastAsia="宋体" w:cs="Times New Roman"/>
      <w:kern w:val="1"/>
      <w:sz w:val="22"/>
      <w:szCs w:val="22"/>
      <w:lang w:val="en-US" w:eastAsia="zh-CN" w:bidi="ar-SA"/>
    </w:rPr>
  </w:style>
  <w:style w:type="character" w:customStyle="1" w:styleId="86">
    <w:name w:val="正文文本 3 Char"/>
    <w:basedOn w:val="52"/>
    <w:link w:val="19"/>
    <w:qFormat/>
    <w:uiPriority w:val="0"/>
    <w:rPr>
      <w:rFonts w:ascii="仿宋_GB2312" w:hAnsi="仿宋_GB2312" w:eastAsia="仿宋_GB2312"/>
      <w:bCs/>
      <w:kern w:val="1"/>
      <w:sz w:val="24"/>
      <w:szCs w:val="30"/>
    </w:rPr>
  </w:style>
  <w:style w:type="character" w:customStyle="1" w:styleId="87">
    <w:name w:val="日期 Char"/>
    <w:basedOn w:val="52"/>
    <w:link w:val="28"/>
    <w:qFormat/>
    <w:uiPriority w:val="0"/>
    <w:rPr>
      <w:kern w:val="1"/>
      <w:sz w:val="28"/>
      <w:szCs w:val="24"/>
    </w:rPr>
  </w:style>
  <w:style w:type="character" w:customStyle="1" w:styleId="88">
    <w:name w:val="页脚 Char"/>
    <w:basedOn w:val="52"/>
    <w:qFormat/>
    <w:uiPriority w:val="0"/>
    <w:rPr>
      <w:kern w:val="1"/>
      <w:sz w:val="18"/>
      <w:szCs w:val="18"/>
    </w:rPr>
  </w:style>
  <w:style w:type="character" w:customStyle="1" w:styleId="89">
    <w:name w:val="页眉 Char"/>
    <w:basedOn w:val="52"/>
    <w:qFormat/>
    <w:uiPriority w:val="0"/>
    <w:rPr>
      <w:kern w:val="1"/>
      <w:sz w:val="18"/>
      <w:szCs w:val="18"/>
    </w:rPr>
  </w:style>
  <w:style w:type="character" w:customStyle="1" w:styleId="90">
    <w:name w:val="正文文本 2 Char"/>
    <w:basedOn w:val="52"/>
    <w:link w:val="43"/>
    <w:qFormat/>
    <w:uiPriority w:val="0"/>
    <w:rPr>
      <w:rFonts w:ascii="楷体_GB2312" w:hAnsi="楷体_GB2312" w:eastAsia="楷体_GB2312"/>
      <w:b/>
      <w:bCs/>
      <w:kern w:val="1"/>
      <w:sz w:val="24"/>
      <w:szCs w:val="21"/>
      <w:u w:val="single"/>
    </w:rPr>
  </w:style>
  <w:style w:type="character" w:customStyle="1" w:styleId="91">
    <w:name w:val="HTML 预设格式 Char"/>
    <w:basedOn w:val="52"/>
    <w:link w:val="44"/>
    <w:qFormat/>
    <w:uiPriority w:val="0"/>
    <w:rPr>
      <w:rFonts w:ascii="宋体" w:hAnsi="宋体"/>
      <w:kern w:val="1"/>
      <w:sz w:val="24"/>
      <w:szCs w:val="24"/>
    </w:rPr>
  </w:style>
  <w:style w:type="character" w:customStyle="1" w:styleId="92">
    <w:name w:val="标题 Char"/>
    <w:basedOn w:val="52"/>
    <w:link w:val="46"/>
    <w:qFormat/>
    <w:uiPriority w:val="0"/>
    <w:rPr>
      <w:rFonts w:ascii="Cambria" w:hAnsi="Cambria"/>
      <w:b/>
      <w:bCs/>
      <w:kern w:val="1"/>
      <w:sz w:val="32"/>
      <w:szCs w:val="32"/>
    </w:rPr>
  </w:style>
  <w:style w:type="paragraph" w:customStyle="1" w:styleId="93">
    <w:name w:val="批注文字1"/>
    <w:qFormat/>
    <w:uiPriority w:val="0"/>
    <w:pPr>
      <w:widowControl w:val="0"/>
      <w:pBdr>
        <w:top w:val="none" w:color="000000" w:sz="0" w:space="3"/>
        <w:left w:val="none" w:color="000000" w:sz="0" w:space="3"/>
        <w:bottom w:val="none" w:color="000000" w:sz="0" w:space="3"/>
        <w:right w:val="none" w:color="000000" w:sz="0" w:space="3"/>
        <w:between w:val="none" w:color="000000" w:sz="0" w:space="0"/>
      </w:pBdr>
    </w:pPr>
    <w:rPr>
      <w:rFonts w:ascii="Times New Roman" w:hAnsi="Times New Roman" w:eastAsia="宋体" w:cs="Times New Roman"/>
      <w:kern w:val="1"/>
      <w:sz w:val="22"/>
      <w:szCs w:val="24"/>
      <w:lang w:val="en-US" w:eastAsia="zh-CN" w:bidi="ar-SA"/>
    </w:rPr>
  </w:style>
  <w:style w:type="paragraph" w:customStyle="1" w:styleId="94">
    <w:name w:val="批注主题1"/>
    <w:basedOn w:val="93"/>
    <w:next w:val="93"/>
    <w:qFormat/>
    <w:uiPriority w:val="0"/>
    <w:rPr>
      <w:b/>
      <w:bCs/>
      <w:sz w:val="21"/>
    </w:rPr>
  </w:style>
  <w:style w:type="paragraph" w:customStyle="1" w:styleId="95">
    <w:name w:val="页脚1"/>
    <w:qFormat/>
    <w:uiPriority w:val="0"/>
    <w:pPr>
      <w:widowControl w:val="0"/>
      <w:pBdr>
        <w:top w:val="none" w:color="000000" w:sz="0" w:space="3"/>
        <w:left w:val="none" w:color="000000" w:sz="0" w:space="3"/>
        <w:bottom w:val="none" w:color="000000" w:sz="0" w:space="3"/>
        <w:right w:val="none" w:color="000000" w:sz="0" w:space="3"/>
        <w:between w:val="none" w:color="000000" w:sz="0" w:space="0"/>
      </w:pBdr>
      <w:tabs>
        <w:tab w:val="center" w:pos="4153"/>
        <w:tab w:val="right" w:pos="8306"/>
      </w:tabs>
    </w:pPr>
    <w:rPr>
      <w:rFonts w:ascii="Times New Roman" w:hAnsi="Times New Roman" w:eastAsia="宋体" w:cs="Times New Roman"/>
      <w:kern w:val="1"/>
      <w:sz w:val="18"/>
      <w:szCs w:val="18"/>
      <w:lang w:val="en-US" w:eastAsia="zh-CN" w:bidi="ar-SA"/>
    </w:rPr>
  </w:style>
  <w:style w:type="paragraph" w:customStyle="1" w:styleId="96">
    <w:name w:val="页眉1"/>
    <w:qFormat/>
    <w:uiPriority w:val="0"/>
    <w:pPr>
      <w:widowControl w:val="0"/>
      <w:pBdr>
        <w:top w:val="none" w:color="000000" w:sz="0" w:space="3"/>
        <w:left w:val="none" w:color="000000" w:sz="0" w:space="3"/>
        <w:bottom w:val="single" w:color="000000" w:sz="6" w:space="1"/>
        <w:right w:val="none" w:color="000000" w:sz="0" w:space="3"/>
        <w:between w:val="none" w:color="000000" w:sz="0" w:space="0"/>
      </w:pBdr>
      <w:tabs>
        <w:tab w:val="center" w:pos="4153"/>
        <w:tab w:val="right" w:pos="8306"/>
      </w:tabs>
      <w:jc w:val="center"/>
    </w:pPr>
    <w:rPr>
      <w:rFonts w:ascii="Times New Roman" w:hAnsi="Times New Roman" w:eastAsia="宋体" w:cs="Times New Roman"/>
      <w:kern w:val="1"/>
      <w:sz w:val="18"/>
      <w:szCs w:val="18"/>
      <w:lang w:val="en-US" w:eastAsia="zh-CN" w:bidi="ar-SA"/>
    </w:rPr>
  </w:style>
  <w:style w:type="paragraph" w:customStyle="1" w:styleId="97">
    <w:name w:val="列出段落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Times New Roman" w:hAnsi="Times New Roman" w:eastAsia="宋体" w:cs="Times New Roman"/>
      <w:kern w:val="1"/>
      <w:sz w:val="21"/>
      <w:szCs w:val="24"/>
      <w:lang w:val="en-US" w:eastAsia="zh-CN" w:bidi="ar-SA"/>
    </w:rPr>
  </w:style>
  <w:style w:type="paragraph" w:customStyle="1" w:styleId="98">
    <w:name w:val="TOC 标题1"/>
    <w:basedOn w:val="97"/>
    <w:qFormat/>
    <w:uiPriority w:val="0"/>
    <w:pPr>
      <w:spacing w:before="480" w:line="276" w:lineRule="auto"/>
    </w:pPr>
    <w:rPr>
      <w:rFonts w:ascii="Cambria" w:hAnsi="Cambria"/>
      <w:color w:val="365F91"/>
      <w:sz w:val="28"/>
      <w:szCs w:val="28"/>
    </w:rPr>
  </w:style>
  <w:style w:type="paragraph" w:customStyle="1" w:styleId="99">
    <w:name w:val="xl33"/>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Times New Roman"/>
      <w:kern w:val="1"/>
      <w:lang w:val="en-US" w:eastAsia="zh-CN" w:bidi="ar-SA"/>
    </w:rPr>
  </w:style>
  <w:style w:type="paragraph" w:customStyle="1" w:styleId="100">
    <w:name w:val="Char3 Char Char1 Char Char Char Char"/>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4"/>
      <w:lang w:val="en-US" w:eastAsia="zh-CN" w:bidi="ar-SA"/>
    </w:rPr>
  </w:style>
  <w:style w:type="paragraph" w:customStyle="1" w:styleId="101">
    <w:name w:val="xl35"/>
    <w:qFormat/>
    <w:uiPriority w:val="0"/>
    <w:pPr>
      <w:pBdr>
        <w:top w:val="none" w:color="000000" w:sz="0" w:space="3"/>
        <w:left w:val="single" w:color="000000" w:sz="4" w:space="0"/>
        <w:bottom w:val="single" w:color="000000" w:sz="4" w:space="0"/>
        <w:right w:val="single" w:color="000000" w:sz="4" w:space="0"/>
        <w:between w:val="none" w:color="000000" w:sz="0" w:space="0"/>
      </w:pBdr>
      <w:spacing w:before="100" w:beforeAutospacing="1" w:after="100" w:afterAutospacing="1"/>
      <w:jc w:val="both"/>
    </w:pPr>
    <w:rPr>
      <w:rFonts w:ascii="Arial Unicode MS" w:hAnsi="Arial Unicode MS" w:eastAsia="Arial Unicode MS" w:cs="Times New Roman"/>
      <w:kern w:val="1"/>
      <w:sz w:val="24"/>
      <w:szCs w:val="24"/>
      <w:lang w:val="en-US" w:eastAsia="zh-CN" w:bidi="ar-SA"/>
    </w:rPr>
  </w:style>
  <w:style w:type="paragraph" w:customStyle="1" w:styleId="102">
    <w:name w:val="Char Char Char Char"/>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before="120" w:after="120" w:line="360" w:lineRule="auto"/>
      <w:ind w:firstLine="420"/>
      <w:jc w:val="both"/>
    </w:pPr>
    <w:rPr>
      <w:rFonts w:ascii="Tahoma" w:hAnsi="Tahoma" w:eastAsia="宋体" w:cs="Times New Roman"/>
      <w:kern w:val="1"/>
      <w:sz w:val="28"/>
      <w:lang w:val="en-US" w:eastAsia="zh-CN" w:bidi="ar-SA"/>
    </w:rPr>
  </w:style>
  <w:style w:type="paragraph" w:customStyle="1" w:styleId="103">
    <w:name w:val="xl68"/>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kern w:val="1"/>
      <w:lang w:val="en-US" w:eastAsia="zh-CN" w:bidi="ar-SA"/>
    </w:rPr>
  </w:style>
  <w:style w:type="paragraph" w:customStyle="1" w:styleId="104">
    <w:name w:val="标题 21"/>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before="65"/>
      <w:ind w:left="156"/>
      <w:outlineLvl w:val="2"/>
    </w:pPr>
    <w:rPr>
      <w:rFonts w:ascii="微软雅黑" w:hAnsi="微软雅黑" w:eastAsia="微软雅黑" w:cs="Times New Roman"/>
      <w:b/>
      <w:bCs/>
      <w:kern w:val="1"/>
      <w:sz w:val="21"/>
      <w:szCs w:val="21"/>
      <w:lang w:val="en-US" w:eastAsia="zh-CN" w:bidi="ar-SA"/>
    </w:rPr>
  </w:style>
  <w:style w:type="paragraph" w:customStyle="1" w:styleId="105">
    <w:name w:val="font9"/>
    <w:qFormat/>
    <w:uiPriority w:val="0"/>
    <w:pPr>
      <w:pBdr>
        <w:top w:val="none" w:color="000000" w:sz="0" w:space="3"/>
        <w:left w:val="none" w:color="000000" w:sz="0" w:space="3"/>
        <w:bottom w:val="none" w:color="000000" w:sz="0" w:space="3"/>
        <w:right w:val="none" w:color="000000" w:sz="0" w:space="3"/>
        <w:between w:val="none" w:color="000000" w:sz="0" w:space="0"/>
      </w:pBdr>
      <w:spacing w:before="100" w:beforeAutospacing="1" w:after="100" w:afterAutospacing="1"/>
    </w:pPr>
    <w:rPr>
      <w:rFonts w:ascii="Times New Roman" w:hAnsi="Times New Roman" w:eastAsia="宋体" w:cs="Times New Roman"/>
      <w:kern w:val="1"/>
      <w:sz w:val="24"/>
      <w:szCs w:val="24"/>
      <w:lang w:val="en-US" w:eastAsia="zh-CN" w:bidi="ar-SA"/>
    </w:rPr>
  </w:style>
  <w:style w:type="paragraph" w:customStyle="1" w:styleId="106">
    <w:name w:val="font7"/>
    <w:qFormat/>
    <w:uiPriority w:val="0"/>
    <w:pPr>
      <w:pBdr>
        <w:top w:val="none" w:color="000000" w:sz="0" w:space="3"/>
        <w:left w:val="none" w:color="000000" w:sz="0" w:space="3"/>
        <w:bottom w:val="none" w:color="000000" w:sz="0" w:space="3"/>
        <w:right w:val="none" w:color="000000" w:sz="0" w:space="3"/>
        <w:between w:val="none" w:color="000000" w:sz="0" w:space="0"/>
      </w:pBdr>
      <w:spacing w:before="100" w:beforeAutospacing="1" w:after="100" w:afterAutospacing="1"/>
    </w:pPr>
    <w:rPr>
      <w:rFonts w:hint="eastAsia" w:ascii="黑体" w:hAnsi="黑体" w:eastAsia="黑体" w:cs="Times New Roman"/>
      <w:kern w:val="1"/>
      <w:sz w:val="24"/>
      <w:szCs w:val="24"/>
      <w:lang w:val="en-US" w:eastAsia="zh-CN" w:bidi="ar-SA"/>
    </w:rPr>
  </w:style>
  <w:style w:type="paragraph" w:customStyle="1" w:styleId="107">
    <w:name w:val="Char Char Char1 Char Char Char Char"/>
    <w:next w:val="39"/>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line="600" w:lineRule="exact"/>
      <w:jc w:val="center"/>
      <w:outlineLvl w:val="2"/>
    </w:pPr>
    <w:rPr>
      <w:rFonts w:ascii="Times New Roman" w:hAnsi="Times New Roman" w:eastAsia="宋体" w:cs="Times New Roman"/>
      <w:kern w:val="1"/>
      <w:sz w:val="22"/>
      <w:lang w:val="en-US" w:eastAsia="zh-CN" w:bidi="ar-SA"/>
    </w:rPr>
  </w:style>
  <w:style w:type="paragraph" w:customStyle="1" w:styleId="108">
    <w:name w:val="xl69"/>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pPr>
    <w:rPr>
      <w:rFonts w:ascii="宋体" w:hAnsi="宋体" w:eastAsia="宋体" w:cs="宋体"/>
      <w:kern w:val="1"/>
      <w:lang w:val="en-US" w:eastAsia="zh-CN" w:bidi="ar-SA"/>
    </w:rPr>
  </w:style>
  <w:style w:type="paragraph" w:customStyle="1" w:styleId="109">
    <w:name w:val="简单回函地址"/>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宋体" w:hAnsi="宋体" w:eastAsia="宋体" w:cs="Times New Roman"/>
      <w:bCs/>
      <w:kern w:val="1"/>
      <w:sz w:val="24"/>
      <w:szCs w:val="21"/>
      <w:lang w:val="en-US" w:eastAsia="zh-CN" w:bidi="ar-SA"/>
    </w:rPr>
  </w:style>
  <w:style w:type="paragraph" w:customStyle="1" w:styleId="110">
    <w:name w:val="样式2"/>
    <w:basedOn w:val="38"/>
    <w:qFormat/>
    <w:uiPriority w:val="0"/>
    <w:pPr>
      <w:pBdr>
        <w:bottom w:val="single" w:color="000000" w:sz="6" w:space="1"/>
      </w:pBdr>
      <w:tabs>
        <w:tab w:val="left" w:pos="2520"/>
        <w:tab w:val="left" w:pos="2580"/>
      </w:tabs>
      <w:ind w:left="2580" w:hanging="420"/>
      <w:jc w:val="center"/>
    </w:pPr>
    <w:rPr>
      <w:sz w:val="36"/>
      <w:szCs w:val="36"/>
    </w:rPr>
  </w:style>
  <w:style w:type="paragraph" w:customStyle="1" w:styleId="111">
    <w:name w:val="font5"/>
    <w:qFormat/>
    <w:uiPriority w:val="0"/>
    <w:pPr>
      <w:pBdr>
        <w:top w:val="none" w:color="000000" w:sz="0" w:space="3"/>
        <w:left w:val="none" w:color="000000" w:sz="0" w:space="3"/>
        <w:bottom w:val="none" w:color="000000" w:sz="0" w:space="3"/>
        <w:right w:val="none" w:color="000000" w:sz="0" w:space="3"/>
        <w:between w:val="none" w:color="000000" w:sz="0" w:space="0"/>
      </w:pBdr>
      <w:spacing w:before="100" w:beforeAutospacing="1" w:after="100" w:afterAutospacing="1"/>
    </w:pPr>
    <w:rPr>
      <w:rFonts w:hint="eastAsia" w:ascii="宋体" w:hAnsi="宋体" w:eastAsia="宋体" w:cs="Times New Roman"/>
      <w:kern w:val="1"/>
      <w:sz w:val="24"/>
      <w:szCs w:val="24"/>
      <w:lang w:val="en-US" w:eastAsia="zh-CN" w:bidi="ar-SA"/>
    </w:rPr>
  </w:style>
  <w:style w:type="paragraph" w:customStyle="1" w:styleId="112">
    <w:name w:val="(1)"/>
    <w:qFormat/>
    <w:uiPriority w:val="0"/>
    <w:pPr>
      <w:widowControl w:val="0"/>
      <w:pBdr>
        <w:top w:val="none" w:color="000000" w:sz="0" w:space="3"/>
        <w:left w:val="none" w:color="000000" w:sz="0" w:space="3"/>
        <w:bottom w:val="none" w:color="000000" w:sz="0" w:space="3"/>
        <w:right w:val="none" w:color="000000" w:sz="0" w:space="3"/>
        <w:between w:val="none" w:color="000000" w:sz="0" w:space="0"/>
      </w:pBdr>
      <w:tabs>
        <w:tab w:val="left" w:pos="1134"/>
      </w:tabs>
      <w:spacing w:line="400" w:lineRule="atLeast"/>
      <w:ind w:left="1134" w:hanging="567"/>
      <w:jc w:val="both"/>
    </w:pPr>
    <w:rPr>
      <w:rFonts w:ascii="Arial" w:hAnsi="Arial" w:eastAsia="宋体" w:cs="Arial"/>
      <w:kern w:val="1"/>
      <w:sz w:val="24"/>
      <w:szCs w:val="24"/>
      <w:lang w:val="en-US" w:eastAsia="zh-CN" w:bidi="ar-SA"/>
    </w:rPr>
  </w:style>
  <w:style w:type="paragraph" w:customStyle="1" w:styleId="113">
    <w:name w:val="xl70"/>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kern w:val="1"/>
      <w:lang w:val="en-US" w:eastAsia="zh-CN" w:bidi="ar-SA"/>
    </w:rPr>
  </w:style>
  <w:style w:type="paragraph" w:customStyle="1" w:styleId="114">
    <w:name w:val="Char3 Char Char1 Char Char Char Char1"/>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1"/>
      <w:lang w:val="en-US" w:eastAsia="zh-CN" w:bidi="ar-SA"/>
    </w:rPr>
  </w:style>
  <w:style w:type="paragraph" w:customStyle="1" w:styleId="115">
    <w:name w:val="样式 样式 样式 标题 3 + 行距: 1.5 倍行距 + 宋体 + 仿宋_GB2312"/>
    <w:qFormat/>
    <w:uiPriority w:val="0"/>
    <w:pPr>
      <w:keepNext/>
      <w:keepLines/>
      <w:widowControl w:val="0"/>
      <w:pBdr>
        <w:top w:val="none" w:color="000000" w:sz="0" w:space="3"/>
        <w:left w:val="none" w:color="000000" w:sz="0" w:space="3"/>
        <w:bottom w:val="none" w:color="000000" w:sz="0" w:space="3"/>
        <w:right w:val="none" w:color="000000" w:sz="0" w:space="3"/>
        <w:between w:val="none" w:color="000000" w:sz="0" w:space="0"/>
      </w:pBdr>
      <w:tabs>
        <w:tab w:val="center" w:pos="4536"/>
        <w:tab w:val="left" w:pos="6480"/>
      </w:tabs>
      <w:spacing w:before="260" w:after="260"/>
      <w:jc w:val="center"/>
      <w:outlineLvl w:val="2"/>
    </w:pPr>
    <w:rPr>
      <w:rFonts w:ascii="仿宋_GB2312" w:hAnsi="仿宋_GB2312" w:eastAsia="黑体" w:cs="宋体"/>
      <w:bCs/>
      <w:kern w:val="1"/>
      <w:sz w:val="32"/>
      <w:szCs w:val="32"/>
      <w:lang w:val="en-US" w:eastAsia="zh-CN" w:bidi="ar-SA"/>
    </w:rPr>
  </w:style>
  <w:style w:type="paragraph" w:customStyle="1" w:styleId="116">
    <w:name w:val="xl27"/>
    <w:qFormat/>
    <w:uiPriority w:val="0"/>
    <w:pPr>
      <w:pBdr>
        <w:top w:val="single" w:color="000000" w:sz="4" w:space="0"/>
        <w:left w:val="single" w:color="000000" w:sz="4" w:space="0"/>
        <w:bottom w:val="single" w:color="000000" w:sz="4" w:space="0"/>
        <w:right w:val="single" w:color="000000" w:sz="4" w:space="0"/>
        <w:between w:val="none" w:color="000000" w:sz="0" w:space="0"/>
      </w:pBdr>
      <w:shd w:val="clear" w:color="000000" w:fill="C0C0C0"/>
      <w:spacing w:before="100" w:beforeAutospacing="1" w:after="100" w:afterAutospacing="1"/>
      <w:jc w:val="center"/>
    </w:pPr>
    <w:rPr>
      <w:rFonts w:hint="eastAsia" w:ascii="仿宋_GB2312" w:hAnsi="仿宋_GB2312" w:eastAsia="仿宋_GB2312" w:cs="Times New Roman"/>
      <w:kern w:val="1"/>
      <w:lang w:val="en-US" w:eastAsia="zh-CN" w:bidi="ar-SA"/>
    </w:rPr>
  </w:style>
  <w:style w:type="paragraph" w:customStyle="1" w:styleId="117">
    <w:name w:val="Char Char Char Char Char Char Char"/>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position w:val="-1"/>
      <w:sz w:val="24"/>
      <w:szCs w:val="24"/>
      <w:lang w:val="en-US" w:eastAsia="zh-CN" w:bidi="ar-SA"/>
    </w:rPr>
  </w:style>
  <w:style w:type="paragraph" w:customStyle="1" w:styleId="118">
    <w:name w:val="xl73"/>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pPr>
    <w:rPr>
      <w:rFonts w:ascii="宋体" w:hAnsi="宋体" w:eastAsia="宋体" w:cs="宋体"/>
      <w:kern w:val="1"/>
      <w:lang w:val="en-US" w:eastAsia="zh-CN" w:bidi="ar-SA"/>
    </w:rPr>
  </w:style>
  <w:style w:type="paragraph" w:customStyle="1" w:styleId="119">
    <w:name w:val="xl31"/>
    <w:qFormat/>
    <w:uiPriority w:val="0"/>
    <w:pPr>
      <w:pBdr>
        <w:top w:val="none" w:color="000000" w:sz="0" w:space="3"/>
        <w:left w:val="none" w:color="000000" w:sz="0" w:space="3"/>
        <w:bottom w:val="none" w:color="000000" w:sz="0" w:space="3"/>
        <w:right w:val="none" w:color="000000" w:sz="0" w:space="3"/>
        <w:between w:val="none" w:color="000000" w:sz="0" w:space="0"/>
      </w:pBdr>
      <w:spacing w:before="100" w:beforeAutospacing="1" w:after="100" w:afterAutospacing="1"/>
      <w:jc w:val="center"/>
    </w:pPr>
    <w:rPr>
      <w:rFonts w:hint="eastAsia" w:ascii="黑体" w:hAnsi="黑体" w:eastAsia="黑体" w:cs="Times New Roman"/>
      <w:kern w:val="1"/>
      <w:sz w:val="32"/>
      <w:szCs w:val="32"/>
      <w:lang w:val="en-US" w:eastAsia="zh-CN" w:bidi="ar-SA"/>
    </w:rPr>
  </w:style>
  <w:style w:type="paragraph" w:customStyle="1" w:styleId="120">
    <w:name w:val="4"/>
    <w:basedOn w:val="6"/>
    <w:qFormat/>
    <w:uiPriority w:val="0"/>
    <w:pPr>
      <w:spacing w:before="60" w:after="60" w:line="300" w:lineRule="auto"/>
    </w:pPr>
    <w:rPr>
      <w:b w:val="0"/>
      <w:bCs w:val="0"/>
      <w:sz w:val="24"/>
      <w:szCs w:val="20"/>
    </w:rPr>
  </w:style>
  <w:style w:type="paragraph" w:customStyle="1" w:styleId="121">
    <w:name w:val="1.1.1"/>
    <w:qFormat/>
    <w:uiPriority w:val="0"/>
    <w:pPr>
      <w:widowControl w:val="0"/>
      <w:pBdr>
        <w:top w:val="none" w:color="000000" w:sz="0" w:space="3"/>
        <w:left w:val="none" w:color="000000" w:sz="0" w:space="3"/>
        <w:bottom w:val="none" w:color="000000" w:sz="0" w:space="3"/>
        <w:right w:val="none" w:color="000000" w:sz="0" w:space="3"/>
        <w:between w:val="none" w:color="000000" w:sz="0" w:space="0"/>
      </w:pBdr>
      <w:tabs>
        <w:tab w:val="left" w:pos="0"/>
        <w:tab w:val="left" w:pos="1134"/>
        <w:tab w:val="left" w:pos="8505"/>
      </w:tabs>
      <w:spacing w:before="240" w:after="60" w:line="360" w:lineRule="atLeast"/>
      <w:jc w:val="both"/>
    </w:pPr>
    <w:rPr>
      <w:rFonts w:ascii="宋体" w:hAnsi="宋体" w:eastAsia="宋体" w:cs="Times New Roman"/>
      <w:b/>
      <w:kern w:val="1"/>
      <w:sz w:val="24"/>
      <w:lang w:val="en-US" w:eastAsia="zh-CN" w:bidi="ar-SA"/>
    </w:rPr>
  </w:style>
  <w:style w:type="paragraph" w:customStyle="1" w:styleId="122">
    <w:name w:val="xl34"/>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pPr>
    <w:rPr>
      <w:rFonts w:ascii="宋体" w:hAnsi="宋体" w:eastAsia="宋体" w:cs="Times New Roman"/>
      <w:kern w:val="1"/>
      <w:sz w:val="24"/>
      <w:szCs w:val="24"/>
      <w:lang w:val="en-US" w:eastAsia="zh-CN" w:bidi="ar-SA"/>
    </w:rPr>
  </w:style>
  <w:style w:type="paragraph" w:customStyle="1" w:styleId="123">
    <w:name w:val="xl76"/>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kern w:val="1"/>
      <w:lang w:val="en-US" w:eastAsia="zh-CN" w:bidi="ar-SA"/>
    </w:rPr>
  </w:style>
  <w:style w:type="paragraph" w:customStyle="1" w:styleId="124">
    <w:name w:val="标题 1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156"/>
      <w:outlineLvl w:val="1"/>
    </w:pPr>
    <w:rPr>
      <w:rFonts w:ascii="微软雅黑" w:hAnsi="微软雅黑" w:eastAsia="微软雅黑" w:cs="Times New Roman"/>
      <w:b/>
      <w:bCs/>
      <w:kern w:val="1"/>
      <w:sz w:val="24"/>
      <w:szCs w:val="24"/>
      <w:lang w:val="en-US" w:eastAsia="zh-CN" w:bidi="ar-SA"/>
    </w:rPr>
  </w:style>
  <w:style w:type="paragraph" w:customStyle="1" w:styleId="125">
    <w:name w:val="xl75"/>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kern w:val="1"/>
      <w:sz w:val="24"/>
      <w:szCs w:val="24"/>
      <w:lang w:val="en-US" w:eastAsia="zh-CN" w:bidi="ar-SA"/>
    </w:rPr>
  </w:style>
  <w:style w:type="paragraph" w:customStyle="1" w:styleId="126">
    <w:name w:val="p0"/>
    <w:qFormat/>
    <w:uiPriority w:val="0"/>
    <w:pPr>
      <w:pBdr>
        <w:top w:val="none" w:color="000000" w:sz="0" w:space="3"/>
        <w:left w:val="none" w:color="000000" w:sz="0" w:space="3"/>
        <w:bottom w:val="none" w:color="000000" w:sz="0" w:space="3"/>
        <w:right w:val="none" w:color="000000" w:sz="0" w:space="3"/>
        <w:between w:val="none" w:color="000000" w:sz="0" w:space="0"/>
      </w:pBdr>
      <w:jc w:val="both"/>
    </w:pPr>
    <w:rPr>
      <w:rFonts w:ascii="Times New Roman" w:hAnsi="Times New Roman" w:eastAsia="宋体" w:cs="Times New Roman"/>
      <w:kern w:val="1"/>
      <w:sz w:val="21"/>
      <w:szCs w:val="21"/>
      <w:lang w:val="en-US" w:eastAsia="zh-CN" w:bidi="ar-SA"/>
    </w:rPr>
  </w:style>
  <w:style w:type="paragraph" w:customStyle="1" w:styleId="127">
    <w:name w:val="xl29"/>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Times New Roman"/>
      <w:kern w:val="1"/>
      <w:sz w:val="24"/>
      <w:szCs w:val="24"/>
      <w:lang w:val="en-US" w:eastAsia="zh-CN" w:bidi="ar-SA"/>
    </w:rPr>
  </w:style>
  <w:style w:type="paragraph" w:customStyle="1" w:styleId="128">
    <w:name w:val="表内文字"/>
    <w:qFormat/>
    <w:uiPriority w:val="0"/>
    <w:pPr>
      <w:widowControl w:val="0"/>
      <w:pBdr>
        <w:top w:val="none" w:color="000000" w:sz="0" w:space="3"/>
        <w:left w:val="none" w:color="000000" w:sz="0" w:space="3"/>
        <w:bottom w:val="none" w:color="000000" w:sz="0" w:space="3"/>
        <w:right w:val="none" w:color="000000" w:sz="0" w:space="3"/>
        <w:between w:val="none" w:color="000000" w:sz="0" w:space="0"/>
      </w:pBdr>
      <w:jc w:val="center"/>
    </w:pPr>
    <w:rPr>
      <w:rFonts w:ascii="楷体_GB2312" w:hAnsi="楷体_GB2312" w:eastAsia="楷体_GB2312" w:cs="Times New Roman"/>
      <w:b/>
      <w:bCs/>
      <w:kern w:val="1"/>
      <w:sz w:val="28"/>
      <w:szCs w:val="24"/>
      <w:lang w:val="en-US" w:eastAsia="zh-CN" w:bidi="ar-SA"/>
    </w:rPr>
  </w:style>
  <w:style w:type="paragraph" w:customStyle="1" w:styleId="129">
    <w:name w:val="xl25"/>
    <w:qFormat/>
    <w:uiPriority w:val="0"/>
    <w:pPr>
      <w:pBdr>
        <w:top w:val="none" w:color="000000" w:sz="0" w:space="3"/>
        <w:left w:val="none" w:color="000000" w:sz="0" w:space="3"/>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Times New Roman"/>
      <w:kern w:val="1"/>
      <w:sz w:val="28"/>
      <w:szCs w:val="28"/>
      <w:lang w:val="en-US" w:eastAsia="zh-CN" w:bidi="ar-SA"/>
    </w:rPr>
  </w:style>
  <w:style w:type="paragraph" w:customStyle="1" w:styleId="130">
    <w:name w:val="Paragraph 3"/>
    <w:qFormat/>
    <w:uiPriority w:val="0"/>
    <w:pPr>
      <w:pBdr>
        <w:top w:val="none" w:color="000000" w:sz="0" w:space="3"/>
        <w:left w:val="none" w:color="000000" w:sz="0" w:space="3"/>
        <w:bottom w:val="none" w:color="000000" w:sz="0" w:space="3"/>
        <w:right w:val="none" w:color="000000" w:sz="0" w:space="3"/>
        <w:between w:val="none" w:color="000000" w:sz="0" w:space="0"/>
      </w:pBdr>
      <w:tabs>
        <w:tab w:val="left" w:pos="2580"/>
        <w:tab w:val="right" w:pos="10296"/>
      </w:tabs>
      <w:spacing w:before="60" w:after="60"/>
      <w:ind w:left="2580" w:hanging="420"/>
      <w:outlineLvl w:val="4"/>
    </w:pPr>
    <w:rPr>
      <w:rFonts w:ascii="Arial" w:hAnsi="Arial" w:eastAsia="宋体" w:cs="Times New Roman"/>
      <w:kern w:val="1"/>
      <w:szCs w:val="24"/>
      <w:lang w:val="en-US" w:eastAsia="zh-CN" w:bidi="ar-SA"/>
    </w:rPr>
  </w:style>
  <w:style w:type="paragraph" w:customStyle="1" w:styleId="131">
    <w:name w:val="正文缩进   技术"/>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line="400" w:lineRule="exact"/>
      <w:jc w:val="both"/>
    </w:pPr>
    <w:rPr>
      <w:rFonts w:ascii="宋体" w:hAnsi="宋体" w:eastAsia="宋体" w:cs="Times New Roman"/>
      <w:kern w:val="1"/>
      <w:sz w:val="21"/>
      <w:szCs w:val="21"/>
      <w:lang w:val="en-US" w:eastAsia="zh-CN" w:bidi="ar-SA"/>
    </w:rPr>
  </w:style>
  <w:style w:type="paragraph" w:customStyle="1" w:styleId="132">
    <w:name w:val="font8"/>
    <w:qFormat/>
    <w:uiPriority w:val="0"/>
    <w:pPr>
      <w:pBdr>
        <w:top w:val="none" w:color="000000" w:sz="0" w:space="3"/>
        <w:left w:val="none" w:color="000000" w:sz="0" w:space="3"/>
        <w:bottom w:val="none" w:color="000000" w:sz="0" w:space="3"/>
        <w:right w:val="none" w:color="000000" w:sz="0" w:space="3"/>
        <w:between w:val="none" w:color="000000" w:sz="0" w:space="0"/>
      </w:pBdr>
      <w:spacing w:before="100" w:beforeAutospacing="1" w:after="100" w:afterAutospacing="1"/>
    </w:pPr>
    <w:rPr>
      <w:rFonts w:ascii="Times New Roman" w:hAnsi="Times New Roman" w:eastAsia="宋体" w:cs="Times New Roman"/>
      <w:b/>
      <w:bCs/>
      <w:i/>
      <w:iCs/>
      <w:kern w:val="1"/>
      <w:sz w:val="24"/>
      <w:szCs w:val="24"/>
      <w:lang w:val="en-US" w:eastAsia="zh-CN" w:bidi="ar-SA"/>
    </w:rPr>
  </w:style>
  <w:style w:type="paragraph" w:customStyle="1" w:styleId="133">
    <w:name w:val="xl55"/>
    <w:qFormat/>
    <w:uiPriority w:val="0"/>
    <w:pPr>
      <w:pBdr>
        <w:top w:val="none" w:color="000000" w:sz="0" w:space="3"/>
        <w:left w:val="none" w:color="000000" w:sz="0" w:space="3"/>
        <w:bottom w:val="none" w:color="000000" w:sz="0" w:space="3"/>
        <w:right w:val="none" w:color="000000" w:sz="0" w:space="3"/>
        <w:between w:val="none" w:color="000000" w:sz="0" w:space="0"/>
      </w:pBdr>
      <w:spacing w:before="100" w:beforeAutospacing="1" w:after="100" w:afterAutospacing="1"/>
      <w:jc w:val="center"/>
    </w:pPr>
    <w:rPr>
      <w:rFonts w:ascii="Arial Unicode MS" w:hAnsi="Arial Unicode MS" w:eastAsia="宋体" w:cs="Times New Roman"/>
      <w:kern w:val="1"/>
      <w:sz w:val="24"/>
      <w:szCs w:val="24"/>
      <w:lang w:val="en-US" w:eastAsia="zh-CN" w:bidi="ar-SA"/>
    </w:rPr>
  </w:style>
  <w:style w:type="paragraph" w:customStyle="1" w:styleId="134">
    <w:name w:val="a"/>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before="60" w:after="60" w:line="315" w:lineRule="atLeast"/>
    </w:pPr>
    <w:rPr>
      <w:rFonts w:ascii="宋体" w:hAnsi="宋体" w:eastAsia="宋体" w:cs="Times New Roman"/>
      <w:kern w:val="1"/>
      <w:sz w:val="24"/>
      <w:szCs w:val="24"/>
      <w:lang w:val="en-US" w:eastAsia="zh-CN" w:bidi="ar-SA"/>
    </w:rPr>
  </w:style>
  <w:style w:type="paragraph" w:customStyle="1" w:styleId="135">
    <w:name w:val="表格注"/>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4"/>
      <w:lang w:val="en-US" w:eastAsia="zh-CN" w:bidi="ar-SA"/>
    </w:rPr>
  </w:style>
  <w:style w:type="paragraph" w:customStyle="1" w:styleId="136">
    <w:name w:val="Paragraph 1"/>
    <w:qFormat/>
    <w:uiPriority w:val="0"/>
    <w:pPr>
      <w:pBdr>
        <w:top w:val="none" w:color="000000" w:sz="0" w:space="3"/>
        <w:left w:val="none" w:color="000000" w:sz="0" w:space="3"/>
        <w:bottom w:val="none" w:color="000000" w:sz="0" w:space="3"/>
        <w:right w:val="none" w:color="000000" w:sz="0" w:space="3"/>
        <w:between w:val="none" w:color="000000" w:sz="0" w:space="0"/>
      </w:pBdr>
      <w:tabs>
        <w:tab w:val="right" w:pos="9639"/>
      </w:tabs>
      <w:spacing w:line="400" w:lineRule="exact"/>
    </w:pPr>
    <w:rPr>
      <w:rFonts w:ascii="Arial" w:hAnsi="Arial" w:eastAsia="宋体" w:cs="Times New Roman"/>
      <w:kern w:val="1"/>
      <w:szCs w:val="24"/>
      <w:lang w:val="en-US" w:eastAsia="zh-CN" w:bidi="ar-SA"/>
    </w:rPr>
  </w:style>
  <w:style w:type="paragraph" w:customStyle="1" w:styleId="137">
    <w:name w:val="xl66"/>
    <w:qFormat/>
    <w:uiPriority w:val="0"/>
    <w:pPr>
      <w:pBdr>
        <w:top w:val="none" w:color="000000" w:sz="0" w:space="3"/>
        <w:left w:val="none" w:color="000000" w:sz="0" w:space="3"/>
        <w:bottom w:val="none" w:color="000000" w:sz="0" w:space="3"/>
        <w:right w:val="none" w:color="000000" w:sz="0" w:space="3"/>
        <w:between w:val="none" w:color="000000" w:sz="0" w:space="0"/>
      </w:pBdr>
      <w:spacing w:before="100" w:beforeAutospacing="1" w:after="100" w:afterAutospacing="1"/>
    </w:pPr>
    <w:rPr>
      <w:rFonts w:ascii="宋体" w:hAnsi="宋体" w:eastAsia="宋体" w:cs="宋体"/>
      <w:kern w:val="1"/>
      <w:lang w:val="en-US" w:eastAsia="zh-CN" w:bidi="ar-SA"/>
    </w:rPr>
  </w:style>
  <w:style w:type="paragraph" w:customStyle="1" w:styleId="138">
    <w:name w:val="列出段落1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Times New Roman" w:hAnsi="Times New Roman" w:eastAsia="宋体" w:cs="Times New Roman"/>
      <w:kern w:val="1"/>
      <w:sz w:val="21"/>
      <w:szCs w:val="24"/>
      <w:lang w:val="en-US" w:eastAsia="zh-CN" w:bidi="ar-SA"/>
    </w:rPr>
  </w:style>
  <w:style w:type="paragraph" w:customStyle="1" w:styleId="139">
    <w:name w:val="默认段落字体 Para Char Char Char Char Char Char Char"/>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line="360" w:lineRule="auto"/>
      <w:jc w:val="both"/>
    </w:pPr>
    <w:rPr>
      <w:rFonts w:ascii="Tahoma" w:hAnsi="Tahoma" w:eastAsia="宋体" w:cs="Times New Roman"/>
      <w:kern w:val="1"/>
      <w:sz w:val="24"/>
      <w:lang w:val="en-US" w:eastAsia="zh-CN" w:bidi="ar-SA"/>
    </w:rPr>
  </w:style>
  <w:style w:type="paragraph" w:customStyle="1" w:styleId="140">
    <w:name w:val="Char"/>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480" w:firstLine="200"/>
      <w:jc w:val="both"/>
    </w:pPr>
    <w:rPr>
      <w:rFonts w:ascii="Tahoma" w:hAnsi="Tahoma" w:eastAsia="宋体" w:cs="Times New Roman"/>
      <w:kern w:val="1"/>
      <w:sz w:val="24"/>
      <w:szCs w:val="24"/>
      <w:lang w:val="en-US" w:eastAsia="zh-CN" w:bidi="ar-SA"/>
    </w:rPr>
  </w:style>
  <w:style w:type="paragraph" w:customStyle="1" w:styleId="141">
    <w:name w:val="xl32"/>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Times New Roman" w:hAnsi="Times New Roman" w:eastAsia="宋体" w:cs="Times New Roman"/>
      <w:kern w:val="1"/>
      <w:lang w:val="en-US" w:eastAsia="zh-CN" w:bidi="ar-SA"/>
    </w:rPr>
  </w:style>
  <w:style w:type="paragraph" w:customStyle="1" w:styleId="142">
    <w:name w:val="font6"/>
    <w:qFormat/>
    <w:uiPriority w:val="0"/>
    <w:pPr>
      <w:pBdr>
        <w:top w:val="none" w:color="000000" w:sz="0" w:space="3"/>
        <w:left w:val="none" w:color="000000" w:sz="0" w:space="3"/>
        <w:bottom w:val="none" w:color="000000" w:sz="0" w:space="3"/>
        <w:right w:val="none" w:color="000000" w:sz="0" w:space="3"/>
        <w:between w:val="none" w:color="000000" w:sz="0" w:space="0"/>
      </w:pBdr>
      <w:spacing w:before="100" w:beforeAutospacing="1" w:after="100" w:afterAutospacing="1"/>
    </w:pPr>
    <w:rPr>
      <w:rFonts w:hint="eastAsia" w:ascii="宋体" w:hAnsi="宋体" w:eastAsia="宋体" w:cs="Times New Roman"/>
      <w:kern w:val="1"/>
      <w:sz w:val="18"/>
      <w:szCs w:val="18"/>
      <w:lang w:val="en-US" w:eastAsia="zh-CN" w:bidi="ar-SA"/>
    </w:rPr>
  </w:style>
  <w:style w:type="paragraph" w:customStyle="1" w:styleId="143">
    <w:name w:val="不可偏离参数"/>
    <w:basedOn w:val="7"/>
    <w:qFormat/>
    <w:uiPriority w:val="0"/>
    <w:pPr>
      <w:tabs>
        <w:tab w:val="left" w:pos="420"/>
        <w:tab w:val="left" w:pos="630"/>
      </w:tabs>
      <w:spacing w:before="0" w:after="0" w:line="240" w:lineRule="auto"/>
      <w:ind w:left="420" w:hanging="420"/>
    </w:pPr>
    <w:rPr>
      <w:b w:val="0"/>
      <w:sz w:val="21"/>
    </w:rPr>
  </w:style>
  <w:style w:type="paragraph" w:customStyle="1" w:styleId="144">
    <w:name w:val="Text"/>
    <w:qFormat/>
    <w:uiPriority w:val="0"/>
    <w:pPr>
      <w:pBdr>
        <w:top w:val="none" w:color="000000" w:sz="0" w:space="3"/>
        <w:left w:val="none" w:color="000000" w:sz="0" w:space="3"/>
        <w:bottom w:val="none" w:color="000000" w:sz="0" w:space="3"/>
        <w:right w:val="none" w:color="000000" w:sz="0" w:space="3"/>
        <w:between w:val="none" w:color="000000" w:sz="0" w:space="0"/>
      </w:pBdr>
      <w:ind w:left="1134" w:right="567"/>
      <w:jc w:val="both"/>
    </w:pPr>
    <w:rPr>
      <w:rFonts w:ascii="Arial" w:hAnsi="Arial" w:eastAsia="宋体" w:cs="Times New Roman"/>
      <w:kern w:val="1"/>
      <w:sz w:val="22"/>
      <w:szCs w:val="24"/>
      <w:lang w:val="en-US" w:eastAsia="zh-CN" w:bidi="ar-SA"/>
    </w:rPr>
  </w:style>
  <w:style w:type="paragraph" w:customStyle="1" w:styleId="145">
    <w:name w:val="xl30"/>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pPr>
    <w:rPr>
      <w:rFonts w:ascii="宋体" w:hAnsi="宋体" w:eastAsia="宋体" w:cs="Times New Roman"/>
      <w:kern w:val="1"/>
      <w:sz w:val="24"/>
      <w:szCs w:val="24"/>
      <w:lang w:val="en-US" w:eastAsia="zh-CN" w:bidi="ar-SA"/>
    </w:rPr>
  </w:style>
  <w:style w:type="paragraph" w:customStyle="1" w:styleId="146">
    <w:name w:val="Char1"/>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4"/>
      <w:lang w:val="en-US" w:eastAsia="zh-CN" w:bidi="ar-SA"/>
    </w:rPr>
  </w:style>
  <w:style w:type="paragraph" w:customStyle="1" w:styleId="147">
    <w:name w:val="样式 宋体 行距: 固定值 18 磅"/>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line="360" w:lineRule="exact"/>
      <w:jc w:val="both"/>
    </w:pPr>
    <w:rPr>
      <w:rFonts w:ascii="宋体" w:hAnsi="宋体" w:eastAsia="宋体" w:cs="Times New Roman"/>
      <w:kern w:val="1"/>
      <w:sz w:val="21"/>
      <w:lang w:val="en-US" w:eastAsia="zh-CN" w:bidi="ar-SA"/>
    </w:rPr>
  </w:style>
  <w:style w:type="paragraph" w:customStyle="1" w:styleId="148">
    <w:name w:val="xl24"/>
    <w:qFormat/>
    <w:uiPriority w:val="0"/>
    <w:pPr>
      <w:pBdr>
        <w:top w:val="none" w:color="000000" w:sz="0" w:space="3"/>
        <w:left w:val="none" w:color="000000" w:sz="0" w:space="3"/>
        <w:bottom w:val="none" w:color="000000" w:sz="0" w:space="3"/>
        <w:right w:val="none" w:color="000000" w:sz="0" w:space="3"/>
        <w:between w:val="none" w:color="000000" w:sz="0" w:space="0"/>
      </w:pBdr>
      <w:spacing w:before="100" w:beforeAutospacing="1" w:after="100" w:afterAutospacing="1"/>
      <w:jc w:val="center"/>
    </w:pPr>
    <w:rPr>
      <w:rFonts w:ascii="宋体" w:hAnsi="宋体" w:eastAsia="宋体" w:cs="Times New Roman"/>
      <w:kern w:val="1"/>
      <w:sz w:val="24"/>
      <w:szCs w:val="24"/>
      <w:lang w:val="en-US" w:eastAsia="zh-CN" w:bidi="ar-SA"/>
    </w:rPr>
  </w:style>
  <w:style w:type="paragraph" w:customStyle="1" w:styleId="149">
    <w:name w:val="xl67"/>
    <w:qFormat/>
    <w:uiPriority w:val="0"/>
    <w:pPr>
      <w:pBdr>
        <w:top w:val="none" w:color="000000" w:sz="0" w:space="3"/>
        <w:left w:val="none" w:color="000000" w:sz="0" w:space="3"/>
        <w:bottom w:val="none" w:color="000000" w:sz="0" w:space="3"/>
        <w:right w:val="none" w:color="000000" w:sz="0" w:space="3"/>
        <w:between w:val="none" w:color="000000" w:sz="0" w:space="0"/>
      </w:pBdr>
      <w:spacing w:before="100" w:beforeAutospacing="1" w:after="100" w:afterAutospacing="1"/>
      <w:jc w:val="center"/>
    </w:pPr>
    <w:rPr>
      <w:rFonts w:ascii="宋体" w:hAnsi="宋体" w:eastAsia="宋体" w:cs="宋体"/>
      <w:kern w:val="1"/>
      <w:lang w:val="en-US" w:eastAsia="zh-CN" w:bidi="ar-SA"/>
    </w:rPr>
  </w:style>
  <w:style w:type="paragraph" w:customStyle="1" w:styleId="150">
    <w:name w:val="xl28"/>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Times New Roman" w:hAnsi="Times New Roman" w:eastAsia="宋体" w:cs="Times New Roman"/>
      <w:kern w:val="1"/>
      <w:lang w:val="en-US" w:eastAsia="zh-CN" w:bidi="ar-SA"/>
    </w:rPr>
  </w:style>
  <w:style w:type="paragraph" w:customStyle="1" w:styleId="151">
    <w:name w:val="xl71"/>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kern w:val="1"/>
      <w:sz w:val="24"/>
      <w:szCs w:val="24"/>
      <w:lang w:val="en-US" w:eastAsia="zh-CN" w:bidi="ar-SA"/>
    </w:rPr>
  </w:style>
  <w:style w:type="paragraph" w:customStyle="1" w:styleId="152">
    <w:name w:val="xl74"/>
    <w:qFormat/>
    <w:uiPriority w:val="0"/>
    <w:pPr>
      <w:pBdr>
        <w:top w:val="none" w:color="000000" w:sz="0" w:space="3"/>
        <w:left w:val="none" w:color="000000" w:sz="0" w:space="3"/>
        <w:bottom w:val="none" w:color="000000" w:sz="0" w:space="3"/>
        <w:right w:val="none" w:color="000000" w:sz="0" w:space="3"/>
        <w:between w:val="none" w:color="000000" w:sz="0" w:space="0"/>
      </w:pBdr>
      <w:spacing w:before="100" w:beforeAutospacing="1" w:after="100" w:afterAutospacing="1"/>
      <w:jc w:val="center"/>
    </w:pPr>
    <w:rPr>
      <w:rFonts w:ascii="宋体" w:hAnsi="宋体" w:eastAsia="宋体" w:cs="宋体"/>
      <w:b/>
      <w:bCs/>
      <w:kern w:val="1"/>
      <w:sz w:val="24"/>
      <w:szCs w:val="24"/>
      <w:lang w:val="en-US" w:eastAsia="zh-CN" w:bidi="ar-SA"/>
    </w:rPr>
  </w:style>
  <w:style w:type="paragraph" w:customStyle="1" w:styleId="153">
    <w:name w:val="Char Char Char Char Char Char Char1"/>
    <w:qFormat/>
    <w:uiPriority w:val="0"/>
    <w:pPr>
      <w:widowControl w:val="0"/>
      <w:pBdr>
        <w:top w:val="none" w:color="000000" w:sz="0" w:space="3"/>
        <w:left w:val="none" w:color="000000" w:sz="0" w:space="3"/>
        <w:bottom w:val="none" w:color="000000" w:sz="0" w:space="3"/>
        <w:right w:val="none" w:color="000000" w:sz="0" w:space="3"/>
        <w:between w:val="none" w:color="000000" w:sz="0" w:space="0"/>
      </w:pBdr>
      <w:tabs>
        <w:tab w:val="left" w:pos="432"/>
      </w:tabs>
      <w:ind w:left="432" w:hanging="432"/>
      <w:jc w:val="center"/>
    </w:pPr>
    <w:rPr>
      <w:rFonts w:ascii="仿宋_GB2312" w:hAnsi="仿宋_GB2312" w:eastAsia="仿宋_GB2312" w:cs="Times New Roman"/>
      <w:kern w:val="1"/>
      <w:sz w:val="24"/>
      <w:szCs w:val="24"/>
      <w:lang w:val="en-US" w:eastAsia="zh-CN" w:bidi="ar-SA"/>
    </w:rPr>
  </w:style>
  <w:style w:type="paragraph" w:customStyle="1" w:styleId="154">
    <w:name w:val="默认段落字体 Para Char"/>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line="360" w:lineRule="auto"/>
      <w:ind w:firstLine="200"/>
      <w:jc w:val="both"/>
    </w:pPr>
    <w:rPr>
      <w:rFonts w:ascii="宋体" w:hAnsi="宋体" w:eastAsia="宋体" w:cs="宋体"/>
      <w:kern w:val="1"/>
      <w:sz w:val="24"/>
      <w:szCs w:val="24"/>
      <w:lang w:val="en-US" w:eastAsia="zh-CN" w:bidi="ar-SA"/>
    </w:rPr>
  </w:style>
  <w:style w:type="paragraph" w:customStyle="1" w:styleId="155">
    <w:name w:val="Table Paragraph"/>
    <w:qFormat/>
    <w:uiPriority w:val="0"/>
    <w:pPr>
      <w:widowControl w:val="0"/>
      <w:pBdr>
        <w:top w:val="none" w:color="000000" w:sz="0" w:space="3"/>
        <w:left w:val="none" w:color="000000" w:sz="0" w:space="3"/>
        <w:bottom w:val="none" w:color="000000" w:sz="0" w:space="3"/>
        <w:right w:val="none" w:color="000000" w:sz="0" w:space="3"/>
        <w:between w:val="none" w:color="000000" w:sz="0" w:space="0"/>
      </w:pBdr>
    </w:pPr>
    <w:rPr>
      <w:rFonts w:ascii="Calibri" w:hAnsi="Calibri" w:eastAsia="宋体" w:cs="Times New Roman"/>
      <w:kern w:val="1"/>
      <w:sz w:val="22"/>
      <w:szCs w:val="22"/>
      <w:lang w:val="en-US" w:eastAsia="zh-CN" w:bidi="ar-SA"/>
    </w:rPr>
  </w:style>
  <w:style w:type="paragraph" w:customStyle="1" w:styleId="156">
    <w:name w:val="font0"/>
    <w:qFormat/>
    <w:uiPriority w:val="0"/>
    <w:pPr>
      <w:pBdr>
        <w:top w:val="none" w:color="000000" w:sz="0" w:space="3"/>
        <w:left w:val="none" w:color="000000" w:sz="0" w:space="3"/>
        <w:bottom w:val="none" w:color="000000" w:sz="0" w:space="3"/>
        <w:right w:val="none" w:color="000000" w:sz="0" w:space="3"/>
        <w:between w:val="none" w:color="000000" w:sz="0" w:space="0"/>
      </w:pBdr>
      <w:spacing w:before="100" w:beforeAutospacing="1" w:after="100" w:afterAutospacing="1"/>
    </w:pPr>
    <w:rPr>
      <w:rFonts w:hint="eastAsia" w:ascii="宋体" w:hAnsi="宋体" w:eastAsia="宋体" w:cs="Times New Roman"/>
      <w:kern w:val="1"/>
      <w:sz w:val="24"/>
      <w:szCs w:val="24"/>
      <w:lang w:val="en-US" w:eastAsia="zh-CN" w:bidi="ar-SA"/>
    </w:rPr>
  </w:style>
  <w:style w:type="paragraph" w:customStyle="1" w:styleId="157">
    <w:name w:val="xl72"/>
    <w:qFormat/>
    <w:uiPriority w:val="0"/>
    <w:pPr>
      <w:pBdr>
        <w:top w:val="none" w:color="000000" w:sz="0" w:space="3"/>
        <w:left w:val="none" w:color="000000" w:sz="0" w:space="3"/>
        <w:bottom w:val="none" w:color="000000" w:sz="0" w:space="3"/>
        <w:right w:val="none" w:color="000000" w:sz="0" w:space="3"/>
        <w:between w:val="none" w:color="000000" w:sz="0" w:space="0"/>
      </w:pBdr>
      <w:spacing w:before="100" w:beforeAutospacing="1" w:after="100" w:afterAutospacing="1"/>
      <w:jc w:val="center"/>
    </w:pPr>
    <w:rPr>
      <w:rFonts w:ascii="宋体" w:hAnsi="宋体" w:eastAsia="宋体" w:cs="宋体"/>
      <w:kern w:val="1"/>
      <w:lang w:val="en-US" w:eastAsia="zh-CN" w:bidi="ar-SA"/>
    </w:rPr>
  </w:style>
  <w:style w:type="paragraph" w:customStyle="1" w:styleId="158">
    <w:name w:val="xl26"/>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Times New Roman"/>
      <w:kern w:val="1"/>
      <w:lang w:val="en-US" w:eastAsia="zh-CN" w:bidi="ar-SA"/>
    </w:rPr>
  </w:style>
  <w:style w:type="paragraph" w:customStyle="1" w:styleId="159">
    <w:name w:val="字元 字元"/>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仿宋_GB2312" w:hAnsi="仿宋_GB2312" w:eastAsia="仿宋_GB2312" w:cs="Times New Roman"/>
      <w:b/>
      <w:kern w:val="1"/>
      <w:sz w:val="32"/>
      <w:szCs w:val="32"/>
      <w:lang w:val="en-US" w:eastAsia="zh-CN" w:bidi="ar-SA"/>
    </w:rPr>
  </w:style>
  <w:style w:type="paragraph" w:customStyle="1" w:styleId="160">
    <w:name w:val="样式9 Char"/>
    <w:link w:val="161"/>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line="440" w:lineRule="exact"/>
      <w:ind w:firstLine="200"/>
      <w:jc w:val="both"/>
    </w:pPr>
    <w:rPr>
      <w:rFonts w:ascii="Times New Roman" w:hAnsi="Times New Roman" w:eastAsia="宋体" w:cs="Times New Roman"/>
      <w:spacing w:val="6"/>
      <w:kern w:val="1"/>
      <w:sz w:val="24"/>
      <w:szCs w:val="24"/>
      <w:lang w:val="en-US" w:eastAsia="zh-CN" w:bidi="ar-SA"/>
    </w:rPr>
  </w:style>
  <w:style w:type="character" w:customStyle="1" w:styleId="161">
    <w:name w:val="样式9 Char Char"/>
    <w:link w:val="160"/>
    <w:qFormat/>
    <w:uiPriority w:val="0"/>
    <w:rPr>
      <w:spacing w:val="6"/>
      <w:kern w:val="1"/>
      <w:sz w:val="24"/>
      <w:szCs w:val="24"/>
    </w:rPr>
  </w:style>
  <w:style w:type="character" w:customStyle="1" w:styleId="162">
    <w:name w:val="页码1"/>
    <w:qFormat/>
    <w:uiPriority w:val="0"/>
  </w:style>
  <w:style w:type="character" w:customStyle="1" w:styleId="163">
    <w:name w:val="批注引用1"/>
    <w:qFormat/>
    <w:uiPriority w:val="0"/>
    <w:rPr>
      <w:kern w:val="0"/>
      <w:sz w:val="21"/>
      <w:szCs w:val="21"/>
    </w:rPr>
  </w:style>
  <w:style w:type="character" w:customStyle="1" w:styleId="164">
    <w:name w:val="Char Char1"/>
    <w:qFormat/>
    <w:uiPriority w:val="0"/>
    <w:rPr>
      <w:b/>
      <w:bCs/>
      <w:sz w:val="32"/>
      <w:szCs w:val="32"/>
    </w:rPr>
  </w:style>
  <w:style w:type="character" w:customStyle="1" w:styleId="165">
    <w:name w:val="zbggmain1"/>
    <w:qFormat/>
    <w:uiPriority w:val="0"/>
    <w:rPr>
      <w:rFonts w:ascii="ˎ̥" w:hAnsi="ˎ̥"/>
      <w:kern w:val="0"/>
      <w:sz w:val="24"/>
    </w:rPr>
  </w:style>
  <w:style w:type="character" w:customStyle="1" w:styleId="166">
    <w:name w:val="blacktext"/>
    <w:qFormat/>
    <w:uiPriority w:val="0"/>
  </w:style>
  <w:style w:type="character" w:customStyle="1" w:styleId="167">
    <w:name w:val="han"/>
    <w:qFormat/>
    <w:uiPriority w:val="0"/>
  </w:style>
  <w:style w:type="character" w:customStyle="1" w:styleId="168">
    <w:name w:val="text1"/>
    <w:qFormat/>
    <w:uiPriority w:val="0"/>
    <w:rPr>
      <w:rFonts w:hint="eastAsia" w:ascii="宋体" w:hAnsi="宋体"/>
      <w:color w:val="000099"/>
      <w:kern w:val="0"/>
      <w:sz w:val="18"/>
      <w:szCs w:val="18"/>
    </w:rPr>
  </w:style>
  <w:style w:type="character" w:customStyle="1" w:styleId="169">
    <w:name w:val="apple-converted-space"/>
    <w:qFormat/>
    <w:uiPriority w:val="0"/>
  </w:style>
  <w:style w:type="character" w:customStyle="1" w:styleId="170">
    <w:name w:val="标题 2 Char1"/>
    <w:qFormat/>
    <w:uiPriority w:val="0"/>
    <w:rPr>
      <w:rFonts w:ascii="黑体" w:hAnsi="黑体" w:eastAsia="黑体"/>
      <w:bCs/>
      <w:kern w:val="1"/>
      <w:sz w:val="30"/>
      <w:szCs w:val="30"/>
    </w:rPr>
  </w:style>
  <w:style w:type="paragraph" w:customStyle="1" w:styleId="171">
    <w:name w:val="样式29"/>
    <w:basedOn w:val="1"/>
    <w:qFormat/>
    <w:uiPriority w:val="0"/>
    <w:pPr>
      <w:spacing w:line="440" w:lineRule="exact"/>
      <w:ind w:firstLine="200" w:firstLineChars="200"/>
    </w:pPr>
    <w:rPr>
      <w:rFonts w:ascii="Times New Roman" w:hAnsi="Times New Roman" w:eastAsia="楷体_GB2312" w:cs="Times New Roman"/>
      <w:spacing w:val="6"/>
      <w:szCs w:val="20"/>
    </w:rPr>
  </w:style>
  <w:style w:type="paragraph" w:customStyle="1" w:styleId="172">
    <w:name w:val="Normal_2"/>
    <w:qFormat/>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173">
    <w:name w:val="Normal_5"/>
    <w:qFormat/>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174">
    <w:name w:val="Normal_3"/>
    <w:qFormat/>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175">
    <w:name w:val="Normal_11"/>
    <w:qFormat/>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176">
    <w:name w:val="Normal_28"/>
    <w:qFormat/>
    <w:uiPriority w:val="0"/>
    <w:pPr>
      <w:spacing w:before="120" w:after="240"/>
      <w:jc w:val="both"/>
    </w:pPr>
    <w:rPr>
      <w:rFonts w:asciiTheme="minorHAnsi" w:hAnsiTheme="minorHAnsi" w:eastAsiaTheme="minorHAnsi" w:cstheme="minorBidi"/>
      <w:sz w:val="22"/>
      <w:szCs w:val="22"/>
      <w:lang w:val="ru-RU" w:eastAsia="en-US" w:bidi="ar-SA"/>
    </w:rPr>
  </w:style>
  <w:style w:type="character" w:customStyle="1" w:styleId="177">
    <w:name w:val="htd01"/>
    <w:basedOn w:val="52"/>
    <w:qFormat/>
    <w:uiPriority w:val="0"/>
  </w:style>
  <w:style w:type="character" w:customStyle="1" w:styleId="178">
    <w:name w:val="样式9 Char Char Char Char"/>
    <w:qFormat/>
    <w:uiPriority w:val="0"/>
    <w:rPr>
      <w:rFonts w:eastAsia="宋体"/>
      <w:spacing w:val="6"/>
      <w:sz w:val="24"/>
      <w:lang w:val="en-US" w:eastAsia="zh-CN" w:bidi="ar-SA"/>
    </w:rPr>
  </w:style>
  <w:style w:type="character" w:customStyle="1" w:styleId="179">
    <w:name w:val="font21"/>
    <w:basedOn w:val="52"/>
    <w:qFormat/>
    <w:uiPriority w:val="0"/>
    <w:rPr>
      <w:rFonts w:hint="eastAsia" w:ascii="宋体" w:hAnsi="宋体" w:eastAsia="宋体" w:cs="宋体"/>
      <w:b/>
      <w:iCs/>
      <w:color w:val="000000"/>
      <w:kern w:val="0"/>
      <w:sz w:val="18"/>
      <w:szCs w:val="18"/>
      <w:u w:val="none" w:color="FF0000"/>
      <w:lang w:eastAsia="en-US"/>
    </w:rPr>
  </w:style>
  <w:style w:type="character" w:customStyle="1" w:styleId="180">
    <w:name w:val="font161"/>
    <w:basedOn w:val="52"/>
    <w:qFormat/>
    <w:uiPriority w:val="0"/>
    <w:rPr>
      <w:rFonts w:ascii="Verdana" w:hAnsi="Verdana" w:eastAsia="楷体_GB2312" w:cs="宋体"/>
      <w:b/>
      <w:bCs/>
      <w:i/>
      <w:iCs/>
      <w:color w:val="000000"/>
      <w:kern w:val="0"/>
      <w:sz w:val="32"/>
      <w:szCs w:val="32"/>
      <w:u w:val="wavyHeavy" w:color="FF0000"/>
      <w:lang w:eastAsia="en-US"/>
    </w:rPr>
  </w:style>
  <w:style w:type="character" w:customStyle="1" w:styleId="181">
    <w:name w:val="样式9 Char Char Char"/>
    <w:qFormat/>
    <w:uiPriority w:val="0"/>
    <w:rPr>
      <w:rFonts w:eastAsia="宋体"/>
      <w:spacing w:val="6"/>
      <w:sz w:val="24"/>
      <w:lang w:val="en-US" w:eastAsia="zh-CN" w:bidi="ar-SA"/>
    </w:rPr>
  </w:style>
  <w:style w:type="character" w:customStyle="1" w:styleId="182">
    <w:name w:val="font01"/>
    <w:basedOn w:val="52"/>
    <w:qFormat/>
    <w:uiPriority w:val="0"/>
    <w:rPr>
      <w:rFonts w:hint="default" w:ascii="Arial Narrow" w:hAnsi="Arial Narrow" w:eastAsia="Arial Narrow" w:cs="Arial Narrow"/>
      <w:b/>
      <w:iCs/>
      <w:color w:val="000000"/>
      <w:kern w:val="0"/>
      <w:sz w:val="16"/>
      <w:szCs w:val="16"/>
      <w:u w:val="none" w:color="FF0000"/>
      <w:lang w:eastAsia="en-US"/>
    </w:rPr>
  </w:style>
  <w:style w:type="character" w:customStyle="1" w:styleId="183">
    <w:name w:val="Char Char"/>
    <w:basedOn w:val="52"/>
    <w:qFormat/>
    <w:uiPriority w:val="0"/>
    <w:rPr>
      <w:rFonts w:ascii="Arial" w:hAnsi="Arial" w:eastAsia="黑体" w:cs="宋体"/>
      <w:b/>
      <w:bCs/>
      <w:i/>
      <w:iCs/>
      <w:color w:val="000000"/>
      <w:kern w:val="2"/>
      <w:sz w:val="32"/>
      <w:szCs w:val="32"/>
      <w:u w:val="wavyHeavy" w:color="FF0000"/>
      <w:lang w:val="en-US" w:eastAsia="zh-CN" w:bidi="ar-SA"/>
    </w:rPr>
  </w:style>
  <w:style w:type="character" w:customStyle="1" w:styleId="184">
    <w:name w:val="Char Char7"/>
    <w:basedOn w:val="52"/>
    <w:qFormat/>
    <w:uiPriority w:val="0"/>
    <w:rPr>
      <w:rFonts w:ascii="Arial" w:hAnsi="Arial" w:eastAsia="黑体" w:cs="宋体"/>
      <w:b/>
      <w:bCs/>
      <w:i/>
      <w:iCs/>
      <w:color w:val="000000"/>
      <w:kern w:val="2"/>
      <w:sz w:val="32"/>
      <w:szCs w:val="32"/>
      <w:u w:val="wavyHeavy" w:color="FF0000"/>
      <w:lang w:val="en-US" w:eastAsia="zh-CN" w:bidi="ar-SA"/>
    </w:rPr>
  </w:style>
  <w:style w:type="character" w:customStyle="1" w:styleId="185">
    <w:name w:val="Char Char8"/>
    <w:basedOn w:val="52"/>
    <w:qFormat/>
    <w:uiPriority w:val="0"/>
    <w:rPr>
      <w:rFonts w:ascii="Arial" w:hAnsi="Arial" w:eastAsia="黑体" w:cs="宋体"/>
      <w:b/>
      <w:bCs/>
      <w:i/>
      <w:iCs/>
      <w:color w:val="000000"/>
      <w:kern w:val="2"/>
      <w:sz w:val="32"/>
      <w:szCs w:val="32"/>
      <w:u w:val="wavyHeavy" w:color="FF0000"/>
      <w:lang w:val="en-US" w:eastAsia="zh-CN" w:bidi="ar-SA"/>
    </w:rPr>
  </w:style>
  <w:style w:type="character" w:customStyle="1" w:styleId="186">
    <w:name w:val="Char Char2"/>
    <w:basedOn w:val="52"/>
    <w:qFormat/>
    <w:uiPriority w:val="0"/>
    <w:rPr>
      <w:rFonts w:ascii="Verdana" w:hAnsi="Verdana" w:eastAsia="宋体" w:cs="宋体"/>
      <w:b/>
      <w:i/>
      <w:iCs/>
      <w:color w:val="000000"/>
      <w:kern w:val="2"/>
      <w:sz w:val="21"/>
      <w:szCs w:val="24"/>
      <w:u w:val="wavyHeavy" w:color="FF0000"/>
      <w:lang w:val="en-US" w:eastAsia="zh-CN" w:bidi="ar-SA"/>
    </w:rPr>
  </w:style>
  <w:style w:type="paragraph" w:customStyle="1" w:styleId="187">
    <w:name w:val="样式 标题 3 + 段前: 7.8 磅"/>
    <w:basedOn w:val="5"/>
    <w:qFormat/>
    <w:uiPriority w:val="0"/>
    <w:pPr>
      <w:keepNext w:val="0"/>
      <w:keepLines w:val="0"/>
      <w:pBdr>
        <w:top w:val="none" w:color="auto" w:sz="0" w:space="0"/>
        <w:left w:val="none" w:color="auto" w:sz="0" w:space="0"/>
        <w:bottom w:val="none" w:color="auto" w:sz="0" w:space="0"/>
        <w:right w:val="none" w:color="auto" w:sz="0" w:space="0"/>
        <w:between w:val="none" w:color="auto" w:sz="0" w:space="0"/>
      </w:pBdr>
      <w:spacing w:before="156" w:after="0" w:line="360" w:lineRule="auto"/>
      <w:ind w:left="2220" w:hanging="420"/>
    </w:pPr>
    <w:rPr>
      <w:rFonts w:cs="宋体"/>
      <w:b w:val="0"/>
      <w:bCs w:val="0"/>
      <w:kern w:val="2"/>
      <w:sz w:val="24"/>
      <w:szCs w:val="20"/>
    </w:rPr>
  </w:style>
  <w:style w:type="paragraph" w:customStyle="1" w:styleId="188">
    <w:name w:val="Char Char Char"/>
    <w:basedOn w:val="1"/>
    <w:qFormat/>
    <w:uiPriority w:val="0"/>
    <w:pPr>
      <w:widowControl w:val="0"/>
      <w:jc w:val="both"/>
    </w:pPr>
    <w:rPr>
      <w:rFonts w:ascii="Times New Roman" w:hAnsi="Times New Roman" w:cs="Times New Roman"/>
      <w:kern w:val="2"/>
      <w:sz w:val="21"/>
    </w:rPr>
  </w:style>
  <w:style w:type="paragraph" w:customStyle="1" w:styleId="189">
    <w:name w:val="表格"/>
    <w:basedOn w:val="1"/>
    <w:qFormat/>
    <w:uiPriority w:val="0"/>
    <w:pPr>
      <w:widowControl w:val="0"/>
      <w:jc w:val="center"/>
      <w:textAlignment w:val="center"/>
    </w:pPr>
    <w:rPr>
      <w:rFonts w:ascii="华文细黑" w:hAnsi="华文细黑" w:cs="Times New Roman"/>
      <w:sz w:val="21"/>
      <w:szCs w:val="20"/>
    </w:rPr>
  </w:style>
  <w:style w:type="paragraph" w:customStyle="1" w:styleId="190">
    <w:name w:val="样式1"/>
    <w:basedOn w:val="5"/>
    <w:qFormat/>
    <w:uiPriority w:val="0"/>
    <w:pPr>
      <w:pBdr>
        <w:top w:val="none" w:color="auto" w:sz="0" w:space="0"/>
        <w:left w:val="none" w:color="auto" w:sz="0" w:space="0"/>
        <w:bottom w:val="none" w:color="auto" w:sz="0" w:space="0"/>
        <w:right w:val="none" w:color="auto" w:sz="0" w:space="0"/>
        <w:between w:val="none" w:color="auto" w:sz="0" w:space="0"/>
      </w:pBdr>
      <w:ind w:firstLine="0"/>
    </w:pPr>
    <w:rPr>
      <w:rFonts w:eastAsia="Arial"/>
      <w:kern w:val="2"/>
    </w:rPr>
  </w:style>
  <w:style w:type="paragraph" w:customStyle="1" w:styleId="191">
    <w:name w:val="样式3"/>
    <w:basedOn w:val="5"/>
    <w:qFormat/>
    <w:uiPriority w:val="0"/>
    <w:pPr>
      <w:pBdr>
        <w:top w:val="none" w:color="auto" w:sz="0" w:space="0"/>
        <w:left w:val="none" w:color="auto" w:sz="0" w:space="0"/>
        <w:bottom w:val="none" w:color="auto" w:sz="0" w:space="0"/>
        <w:right w:val="none" w:color="auto" w:sz="0" w:space="0"/>
        <w:between w:val="none" w:color="auto" w:sz="0" w:space="0"/>
      </w:pBdr>
      <w:ind w:firstLine="0"/>
    </w:pPr>
    <w:rPr>
      <w:rFonts w:eastAsia="Arial"/>
      <w:kern w:val="2"/>
    </w:rPr>
  </w:style>
  <w:style w:type="paragraph" w:customStyle="1" w:styleId="192">
    <w:name w:val="样式4"/>
    <w:basedOn w:val="5"/>
    <w:qFormat/>
    <w:uiPriority w:val="0"/>
    <w:pPr>
      <w:pBdr>
        <w:top w:val="none" w:color="auto" w:sz="0" w:space="0"/>
        <w:left w:val="none" w:color="auto" w:sz="0" w:space="0"/>
        <w:bottom w:val="none" w:color="auto" w:sz="0" w:space="0"/>
        <w:right w:val="none" w:color="auto" w:sz="0" w:space="0"/>
        <w:between w:val="none" w:color="auto" w:sz="0" w:space="0"/>
      </w:pBdr>
      <w:ind w:firstLine="0"/>
    </w:pPr>
    <w:rPr>
      <w:rFonts w:eastAsia="Arial"/>
      <w:kern w:val="2"/>
    </w:rPr>
  </w:style>
  <w:style w:type="paragraph" w:customStyle="1" w:styleId="193">
    <w:name w:val="表格文字"/>
    <w:basedOn w:val="1"/>
    <w:qFormat/>
    <w:uiPriority w:val="0"/>
    <w:pPr>
      <w:widowControl w:val="0"/>
      <w:adjustRightInd w:val="0"/>
      <w:spacing w:line="420" w:lineRule="atLeast"/>
      <w:textAlignment w:val="baseline"/>
    </w:pPr>
    <w:rPr>
      <w:rFonts w:ascii="Times New Roman" w:hAnsi="Times New Roman" w:cs="Times New Roman"/>
      <w:sz w:val="21"/>
      <w:szCs w:val="20"/>
    </w:rPr>
  </w:style>
  <w:style w:type="paragraph" w:customStyle="1" w:styleId="194">
    <w:name w:val="样式 标题 3 + (中文) 黑体 小四 非加粗 段前: 7.8 磅 段后: 0 磅 行距: 固定值 20 磅"/>
    <w:basedOn w:val="5"/>
    <w:qFormat/>
    <w:uiPriority w:val="0"/>
    <w:pPr>
      <w:pBdr>
        <w:top w:val="none" w:color="auto" w:sz="0" w:space="0"/>
        <w:left w:val="none" w:color="auto" w:sz="0" w:space="0"/>
        <w:bottom w:val="none" w:color="auto" w:sz="0" w:space="0"/>
        <w:right w:val="none" w:color="auto" w:sz="0" w:space="0"/>
        <w:between w:val="none" w:color="auto" w:sz="0" w:space="0"/>
      </w:pBdr>
      <w:spacing w:before="0" w:after="0" w:line="400" w:lineRule="exact"/>
      <w:ind w:firstLine="0"/>
    </w:pPr>
    <w:rPr>
      <w:rFonts w:eastAsia="黑体" w:cs="宋体"/>
      <w:b w:val="0"/>
      <w:bCs w:val="0"/>
      <w:kern w:val="2"/>
      <w:sz w:val="24"/>
      <w:szCs w:val="20"/>
    </w:rPr>
  </w:style>
  <w:style w:type="character" w:customStyle="1" w:styleId="195">
    <w:name w:val="标题 Char1"/>
    <w:basedOn w:val="52"/>
    <w:qFormat/>
    <w:uiPriority w:val="10"/>
    <w:rPr>
      <w:rFonts w:asciiTheme="majorHAnsi" w:hAnsiTheme="majorHAnsi" w:cstheme="majorBidi"/>
      <w:b/>
      <w:bCs/>
      <w:kern w:val="2"/>
      <w:sz w:val="32"/>
      <w:szCs w:val="32"/>
    </w:rPr>
  </w:style>
  <w:style w:type="paragraph" w:customStyle="1" w:styleId="196">
    <w:name w:val="6'"/>
    <w:basedOn w:val="1"/>
    <w:qFormat/>
    <w:uiPriority w:val="0"/>
    <w:pPr>
      <w:widowControl w:val="0"/>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rPr>
  </w:style>
  <w:style w:type="paragraph" w:customStyle="1" w:styleId="197">
    <w:name w:val="列出段落2"/>
    <w:basedOn w:val="1"/>
    <w:qFormat/>
    <w:uiPriority w:val="0"/>
    <w:pPr>
      <w:widowControl w:val="0"/>
      <w:ind w:firstLine="420" w:firstLineChars="200"/>
      <w:jc w:val="both"/>
    </w:pPr>
    <w:rPr>
      <w:rFonts w:ascii="Calibri" w:hAnsi="Calibri" w:cs="Times New Roman"/>
      <w:kern w:val="2"/>
      <w:sz w:val="21"/>
      <w:szCs w:val="22"/>
    </w:rPr>
  </w:style>
  <w:style w:type="paragraph" w:customStyle="1" w:styleId="198">
    <w:name w:val="Char Char Char1"/>
    <w:basedOn w:val="1"/>
    <w:qFormat/>
    <w:uiPriority w:val="0"/>
    <w:pPr>
      <w:widowControl w:val="0"/>
      <w:tabs>
        <w:tab w:val="left" w:pos="432"/>
      </w:tabs>
      <w:spacing w:beforeLines="50" w:afterLines="50"/>
      <w:ind w:left="432" w:hanging="432"/>
      <w:jc w:val="center"/>
    </w:pPr>
    <w:rPr>
      <w:rFonts w:ascii="Times New Roman" w:hAnsi="Times New Roman" w:cs="Times New Roman"/>
      <w:kern w:val="2"/>
    </w:rPr>
  </w:style>
  <w:style w:type="paragraph" w:customStyle="1" w:styleId="199">
    <w:name w:val="Char2"/>
    <w:basedOn w:val="1"/>
    <w:qFormat/>
    <w:uiPriority w:val="0"/>
    <w:pPr>
      <w:widowControl w:val="0"/>
      <w:tabs>
        <w:tab w:val="left" w:pos="4706"/>
      </w:tabs>
      <w:spacing w:line="360" w:lineRule="auto"/>
      <w:ind w:left="4706" w:hanging="4706"/>
      <w:jc w:val="both"/>
    </w:pPr>
    <w:rPr>
      <w:rFonts w:ascii="Times New Roman" w:hAnsi="Times New Roman" w:cs="Times New Roman"/>
      <w:kern w:val="2"/>
      <w:sz w:val="21"/>
      <w:szCs w:val="20"/>
    </w:rPr>
  </w:style>
  <w:style w:type="paragraph" w:customStyle="1" w:styleId="200">
    <w:name w:val="列出段落3"/>
    <w:basedOn w:val="1"/>
    <w:qFormat/>
    <w:uiPriority w:val="0"/>
    <w:pPr>
      <w:widowControl w:val="0"/>
      <w:ind w:firstLine="420" w:firstLineChars="200"/>
      <w:jc w:val="both"/>
    </w:pPr>
    <w:rPr>
      <w:rFonts w:ascii="Calibri" w:hAnsi="Calibri" w:cs="Times New Roman"/>
      <w:kern w:val="2"/>
      <w:sz w:val="21"/>
      <w:szCs w:val="22"/>
    </w:rPr>
  </w:style>
  <w:style w:type="paragraph" w:customStyle="1" w:styleId="201">
    <w:name w:val="1"/>
    <w:basedOn w:val="1"/>
    <w:next w:val="1"/>
    <w:qFormat/>
    <w:uiPriority w:val="0"/>
    <w:pPr>
      <w:widowControl w:val="0"/>
      <w:jc w:val="both"/>
    </w:pPr>
    <w:rPr>
      <w:rFonts w:ascii="Times New Roman" w:hAnsi="Times New Roman" w:cs="Times New Roman"/>
      <w:kern w:val="2"/>
      <w:sz w:val="21"/>
    </w:rPr>
  </w:style>
  <w:style w:type="paragraph" w:customStyle="1" w:styleId="20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20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204">
    <w:name w:val="_Style 3"/>
    <w:basedOn w:val="1"/>
    <w:qFormat/>
    <w:uiPriority w:val="0"/>
    <w:pPr>
      <w:spacing w:after="160" w:line="240" w:lineRule="exact"/>
      <w:ind w:left="640"/>
    </w:pPr>
    <w:rPr>
      <w:rFonts w:ascii="Verdana" w:hAnsi="Verdana" w:eastAsia="楷体_GB2312"/>
      <w:b/>
      <w:i/>
      <w:iCs/>
      <w:color w:val="000000"/>
      <w:sz w:val="20"/>
      <w:szCs w:val="20"/>
      <w:u w:val="wavyHeavy" w:color="FF0000"/>
      <w:lang w:eastAsia="en-US"/>
    </w:rPr>
  </w:style>
  <w:style w:type="paragraph" w:customStyle="1" w:styleId="205">
    <w:name w:val="TOC 标题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6">
    <w:name w:val="标题1，大标题"/>
    <w:basedOn w:val="3"/>
    <w:next w:val="1"/>
    <w:link w:val="207"/>
    <w:qFormat/>
    <w:uiPriority w:val="0"/>
    <w:pPr>
      <w:spacing w:before="600" w:after="720" w:line="400" w:lineRule="exact"/>
      <w:jc w:val="center"/>
    </w:pPr>
    <w:rPr>
      <w:rFonts w:ascii="黑体" w:hAnsi="黑体" w:eastAsia="黑体"/>
      <w:b w:val="0"/>
      <w:bCs w:val="0"/>
      <w:sz w:val="30"/>
      <w:szCs w:val="32"/>
    </w:rPr>
  </w:style>
  <w:style w:type="character" w:customStyle="1" w:styleId="207">
    <w:name w:val="标题1，大标题 Char"/>
    <w:link w:val="206"/>
    <w:qFormat/>
    <w:uiPriority w:val="0"/>
    <w:rPr>
      <w:rFonts w:ascii="黑体" w:hAnsi="黑体" w:eastAsia="黑体"/>
      <w:kern w:val="44"/>
      <w:sz w:val="30"/>
      <w:szCs w:val="32"/>
    </w:rPr>
  </w:style>
  <w:style w:type="character" w:customStyle="1" w:styleId="208">
    <w:name w:val="批注文字 Char1"/>
    <w:basedOn w:val="52"/>
    <w:semiHidden/>
    <w:qFormat/>
    <w:uiPriority w:val="99"/>
    <w:rPr>
      <w:kern w:val="1"/>
      <w:sz w:val="22"/>
      <w:szCs w:val="24"/>
    </w:rPr>
  </w:style>
  <w:style w:type="character" w:customStyle="1" w:styleId="209">
    <w:name w:val="批注主题 Char1"/>
    <w:basedOn w:val="208"/>
    <w:semiHidden/>
    <w:qFormat/>
    <w:uiPriority w:val="99"/>
    <w:rPr>
      <w:b/>
      <w:bCs/>
      <w:kern w:val="1"/>
      <w:sz w:val="22"/>
      <w:szCs w:val="24"/>
    </w:rPr>
  </w:style>
  <w:style w:type="character" w:customStyle="1" w:styleId="210">
    <w:name w:val="称呼 Char1"/>
    <w:basedOn w:val="52"/>
    <w:semiHidden/>
    <w:qFormat/>
    <w:uiPriority w:val="0"/>
    <w:rPr>
      <w:kern w:val="1"/>
      <w:sz w:val="22"/>
      <w:szCs w:val="24"/>
    </w:rPr>
  </w:style>
  <w:style w:type="character" w:customStyle="1" w:styleId="211">
    <w:name w:val="纯文本 Char1"/>
    <w:basedOn w:val="52"/>
    <w:semiHidden/>
    <w:qFormat/>
    <w:uiPriority w:val="0"/>
    <w:rPr>
      <w:rFonts w:ascii="宋体" w:hAnsi="Courier New" w:cs="Courier New"/>
      <w:kern w:val="2"/>
      <w:sz w:val="21"/>
      <w:szCs w:val="21"/>
    </w:rPr>
  </w:style>
  <w:style w:type="character" w:customStyle="1" w:styleId="212">
    <w:name w:val="脚注文本 Char1"/>
    <w:basedOn w:val="52"/>
    <w:semiHidden/>
    <w:qFormat/>
    <w:uiPriority w:val="99"/>
    <w:rPr>
      <w:kern w:val="1"/>
      <w:sz w:val="18"/>
      <w:szCs w:val="18"/>
    </w:rPr>
  </w:style>
  <w:style w:type="paragraph" w:customStyle="1" w:styleId="213">
    <w:name w:val="179"/>
    <w:basedOn w:val="1"/>
    <w:qFormat/>
    <w:uiPriority w:val="99"/>
    <w:pPr>
      <w:widowControl w:val="0"/>
      <w:ind w:firstLine="420" w:firstLineChars="200"/>
      <w:jc w:val="both"/>
    </w:pPr>
    <w:rPr>
      <w:rFonts w:ascii="Calibri" w:hAnsi="Calibri" w:cs="Times New Roman"/>
      <w:kern w:val="2"/>
      <w:sz w:val="21"/>
      <w:szCs w:val="21"/>
    </w:rPr>
  </w:style>
  <w:style w:type="character" w:customStyle="1" w:styleId="214">
    <w:name w:val="NormalCharacter"/>
    <w:semiHidden/>
    <w:qFormat/>
    <w:uiPriority w:val="99"/>
    <w:rPr>
      <w:rFonts w:ascii="Times New Roman" w:hAnsi="Times New Roman" w:eastAsia="宋体" w:cs="Times New Roman"/>
      <w:kern w:val="2"/>
      <w:sz w:val="24"/>
      <w:szCs w:val="24"/>
      <w:lang w:val="en-US" w:eastAsia="zh-CN"/>
    </w:rPr>
  </w:style>
  <w:style w:type="character" w:customStyle="1" w:styleId="215">
    <w:name w:val="font31"/>
    <w:basedOn w:val="52"/>
    <w:qFormat/>
    <w:uiPriority w:val="0"/>
    <w:rPr>
      <w:rFonts w:hint="eastAsia" w:ascii="宋体" w:hAnsi="宋体" w:eastAsia="宋体" w:cs="宋体"/>
      <w:color w:val="000000"/>
      <w:sz w:val="24"/>
      <w:szCs w:val="24"/>
      <w:u w:val="none"/>
    </w:rPr>
  </w:style>
  <w:style w:type="character" w:customStyle="1" w:styleId="216">
    <w:name w:val="font71"/>
    <w:basedOn w:val="52"/>
    <w:qFormat/>
    <w:uiPriority w:val="0"/>
    <w:rPr>
      <w:rFonts w:ascii="Wingdings 2" w:hAnsi="Wingdings 2" w:eastAsia="Wingdings 2" w:cs="Wingdings 2"/>
      <w:color w:val="000000"/>
      <w:sz w:val="20"/>
      <w:szCs w:val="20"/>
      <w:u w:val="none"/>
    </w:rPr>
  </w:style>
  <w:style w:type="character" w:customStyle="1" w:styleId="217">
    <w:name w:val="font11"/>
    <w:basedOn w:val="52"/>
    <w:qFormat/>
    <w:uiPriority w:val="0"/>
    <w:rPr>
      <w:rFonts w:hint="default" w:ascii="Calibri" w:hAnsi="Calibri" w:cs="Calibri"/>
      <w:color w:val="000000"/>
      <w:sz w:val="20"/>
      <w:szCs w:val="20"/>
      <w:u w:val="none"/>
    </w:rPr>
  </w:style>
  <w:style w:type="character" w:customStyle="1" w:styleId="218">
    <w:name w:val="font61"/>
    <w:basedOn w:val="52"/>
    <w:qFormat/>
    <w:uiPriority w:val="0"/>
    <w:rPr>
      <w:rFonts w:ascii="Wingdings 2" w:hAnsi="Wingdings 2" w:eastAsia="Wingdings 2" w:cs="Wingdings 2"/>
      <w:color w:val="000000"/>
      <w:sz w:val="20"/>
      <w:szCs w:val="20"/>
      <w:u w:val="none"/>
    </w:rPr>
  </w:style>
  <w:style w:type="paragraph" w:customStyle="1" w:styleId="219">
    <w:name w:val="附件标题01"/>
    <w:basedOn w:val="26"/>
    <w:qFormat/>
    <w:uiPriority w:val="0"/>
    <w:pPr>
      <w:jc w:val="center"/>
    </w:pPr>
    <w:rPr>
      <w:b/>
      <w:sz w:val="24"/>
    </w:rPr>
  </w:style>
  <w:style w:type="paragraph" w:styleId="2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828832-2036-46FF-90B0-43C1E42CC9A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18381</Words>
  <Characters>19305</Characters>
  <Lines>1</Lines>
  <Paragraphs>1</Paragraphs>
  <TotalTime>6</TotalTime>
  <ScaleCrop>false</ScaleCrop>
  <LinksUpToDate>false</LinksUpToDate>
  <CharactersWithSpaces>21551</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2019-05-29T07:02:00Z</dcterms:created>
  <dc:creator>微软用户</dc:creator>
  <cp:lastModifiedBy>Administrator</cp:lastModifiedBy>
  <cp:lastPrinted>2019-06-13T01:51:00Z</cp:lastPrinted>
  <dcterms:modified xsi:type="dcterms:W3CDTF">2022-10-21T08:17:28Z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y fmtid="{D5CDD505-2E9C-101B-9397-08002B2CF9AE}" pid="3" name="ICV">
    <vt:lpwstr>C4361270777840358EB79DF321D04A49</vt:lpwstr>
  </property>
</Properties>
</file>