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山东大学第二医院手足微型C型臂采购</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TCZX-HW-2022-044</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11</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4"/>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4"/>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山东大学第二医院手足微型C型臂采购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w:t>
      </w:r>
      <w:r>
        <w:rPr>
          <w:rFonts w:hint="eastAsia" w:ascii="仿宋" w:hAnsi="仿宋" w:cs="仿宋"/>
          <w:sz w:val="28"/>
          <w:szCs w:val="28"/>
          <w:highlight w:val="none"/>
          <w:u w:val="single"/>
          <w:lang w:val="en-US" w:eastAsia="zh-CN"/>
        </w:rPr>
        <w:t>手足微型C型臂</w:t>
      </w:r>
      <w:r>
        <w:rPr>
          <w:rFonts w:hint="eastAsia" w:ascii="仿宋" w:hAnsi="仿宋" w:cs="仿宋"/>
          <w:sz w:val="28"/>
          <w:szCs w:val="28"/>
          <w:highlight w:val="none"/>
          <w:u w:val="single"/>
          <w:lang w:eastAsia="zh-CN"/>
        </w:rPr>
        <w:t>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11</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22</w:t>
      </w:r>
      <w:r>
        <w:rPr>
          <w:rFonts w:hint="eastAsia" w:ascii="仿宋" w:hAnsi="仿宋" w:eastAsia="仿宋" w:cs="仿宋"/>
          <w:bCs/>
          <w:sz w:val="28"/>
          <w:szCs w:val="28"/>
          <w:highlight w:val="none"/>
          <w:u w:val="single"/>
          <w:lang w:val="en-US" w:eastAsia="zh-CN"/>
        </w:rPr>
        <w:t>日</w:t>
      </w:r>
      <w:r>
        <w:rPr>
          <w:rFonts w:hint="default" w:ascii="仿宋" w:hAnsi="仿宋" w:cs="仿宋"/>
          <w:bCs/>
          <w:sz w:val="28"/>
          <w:szCs w:val="28"/>
          <w:highlight w:val="none"/>
          <w:u w:val="single"/>
          <w:lang w:val="en-US" w:eastAsia="zh-CN"/>
        </w:rPr>
        <w:t>13</w:t>
      </w:r>
      <w:r>
        <w:rPr>
          <w:rFonts w:hint="eastAsia" w:ascii="仿宋" w:hAnsi="仿宋" w:eastAsia="仿宋" w:cs="仿宋"/>
          <w:bCs/>
          <w:sz w:val="28"/>
          <w:szCs w:val="28"/>
          <w:highlight w:val="none"/>
          <w:u w:val="single"/>
        </w:rPr>
        <w:t>点</w:t>
      </w:r>
      <w:r>
        <w:rPr>
          <w:rFonts w:hint="default" w:ascii="仿宋" w:hAnsi="仿宋" w:cs="仿宋"/>
          <w:bCs/>
          <w:sz w:val="28"/>
          <w:szCs w:val="28"/>
          <w:highlight w:val="none"/>
          <w:u w:val="single"/>
          <w:lang w:val="en-US" w:eastAsia="zh-CN"/>
        </w:rPr>
        <w:t>30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TCZX-HW-2022-044</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山东大学第二医院手足微型C型臂采购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eastAsia" w:ascii="仿宋" w:hAnsi="仿宋" w:cs="仿宋"/>
          <w:sz w:val="28"/>
          <w:szCs w:val="28"/>
          <w:highlight w:val="none"/>
          <w:lang w:val="en-US" w:eastAsia="zh-CN"/>
        </w:rPr>
        <w:t>129</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cs="仿宋"/>
          <w:sz w:val="28"/>
          <w:szCs w:val="28"/>
          <w:highlight w:val="none"/>
          <w:lang w:val="en-US" w:eastAsia="zh-CN"/>
        </w:rPr>
        <w:t>129</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采购需求：山东大学第二医院根据需要需采购手足微型C型臂一</w:t>
      </w:r>
      <w:r>
        <w:rPr>
          <w:rFonts w:hint="eastAsia" w:ascii="仿宋" w:hAnsi="仿宋" w:cs="仿宋"/>
          <w:sz w:val="28"/>
          <w:szCs w:val="28"/>
          <w:highlight w:val="none"/>
          <w:lang w:val="en-US" w:eastAsia="zh-CN"/>
        </w:rPr>
        <w:t>套；</w:t>
      </w:r>
      <w:r>
        <w:rPr>
          <w:rFonts w:hint="eastAsia" w:ascii="仿宋" w:hAnsi="仿宋" w:eastAsia="仿宋" w:cs="仿宋"/>
          <w:sz w:val="28"/>
          <w:szCs w:val="28"/>
          <w:highlight w:val="none"/>
          <w:lang w:val="en-US" w:eastAsia="zh-CN"/>
        </w:rPr>
        <w:t>使用科室手足外科，具体详见采购要求。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日至2022年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17</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w:t>
      </w:r>
      <w:r>
        <w:rPr>
          <w:rFonts w:hint="default" w:ascii="仿宋" w:hAnsi="仿宋" w:cs="仿宋"/>
          <w:sz w:val="28"/>
          <w:szCs w:val="28"/>
          <w:highlight w:val="none"/>
          <w:lang w:val="en-US" w:eastAsia="zh-CN"/>
        </w:rPr>
        <w:t>15315311287</w:t>
      </w:r>
      <w:r>
        <w:rPr>
          <w:rFonts w:hint="eastAsia" w:ascii="仿宋" w:hAnsi="仿宋" w:eastAsia="仿宋" w:cs="仿宋"/>
          <w:sz w:val="28"/>
          <w:szCs w:val="28"/>
          <w:highlight w:val="none"/>
          <w:lang w:val="en-US" w:eastAsia="zh-CN"/>
        </w:rPr>
        <w:t>）明确所投项目名称及项目确认，供应商项目确认后请访问中国政府采购网下载电子版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22</w:t>
      </w:r>
      <w:r>
        <w:rPr>
          <w:rFonts w:hint="eastAsia" w:ascii="仿宋" w:hAnsi="仿宋" w:eastAsia="仿宋" w:cs="仿宋"/>
          <w:sz w:val="28"/>
          <w:szCs w:val="28"/>
          <w:highlight w:val="none"/>
          <w:lang w:val="en-US" w:eastAsia="zh-CN"/>
        </w:rPr>
        <w:t>日</w:t>
      </w:r>
      <w:r>
        <w:rPr>
          <w:rFonts w:hint="default" w:ascii="仿宋" w:hAnsi="仿宋" w:cs="仿宋"/>
          <w:sz w:val="28"/>
          <w:szCs w:val="28"/>
          <w:highlight w:val="none"/>
          <w:lang w:val="en-US" w:eastAsia="zh-CN"/>
        </w:rPr>
        <w:t>13</w:t>
      </w:r>
      <w:r>
        <w:rPr>
          <w:rFonts w:hint="eastAsia" w:ascii="仿宋" w:hAnsi="仿宋" w:cs="仿宋"/>
          <w:sz w:val="28"/>
          <w:szCs w:val="28"/>
          <w:highlight w:val="none"/>
          <w:lang w:val="en-US" w:eastAsia="zh-CN"/>
        </w:rPr>
        <w:t>：</w:t>
      </w:r>
      <w:r>
        <w:rPr>
          <w:rFonts w:hint="default" w:ascii="仿宋" w:hAnsi="仿宋" w:cs="仿宋"/>
          <w:sz w:val="28"/>
          <w:szCs w:val="28"/>
          <w:highlight w:val="none"/>
          <w:lang w:val="en-US" w:eastAsia="zh-CN"/>
        </w:rPr>
        <w:t>30</w:t>
      </w:r>
      <w:r>
        <w:rPr>
          <w:rFonts w:hint="eastAsia" w:ascii="仿宋" w:hAnsi="仿宋" w:eastAsia="仿宋" w:cs="仿宋"/>
          <w:sz w:val="28"/>
          <w:szCs w:val="28"/>
          <w:highlight w:val="none"/>
          <w:lang w:val="en-US" w:eastAsia="zh-CN"/>
        </w:rPr>
        <w:t>（北京时间）；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5"/>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4"/>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8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TCZX-HW-2022-04</w:t>
            </w:r>
            <w:r>
              <w:rPr>
                <w:rFonts w:hint="eastAsia" w:ascii="仿宋" w:hAnsi="仿宋" w:cs="仿宋"/>
                <w:sz w:val="28"/>
                <w:szCs w:val="28"/>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w:t>
            </w:r>
            <w:r>
              <w:rPr>
                <w:rFonts w:hint="eastAsia" w:ascii="仿宋" w:hAnsi="仿宋" w:cs="仿宋"/>
                <w:sz w:val="28"/>
                <w:szCs w:val="28"/>
                <w:highlight w:val="none"/>
                <w:lang w:val="en-US" w:eastAsia="zh-CN"/>
              </w:rPr>
              <w:t>手足微型C型臂</w:t>
            </w:r>
            <w:r>
              <w:rPr>
                <w:rFonts w:hint="eastAsia" w:ascii="仿宋" w:hAnsi="仿宋" w:cs="仿宋"/>
                <w:sz w:val="28"/>
                <w:szCs w:val="28"/>
                <w:highlight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资金来源：贴息贷款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129</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cs="仿宋"/>
                <w:sz w:val="28"/>
                <w:szCs w:val="28"/>
                <w:highlight w:val="none"/>
                <w:lang w:val="en-US" w:eastAsia="zh-CN"/>
              </w:rPr>
              <w:t>129</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18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提交疑问方式：发电子邮件至 sdthgczx2022@163.com（word文档及加盖公章的扫描件各一份），并致电0531-88933166</w:t>
            </w:r>
            <w:r>
              <w:rPr>
                <w:rFonts w:hint="eastAsia" w:ascii="仿宋" w:hAnsi="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15</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壹</w:t>
            </w:r>
            <w:r>
              <w:rPr>
                <w:rFonts w:hint="eastAsia" w:ascii="仿宋" w:hAnsi="仿宋" w:eastAsia="仿宋" w:cs="仿宋"/>
                <w:sz w:val="28"/>
                <w:szCs w:val="28"/>
                <w:highlight w:val="none"/>
              </w:rPr>
              <w:t>万</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保证金不能按时到帐的按无效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8"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11</w:t>
            </w:r>
            <w:r>
              <w:rPr>
                <w:rFonts w:hint="eastAsia" w:ascii="仿宋" w:hAnsi="仿宋" w:eastAsia="仿宋" w:cs="仿宋"/>
                <w:sz w:val="28"/>
                <w:szCs w:val="28"/>
                <w:highlight w:val="none"/>
              </w:rPr>
              <w:t>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货物经双方验收合格签字确认交付后，甲方收到发票入</w:t>
            </w:r>
            <w:r>
              <w:rPr>
                <w:rFonts w:hint="eastAsia" w:ascii="仿宋" w:hAnsi="仿宋" w:cs="仿宋"/>
                <w:sz w:val="28"/>
                <w:szCs w:val="28"/>
                <w:highlight w:val="none"/>
                <w:lang w:val="en-US" w:eastAsia="zh-CN"/>
              </w:rPr>
              <w:t>库</w:t>
            </w:r>
            <w:r>
              <w:rPr>
                <w:rFonts w:hint="eastAsia" w:ascii="仿宋" w:hAnsi="仿宋" w:eastAsia="仿宋" w:cs="仿宋"/>
                <w:sz w:val="28"/>
                <w:szCs w:val="28"/>
                <w:highlight w:val="none"/>
              </w:rPr>
              <w:t xml:space="preserve">三个月内，支付合同总金额90%，余款作为质量保证金，自财务入账之日起满12个月后，无质量问题，付总金额的10% </w:t>
            </w:r>
            <w:r>
              <w:rPr>
                <w:rFonts w:hint="eastAsia" w:ascii="仿宋" w:hAnsi="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服务费由成交供应商支付。供应商报价时应考虑上述费用，但不得单列。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8"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5"/>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lang w:val="en-US" w:eastAsia="zh-CN"/>
        </w:rPr>
        <w:t>供应商须知正文</w:t>
      </w:r>
      <w:bookmarkEnd w:id="15"/>
      <w:bookmarkEnd w:id="16"/>
    </w:p>
    <w:p>
      <w:pPr>
        <w:pStyle w:val="6"/>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r>
        <w:rPr>
          <w:rFonts w:hint="eastAsia" w:ascii="仿宋" w:hAnsi="仿宋" w:eastAsia="仿宋" w:cs="仿宋"/>
          <w:spacing w:val="0"/>
          <w:kern w:val="2"/>
          <w:sz w:val="28"/>
          <w:szCs w:val="28"/>
          <w:highlight w:val="none"/>
          <w:lang w:val="en-US" w:eastAsia="zh-CN" w:bidi="ar-SA"/>
        </w:rPr>
        <w:t>。</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磋商保证金采用电汇方式退还。若交款单位与供应商名称不一致，退款时，磋商保证金退至供应商帐户。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7"/>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4"/>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直接确定成交供应商。</w:t>
      </w: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688"/>
      <w:bookmarkStart w:id="23" w:name="_Toc1750"/>
      <w:r>
        <w:rPr>
          <w:rFonts w:hint="eastAsia" w:ascii="Arial" w:hAnsi="Arial" w:eastAsia="黑体" w:cs="Times New Roman"/>
          <w:b w:val="0"/>
          <w:kern w:val="2"/>
          <w:sz w:val="36"/>
          <w:szCs w:val="28"/>
          <w:highlight w:val="none"/>
          <w:lang w:val="en-US" w:eastAsia="zh-CN"/>
        </w:rPr>
        <w:t>评审细则</w:t>
      </w:r>
      <w:bookmarkEnd w:id="22"/>
      <w:bookmarkEnd w:id="23"/>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3"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0" w:type="pct"/>
            <w:noWrap w:val="0"/>
            <w:vAlign w:val="center"/>
          </w:tcPr>
          <w:p>
            <w:pPr>
              <w:snapToGrid w:val="0"/>
              <w:spacing w:line="30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rPr>
              <w:t>分；技术参数中每出现1条普通技术规格指标未实质性响应或负偏离的，扣</w:t>
            </w:r>
            <w:r>
              <w:rPr>
                <w:rFonts w:hint="eastAsia" w:ascii="仿宋" w:hAnsi="仿宋" w:cs="仿宋"/>
                <w:sz w:val="28"/>
                <w:szCs w:val="28"/>
                <w:highlight w:val="none"/>
                <w:lang w:val="en-US" w:eastAsia="zh-CN"/>
              </w:rPr>
              <w:t>0.8</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11</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由磋商小组认可的实质性优惠条款，每提供一条得1分，最高得2分，无不得分。</w:t>
            </w:r>
          </w:p>
        </w:tc>
      </w:tr>
    </w:tbl>
    <w:p>
      <w:pPr>
        <w:pStyle w:val="2"/>
        <w:rPr>
          <w:rFonts w:hint="eastAsia"/>
          <w:highlight w:val="none"/>
          <w:lang w:val="en-US" w:eastAsia="zh-CN"/>
        </w:rPr>
      </w:pP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284"/>
      <w:bookmarkStart w:id="27" w:name="_Toc7010"/>
      <w:bookmarkStart w:id="28" w:name="_Toc855"/>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9809"/>
      <w:bookmarkStart w:id="30" w:name="_Toc6941"/>
      <w:bookmarkStart w:id="31" w:name="_Toc14175"/>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30230"/>
      <w:bookmarkStart w:id="33" w:name="_Toc25000"/>
      <w:bookmarkStart w:id="34" w:name="_Toc1135"/>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4"/>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4625"/>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2"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2"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手足微型C型臂</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eastAsia" w:ascii="仿宋" w:hAnsi="仿宋" w:cs="仿宋"/>
                <w:b/>
                <w:bCs/>
                <w:spacing w:val="0"/>
                <w:kern w:val="2"/>
                <w:sz w:val="28"/>
                <w:szCs w:val="28"/>
                <w:highlight w:val="none"/>
                <w:lang w:val="en-US" w:eastAsia="zh-CN" w:bidi="ar-SA"/>
              </w:rPr>
              <w:t>1</w:t>
            </w:r>
            <w:r>
              <w:rPr>
                <w:rFonts w:hint="eastAsia" w:ascii="仿宋" w:hAnsi="仿宋" w:eastAsia="仿宋" w:cs="仿宋"/>
                <w:b/>
                <w:bCs/>
                <w:spacing w:val="0"/>
                <w:kern w:val="2"/>
                <w:sz w:val="28"/>
                <w:szCs w:val="28"/>
                <w:highlight w:val="none"/>
                <w:lang w:val="en-US" w:eastAsia="zh-CN" w:bidi="ar-SA"/>
              </w:rPr>
              <w:t>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pStyle w:val="3"/>
        <w:spacing w:after="0" w:line="480" w:lineRule="exact"/>
        <w:ind w:firstLine="281" w:firstLineChars="100"/>
        <w:jc w:val="left"/>
        <w:rPr>
          <w:rFonts w:hint="default"/>
          <w:b/>
          <w:bCs w:val="0"/>
          <w:color w:val="auto"/>
          <w:sz w:val="28"/>
          <w:szCs w:val="28"/>
          <w:highlight w:val="none"/>
          <w:lang w:val="en-US" w:eastAsia="zh-CN"/>
        </w:rPr>
      </w:pPr>
      <w:r>
        <w:rPr>
          <w:rFonts w:hint="eastAsia"/>
          <w:b/>
          <w:bCs w:val="0"/>
          <w:color w:val="auto"/>
          <w:sz w:val="28"/>
          <w:szCs w:val="28"/>
          <w:highlight w:val="none"/>
          <w:lang w:val="en-US" w:eastAsia="zh-CN"/>
        </w:rPr>
        <w:t>手足微型C型臂，数量：1套</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74" w:type="dxa"/>
            <w:noWrap w:val="0"/>
            <w:vAlign w:val="top"/>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38" w:type="dxa"/>
            <w:noWrap w:val="0"/>
            <w:vAlign w:val="top"/>
          </w:tcPr>
          <w:p>
            <w:pPr>
              <w:tabs>
                <w:tab w:val="left" w:pos="1556"/>
              </w:tabs>
              <w:spacing w:before="120" w:beforeLines="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1.1</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产品具备FDA、CFDA证书。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p>
        </w:tc>
        <w:tc>
          <w:tcPr>
            <w:tcW w:w="7938" w:type="dxa"/>
            <w:noWrap w:val="0"/>
            <w:vAlign w:val="center"/>
          </w:tcPr>
          <w:p>
            <w:pPr>
              <w:spacing w:before="1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设备配备内置UPS 不间断电源系统，有效保护系统稳定性和病人信息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938" w:type="dxa"/>
            <w:noWrap w:val="0"/>
            <w:vAlign w:val="center"/>
          </w:tcPr>
          <w:p>
            <w:pPr>
              <w:spacing w:before="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最大输出功率</w:t>
            </w:r>
            <w:r>
              <w:rPr>
                <w:rFonts w:hint="eastAsia" w:ascii="仿宋" w:hAnsi="仿宋" w:cs="仿宋"/>
                <w:color w:val="auto"/>
                <w:sz w:val="24"/>
                <w:szCs w:val="24"/>
                <w:highlight w:val="none"/>
                <w:lang w:val="en-US" w:eastAsia="zh-CN"/>
              </w:rPr>
              <w:t>大于等于</w:t>
            </w:r>
            <w:r>
              <w:rPr>
                <w:rFonts w:hint="default" w:ascii="仿宋" w:hAnsi="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938" w:type="dxa"/>
            <w:noWrap w:val="0"/>
            <w:vAlign w:val="center"/>
          </w:tcPr>
          <w:p>
            <w:pPr>
              <w:spacing w:before="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球管焦点≤</w:t>
            </w:r>
            <w:r>
              <w:rPr>
                <w:rFonts w:hint="eastAsia" w:ascii="仿宋" w:hAnsi="仿宋" w:eastAsia="仿宋" w:cs="仿宋"/>
                <w:color w:val="auto"/>
                <w:sz w:val="24"/>
                <w:szCs w:val="24"/>
                <w:highlight w:val="none"/>
                <w:lang w:val="en-US" w:eastAsia="zh-CN"/>
              </w:rPr>
              <w:t>0.045mm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938" w:type="dxa"/>
            <w:noWrap w:val="0"/>
            <w:vAlign w:val="center"/>
          </w:tcPr>
          <w:p>
            <w:pPr>
              <w:tabs>
                <w:tab w:val="left" w:pos="1556"/>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透视最大KV值≥</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938" w:type="dxa"/>
            <w:noWrap w:val="0"/>
            <w:vAlign w:val="center"/>
          </w:tcPr>
          <w:p>
            <w:pPr>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透视最小KV值≥40kV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938" w:type="dxa"/>
            <w:noWrap w:val="0"/>
            <w:vAlign w:val="center"/>
          </w:tcPr>
          <w:p>
            <w:pPr>
              <w:spacing w:before="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透视最大mA值</w:t>
            </w:r>
            <w:r>
              <w:rPr>
                <w:rFonts w:hint="eastAsia" w:ascii="仿宋" w:hAnsi="仿宋" w:eastAsia="仿宋" w:cs="仿宋"/>
                <w:color w:val="auto"/>
                <w:sz w:val="24"/>
                <w:szCs w:val="24"/>
                <w:highlight w:val="none"/>
                <w:lang w:val="en-US" w:eastAsia="zh-CN"/>
              </w:rPr>
              <w:t>≥0.1mA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7938" w:type="dxa"/>
            <w:noWrap w:val="0"/>
            <w:vAlign w:val="center"/>
          </w:tcPr>
          <w:p>
            <w:pPr>
              <w:spacing w:before="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透视最小mA值≤0.02mA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7938" w:type="dxa"/>
            <w:noWrap w:val="0"/>
            <w:vAlign w:val="center"/>
          </w:tcPr>
          <w:p>
            <w:pPr>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半剂量透视模式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7938" w:type="dxa"/>
            <w:noWrap w:val="0"/>
            <w:vAlign w:val="center"/>
          </w:tcPr>
          <w:p>
            <w:pPr>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球管端双面板曝光控制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7938" w:type="dxa"/>
            <w:noWrap w:val="0"/>
            <w:vAlign w:val="top"/>
          </w:tcPr>
          <w:p>
            <w:pPr>
              <w:spacing w:before="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4" w:type="dxa"/>
            <w:noWrap w:val="0"/>
            <w:vAlign w:val="center"/>
          </w:tcPr>
          <w:p>
            <w:pPr>
              <w:spacing w:before="120" w:line="240" w:lineRule="auto"/>
              <w:jc w:val="center"/>
              <w:rPr>
                <w:rFonts w:hint="eastAsia" w:ascii="仿宋" w:hAnsi="仿宋" w:eastAsia="仿宋" w:cs="仿宋"/>
                <w:color w:val="auto"/>
                <w:sz w:val="24"/>
                <w:szCs w:val="24"/>
                <w:highlight w:val="none"/>
              </w:rPr>
            </w:pPr>
            <w:r>
              <w:rPr>
                <w:rFonts w:hint="default"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rPr>
              <w:t>3.1</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CMOS平板探测器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4" w:type="dxa"/>
            <w:noWrap w:val="0"/>
            <w:vAlign w:val="center"/>
          </w:tcPr>
          <w:p>
            <w:pPr>
              <w:spacing w:before="12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DQE</w:t>
            </w:r>
            <w:r>
              <w:rPr>
                <w:rFonts w:hint="eastAsia" w:ascii="仿宋" w:hAnsi="仿宋" w:eastAsia="仿宋" w:cs="仿宋"/>
                <w:color w:val="auto"/>
                <w:sz w:val="24"/>
                <w:szCs w:val="24"/>
                <w:highlight w:val="none"/>
                <w:lang w:val="en-GB"/>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4" w:type="dxa"/>
            <w:noWrap w:val="0"/>
            <w:vAlign w:val="center"/>
          </w:tcPr>
          <w:p>
            <w:pPr>
              <w:spacing w:before="12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像素间距</w:t>
            </w:r>
            <w:r>
              <w:rPr>
                <w:rFonts w:hint="eastAsia" w:ascii="仿宋" w:hAnsi="仿宋" w:eastAsia="仿宋" w:cs="仿宋"/>
                <w:color w:val="auto"/>
                <w:sz w:val="24"/>
                <w:szCs w:val="24"/>
                <w:highlight w:val="none"/>
                <w:lang w:val="en-GB"/>
              </w:rPr>
              <w:t>≤100um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4" w:type="dxa"/>
            <w:noWrap w:val="0"/>
            <w:vAlign w:val="center"/>
          </w:tcPr>
          <w:p>
            <w:pPr>
              <w:spacing w:before="12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分辨率≥1300x1300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4" w:type="dxa"/>
            <w:noWrap w:val="0"/>
            <w:vAlign w:val="center"/>
          </w:tcPr>
          <w:p>
            <w:pPr>
              <w:spacing w:before="12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灰阶矩阵≥16bit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4" w:type="dxa"/>
            <w:noWrap w:val="0"/>
            <w:vAlign w:val="center"/>
          </w:tcPr>
          <w:p>
            <w:pPr>
              <w:spacing w:before="12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7938" w:type="dxa"/>
            <w:noWrap w:val="0"/>
            <w:vAlign w:val="center"/>
          </w:tcPr>
          <w:p>
            <w:pPr>
              <w:tabs>
                <w:tab w:val="left" w:pos="1556"/>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探测器尺寸</w:t>
            </w: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GB"/>
              </w:rPr>
              <w:t>13cmx13cm</w:t>
            </w:r>
            <w:r>
              <w:rPr>
                <w:rFonts w:hint="eastAsia" w:ascii="仿宋" w:hAnsi="仿宋" w:eastAsia="仿宋" w:cs="仿宋"/>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7938" w:type="dxa"/>
            <w:noWrap w:val="0"/>
            <w:vAlign w:val="center"/>
          </w:tcPr>
          <w:p>
            <w:pPr>
              <w:tabs>
                <w:tab w:val="left" w:pos="1556"/>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default" w:ascii="仿宋" w:hAnsi="仿宋" w:cs="仿宋"/>
                <w:color w:val="auto"/>
                <w:sz w:val="24"/>
                <w:szCs w:val="24"/>
                <w:highlight w:val="none"/>
                <w:lang w:val="en-US" w:eastAsia="zh-CN"/>
              </w:rPr>
              <w:t>5</w:t>
            </w:r>
            <w:r>
              <w:rPr>
                <w:rFonts w:hint="eastAsia" w:ascii="仿宋" w:hAnsi="仿宋" w:cs="仿宋"/>
                <w:color w:val="auto"/>
                <w:sz w:val="24"/>
                <w:szCs w:val="24"/>
                <w:highlight w:val="none"/>
                <w:lang w:val="en-US" w:eastAsia="zh-CN"/>
              </w:rPr>
              <w:t>寸</w:t>
            </w:r>
            <w:r>
              <w:rPr>
                <w:rFonts w:hint="eastAsia" w:ascii="仿宋" w:hAnsi="仿宋" w:eastAsia="仿宋" w:cs="仿宋"/>
                <w:color w:val="auto"/>
                <w:sz w:val="24"/>
                <w:szCs w:val="24"/>
                <w:highlight w:val="none"/>
              </w:rPr>
              <w:t>“4K高清彩色显示器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7938" w:type="dxa"/>
            <w:noWrap w:val="0"/>
            <w:vAlign w:val="center"/>
          </w:tcPr>
          <w:p>
            <w:pPr>
              <w:tabs>
                <w:tab w:val="left" w:pos="1556"/>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监视器最高分辨率≥</w:t>
            </w:r>
            <w:r>
              <w:rPr>
                <w:rFonts w:hint="eastAsia" w:ascii="仿宋" w:hAnsi="仿宋" w:eastAsia="仿宋" w:cs="仿宋"/>
                <w:color w:val="auto"/>
                <w:sz w:val="24"/>
                <w:szCs w:val="24"/>
                <w:highlight w:val="none"/>
                <w:lang w:val="en-US" w:eastAsia="zh-CN"/>
              </w:rPr>
              <w:t>1200</w:t>
            </w:r>
            <w:r>
              <w:rPr>
                <w:rFonts w:hint="eastAsia" w:ascii="仿宋" w:hAnsi="仿宋" w:eastAsia="仿宋" w:cs="仿宋"/>
                <w:color w:val="auto"/>
                <w:sz w:val="24"/>
                <w:szCs w:val="24"/>
                <w:highlight w:val="none"/>
              </w:rPr>
              <w:t>x</w:t>
            </w:r>
            <w:r>
              <w:rPr>
                <w:rFonts w:hint="eastAsia" w:ascii="仿宋" w:hAnsi="仿宋" w:eastAsia="仿宋" w:cs="仿宋"/>
                <w:color w:val="auto"/>
                <w:sz w:val="24"/>
                <w:szCs w:val="24"/>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监视器最大亮度≥600 Cd/m</w:t>
            </w:r>
            <w:r>
              <w:rPr>
                <w:rFonts w:hint="eastAsia" w:ascii="仿宋" w:hAnsi="仿宋" w:eastAsia="仿宋" w:cs="仿宋"/>
                <w:color w:val="auto"/>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监视器俯仰角调节度≥±10</w:t>
            </w:r>
            <w:r>
              <w:rPr>
                <w:rFonts w:hint="eastAsia" w:ascii="仿宋" w:hAnsi="仿宋" w:eastAsia="仿宋" w:cs="仿宋"/>
                <w:color w:val="auto"/>
                <w:sz w:val="24"/>
                <w:szCs w:val="24"/>
                <w:highlight w:val="none"/>
                <w:vertAlign w:val="super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监视器旋转角度≥270</w:t>
            </w:r>
            <w:r>
              <w:rPr>
                <w:rFonts w:hint="eastAsia" w:ascii="仿宋" w:hAnsi="仿宋" w:eastAsia="仿宋" w:cs="仿宋"/>
                <w:color w:val="auto"/>
                <w:sz w:val="24"/>
                <w:szCs w:val="24"/>
                <w:highlight w:val="none"/>
                <w:vertAlign w:val="super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监视器水平及垂直大视角≥178º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监视器触摸屏设计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7938" w:type="dxa"/>
            <w:noWrap w:val="0"/>
            <w:vAlign w:val="center"/>
          </w:tcPr>
          <w:p>
            <w:pPr>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键盘系统控制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手控及脚踏曝光开关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C形臂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6.1</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SID≤45cm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7938" w:type="dxa"/>
            <w:noWrap w:val="0"/>
            <w:vAlign w:val="center"/>
          </w:tcPr>
          <w:p>
            <w:pPr>
              <w:spacing w:before="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开口≤3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cm</w:t>
            </w:r>
            <w:r>
              <w:rPr>
                <w:rFonts w:hint="eastAsia" w:ascii="仿宋" w:hAnsi="仿宋" w:eastAsia="仿宋" w:cs="仿宋"/>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弧深≤</w:t>
            </w: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p>
        </w:tc>
        <w:tc>
          <w:tcPr>
            <w:tcW w:w="7938" w:type="dxa"/>
            <w:noWrap w:val="0"/>
            <w:vAlign w:val="center"/>
          </w:tcPr>
          <w:p>
            <w:pPr>
              <w:tabs>
                <w:tab w:val="left" w:pos="1556"/>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水平移动≥3</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vertAlign w:val="super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7938" w:type="dxa"/>
            <w:noWrap w:val="0"/>
            <w:vAlign w:val="center"/>
          </w:tcPr>
          <w:p>
            <w:pPr>
              <w:tabs>
                <w:tab w:val="left" w:pos="1556"/>
              </w:tabs>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垂直升降</w:t>
            </w:r>
            <w:r>
              <w:rPr>
                <w:rFonts w:hint="eastAsia" w:ascii="仿宋" w:hAnsi="仿宋" w:cs="仿宋"/>
                <w:color w:val="auto"/>
                <w:sz w:val="24"/>
                <w:szCs w:val="24"/>
                <w:highlight w:val="none"/>
                <w:lang w:val="en-US" w:eastAsia="zh-CN"/>
              </w:rPr>
              <w:t>高度＞</w:t>
            </w:r>
            <w:r>
              <w:rPr>
                <w:rFonts w:hint="default" w:ascii="仿宋" w:hAnsi="仿宋" w:cs="仿宋"/>
                <w:color w:val="auto"/>
                <w:sz w:val="24"/>
                <w:szCs w:val="24"/>
                <w:highlight w:val="none"/>
                <w:lang w:val="en-US" w:eastAsia="zh-CN"/>
              </w:rPr>
              <w:t>80</w:t>
            </w:r>
            <w:r>
              <w:rPr>
                <w:rFonts w:hint="default" w:ascii="仿宋" w:hAnsi="仿宋" w:cs="仿宋"/>
                <w:color w:val="auto"/>
                <w:sz w:val="24"/>
                <w:szCs w:val="24"/>
                <w:highlight w:val="none"/>
                <w:lang w:val="en-U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多关节摆臂设计≥5轴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C型臂、显示器和机座一体化设计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7938" w:type="dxa"/>
            <w:noWrap w:val="0"/>
            <w:vAlign w:val="center"/>
          </w:tcPr>
          <w:p>
            <w:pPr>
              <w:tabs>
                <w:tab w:val="left" w:pos="1556"/>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厂家原厂工作站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患者信息编辑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w:t>
            </w:r>
          </w:p>
        </w:tc>
        <w:tc>
          <w:tcPr>
            <w:tcW w:w="7938" w:type="dxa"/>
            <w:noWrap w:val="0"/>
            <w:vAlign w:val="center"/>
          </w:tcPr>
          <w:p>
            <w:pPr>
              <w:tabs>
                <w:tab w:val="left" w:pos="1556"/>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图像存储≥</w:t>
            </w:r>
            <w:r>
              <w:rPr>
                <w:rFonts w:hint="eastAsia" w:ascii="仿宋" w:hAnsi="仿宋" w:eastAsia="仿宋" w:cs="仿宋"/>
                <w:color w:val="auto"/>
                <w:sz w:val="24"/>
                <w:szCs w:val="24"/>
                <w:highlight w:val="none"/>
                <w:lang w:val="en-US" w:eastAsia="zh-CN"/>
              </w:rPr>
              <w:t>8</w:t>
            </w:r>
            <w:r>
              <w:rPr>
                <w:rFonts w:hint="default" w:ascii="仿宋" w:hAnsi="仿宋" w:cs="仿宋"/>
                <w:color w:val="auto"/>
                <w:sz w:val="24"/>
                <w:szCs w:val="24"/>
                <w:highlight w:val="none"/>
                <w:lang w:val="en-US" w:eastAsia="zh-CN"/>
              </w:rPr>
              <w:t>0</w:t>
            </w:r>
            <w:r>
              <w:rPr>
                <w:rFonts w:hint="eastAsia" w:ascii="仿宋" w:hAnsi="仿宋" w:eastAsia="仿宋" w:cs="仿宋"/>
                <w:color w:val="auto"/>
                <w:sz w:val="24"/>
                <w:szCs w:val="24"/>
                <w:highlight w:val="none"/>
              </w:rPr>
              <w:t>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末帧图像显示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实时自动亮度对比度调整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图像放大及游走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实时图像边缘增强技术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图像360度旋转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7.10</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图像左右反转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图像上下翻转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图像回调及预览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7.13</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存储图像后处理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7.14</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图像USB存储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7.15</w:t>
            </w:r>
          </w:p>
        </w:tc>
        <w:tc>
          <w:tcPr>
            <w:tcW w:w="7938" w:type="dxa"/>
            <w:noWrap w:val="0"/>
            <w:vAlign w:val="center"/>
          </w:tcPr>
          <w:p>
            <w:pPr>
              <w:tabs>
                <w:tab w:val="left" w:pos="155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4" w:type="dxa"/>
            <w:noWrap w:val="0"/>
            <w:vAlign w:val="center"/>
          </w:tcPr>
          <w:p>
            <w:pPr>
              <w:spacing w:before="1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7.16</w:t>
            </w:r>
          </w:p>
        </w:tc>
        <w:tc>
          <w:tcPr>
            <w:tcW w:w="7938" w:type="dxa"/>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要求免费与医院相关业务系统对接，连接局部信息平台，相关对接费用由供货商承担</w:t>
            </w:r>
          </w:p>
        </w:tc>
      </w:tr>
    </w:tbl>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w:t>
      </w:r>
      <w:r>
        <w:rPr>
          <w:rFonts w:hint="eastAsia" w:ascii="仿宋" w:hAnsi="仿宋" w:cs="仿宋"/>
          <w:spacing w:val="0"/>
          <w:kern w:val="2"/>
          <w:sz w:val="28"/>
          <w:szCs w:val="28"/>
          <w:highlight w:val="none"/>
          <w:lang w:val="en-US" w:eastAsia="zh-CN" w:bidi="ar-SA"/>
        </w:rPr>
        <w:t>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spacing w:after="0" w:line="480" w:lineRule="exact"/>
        <w:ind w:firstLine="700" w:firstLineChars="250"/>
        <w:jc w:val="left"/>
        <w:rPr>
          <w:rFonts w:hint="eastAsia" w:ascii="仿宋" w:hAnsi="仿宋" w:eastAsia="仿宋" w:cs="仿宋"/>
          <w:sz w:val="28"/>
          <w:szCs w:val="28"/>
          <w:highlight w:val="none"/>
        </w:rPr>
      </w:pPr>
    </w:p>
    <w:p>
      <w:pPr>
        <w:pStyle w:val="4"/>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6"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6"/>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7" w:name="_Toc6202"/>
      <w:bookmarkStart w:id="38" w:name="_Toc14605"/>
      <w:r>
        <w:rPr>
          <w:rFonts w:hint="eastAsia" w:ascii="Arial" w:hAnsi="Arial" w:eastAsia="黑体" w:cs="Times New Roman"/>
          <w:b w:val="0"/>
          <w:kern w:val="2"/>
          <w:sz w:val="36"/>
          <w:szCs w:val="28"/>
          <w:highlight w:val="none"/>
        </w:rPr>
        <w:t>一、合同文件</w:t>
      </w:r>
      <w:bookmarkEnd w:id="37"/>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9" w:name="_Toc32520"/>
      <w:bookmarkStart w:id="40" w:name="_Toc22929"/>
      <w:r>
        <w:rPr>
          <w:rFonts w:hint="eastAsia" w:ascii="Arial" w:hAnsi="Arial" w:eastAsia="黑体" w:cs="Times New Roman"/>
          <w:b w:val="0"/>
          <w:kern w:val="2"/>
          <w:sz w:val="36"/>
          <w:szCs w:val="28"/>
          <w:highlight w:val="none"/>
        </w:rPr>
        <w:t>二、合同的范围和条件</w:t>
      </w:r>
      <w:bookmarkEnd w:id="39"/>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1" w:name="_Toc23763"/>
      <w:bookmarkStart w:id="42" w:name="_Toc25344"/>
      <w:r>
        <w:rPr>
          <w:rFonts w:hint="eastAsia" w:ascii="Arial" w:hAnsi="Arial" w:eastAsia="黑体" w:cs="Times New Roman"/>
          <w:b w:val="0"/>
          <w:kern w:val="2"/>
          <w:sz w:val="36"/>
          <w:szCs w:val="28"/>
          <w:highlight w:val="none"/>
        </w:rPr>
        <w:t>三、货物、数量及规格</w:t>
      </w:r>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3" w:name="_Toc272"/>
      <w:bookmarkStart w:id="44" w:name="_Toc8807"/>
      <w:r>
        <w:rPr>
          <w:rFonts w:hint="eastAsia" w:ascii="Arial" w:hAnsi="Arial" w:eastAsia="黑体" w:cs="Times New Roman"/>
          <w:b w:val="0"/>
          <w:kern w:val="2"/>
          <w:sz w:val="36"/>
          <w:szCs w:val="28"/>
          <w:highlight w:val="none"/>
        </w:rPr>
        <w:t>四、合同金额</w:t>
      </w:r>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5" w:name="_Toc17889"/>
      <w:bookmarkStart w:id="46" w:name="_Toc13328"/>
      <w:r>
        <w:rPr>
          <w:rFonts w:hint="eastAsia" w:ascii="Arial" w:hAnsi="Arial" w:eastAsia="黑体" w:cs="Times New Roman"/>
          <w:b w:val="0"/>
          <w:kern w:val="2"/>
          <w:sz w:val="36"/>
          <w:szCs w:val="28"/>
          <w:highlight w:val="none"/>
        </w:rPr>
        <w:t>五、付款途径</w:t>
      </w:r>
      <w:bookmarkEnd w:id="45"/>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7" w:name="_Toc25500"/>
      <w:bookmarkStart w:id="48" w:name="_Toc9881"/>
      <w:r>
        <w:rPr>
          <w:rFonts w:hint="eastAsia" w:ascii="Arial" w:hAnsi="Arial" w:eastAsia="黑体" w:cs="Times New Roman"/>
          <w:b w:val="0"/>
          <w:kern w:val="2"/>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9" w:name="_Toc11362"/>
      <w:r>
        <w:rPr>
          <w:rFonts w:hint="eastAsia" w:ascii="仿宋" w:hAnsi="仿宋" w:eastAsia="仿宋" w:cs="仿宋"/>
          <w:sz w:val="28"/>
          <w:szCs w:val="28"/>
          <w:highlight w:val="none"/>
        </w:rPr>
        <w:t>货物经双方验收合格签字确认交付后，甲方收到发票入</w:t>
      </w:r>
      <w:r>
        <w:rPr>
          <w:rFonts w:hint="eastAsia" w:ascii="仿宋" w:hAnsi="仿宋" w:cs="仿宋"/>
          <w:sz w:val="28"/>
          <w:szCs w:val="28"/>
          <w:highlight w:val="none"/>
          <w:lang w:val="en-US" w:eastAsia="zh-CN"/>
        </w:rPr>
        <w:t>库</w:t>
      </w:r>
      <w:r>
        <w:rPr>
          <w:rFonts w:hint="eastAsia" w:ascii="仿宋" w:hAnsi="仿宋" w:eastAsia="仿宋" w:cs="仿宋"/>
          <w:sz w:val="28"/>
          <w:szCs w:val="28"/>
          <w:highlight w:val="none"/>
        </w:rPr>
        <w:t xml:space="preserve">三个月内，支付合同总金额90%，余款作为质量保证金，自财务入账之日起满12个月后，无质量问题，付总金额的10% </w:t>
      </w:r>
      <w:bookmarkStart w:id="99" w:name="_GoBack"/>
      <w:bookmarkEnd w:id="99"/>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10832"/>
      <w:r>
        <w:rPr>
          <w:rFonts w:hint="eastAsia" w:ascii="Arial" w:hAnsi="Arial" w:eastAsia="黑体" w:cs="Times New Roman"/>
          <w:b w:val="0"/>
          <w:kern w:val="2"/>
          <w:sz w:val="36"/>
          <w:szCs w:val="28"/>
          <w:highlight w:val="none"/>
        </w:rPr>
        <w:t>七、交货日期、地点</w:t>
      </w:r>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1" w:name="_Toc18187"/>
      <w:bookmarkStart w:id="52" w:name="_Toc2358"/>
      <w:r>
        <w:rPr>
          <w:rFonts w:hint="eastAsia" w:ascii="Arial" w:hAnsi="Arial" w:eastAsia="黑体" w:cs="Times New Roman"/>
          <w:b w:val="0"/>
          <w:kern w:val="2"/>
          <w:sz w:val="36"/>
          <w:szCs w:val="28"/>
          <w:highlight w:val="none"/>
        </w:rPr>
        <w:t>八、质量标准和验收</w:t>
      </w:r>
      <w:bookmarkEnd w:id="51"/>
      <w:bookmarkEnd w:id="5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23410"/>
      <w:bookmarkStart w:id="54" w:name="_Toc26222"/>
      <w:r>
        <w:rPr>
          <w:rFonts w:hint="eastAsia" w:ascii="Arial" w:hAnsi="Arial" w:eastAsia="黑体" w:cs="Times New Roman"/>
          <w:b w:val="0"/>
          <w:kern w:val="2"/>
          <w:sz w:val="36"/>
          <w:szCs w:val="28"/>
          <w:highlight w:val="none"/>
        </w:rPr>
        <w:t>九、履约保证金</w:t>
      </w:r>
      <w:bookmarkEnd w:id="53"/>
      <w:bookmarkEnd w:id="5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5" w:name="_Toc16424"/>
      <w:bookmarkStart w:id="56" w:name="_Toc8157"/>
      <w:r>
        <w:rPr>
          <w:rFonts w:hint="eastAsia" w:ascii="Arial" w:hAnsi="Arial" w:eastAsia="黑体" w:cs="Times New Roman"/>
          <w:b w:val="0"/>
          <w:kern w:val="2"/>
          <w:sz w:val="36"/>
          <w:szCs w:val="28"/>
          <w:highlight w:val="none"/>
        </w:rPr>
        <w:t>十、违约责任</w:t>
      </w:r>
      <w:bookmarkEnd w:id="55"/>
      <w:bookmarkEnd w:id="5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7" w:name="_Toc18228"/>
      <w:bookmarkStart w:id="58" w:name="_Toc15291"/>
      <w:r>
        <w:rPr>
          <w:rFonts w:hint="eastAsia" w:ascii="Arial" w:hAnsi="Arial" w:eastAsia="黑体" w:cs="Times New Roman"/>
          <w:b w:val="0"/>
          <w:kern w:val="2"/>
          <w:sz w:val="36"/>
          <w:szCs w:val="28"/>
          <w:highlight w:val="none"/>
        </w:rPr>
        <w:t>十一、争议解决</w:t>
      </w:r>
      <w:bookmarkEnd w:id="57"/>
      <w:bookmarkEnd w:id="5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9" w:name="_Toc31796"/>
      <w:bookmarkStart w:id="60" w:name="_Toc8912"/>
      <w:r>
        <w:rPr>
          <w:rFonts w:hint="eastAsia" w:ascii="Arial" w:hAnsi="Arial" w:eastAsia="黑体" w:cs="Times New Roman"/>
          <w:b w:val="0"/>
          <w:kern w:val="2"/>
          <w:sz w:val="36"/>
          <w:szCs w:val="28"/>
          <w:highlight w:val="none"/>
        </w:rPr>
        <w:t>十二、合同生效</w:t>
      </w:r>
      <w:bookmarkEnd w:id="59"/>
      <w:bookmarkEnd w:id="6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1" w:name="_Toc17395"/>
      <w:bookmarkStart w:id="62" w:name="_Toc439"/>
      <w:r>
        <w:rPr>
          <w:rFonts w:hint="eastAsia" w:ascii="Arial" w:hAnsi="Arial" w:eastAsia="黑体" w:cs="Times New Roman"/>
          <w:b w:val="0"/>
          <w:kern w:val="2"/>
          <w:sz w:val="36"/>
          <w:szCs w:val="28"/>
          <w:highlight w:val="none"/>
        </w:rPr>
        <w:t>十三、其他</w:t>
      </w:r>
      <w:bookmarkEnd w:id="61"/>
      <w:bookmarkEnd w:id="6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3" w:name="_Toc15058"/>
      <w:bookmarkStart w:id="64" w:name="_Toc2577"/>
      <w:r>
        <w:rPr>
          <w:rFonts w:hint="eastAsia" w:ascii="Arial" w:hAnsi="Arial" w:eastAsia="黑体" w:cs="Times New Roman"/>
          <w:b w:val="0"/>
          <w:kern w:val="2"/>
          <w:sz w:val="36"/>
          <w:szCs w:val="28"/>
          <w:highlight w:val="none"/>
        </w:rPr>
        <w:t>十四、合同保存</w:t>
      </w:r>
      <w:bookmarkEnd w:id="63"/>
      <w:bookmarkEnd w:id="6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4"/>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5"/>
    </w:p>
    <w:p>
      <w:pPr>
        <w:pStyle w:val="5"/>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6" w:name="_Toc24896"/>
      <w:r>
        <w:rPr>
          <w:rFonts w:hint="eastAsia" w:ascii="Arial" w:hAnsi="Arial" w:eastAsia="黑体" w:cs="Times New Roman"/>
          <w:b w:val="0"/>
          <w:kern w:val="2"/>
          <w:sz w:val="32"/>
          <w:szCs w:val="32"/>
          <w:highlight w:val="none"/>
        </w:rPr>
        <w:t>附件一：报价函</w:t>
      </w:r>
      <w:bookmarkEnd w:id="66"/>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银行帐号：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5"/>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67" w:name="_Toc24306"/>
      <w:bookmarkStart w:id="68" w:name="_Toc15950"/>
      <w:r>
        <w:rPr>
          <w:rFonts w:hint="eastAsia" w:ascii="Arial" w:hAnsi="Arial" w:eastAsia="黑体" w:cs="Times New Roman"/>
          <w:b w:val="0"/>
          <w:kern w:val="2"/>
          <w:sz w:val="32"/>
          <w:szCs w:val="32"/>
          <w:highlight w:val="none"/>
          <w:lang w:val="en-US" w:eastAsia="zh-CN"/>
        </w:rPr>
        <w:t>附件二：法定代表人身份证明</w:t>
      </w:r>
      <w:bookmarkEnd w:id="67"/>
      <w:bookmarkEnd w:id="68"/>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69" w:name="_Toc7468"/>
      <w:r>
        <w:rPr>
          <w:rFonts w:hint="eastAsia" w:ascii="Arial" w:hAnsi="Arial" w:eastAsia="黑体" w:cs="Times New Roman"/>
          <w:b w:val="0"/>
          <w:kern w:val="2"/>
          <w:sz w:val="32"/>
          <w:szCs w:val="32"/>
          <w:highlight w:val="none"/>
          <w:lang w:val="en-US" w:eastAsia="zh-CN" w:bidi="ar-SA"/>
        </w:rPr>
        <w:t>附件三：授权委托书</w:t>
      </w:r>
      <w:bookmarkEnd w:id="69"/>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0" w:name="_Toc23170"/>
      <w:r>
        <w:rPr>
          <w:rFonts w:hint="eastAsia" w:ascii="Arial" w:hAnsi="Arial" w:eastAsia="黑体" w:cs="Times New Roman"/>
          <w:b w:val="0"/>
          <w:kern w:val="2"/>
          <w:sz w:val="32"/>
          <w:szCs w:val="32"/>
          <w:highlight w:val="none"/>
          <w:lang w:val="en-US" w:eastAsia="zh-CN" w:bidi="ar-SA"/>
        </w:rPr>
        <w:t>附件四：报价一览表</w:t>
      </w:r>
      <w:bookmarkEnd w:id="70"/>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货物名称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产地/品牌/型号（多种产品的仅提供核心产品品牌型号）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1" w:name="_Toc8355"/>
      <w:r>
        <w:rPr>
          <w:rFonts w:hint="eastAsia" w:ascii="Arial" w:hAnsi="Arial" w:eastAsia="黑体" w:cs="Times New Roman"/>
          <w:b w:val="0"/>
          <w:kern w:val="2"/>
          <w:sz w:val="32"/>
          <w:szCs w:val="32"/>
          <w:highlight w:val="none"/>
          <w:lang w:val="en-US" w:eastAsia="zh-CN" w:bidi="ar-SA"/>
        </w:rPr>
        <w:t>附件五：报价明细表</w:t>
      </w:r>
      <w:bookmarkEnd w:id="71"/>
    </w:p>
    <w:p>
      <w:pPr>
        <w:tabs>
          <w:tab w:val="left" w:pos="1785"/>
        </w:tabs>
        <w:spacing w:line="480" w:lineRule="exact"/>
        <w:rPr>
          <w:rFonts w:hint="eastAsia" w:ascii="仿宋" w:hAnsi="仿宋" w:eastAsia="仿宋" w:cs="仿宋"/>
          <w:color w:val="000000"/>
          <w:sz w:val="28"/>
          <w:szCs w:val="28"/>
          <w:highlight w:val="none"/>
        </w:rPr>
      </w:pPr>
      <w:bookmarkStart w:id="72" w:name="OLE_LINK4"/>
      <w:bookmarkStart w:id="73" w:name="OLE_LINK3"/>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2"/>
    <w:bookmarkEnd w:id="73"/>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24899"/>
      <w:r>
        <w:rPr>
          <w:rFonts w:hint="eastAsia" w:ascii="Arial" w:hAnsi="Arial" w:eastAsia="黑体" w:cs="Times New Roman"/>
          <w:b w:val="0"/>
          <w:kern w:val="2"/>
          <w:sz w:val="32"/>
          <w:szCs w:val="32"/>
          <w:highlight w:val="none"/>
          <w:lang w:val="en-US" w:eastAsia="zh-CN" w:bidi="ar-SA"/>
        </w:rPr>
        <w:t>附件六：技术规格响应/偏离表</w:t>
      </w:r>
      <w:bookmarkEnd w:id="74"/>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5" w:name="_Toc32268"/>
      <w:r>
        <w:rPr>
          <w:rFonts w:hint="eastAsia" w:ascii="Arial" w:hAnsi="Arial" w:eastAsia="黑体" w:cs="Times New Roman"/>
          <w:b w:val="0"/>
          <w:kern w:val="2"/>
          <w:sz w:val="32"/>
          <w:szCs w:val="32"/>
          <w:highlight w:val="none"/>
          <w:lang w:val="en-US" w:eastAsia="zh-CN" w:bidi="ar-SA"/>
        </w:rPr>
        <w:t>附件七:商务条款响应/偏离表</w:t>
      </w:r>
      <w:bookmarkEnd w:id="75"/>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6" w:name="_Toc1189"/>
      <w:r>
        <w:rPr>
          <w:rFonts w:hint="eastAsia" w:ascii="Arial" w:hAnsi="Arial" w:eastAsia="黑体" w:cs="Times New Roman"/>
          <w:b w:val="0"/>
          <w:kern w:val="2"/>
          <w:sz w:val="32"/>
          <w:szCs w:val="32"/>
          <w:highlight w:val="none"/>
          <w:lang w:val="en-US" w:eastAsia="zh-CN" w:bidi="ar-SA"/>
        </w:rPr>
        <w:t>附件八：产品性能描述一览表</w:t>
      </w:r>
      <w:bookmarkEnd w:id="76"/>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77"/>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78" w:name="_Toc13571"/>
      <w:r>
        <w:rPr>
          <w:rFonts w:hint="eastAsia" w:ascii="Arial" w:hAnsi="Arial" w:eastAsia="黑体" w:cs="Times New Roman"/>
          <w:b w:val="0"/>
          <w:kern w:val="2"/>
          <w:sz w:val="36"/>
          <w:szCs w:val="28"/>
          <w:highlight w:val="none"/>
          <w:lang w:val="en-US" w:eastAsia="zh-CN" w:bidi="ar-SA"/>
        </w:rPr>
        <w:t>（格式自定）</w:t>
      </w:r>
      <w:bookmarkEnd w:id="78"/>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9"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79"/>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0" w:name="_Toc29714"/>
      <w:r>
        <w:rPr>
          <w:rFonts w:hint="eastAsia" w:ascii="Arial" w:hAnsi="Arial" w:eastAsia="黑体" w:cs="Times New Roman"/>
          <w:b w:val="0"/>
          <w:kern w:val="2"/>
          <w:sz w:val="36"/>
          <w:szCs w:val="28"/>
          <w:highlight w:val="none"/>
          <w:lang w:val="en-US" w:eastAsia="zh-CN" w:bidi="ar-SA"/>
        </w:rPr>
        <w:t>（格式自定）</w:t>
      </w:r>
      <w:bookmarkEnd w:id="80"/>
    </w:p>
    <w:p>
      <w:pPr>
        <w:pStyle w:val="5"/>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1"/>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2" w:name="_Toc29643"/>
      <w:r>
        <w:rPr>
          <w:rFonts w:hint="eastAsia" w:ascii="Arial" w:hAnsi="Arial" w:eastAsia="黑体" w:cs="Times New Roman"/>
          <w:b w:val="0"/>
          <w:kern w:val="2"/>
          <w:sz w:val="32"/>
          <w:szCs w:val="32"/>
          <w:highlight w:val="none"/>
          <w:lang w:val="en-US" w:eastAsia="zh-CN" w:bidi="ar-SA"/>
        </w:rPr>
        <w:t>附件十二：证明文件格式（参考）</w:t>
      </w:r>
      <w:bookmarkEnd w:id="82"/>
    </w:p>
    <w:p>
      <w:pPr>
        <w:pStyle w:val="14"/>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3" w:name="_Toc23872"/>
      <w:bookmarkStart w:id="84"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5" w:name="_Toc11401"/>
      <w:bookmarkStart w:id="86"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8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88" w:name="_Toc492372156"/>
      <w:bookmarkStart w:id="89" w:name="_Toc499831025"/>
      <w:bookmarkStart w:id="90" w:name="_Toc499827580"/>
      <w:r>
        <w:rPr>
          <w:rFonts w:hint="eastAsia" w:ascii="Calibri" w:hAnsi="Calibri" w:eastAsia="楷体" w:cs="Times New Roman"/>
          <w:b/>
          <w:kern w:val="2"/>
          <w:sz w:val="32"/>
          <w:szCs w:val="28"/>
          <w:highlight w:val="none"/>
          <w:lang w:val="en-US" w:eastAsia="zh-CN" w:bidi="ar-SA"/>
        </w:rPr>
        <w:t xml:space="preserve">格式6  </w:t>
      </w:r>
      <w:bookmarkEnd w:id="88"/>
      <w:r>
        <w:rPr>
          <w:rFonts w:hint="eastAsia" w:ascii="Calibri" w:hAnsi="Calibri" w:eastAsia="楷体" w:cs="Times New Roman"/>
          <w:b/>
          <w:kern w:val="2"/>
          <w:sz w:val="32"/>
          <w:szCs w:val="28"/>
          <w:highlight w:val="none"/>
          <w:lang w:val="en-US" w:eastAsia="zh-CN" w:bidi="ar-SA"/>
        </w:rPr>
        <w:t>残疾人福利性单位声明函</w:t>
      </w:r>
      <w:bookmarkEnd w:id="89"/>
      <w:bookmarkEnd w:id="90"/>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1"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1"/>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2" w:name="_Toc13572220"/>
      <w:bookmarkStart w:id="93" w:name="_Toc514675542"/>
      <w:bookmarkStart w:id="94" w:name="_Toc514684734"/>
      <w:r>
        <w:rPr>
          <w:rFonts w:hint="eastAsia" w:ascii="仿宋" w:hAnsi="仿宋" w:eastAsia="仿宋" w:cs="仿宋"/>
          <w:color w:val="000000"/>
          <w:sz w:val="24"/>
          <w:highlight w:val="none"/>
        </w:rPr>
        <w:t>日   期：</w:t>
      </w:r>
      <w:bookmarkEnd w:id="92"/>
      <w:bookmarkEnd w:id="93"/>
      <w:bookmarkEnd w:id="94"/>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5" w:name="_Toc514684735"/>
      <w:bookmarkStart w:id="96" w:name="_Toc13572221"/>
      <w:bookmarkStart w:id="97" w:name="_Toc514675543"/>
      <w:r>
        <w:rPr>
          <w:rFonts w:hint="eastAsia" w:ascii="仿宋" w:hAnsi="仿宋" w:eastAsia="仿宋" w:cs="仿宋"/>
          <w:b/>
          <w:sz w:val="28"/>
          <w:szCs w:val="28"/>
          <w:highlight w:val="none"/>
        </w:rPr>
        <w:t>符合政府采购优惠政策的证明材料</w:t>
      </w:r>
      <w:bookmarkEnd w:id="95"/>
      <w:bookmarkEnd w:id="96"/>
      <w:bookmarkEnd w:id="97"/>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98" w:name="_Toc19905"/>
      <w:r>
        <w:rPr>
          <w:rFonts w:hint="eastAsia" w:ascii="Arial" w:hAnsi="Arial" w:eastAsia="黑体" w:cs="Times New Roman"/>
          <w:b w:val="0"/>
          <w:kern w:val="2"/>
          <w:sz w:val="32"/>
          <w:szCs w:val="32"/>
          <w:highlight w:val="none"/>
          <w:lang w:val="en-US" w:eastAsia="zh-CN" w:bidi="ar-SA"/>
        </w:rPr>
        <w:t>附件十四：密封袋封面格式</w:t>
      </w:r>
      <w:bookmarkEnd w:id="98"/>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4"/>
        <w:rPr>
          <w:rFonts w:hint="eastAsia" w:ascii="仿宋" w:hAnsi="仿宋" w:eastAsia="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abstractNum w:abstractNumId="1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349C5A22"/>
    <w:rsid w:val="00455153"/>
    <w:rsid w:val="020F0755"/>
    <w:rsid w:val="02F1515D"/>
    <w:rsid w:val="08B01BBD"/>
    <w:rsid w:val="0A1A6145"/>
    <w:rsid w:val="0A7065E8"/>
    <w:rsid w:val="0AE1731E"/>
    <w:rsid w:val="0B66615E"/>
    <w:rsid w:val="0E917BAA"/>
    <w:rsid w:val="0FAD7875"/>
    <w:rsid w:val="10725DEE"/>
    <w:rsid w:val="129C0F9F"/>
    <w:rsid w:val="13916571"/>
    <w:rsid w:val="140A7B16"/>
    <w:rsid w:val="16220F10"/>
    <w:rsid w:val="167E3B70"/>
    <w:rsid w:val="1B3906DC"/>
    <w:rsid w:val="1DED1008"/>
    <w:rsid w:val="1E6E5015"/>
    <w:rsid w:val="1EBC2968"/>
    <w:rsid w:val="1F1900F9"/>
    <w:rsid w:val="1FF52403"/>
    <w:rsid w:val="2287246B"/>
    <w:rsid w:val="22A70526"/>
    <w:rsid w:val="236D3690"/>
    <w:rsid w:val="28405EC2"/>
    <w:rsid w:val="2D111CD6"/>
    <w:rsid w:val="2F5672CA"/>
    <w:rsid w:val="2F992837"/>
    <w:rsid w:val="31B6678B"/>
    <w:rsid w:val="32955446"/>
    <w:rsid w:val="349C5A22"/>
    <w:rsid w:val="360B4AC9"/>
    <w:rsid w:val="367B7A58"/>
    <w:rsid w:val="36901C30"/>
    <w:rsid w:val="3B500397"/>
    <w:rsid w:val="3D04042A"/>
    <w:rsid w:val="3DEF5FDE"/>
    <w:rsid w:val="3F5262A6"/>
    <w:rsid w:val="3FBD42D5"/>
    <w:rsid w:val="42584FAD"/>
    <w:rsid w:val="428624F7"/>
    <w:rsid w:val="44DC7551"/>
    <w:rsid w:val="45EB4B20"/>
    <w:rsid w:val="4A156715"/>
    <w:rsid w:val="4A4C19D0"/>
    <w:rsid w:val="4A9E093D"/>
    <w:rsid w:val="4B152A78"/>
    <w:rsid w:val="4B634FF2"/>
    <w:rsid w:val="4B8C49BD"/>
    <w:rsid w:val="4C481595"/>
    <w:rsid w:val="4CE56299"/>
    <w:rsid w:val="4D3D2B84"/>
    <w:rsid w:val="4D5D3E64"/>
    <w:rsid w:val="4DAE24FB"/>
    <w:rsid w:val="4DC33ECE"/>
    <w:rsid w:val="4E076C98"/>
    <w:rsid w:val="50CE0F4D"/>
    <w:rsid w:val="52586FE9"/>
    <w:rsid w:val="57E5531B"/>
    <w:rsid w:val="5B312717"/>
    <w:rsid w:val="6A375DA8"/>
    <w:rsid w:val="6BA6430D"/>
    <w:rsid w:val="6C707A76"/>
    <w:rsid w:val="6E282C8B"/>
    <w:rsid w:val="70721C5D"/>
    <w:rsid w:val="717229A7"/>
    <w:rsid w:val="71A7679B"/>
    <w:rsid w:val="740347D8"/>
    <w:rsid w:val="74552852"/>
    <w:rsid w:val="7C0C196B"/>
    <w:rsid w:val="7E6B3D69"/>
    <w:rsid w:val="7F7C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kern w:val="44"/>
      <w:sz w:val="44"/>
      <w:szCs w:val="20"/>
    </w:rPr>
  </w:style>
  <w:style w:type="paragraph" w:styleId="5">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6">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99"/>
    <w:pPr>
      <w:spacing w:after="120"/>
    </w:pPr>
    <w:rPr>
      <w:sz w:val="24"/>
      <w:szCs w:val="20"/>
    </w:rPr>
  </w:style>
  <w:style w:type="paragraph" w:styleId="7">
    <w:name w:val="List 3"/>
    <w:basedOn w:val="1"/>
    <w:qFormat/>
    <w:uiPriority w:val="99"/>
    <w:pPr>
      <w:ind w:left="100" w:leftChars="400" w:hanging="200" w:hangingChars="20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2022-11-10T07:09:24Z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593365CF2ED7453383FDBBF90DED59EE</vt:lpwstr>
  </property>
</Properties>
</file>