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700" w:lineRule="exact"/>
        <w:jc w:val="center"/>
        <w:rPr>
          <w:rFonts w:hint="eastAsia" w:ascii="宋体" w:hAnsi="宋体" w:eastAsia="宋体" w:cs="宋体"/>
          <w:color w:val="000000"/>
          <w:sz w:val="30"/>
          <w:szCs w:val="30"/>
          <w:highlight w:val="none"/>
        </w:rPr>
      </w:pPr>
    </w:p>
    <w:p>
      <w:pPr>
        <w:pStyle w:val="3"/>
        <w:spacing w:before="290" w:beforeLines="100" w:after="0"/>
        <w:jc w:val="center"/>
        <w:rPr>
          <w:rFonts w:hint="eastAsia" w:ascii="宋体" w:hAnsi="宋体" w:eastAsia="宋体" w:cs="宋体"/>
          <w:b/>
          <w:color w:val="000000"/>
          <w:spacing w:val="20"/>
          <w:sz w:val="44"/>
          <w:szCs w:val="44"/>
          <w:highlight w:val="none"/>
        </w:rPr>
      </w:pP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山东大学第二医院国家重点专科建设项目</w:t>
      </w:r>
    </w:p>
    <w:p>
      <w:pPr>
        <w:pStyle w:val="3"/>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采购设备一宗</w:t>
      </w:r>
    </w:p>
    <w:p>
      <w:pPr>
        <w:pStyle w:val="3"/>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TCZX-HW-2022-042</w:t>
      </w:r>
    </w:p>
    <w:p>
      <w:pPr>
        <w:pStyle w:val="3"/>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3"/>
        <w:spacing w:after="0" w:line="700" w:lineRule="exact"/>
        <w:jc w:val="center"/>
        <w:rPr>
          <w:rFonts w:hint="eastAsia" w:ascii="宋体" w:hAnsi="宋体" w:eastAsia="宋体" w:cs="宋体"/>
          <w:color w:val="000000"/>
          <w:sz w:val="30"/>
          <w:szCs w:val="30"/>
          <w:highlight w:val="none"/>
        </w:rPr>
      </w:pPr>
    </w:p>
    <w:p>
      <w:pPr>
        <w:pStyle w:val="3"/>
        <w:spacing w:after="0" w:line="700" w:lineRule="exact"/>
        <w:jc w:val="both"/>
        <w:rPr>
          <w:rFonts w:hint="eastAsia" w:ascii="宋体" w:hAnsi="宋体" w:eastAsia="宋体" w:cs="宋体"/>
          <w:color w:val="000000"/>
          <w:sz w:val="30"/>
          <w:szCs w:val="30"/>
          <w:highlight w:val="none"/>
        </w:rPr>
      </w:pP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3"/>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12</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3"/>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3"/>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bookmarkStart w:id="102" w:name="_GoBack"/>
      <w:bookmarkEnd w:id="102"/>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6"/>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- 82 -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4"/>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4"/>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山东大学第二医院国家重点专科建设项目采购设备一宗</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山东大学第二医院国家重点专科建设项目采购设备一宗</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12</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19</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TCZX-HW-2022-042</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山东大学第二医院国家重点专科建设项目采购设备一宗</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195</w:t>
      </w:r>
      <w:r>
        <w:rPr>
          <w:rFonts w:hint="eastAsia" w:ascii="仿宋" w:hAnsi="仿宋" w:eastAsia="仿宋" w:cs="仿宋"/>
          <w:sz w:val="28"/>
          <w:szCs w:val="28"/>
          <w:highlight w:val="none"/>
          <w:lang w:val="en-US" w:eastAsia="zh-CN"/>
        </w:rPr>
        <w:t>.</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195</w:t>
      </w:r>
      <w:r>
        <w:rPr>
          <w:rFonts w:hint="eastAsia" w:ascii="仿宋" w:hAnsi="仿宋" w:eastAsia="仿宋" w:cs="仿宋"/>
          <w:sz w:val="28"/>
          <w:szCs w:val="28"/>
          <w:highlight w:val="none"/>
          <w:lang w:val="en-US" w:eastAsia="zh-CN"/>
        </w:rPr>
        <w:t>.</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0万元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采购需求：</w:t>
      </w:r>
      <w:r>
        <w:rPr>
          <w:rFonts w:hint="eastAsia" w:ascii="仿宋" w:hAnsi="仿宋" w:cs="仿宋"/>
          <w:sz w:val="28"/>
          <w:szCs w:val="28"/>
          <w:highlight w:val="none"/>
          <w:lang w:val="en-US" w:eastAsia="zh-CN"/>
        </w:rPr>
        <w:t>山东大学第二医院</w:t>
      </w:r>
      <w:r>
        <w:rPr>
          <w:rFonts w:hint="eastAsia" w:ascii="仿宋" w:hAnsi="仿宋" w:eastAsia="仿宋" w:cs="仿宋"/>
          <w:sz w:val="28"/>
          <w:szCs w:val="28"/>
          <w:highlight w:val="none"/>
          <w:lang w:val="en-US" w:eastAsia="zh-CN"/>
        </w:rPr>
        <w:t>国家重点专科建设项目采购设备一宗</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主要包括</w:t>
      </w:r>
      <w:r>
        <w:rPr>
          <w:rFonts w:hint="eastAsia" w:ascii="仿宋" w:hAnsi="仿宋" w:cs="仿宋"/>
          <w:sz w:val="28"/>
          <w:szCs w:val="28"/>
          <w:highlight w:val="none"/>
          <w:lang w:val="en-US" w:eastAsia="zh-CN"/>
        </w:rPr>
        <w:t>可视化呼吸治疗工作站一套，其中包括监测仪一台，治疗仪一台，</w:t>
      </w:r>
      <w:r>
        <w:rPr>
          <w:rFonts w:hint="eastAsia" w:ascii="仿宋" w:hAnsi="仿宋" w:eastAsia="仿宋" w:cs="仿宋"/>
          <w:sz w:val="28"/>
          <w:szCs w:val="28"/>
          <w:highlight w:val="none"/>
        </w:rPr>
        <w:t>可采进口</w:t>
      </w:r>
      <w:r>
        <w:rPr>
          <w:rFonts w:hint="eastAsia" w:ascii="仿宋" w:hAnsi="仿宋" w:cs="仿宋"/>
          <w:sz w:val="28"/>
          <w:szCs w:val="28"/>
          <w:highlight w:val="none"/>
          <w:lang w:eastAsia="zh-CN"/>
        </w:rPr>
        <w:t>，</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为</w:t>
      </w:r>
      <w:r>
        <w:rPr>
          <w:rFonts w:hint="eastAsia" w:ascii="仿宋" w:hAnsi="仿宋" w:eastAsia="仿宋" w:cs="仿宋"/>
          <w:sz w:val="28"/>
          <w:szCs w:val="28"/>
          <w:highlight w:val="none"/>
          <w:lang w:val="en-US" w:eastAsia="zh-CN"/>
        </w:rPr>
        <w:t>呼吸与危重症医学科</w:t>
      </w:r>
      <w:r>
        <w:rPr>
          <w:rFonts w:hint="eastAsia" w:ascii="仿宋" w:hAnsi="仿宋" w:cs="仿宋"/>
          <w:sz w:val="28"/>
          <w:szCs w:val="28"/>
          <w:highlight w:val="none"/>
          <w:lang w:val="en-US" w:eastAsia="zh-CN"/>
        </w:rPr>
        <w:t>，具体</w:t>
      </w:r>
      <w:r>
        <w:rPr>
          <w:rFonts w:hint="eastAsia" w:ascii="仿宋" w:hAnsi="仿宋" w:eastAsia="仿宋" w:cs="仿宋"/>
          <w:sz w:val="28"/>
          <w:szCs w:val="28"/>
          <w:highlight w:val="none"/>
        </w:rPr>
        <w:t>详见招标文件“第四章 采购内容及项目要求”。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1</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0</w:t>
      </w:r>
      <w:r>
        <w:rPr>
          <w:rFonts w:hint="default"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13</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w:t>
      </w:r>
      <w:r>
        <w:rPr>
          <w:rFonts w:hint="default" w:ascii="仿宋" w:hAnsi="仿宋" w:cs="仿宋"/>
          <w:sz w:val="28"/>
          <w:szCs w:val="28"/>
          <w:highlight w:val="none"/>
          <w:lang w:val="en-US" w:eastAsia="zh-CN"/>
        </w:rPr>
        <w:t>15315311287</w:t>
      </w:r>
      <w:r>
        <w:rPr>
          <w:rFonts w:hint="eastAsia" w:ascii="仿宋" w:hAnsi="仿宋" w:eastAsia="仿宋" w:cs="仿宋"/>
          <w:sz w:val="28"/>
          <w:szCs w:val="28"/>
          <w:highlight w:val="none"/>
          <w:lang w:val="en-US" w:eastAsia="zh-CN"/>
        </w:rPr>
        <w:t>）明确所投项目名称及项目确认，供应商项目确认后请访问中国政府采购网下载电子版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19</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w:t>
      </w:r>
      <w:r>
        <w:rPr>
          <w:rFonts w:hint="eastAsia" w:ascii="仿宋" w:hAnsi="仿宋" w:cs="仿宋"/>
          <w:sz w:val="28"/>
          <w:szCs w:val="28"/>
          <w:highlight w:val="none"/>
          <w:lang w:val="en-US" w:eastAsia="zh-CN"/>
        </w:rPr>
        <w:t>济南市历下区历山路</w:t>
      </w:r>
      <w:r>
        <w:rPr>
          <w:rFonts w:hint="default" w:ascii="仿宋" w:hAnsi="仿宋" w:cs="仿宋"/>
          <w:sz w:val="28"/>
          <w:szCs w:val="28"/>
          <w:highlight w:val="none"/>
          <w:lang w:val="en-US" w:eastAsia="zh-CN"/>
        </w:rPr>
        <w:t>134</w:t>
      </w:r>
      <w:r>
        <w:rPr>
          <w:rFonts w:hint="eastAsia" w:ascii="仿宋" w:hAnsi="仿宋" w:cs="仿宋"/>
          <w:sz w:val="28"/>
          <w:szCs w:val="28"/>
          <w:highlight w:val="none"/>
          <w:lang w:val="en-US" w:eastAsia="zh-CN"/>
        </w:rPr>
        <w:t>号</w:t>
      </w:r>
      <w:r>
        <w:rPr>
          <w:rFonts w:hint="default" w:ascii="仿宋" w:hAnsi="仿宋" w:cs="仿宋"/>
          <w:sz w:val="28"/>
          <w:szCs w:val="28"/>
          <w:highlight w:val="none"/>
          <w:lang w:val="en-US" w:eastAsia="zh-CN"/>
        </w:rPr>
        <w:t>277</w:t>
      </w:r>
      <w:r>
        <w:rPr>
          <w:rFonts w:hint="eastAsia" w:ascii="仿宋" w:hAnsi="仿宋" w:eastAsia="仿宋" w:cs="仿宋"/>
          <w:sz w:val="28"/>
          <w:szCs w:val="28"/>
          <w:highlight w:val="none"/>
          <w:lang w:val="en-US" w:eastAsia="zh-CN"/>
        </w:rPr>
        <w:t>会议室；</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5"/>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5"/>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4"/>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30943"/>
      <w:bookmarkStart w:id="13" w:name="_Toc4028"/>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8"/>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47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2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w:t>
            </w:r>
            <w:r>
              <w:rPr>
                <w:rFonts w:hint="eastAsia" w:ascii="仿宋" w:hAnsi="仿宋" w:cs="仿宋"/>
                <w:sz w:val="28"/>
                <w:szCs w:val="28"/>
                <w:highlight w:val="none"/>
                <w:lang w:val="en-US" w:eastAsia="zh-CN"/>
              </w:rPr>
              <w:t>42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val="en-US" w:eastAsia="zh-CN"/>
              </w:rPr>
              <w:t>山东大学第二医院</w:t>
            </w:r>
            <w:r>
              <w:rPr>
                <w:rFonts w:hint="eastAsia" w:ascii="仿宋" w:hAnsi="仿宋" w:eastAsia="仿宋" w:cs="仿宋"/>
                <w:sz w:val="28"/>
                <w:szCs w:val="28"/>
                <w:highlight w:val="none"/>
                <w:lang w:eastAsia="zh-CN"/>
              </w:rPr>
              <w:t>国家重点专科建设项目采购设备一宗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r>
              <w:rPr>
                <w:rFonts w:hint="eastAsia" w:ascii="仿宋" w:hAnsi="仿宋" w:eastAsia="仿宋" w:cs="仿宋"/>
                <w:sz w:val="28"/>
                <w:szCs w:val="28"/>
                <w:highlight w:val="none"/>
                <w:lang w:eastAsia="zh-CN"/>
              </w:rPr>
              <w:t>专项资金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195.5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195.5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14</w:t>
            </w:r>
            <w:r>
              <w:rPr>
                <w:rFonts w:hint="eastAsia" w:ascii="仿宋" w:hAnsi="仿宋" w:eastAsia="仿宋" w:cs="仿宋"/>
                <w:sz w:val="28"/>
                <w:szCs w:val="28"/>
                <w:highlight w:val="none"/>
              </w:rPr>
              <w:t>日上午11:00前。</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20</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贰万</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283"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12</w:t>
            </w:r>
            <w:r>
              <w:rPr>
                <w:rFonts w:hint="eastAsia" w:ascii="仿宋" w:hAnsi="仿宋" w:eastAsia="仿宋" w:cs="仿宋"/>
                <w:sz w:val="28"/>
                <w:szCs w:val="28"/>
                <w:highlight w:val="none"/>
              </w:rPr>
              <w:t>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eastAsia="zh-CN"/>
              </w:rPr>
              <w:t>可视化呼吸治疗工作站</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签订采购合同后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个工作日</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工期</w:t>
            </w:r>
            <w:r>
              <w:rPr>
                <w:rFonts w:hint="eastAsia" w:ascii="仿宋" w:hAnsi="仿宋" w:cs="仿宋"/>
                <w:sz w:val="28"/>
                <w:szCs w:val="28"/>
                <w:highlight w:val="none"/>
                <w:lang w:eastAsia="zh-CN"/>
              </w:rPr>
              <w:t>：</w:t>
            </w:r>
            <w:r>
              <w:rPr>
                <w:rFonts w:hint="eastAsia" w:ascii="仿宋" w:hAnsi="仿宋" w:eastAsia="仿宋" w:cs="仿宋"/>
                <w:sz w:val="28"/>
                <w:szCs w:val="28"/>
                <w:highlight w:val="none"/>
                <w:lang w:val="en-US" w:eastAsia="zh-CN"/>
              </w:rPr>
              <w:t>3天</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1</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货物经双方验收合格签字确认交付入库后，甲方收到发票且财务入账三个月内，支付合同总金额90%，余款作为质量保证金，财务入账12个月后，无质量问题，付总金额的10%。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283"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576"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5"/>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6"/>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7"/>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7"/>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账户</w:t>
      </w:r>
      <w:r>
        <w:rPr>
          <w:rFonts w:hint="eastAsia" w:ascii="仿宋" w:hAnsi="仿宋" w:eastAsia="仿宋" w:cs="仿宋"/>
          <w:spacing w:val="0"/>
          <w:kern w:val="2"/>
          <w:sz w:val="28"/>
          <w:szCs w:val="28"/>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7"/>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4"/>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3"/>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1</w:t>
            </w:r>
            <w:r>
              <w:rPr>
                <w:rFonts w:hint="eastAsia" w:ascii="仿宋" w:hAnsi="仿宋" w:eastAsia="仿宋" w:cs="仿宋"/>
                <w:sz w:val="28"/>
                <w:szCs w:val="28"/>
                <w:highlight w:val="none"/>
              </w:rPr>
              <w:t>分；技术参数中每出现1条普通技术规格指标未实质性响应或负偏离的，扣</w:t>
            </w:r>
            <w:r>
              <w:rPr>
                <w:rFonts w:hint="default" w:ascii="仿宋" w:hAnsi="仿宋" w:cs="仿宋"/>
                <w:sz w:val="28"/>
                <w:szCs w:val="28"/>
                <w:highlight w:val="none"/>
                <w:lang w:val="en-US" w:eastAsia="zh-CN"/>
              </w:rPr>
              <w:t>0.</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eastAsia="zh-CN"/>
              </w:rPr>
              <w:t>12</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2"/>
        <w:rPr>
          <w:rFonts w:hint="eastAsia"/>
          <w:highlight w:val="none"/>
          <w:lang w:val="en-US" w:eastAsia="zh-CN"/>
        </w:rPr>
      </w:pPr>
    </w:p>
    <w:p>
      <w:pPr>
        <w:pStyle w:val="5"/>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855"/>
      <w:bookmarkStart w:id="27" w:name="_Toc7284"/>
      <w:bookmarkStart w:id="28" w:name="_Toc7010"/>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4175"/>
      <w:bookmarkStart w:id="30" w:name="_Toc19809"/>
      <w:bookmarkStart w:id="31" w:name="_Toc6941"/>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25000"/>
      <w:bookmarkStart w:id="33" w:name="_Toc30230"/>
      <w:bookmarkStart w:id="34" w:name="_Toc1135"/>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4"/>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091"/>
        <w:gridCol w:w="3765"/>
        <w:gridCol w:w="110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27"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3084" w:type="pct"/>
            <w:gridSpan w:val="2"/>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581"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806"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27" w:type="pct"/>
            <w:vMerge w:val="restart"/>
            <w:noWrap/>
            <w:vAlign w:val="center"/>
          </w:tcPr>
          <w:p>
            <w:pPr>
              <w:spacing w:line="240" w:lineRule="auto"/>
              <w:jc w:val="center"/>
              <w:rPr>
                <w:rFonts w:hint="default"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1</w:t>
            </w:r>
          </w:p>
        </w:tc>
        <w:tc>
          <w:tcPr>
            <w:tcW w:w="1101" w:type="pct"/>
            <w:vMerge w:val="restart"/>
            <w:noWrap/>
            <w:vAlign w:val="center"/>
          </w:tcPr>
          <w:p>
            <w:pPr>
              <w:spacing w:line="240" w:lineRule="auto"/>
              <w:jc w:val="left"/>
              <w:rPr>
                <w:rFonts w:hint="default"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可视化呼吸治疗工作站一套（核心产品）</w:t>
            </w:r>
          </w:p>
        </w:tc>
        <w:tc>
          <w:tcPr>
            <w:tcW w:w="1983" w:type="pct"/>
            <w:noWrap/>
            <w:vAlign w:val="center"/>
          </w:tcPr>
          <w:p>
            <w:pPr>
              <w:spacing w:line="240" w:lineRule="auto"/>
              <w:jc w:val="left"/>
              <w:rPr>
                <w:rFonts w:hint="eastAsia" w:ascii="仿宋" w:hAnsi="仿宋" w:eastAsia="仿宋" w:cs="仿宋"/>
                <w:sz w:val="28"/>
                <w:szCs w:val="28"/>
                <w:highlight w:val="none"/>
              </w:rPr>
            </w:pPr>
            <w:r>
              <w:rPr>
                <w:rFonts w:hint="default" w:ascii="宋体" w:hAnsi="宋体"/>
                <w:b/>
                <w:bCs/>
                <w:color w:val="000000"/>
                <w:sz w:val="24"/>
                <w:szCs w:val="24"/>
                <w:highlight w:val="none"/>
                <w:lang w:val="en-US" w:eastAsia="zh-CN"/>
              </w:rPr>
              <w:t>1</w:t>
            </w:r>
            <w:r>
              <w:rPr>
                <w:rFonts w:hint="eastAsia" w:ascii="宋体" w:hAnsi="宋体"/>
                <w:b/>
                <w:bCs/>
                <w:color w:val="000000"/>
                <w:sz w:val="24"/>
                <w:szCs w:val="24"/>
                <w:highlight w:val="none"/>
                <w:lang w:val="en-US" w:eastAsia="zh-CN"/>
              </w:rPr>
              <w:t>、可视化呼吸治疗工作站-监测仪</w:t>
            </w:r>
          </w:p>
        </w:tc>
        <w:tc>
          <w:tcPr>
            <w:tcW w:w="581" w:type="pct"/>
            <w:noWrap/>
            <w:vAlign w:val="center"/>
          </w:tcPr>
          <w:p>
            <w:pPr>
              <w:spacing w:line="240" w:lineRule="auto"/>
              <w:jc w:val="center"/>
              <w:rPr>
                <w:rFonts w:hint="default"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1</w:t>
            </w:r>
            <w:r>
              <w:rPr>
                <w:rFonts w:hint="eastAsia" w:ascii="宋体" w:hAnsi="宋体"/>
                <w:b/>
                <w:bCs/>
                <w:color w:val="000000"/>
                <w:sz w:val="24"/>
                <w:szCs w:val="24"/>
                <w:highlight w:val="none"/>
                <w:lang w:val="en-US" w:eastAsia="zh-CN"/>
              </w:rPr>
              <w:t>台</w:t>
            </w:r>
          </w:p>
        </w:tc>
        <w:tc>
          <w:tcPr>
            <w:tcW w:w="806"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宋体" w:hAnsi="宋体"/>
                <w:b/>
                <w:bCs/>
                <w:color w:val="000000"/>
                <w:sz w:val="24"/>
                <w:szCs w:val="24"/>
                <w:highlight w:val="none"/>
                <w:lang w:val="en-US" w:eastAsia="zh-CN"/>
              </w:rPr>
              <w:t>可采进口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527" w:type="pct"/>
            <w:vMerge w:val="continue"/>
            <w:noWrap/>
            <w:vAlign w:val="center"/>
          </w:tcPr>
          <w:p>
            <w:pPr>
              <w:spacing w:line="360" w:lineRule="auto"/>
              <w:jc w:val="center"/>
              <w:rPr>
                <w:rFonts w:hint="eastAsia" w:ascii="仿宋" w:hAnsi="仿宋" w:eastAsia="仿宋" w:cs="仿宋"/>
                <w:color w:val="000000"/>
                <w:sz w:val="28"/>
                <w:szCs w:val="28"/>
                <w:highlight w:val="none"/>
              </w:rPr>
            </w:pPr>
          </w:p>
        </w:tc>
        <w:tc>
          <w:tcPr>
            <w:tcW w:w="1101" w:type="pct"/>
            <w:vMerge w:val="continue"/>
            <w:noWrap/>
            <w:vAlign w:val="center"/>
          </w:tcPr>
          <w:p>
            <w:pPr>
              <w:spacing w:line="240" w:lineRule="auto"/>
              <w:jc w:val="left"/>
              <w:rPr>
                <w:rFonts w:hint="eastAsia" w:ascii="宋体" w:hAnsi="宋体"/>
                <w:b/>
                <w:bCs/>
                <w:color w:val="000000"/>
                <w:sz w:val="24"/>
                <w:szCs w:val="24"/>
                <w:highlight w:val="none"/>
                <w:lang w:val="en-US" w:eastAsia="zh-CN"/>
              </w:rPr>
            </w:pPr>
          </w:p>
        </w:tc>
        <w:tc>
          <w:tcPr>
            <w:tcW w:w="1983" w:type="pct"/>
            <w:noWrap/>
            <w:vAlign w:val="center"/>
          </w:tcPr>
          <w:p>
            <w:pPr>
              <w:spacing w:line="240" w:lineRule="auto"/>
              <w:jc w:val="left"/>
              <w:rPr>
                <w:rFonts w:hint="eastAsia"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2</w:t>
            </w:r>
            <w:r>
              <w:rPr>
                <w:rFonts w:hint="eastAsia" w:ascii="宋体" w:hAnsi="宋体"/>
                <w:b/>
                <w:bCs/>
                <w:color w:val="000000"/>
                <w:sz w:val="24"/>
                <w:szCs w:val="24"/>
                <w:highlight w:val="none"/>
                <w:lang w:val="en-US" w:eastAsia="zh-CN"/>
              </w:rPr>
              <w:t>、可视化呼吸治疗工作站-治疗仪</w:t>
            </w:r>
          </w:p>
        </w:tc>
        <w:tc>
          <w:tcPr>
            <w:tcW w:w="581" w:type="pct"/>
            <w:noWrap/>
            <w:vAlign w:val="center"/>
          </w:tcPr>
          <w:p>
            <w:pPr>
              <w:spacing w:line="240" w:lineRule="auto"/>
              <w:jc w:val="center"/>
              <w:rPr>
                <w:rFonts w:hint="default" w:ascii="宋体" w:hAnsi="宋体"/>
                <w:b/>
                <w:bCs/>
                <w:color w:val="000000"/>
                <w:sz w:val="24"/>
                <w:szCs w:val="24"/>
                <w:highlight w:val="none"/>
                <w:lang w:val="en-US" w:eastAsia="zh-CN"/>
              </w:rPr>
            </w:pPr>
            <w:r>
              <w:rPr>
                <w:rFonts w:hint="default" w:ascii="宋体" w:hAnsi="宋体"/>
                <w:b/>
                <w:bCs/>
                <w:color w:val="000000"/>
                <w:sz w:val="24"/>
                <w:szCs w:val="24"/>
                <w:highlight w:val="none"/>
                <w:lang w:val="en-US" w:eastAsia="zh-CN"/>
              </w:rPr>
              <w:t>1</w:t>
            </w:r>
            <w:r>
              <w:rPr>
                <w:rFonts w:hint="eastAsia" w:ascii="宋体" w:hAnsi="宋体"/>
                <w:b/>
                <w:bCs/>
                <w:color w:val="000000"/>
                <w:sz w:val="24"/>
                <w:szCs w:val="24"/>
                <w:highlight w:val="none"/>
                <w:lang w:val="en-US" w:eastAsia="zh-CN"/>
              </w:rPr>
              <w:t>台</w:t>
            </w:r>
          </w:p>
        </w:tc>
        <w:tc>
          <w:tcPr>
            <w:tcW w:w="806" w:type="pct"/>
            <w:noWrap/>
            <w:vAlign w:val="center"/>
          </w:tcPr>
          <w:p>
            <w:pPr>
              <w:spacing w:line="240" w:lineRule="auto"/>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可采进口</w:t>
            </w:r>
          </w:p>
        </w:tc>
      </w:tr>
    </w:tbl>
    <w:p>
      <w:pPr>
        <w:numPr>
          <w:ilvl w:val="0"/>
          <w:numId w:val="9"/>
        </w:num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采购设备</w:t>
      </w:r>
      <w:r>
        <w:rPr>
          <w:rFonts w:hint="eastAsia" w:ascii="仿宋" w:hAnsi="仿宋" w:eastAsia="仿宋" w:cs="仿宋"/>
          <w:b/>
          <w:bCs/>
          <w:color w:val="000000"/>
          <w:sz w:val="30"/>
          <w:szCs w:val="30"/>
          <w:highlight w:val="none"/>
        </w:rPr>
        <w:t>参数要求：</w:t>
      </w:r>
    </w:p>
    <w:p>
      <w:pPr>
        <w:spacing w:line="460" w:lineRule="exact"/>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可视化呼吸治疗工作站-监测仪（可采进口）</w:t>
      </w:r>
    </w:p>
    <w:p>
      <w:pPr>
        <w:pStyle w:val="2"/>
        <w:numPr>
          <w:ilvl w:val="0"/>
          <w:numId w:val="0"/>
        </w:numPr>
        <w:rPr>
          <w:rFonts w:hint="eastAsia"/>
          <w:highlight w:val="none"/>
          <w:lang w:eastAsia="zh-CN"/>
        </w:rPr>
      </w:pPr>
      <w:r>
        <w:rPr>
          <w:rFonts w:hint="eastAsia" w:ascii="仿宋" w:hAnsi="仿宋" w:eastAsia="仿宋" w:cs="仿宋"/>
          <w:b/>
          <w:sz w:val="28"/>
          <w:szCs w:val="28"/>
          <w:highlight w:val="none"/>
        </w:rPr>
        <w:t>监测单元设备参数要求：</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b w:val="0"/>
          <w:bCs w:val="0"/>
          <w:color w:val="000000"/>
          <w:kern w:val="0"/>
          <w:sz w:val="28"/>
          <w:szCs w:val="28"/>
          <w:highlight w:val="none"/>
          <w:lang w:val="en-US" w:eastAsia="zh-CN" w:bidi="ar"/>
        </w:rPr>
        <w:t xml:space="preserve"> </w:t>
      </w:r>
      <w:r>
        <w:rPr>
          <w:rFonts w:hint="eastAsia" w:ascii="仿宋" w:hAnsi="仿宋" w:eastAsia="仿宋" w:cs="仿宋"/>
          <w:sz w:val="28"/>
          <w:szCs w:val="28"/>
          <w:highlight w:val="none"/>
          <w:lang w:val="en-US" w:eastAsia="zh-CN"/>
        </w:rPr>
        <w:t>1、质量层次要求：</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1.1、整机原装进口，提供进字号注册证。</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1.2、显示屏：≥16英寸彩色触摸控制显示屏幕（不得采用组合屏和外挂屏）。</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1.3、显示图形分辨率应大于1440 x 900 像素，对比度最小500 : 1，可视角度130゜。</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 适用范围：可用于胸围70cm到150cm的患者在床旁连续监测患者呼气末肺容量的变化趋势。</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1</w:t>
      </w:r>
      <w:r>
        <w:rPr>
          <w:rFonts w:hint="default"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5、原理：采用电阻抗断层成像技术,适用于进行胸腔阻抗测量,用于评估和研究各种生理或病理状态下导致的肺内气体异常分布情况和动态规律。</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临床应用</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2.1、可显示电极平面内空气含量因换气而变化的区域信息。 </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2.2、显示电极平面内呼气末肺容量短期变化的区域信息 </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2.3、肺内通气变化的区域信息以以下形式显示：实时横截面电阻抗动态图像，横截面电阻抗状态图像，实时电阻抗波形，信息数值化显示，信息趋势化显示。</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2.4、电极缚带配置电极数量≥15个</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2.5、标配4种视图：主菜单、全屏图像、吸气末趋势、ΔEELI 趋势</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2.6、标配视图冻结功能、输出屏幕截图功能、数据回顾功能、患者信息录入，患者数据记录，事件标记功能，文件夹管理，高帧采样（最高50Hv），滤波器设置，切点频率设置，手动调节功能。</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2.7、通过数据线的链接能与指定的呼吸机共享潮气量参数及容量-时间波形，并显示于该设备屏幕。</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2.8、该设备所显示的信息仅可作为肺功能评估的辅助信息。</w:t>
      </w:r>
    </w:p>
    <w:p>
      <w:pPr>
        <w:spacing w:line="460" w:lineRule="exact"/>
        <w:jc w:val="lef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（二）可视化呼吸治疗工作站-治疗仪（可采进口）</w:t>
      </w:r>
    </w:p>
    <w:p>
      <w:pPr>
        <w:spacing w:line="460" w:lineRule="exact"/>
        <w:ind w:firstLine="65" w:firstLineChars="23"/>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b/>
          <w:sz w:val="28"/>
          <w:szCs w:val="28"/>
          <w:highlight w:val="none"/>
          <w:lang w:eastAsia="zh-CN"/>
        </w:rPr>
        <w:t>治疗单元设备参数要求</w:t>
      </w:r>
      <w:r>
        <w:rPr>
          <w:rFonts w:hint="eastAsia" w:ascii="仿宋" w:hAnsi="仿宋" w:eastAsia="仿宋" w:cs="仿宋"/>
          <w:b/>
          <w:sz w:val="28"/>
          <w:szCs w:val="28"/>
          <w:highlight w:val="none"/>
        </w:rPr>
        <w:t>：</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1</w:t>
      </w:r>
      <w:r>
        <w:rPr>
          <w:rFonts w:hint="eastAsia" w:ascii="仿宋" w:hAnsi="仿宋" w:eastAsia="仿宋" w:cs="仿宋"/>
          <w:sz w:val="28"/>
          <w:szCs w:val="28"/>
          <w:highlight w:val="none"/>
          <w:lang w:val="en-US" w:eastAsia="zh-CN"/>
        </w:rPr>
        <w:t>、基本要求：</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、整机原装进口适用于成人、儿童患者通气；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、供气方式：中央供气系统 </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、呼吸机具备有创通气，无创通气与内置高流速氧疗功能。</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、软件系统</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2.1</w:t>
      </w:r>
      <w:r>
        <w:rPr>
          <w:rFonts w:hint="eastAsia" w:ascii="仿宋" w:hAnsi="仿宋" w:eastAsia="仿宋" w:cs="仿宋"/>
          <w:sz w:val="28"/>
          <w:szCs w:val="28"/>
          <w:highlight w:val="none"/>
          <w:lang w:val="en-US" w:eastAsia="zh-CN"/>
        </w:rPr>
        <w:t>、常规通气模式</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、VC-CMV容量控制－指令通气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、VC-AC容量控制－辅助通气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、VC-SIMV/PS容量控制－间歇指令通气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、PC-CMV压力控制－指令通气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、PC-AC压力控制－辅助通气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6</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、PC-SIMV/PS压力控制－间歇指令通气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、PLV压力限制通气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8</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、SPN-CPAP/PS自主呼吸－持续正压支持通气</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9</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、NIV 无创通气</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2.2</w:t>
      </w:r>
      <w:r>
        <w:rPr>
          <w:rFonts w:hint="eastAsia" w:ascii="仿宋" w:hAnsi="仿宋" w:eastAsia="仿宋" w:cs="仿宋"/>
          <w:sz w:val="28"/>
          <w:szCs w:val="28"/>
          <w:highlight w:val="none"/>
          <w:lang w:val="en-US" w:eastAsia="zh-CN"/>
        </w:rPr>
        <w:t>、高端通气模式</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、PC-BIPAP压力控制－双相气道正压通气，且全程支持自主呼吸；</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、VG自动流速/容量保证功能，且全程支持自主呼吸；</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、Autoflow，在所有容控模式下允许病人自主呼吸；</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、PC-APRV 带有AutoRelease功能，反比通气模式，最高可达300:1；</w:t>
      </w:r>
    </w:p>
    <w:p>
      <w:pPr>
        <w:ind w:firstLine="280" w:firstLineChars="100"/>
        <w:rPr>
          <w:rFonts w:hint="eastAsia" w:ascii="仿宋" w:hAnsi="仿宋" w:eastAsia="仿宋" w:cs="仿宋"/>
          <w:sz w:val="28"/>
          <w:szCs w:val="28"/>
          <w:highlight w:val="none"/>
          <w:lang w:val="en-US" w:eastAsia="zh-CN"/>
        </w:rPr>
      </w:pPr>
      <w:bookmarkStart w:id="36" w:name="_Hlk110414462"/>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w:t>
      </w:r>
      <w:bookmarkEnd w:id="36"/>
      <w:r>
        <w:rPr>
          <w:rFonts w:hint="eastAsia" w:ascii="仿宋" w:hAnsi="仿宋" w:eastAsia="仿宋" w:cs="仿宋"/>
          <w:sz w:val="28"/>
          <w:szCs w:val="28"/>
          <w:highlight w:val="none"/>
          <w:lang w:val="en-US" w:eastAsia="zh-CN"/>
        </w:rPr>
        <w:t>O2-Therapy高流速氧疗功能：持续流量 Flow(BTPS)2 至 50 L/min；</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6</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、ATC 自动插管补偿；</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、VPS 可变压力支持通气；</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2.3</w:t>
      </w:r>
      <w:r>
        <w:rPr>
          <w:rFonts w:hint="eastAsia" w:ascii="仿宋" w:hAnsi="仿宋" w:eastAsia="仿宋" w:cs="仿宋"/>
          <w:sz w:val="28"/>
          <w:szCs w:val="28"/>
          <w:highlight w:val="none"/>
          <w:lang w:val="en-US" w:eastAsia="zh-CN"/>
        </w:rPr>
        <w:t>、机器内置功能：</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、内置全本中电子说明书，可根据上下文检索：呼吸机的连接，使用注意事项，以及通气模式的原理和使用方法，方便学习。                                                   </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、具备记录本（可保存不少于5000 个条目）、趋势表（图形或表格，可记录 7 天的趋势)、自定义数据；</w:t>
      </w:r>
    </w:p>
    <w:p>
      <w:pPr>
        <w:ind w:firstLine="280" w:firstLineChars="100"/>
        <w:rPr>
          <w:rFonts w:hint="eastAsia" w:ascii="仿宋" w:hAnsi="仿宋" w:eastAsia="仿宋" w:cs="仿宋"/>
          <w:sz w:val="28"/>
          <w:szCs w:val="28"/>
          <w:highlight w:val="none"/>
          <w:lang w:val="en-US" w:eastAsia="zh-CN"/>
        </w:rPr>
      </w:pPr>
      <w:bookmarkStart w:id="37" w:name="_Hlk110434793"/>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w:t>
      </w:r>
      <w:bookmarkEnd w:id="37"/>
      <w:r>
        <w:rPr>
          <w:rFonts w:hint="eastAsia" w:ascii="仿宋" w:hAnsi="仿宋" w:eastAsia="仿宋" w:cs="仿宋"/>
          <w:sz w:val="28"/>
          <w:szCs w:val="28"/>
          <w:highlight w:val="none"/>
          <w:lang w:val="en-US" w:eastAsia="zh-CN"/>
        </w:rPr>
        <w:t>具备智能吸痰快捷键，脱管吸痰时只需一键操作，机器自动停止送气2分钟，吸痰期间无报警；机器自动在吸痰前后为病人提供纯氧输送3分钟，减轻医护人员工作强度。</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、可与可视化呼吸治疗工作站监测仪（胸阻抗断层扫描仪）连接并传输共享通气参数，直观的通过胸阻抗断层扫描仪来看到参数调整设置对病人肺部通气改善的效果。实时观察调整呼吸机到最佳的参数指标。</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、智能肺视图 将气道阻力，肺顺应性实时动态图像显现，并可监测治疗前后的变化。</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、硬件系统</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、≥15寸彩色触摸屏，屏幕和主机可分离，屏幕可以灵活固定，操作界面可以个性化配置，有白天和黑夜模式；</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、永久性顺磁式氧传感器，监测吸入氧浓度，无需每年定期更换氧电池耗材；</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、除主屏幕显示外，主机上另有电子显示窗，单独显示病人的氧浓度及分钟通气量，以保证病人重要监测信息的安全（比如屏幕故障时，机器可以根据电子显示窗的重要监测信息继续安全工作）；</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非压差式铂金丝流量传感器，方便单独拆卸清洗并消毒，机器使用过程中流量传感器可以方便随时进行校准，校准时无需断开病人连接，也无需待机；传感器具备ID编号，ID识别技术可显示更换时间并智能提醒。</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、标配USB接口截屏输出功能、USB接口屏幕设置输出/导入功能、USB接口监测数据（趋势、表格、记事）；</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6</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、呼吸机可以将设备配置导出到 USB 存储介质,可以将 USB 存储介质上保存的配置导入到其他同型号设备；</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、机器标配MR810 湿化器；</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8</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、每台机器含重复性管路2根，流量传感器5个，</w:t>
      </w:r>
      <w:r>
        <w:rPr>
          <w:rFonts w:hint="eastAsia" w:ascii="仿宋" w:hAnsi="仿宋" w:eastAsia="仿宋" w:cs="仿宋"/>
          <w:b/>
          <w:bCs/>
          <w:sz w:val="28"/>
          <w:szCs w:val="28"/>
          <w:highlight w:val="none"/>
          <w:lang w:val="en-US" w:eastAsia="zh-CN"/>
        </w:rPr>
        <w:t>一次性呼出阀5个</w:t>
      </w:r>
      <w:r>
        <w:rPr>
          <w:rFonts w:hint="eastAsia" w:ascii="仿宋" w:hAnsi="仿宋" w:eastAsia="仿宋" w:cs="仿宋"/>
          <w:sz w:val="28"/>
          <w:szCs w:val="28"/>
          <w:highlight w:val="none"/>
          <w:lang w:val="en-US" w:eastAsia="zh-CN"/>
        </w:rPr>
        <w:t>，一次性气管延长管50根。（在疫情期间可大大降低交叉感染的发生）</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4</w:t>
      </w:r>
      <w:r>
        <w:rPr>
          <w:rFonts w:hint="eastAsia" w:ascii="仿宋" w:hAnsi="仿宋" w:eastAsia="仿宋" w:cs="仿宋"/>
          <w:sz w:val="28"/>
          <w:szCs w:val="28"/>
          <w:highlight w:val="none"/>
          <w:lang w:val="en-US" w:eastAsia="zh-CN"/>
        </w:rPr>
        <w:t>、技术参数</w:t>
      </w:r>
    </w:p>
    <w:p>
      <w:pPr>
        <w:ind w:left="280" w:leftChars="100" w:firstLine="0" w:firstLineChars="0"/>
        <w:jc w:val="left"/>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、容量控制模式下潮气量设置范围：20-3000ml        　　　　                 </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、呼吸频率：2-80次/min</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、吸气时间：0.2-10s</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、吸气流量：2-120L/min</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、吸气压力：1-99cmH2O</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6</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、PEEP：0-50cmH2O</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、吸入氧浓度：21-100%</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8</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、压力支持 Psupp：0-90mbar</w:t>
      </w:r>
    </w:p>
    <w:p>
      <w:pPr>
        <w:ind w:firstLine="280" w:firstLineChars="100"/>
        <w:rPr>
          <w:rFonts w:hint="eastAsia" w:ascii="仿宋" w:hAnsi="仿宋" w:eastAsia="仿宋" w:cs="仿宋"/>
          <w:sz w:val="28"/>
          <w:szCs w:val="28"/>
          <w:highlight w:val="none"/>
          <w:lang w:val="en-US" w:eastAsia="zh-CN"/>
        </w:rPr>
      </w:pPr>
      <w:bookmarkStart w:id="38" w:name="_Hlk110414946"/>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9</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w:t>
      </w:r>
      <w:bookmarkEnd w:id="38"/>
      <w:r>
        <w:rPr>
          <w:rFonts w:hint="eastAsia" w:ascii="仿宋" w:hAnsi="仿宋" w:eastAsia="仿宋" w:cs="仿宋"/>
          <w:sz w:val="28"/>
          <w:szCs w:val="28"/>
          <w:highlight w:val="none"/>
          <w:lang w:val="en-US" w:eastAsia="zh-CN"/>
        </w:rPr>
        <w:t>压力上升时间：0-2s</w:t>
      </w:r>
    </w:p>
    <w:p>
      <w:pPr>
        <w:ind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10</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、触发灵敏度：可调，流速触发值能直接设定并显示数值</w:t>
      </w:r>
    </w:p>
    <w:p>
      <w:pPr>
        <w:ind w:firstLine="280" w:firstLineChars="100"/>
        <w:rPr>
          <w:rFonts w:hint="eastAsia" w:ascii="仿宋" w:hAnsi="仿宋" w:eastAsia="仿宋" w:cs="仿宋"/>
          <w:sz w:val="28"/>
          <w:szCs w:val="28"/>
          <w:highlight w:val="none"/>
          <w:lang w:val="en-US" w:eastAsia="zh-CN"/>
        </w:rPr>
      </w:pP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、监测显示与报警项目</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1</w:t>
      </w:r>
      <w:r>
        <w:rPr>
          <w:rFonts w:hint="eastAsia" w:ascii="仿宋" w:hAnsi="仿宋" w:eastAsia="仿宋" w:cs="仿宋"/>
          <w:sz w:val="28"/>
          <w:szCs w:val="28"/>
          <w:highlight w:val="none"/>
          <w:lang w:val="en-US" w:eastAsia="zh-CN"/>
        </w:rPr>
        <w:t>）、气道压力测量：平台压力Pplat、呼气末正压、PEEP、吸气峰压PIP、平均气道压力Pmean、最低气道压力Pmin、APRV 中的压力级别下限Plow、指令呼吸的吸气末压力EIP、APRV 中的压力级别上限Phigh、内源性 PEEP （通过 PEEPi 操作确定）PEEPi范围 在 0 至 95 mbar 最大值的设置范围内 、精确度：测量值的 ±6 % 或 ±0.5 mbar；</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）、流量测量：呼气每分钟通气量MVe 、吸气每分钟通气量MVi 、指令每分钟呼气量MVemand、自主每分钟呼气量MVespon、 分钟容量补偿泄漏MV范围：0 至 99 L/min（BTPS）、精确度：±10 % 的测量值（如果呼气测量潮气量大于 100 mL）；</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）、呼吸频率测量：呼吸频率RR、指令呼吸频率RRmand、强制触发的呼吸部分RRtrig、自主呼吸频率RRspon、范围0至300/min、精确度：呼吸频率 ≥2/min 时，为 ± 1/min、呼吸频率 &lt;2/min时，为 ±2/min；</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4</w:t>
      </w:r>
      <w:r>
        <w:rPr>
          <w:rFonts w:hint="eastAsia" w:ascii="仿宋" w:hAnsi="仿宋" w:eastAsia="仿宋" w:cs="仿宋"/>
          <w:sz w:val="28"/>
          <w:szCs w:val="28"/>
          <w:highlight w:val="none"/>
          <w:lang w:val="en-US" w:eastAsia="zh-CN"/>
        </w:rPr>
        <w:t>）、肺功能监测值</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、动态顺应性Cdyn 范围：0至650 mL/mbar (mL/cmH2O)；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、阻力范围：0至1000 mbar/(L/s)；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、患者阻力Rpat范围：0至1000 mbar/(L/s)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、泄漏分钟通气量MVleak范围：0至99 L/min BTPS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、浅快呼吸RSB范围：0至9999 (/min/L)</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、最大吸气活动NIF范围：–80至0 mbar（或 hPa 或 cmH2O）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、闭合压 P0.1：0至–25 mbar（或 hPa或 cmH2O）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、弹性阻力E：0至9999 mbar/L（或者 hPa/L 或 cmH2O/L）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、总体顺应性 C20/Cdyn 的比率：0至5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、每千克体重的潮气量：0至100 mL/kg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、CO2 斜率范围：0至9.99 Vol%/L或0至9.99 kPa/L或0至74.9 mmHg/L</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 xml:space="preserve">、曲线显示：气道压力Paw (t)：–30至100 mbar（或 hPa 或 cmH2O） </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Flow (t)：–180至180 L/min、容量V (t)：2至3000 mL、CO2 (t)：0至100 mmHg </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5</w:t>
      </w:r>
      <w:r>
        <w:rPr>
          <w:rFonts w:hint="eastAsia" w:ascii="仿宋" w:hAnsi="仿宋" w:eastAsia="仿宋" w:cs="仿宋"/>
          <w:sz w:val="28"/>
          <w:szCs w:val="28"/>
          <w:highlight w:val="none"/>
          <w:lang w:val="en-US" w:eastAsia="zh-CN"/>
        </w:rPr>
        <w:t>）、呼吸力学环图：压力－容量环，流速－容量环，压力－流速环，环图可以放大、可设定参考环进行不同时间的比较、可冻结环图并测量高/低拐点；</w:t>
      </w:r>
    </w:p>
    <w:p>
      <w:p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6</w:t>
      </w:r>
      <w:r>
        <w:rPr>
          <w:rFonts w:hint="eastAsia" w:ascii="仿宋" w:hAnsi="仿宋" w:eastAsia="仿宋" w:cs="仿宋"/>
          <w:sz w:val="28"/>
          <w:szCs w:val="28"/>
          <w:highlight w:val="none"/>
          <w:lang w:val="en-US" w:eastAsia="zh-CN"/>
        </w:rPr>
        <w:t>）、报警项目</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1）、</w:t>
      </w:r>
      <w:r>
        <w:rPr>
          <w:rFonts w:hint="eastAsia" w:ascii="仿宋" w:hAnsi="仿宋" w:eastAsia="仿宋" w:cs="仿宋"/>
          <w:sz w:val="28"/>
          <w:szCs w:val="28"/>
          <w:highlight w:val="none"/>
          <w:lang w:val="en-US" w:eastAsia="zh-CN"/>
        </w:rPr>
        <w:t>智能三级声光报警系统，360度报警显示灯；</w:t>
      </w:r>
    </w:p>
    <w:p>
      <w:pPr>
        <w:ind w:leftChars="200" w:firstLine="280" w:firstLineChars="1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人机对话功能，提供中文报警文字信息；</w:t>
      </w:r>
    </w:p>
    <w:p>
      <w:pPr>
        <w:ind w:leftChars="200" w:firstLine="280" w:firstLineChars="100"/>
        <w:rPr>
          <w:rFonts w:hint="eastAsia" w:ascii="仿宋" w:hAnsi="仿宋" w:eastAsia="仿宋" w:cs="仿宋"/>
          <w:color w:val="000000"/>
          <w:kern w:val="0"/>
          <w:sz w:val="28"/>
          <w:szCs w:val="28"/>
          <w:highlight w:val="none"/>
          <w:lang w:val="en-US" w:eastAsia="zh-CN" w:bidi="ar"/>
        </w:rPr>
      </w:pP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 xml:space="preserve">气源报警、气道压力（高/低）报警、呼吸频率（高/低）报警、吸入潮气量过高报警、分钟通气量（高/低）报警、窒息报警、吸入氧浓度（高/低）报警、管道脱落/泄漏报警、吸入气体温度过高报警、机器故障报警。 </w:t>
      </w: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w:t>
      </w:r>
      <w:r>
        <w:rPr>
          <w:rFonts w:hint="eastAsia" w:ascii="仿宋" w:hAnsi="仿宋" w:cs="仿宋"/>
          <w:spacing w:val="0"/>
          <w:kern w:val="2"/>
          <w:sz w:val="28"/>
          <w:szCs w:val="28"/>
          <w:highlight w:val="none"/>
          <w:lang w:val="en-US" w:eastAsia="zh-CN" w:bidi="ar-SA"/>
        </w:rPr>
        <w:t>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z w:val="28"/>
          <w:szCs w:val="28"/>
          <w:highlight w:val="none"/>
        </w:rPr>
      </w:pPr>
    </w:p>
    <w:p>
      <w:pPr>
        <w:pStyle w:val="4"/>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14605"/>
      <w:bookmarkStart w:id="41" w:name="_Toc6202"/>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32520"/>
      <w:bookmarkStart w:id="43" w:name="_Toc22929"/>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3763"/>
      <w:bookmarkStart w:id="45" w:name="_Toc25344"/>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8807"/>
      <w:bookmarkStart w:id="47" w:name="_Toc272"/>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3328"/>
      <w:bookmarkStart w:id="49" w:name="_Toc17889"/>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25500"/>
      <w:bookmarkStart w:id="51" w:name="_Toc9881"/>
      <w:r>
        <w:rPr>
          <w:rFonts w:hint="eastAsia" w:ascii="Arial" w:hAnsi="Arial" w:eastAsia="黑体" w:cs="Times New Roman"/>
          <w:b w:val="0"/>
          <w:kern w:val="2"/>
          <w:sz w:val="36"/>
          <w:szCs w:val="28"/>
          <w:highlight w:val="none"/>
        </w:rPr>
        <w:t>六、付款方式</w:t>
      </w:r>
      <w:bookmarkEnd w:id="50"/>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52" w:name="_Toc11362"/>
      <w:r>
        <w:rPr>
          <w:rFonts w:hint="eastAsia" w:ascii="仿宋" w:hAnsi="仿宋" w:eastAsia="仿宋" w:cs="仿宋"/>
          <w:sz w:val="28"/>
          <w:szCs w:val="28"/>
          <w:highlight w:val="none"/>
        </w:rPr>
        <w:t>货物经双方验收合格签字确认交付入库后，甲方收到发票且财务入账三个月内，支付合同总金额90%，余款作为质量保证金，财务入账12个月后，无质量问题，付总金额的10%</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2358"/>
      <w:bookmarkStart w:id="55" w:name="_Toc18187"/>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3410"/>
      <w:bookmarkStart w:id="57" w:name="_Toc26222"/>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8157"/>
      <w:bookmarkStart w:id="59" w:name="_Toc16424"/>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8228"/>
      <w:bookmarkStart w:id="61" w:name="_Toc15291"/>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31796"/>
      <w:bookmarkStart w:id="63" w:name="_Toc8912"/>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17395"/>
      <w:bookmarkStart w:id="65" w:name="_Toc439"/>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15058"/>
      <w:bookmarkStart w:id="67" w:name="_Toc2577"/>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4"/>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5"/>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账号</w:t>
      </w:r>
      <w:r>
        <w:rPr>
          <w:rFonts w:hint="eastAsia" w:ascii="仿宋" w:hAnsi="仿宋" w:eastAsia="仿宋" w:cs="仿宋"/>
          <w:spacing w:val="0"/>
          <w:kern w:val="2"/>
          <w:sz w:val="28"/>
          <w:szCs w:val="28"/>
          <w:highlight w:val="none"/>
          <w:lang w:val="en-US" w:eastAsia="zh-CN" w:bidi="ar-SA"/>
        </w:rPr>
        <w:t>：</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5"/>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24306"/>
      <w:bookmarkStart w:id="71" w:name="_Toc15950"/>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3"/>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3"/>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产品名称</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w:t>
            </w:r>
            <w:r>
              <w:rPr>
                <w:rFonts w:hint="eastAsia" w:ascii="仿宋" w:hAnsi="仿宋" w:eastAsia="仿宋" w:cs="仿宋"/>
                <w:sz w:val="28"/>
                <w:szCs w:val="28"/>
                <w:highlight w:val="none"/>
              </w:rPr>
              <w:t>（多种产品的仅提供核心产品品牌型号）</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4" w:type="dxa"/>
            <w:noWrap w:val="0"/>
            <w:vAlign w:val="center"/>
          </w:tcPr>
          <w:p>
            <w:pPr>
              <w:spacing w:line="380" w:lineRule="exac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r>
              <w:rPr>
                <w:rFonts w:hint="eastAsia" w:ascii="仿宋" w:hAnsi="仿宋" w:cs="仿宋"/>
                <w:color w:val="000000"/>
                <w:sz w:val="28"/>
                <w:szCs w:val="28"/>
                <w:highlight w:val="none"/>
                <w:lang w:eastAsia="zh-CN"/>
              </w:rPr>
              <w:t>；</w:t>
            </w:r>
          </w:p>
          <w:p>
            <w:pPr>
              <w:spacing w:line="380" w:lineRule="exact"/>
              <w:rPr>
                <w:rFonts w:hint="default" w:ascii="仿宋" w:hAnsi="仿宋" w:eastAsia="仿宋" w:cs="仿宋"/>
                <w:bCs/>
                <w:color w:val="000000"/>
                <w:sz w:val="28"/>
                <w:szCs w:val="28"/>
                <w:highlight w:val="none"/>
                <w:lang w:val="en-US" w:eastAsia="zh-CN"/>
              </w:rPr>
            </w:pPr>
            <w:r>
              <w:rPr>
                <w:rFonts w:hint="eastAsia" w:ascii="仿宋" w:hAnsi="仿宋" w:cs="仿宋"/>
                <w:color w:val="000000"/>
                <w:sz w:val="28"/>
                <w:szCs w:val="28"/>
                <w:highlight w:val="none"/>
                <w:lang w:val="en-US" w:eastAsia="zh-CN"/>
              </w:rPr>
              <w:t>工期:</w:t>
            </w:r>
            <w:r>
              <w:rPr>
                <w:rFonts w:hint="eastAsia" w:ascii="仿宋" w:hAnsi="仿宋" w:cs="仿宋"/>
                <w:color w:val="000000"/>
                <w:sz w:val="28"/>
                <w:szCs w:val="28"/>
                <w:highlight w:val="none"/>
                <w:u w:val="single"/>
                <w:lang w:val="en-US" w:eastAsia="zh-CN"/>
              </w:rPr>
              <w:t xml:space="preserve">         </w:t>
            </w:r>
            <w:r>
              <w:rPr>
                <w:rFonts w:hint="eastAsia" w:ascii="仿宋" w:hAnsi="仿宋" w:cs="仿宋"/>
                <w:color w:val="000000"/>
                <w:sz w:val="28"/>
                <w:szCs w:val="28"/>
                <w:highlight w:val="none"/>
                <w:u w:val="none"/>
                <w:lang w:val="en-US" w:eastAsia="zh-CN"/>
              </w:rPr>
              <w:t>天</w:t>
            </w:r>
            <w:r>
              <w:rPr>
                <w:rFonts w:hint="eastAsia" w:ascii="仿宋" w:hAnsi="仿宋" w:cs="仿宋"/>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3"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4"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3"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4"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3"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4"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3"/>
      <w:bookmarkStart w:id="76"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8"/>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5"/>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5"/>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5"/>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1</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2</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15"/>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32416"/>
      <w:bookmarkStart w:id="87" w:name="_Toc23872"/>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11401"/>
      <w:bookmarkStart w:id="89"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r>
        <w:rPr>
          <w:rFonts w:hint="eastAsia" w:ascii="Calibri" w:hAnsi="Calibri" w:eastAsia="楷体" w:cs="Times New Roman"/>
          <w:b/>
          <w:kern w:val="2"/>
          <w:sz w:val="32"/>
          <w:szCs w:val="28"/>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2"/>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2"/>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w:t>
      </w:r>
    </w:p>
    <w:p>
      <w:pPr>
        <w:pStyle w:val="22"/>
        <w:keepNext w:val="0"/>
        <w:keepLines w:val="0"/>
        <w:pageBreakBefore w:val="0"/>
        <w:kinsoku/>
        <w:wordWrap/>
        <w:overflowPunct/>
        <w:topLinePunct w:val="0"/>
        <w:autoSpaceDE/>
        <w:autoSpaceDN/>
        <w:bidi w:val="0"/>
        <w:adjustRightInd/>
        <w:snapToGrid/>
        <w:spacing w:before="240" w:after="145" w:line="360" w:lineRule="auto"/>
        <w:ind w:left="0" w:leftChars="0" w:firstLine="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（1）从业人员、营业收入、资产总额填报上一年度数据，无上一年度数据的新成立企业可不填报。</w:t>
      </w:r>
    </w:p>
    <w:p>
      <w:pPr>
        <w:spacing w:line="360" w:lineRule="auto"/>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p>
    <w:p>
      <w:pPr>
        <w:spacing w:line="360" w:lineRule="auto"/>
        <w:ind w:firstLine="960" w:firstLineChars="400"/>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31025"/>
      <w:bookmarkStart w:id="93" w:name="_Toc499827580"/>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514675542"/>
      <w:bookmarkStart w:id="96" w:name="_Toc514684734"/>
      <w:bookmarkStart w:id="97" w:name="_Toc13572220"/>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514684735"/>
      <w:bookmarkStart w:id="99" w:name="_Toc13572221"/>
      <w:bookmarkStart w:id="100" w:name="_Toc514675543"/>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7"/>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7"/>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7"/>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3"/>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3"/>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3"/>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3"/>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3"/>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3"/>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3"/>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3"/>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3"/>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3"/>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3"/>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3"/>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3"/>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3"/>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3"/>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3"/>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3"/>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916" w:type="dxa"/>
            <w:noWrap w:val="0"/>
            <w:vAlign w:val="center"/>
          </w:tcPr>
          <w:p>
            <w:pPr>
              <w:pStyle w:val="23"/>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3"/>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3"/>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3"/>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3"/>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3"/>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3"/>
              <w:jc w:val="center"/>
              <w:rPr>
                <w:rFonts w:hint="eastAsia" w:ascii="仿宋" w:hAnsi="仿宋" w:eastAsia="仿宋" w:cs="仿宋"/>
                <w:szCs w:val="32"/>
                <w:highlight w:val="none"/>
              </w:rPr>
            </w:pP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3"/>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3"/>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3"/>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3"/>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3"/>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3"/>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3"/>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3"/>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3"/>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3"/>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3"/>
              <w:jc w:val="center"/>
              <w:rPr>
                <w:rFonts w:hint="eastAsia" w:ascii="仿宋" w:hAnsi="仿宋" w:eastAsia="仿宋" w:cs="仿宋"/>
                <w:szCs w:val="32"/>
                <w:highlight w:val="none"/>
              </w:rPr>
            </w:pPr>
          </w:p>
        </w:tc>
        <w:tc>
          <w:tcPr>
            <w:tcW w:w="1167" w:type="dxa"/>
            <w:vMerge w:val="continue"/>
            <w:noWrap w:val="0"/>
            <w:vAlign w:val="center"/>
          </w:tcPr>
          <w:p>
            <w:pPr>
              <w:pStyle w:val="23"/>
              <w:jc w:val="center"/>
              <w:rPr>
                <w:rFonts w:hint="eastAsia" w:ascii="仿宋" w:hAnsi="仿宋" w:eastAsia="仿宋" w:cs="仿宋"/>
                <w:szCs w:val="32"/>
                <w:highlight w:val="none"/>
              </w:rPr>
            </w:pPr>
          </w:p>
        </w:tc>
        <w:tc>
          <w:tcPr>
            <w:tcW w:w="1801" w:type="dxa"/>
            <w:vMerge w:val="restart"/>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3"/>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3"/>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3"/>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3"/>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3"/>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3"/>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3"/>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3"/>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3"/>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3"/>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3"/>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3"/>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3"/>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3"/>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3"/>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3"/>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3"/>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3"/>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3"/>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3"/>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3"/>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3"/>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5"/>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5"/>
        <w:rPr>
          <w:rFonts w:hint="eastAsia" w:ascii="仿宋" w:hAnsi="仿宋" w:eastAsia="仿宋" w:cs="仿宋"/>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Pr>
    </w:pPr>
  </w:p>
  <w:p>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Fonts w:hint="eastAsia"/>
      </w:rPr>
      <w:t>２１</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2F44F"/>
    <w:multiLevelType w:val="singleLevel"/>
    <w:tmpl w:val="8862F44F"/>
    <w:lvl w:ilvl="0" w:tentative="0">
      <w:start w:val="2"/>
      <w:numFmt w:val="chineseCounting"/>
      <w:suff w:val="nothing"/>
      <w:lvlText w:val="%1、"/>
      <w:lvlJc w:val="left"/>
      <w:rPr>
        <w:rFonts w:hint="eastAsia"/>
      </w:rPr>
    </w:lvl>
  </w:abstractNum>
  <w:abstractNum w:abstractNumId="1">
    <w:nsid w:val="A9758005"/>
    <w:multiLevelType w:val="singleLevel"/>
    <w:tmpl w:val="A9758005"/>
    <w:lvl w:ilvl="0" w:tentative="0">
      <w:start w:val="1"/>
      <w:numFmt w:val="decimal"/>
      <w:lvlText w:val="(%1)"/>
      <w:lvlJc w:val="left"/>
      <w:pPr>
        <w:ind w:left="425" w:hanging="425"/>
      </w:pPr>
      <w:rPr>
        <w:rFonts w:hint="default"/>
      </w:rPr>
    </w:lvl>
  </w:abstractNum>
  <w:abstractNum w:abstractNumId="2">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3">
    <w:nsid w:val="D189E03F"/>
    <w:multiLevelType w:val="singleLevel"/>
    <w:tmpl w:val="D189E03F"/>
    <w:lvl w:ilvl="0" w:tentative="0">
      <w:start w:val="1"/>
      <w:numFmt w:val="decimal"/>
      <w:lvlText w:val="%1."/>
      <w:lvlJc w:val="left"/>
      <w:pPr>
        <w:ind w:left="425" w:hanging="425"/>
      </w:pPr>
      <w:rPr>
        <w:rFonts w:hint="default"/>
      </w:rPr>
    </w:lvl>
  </w:abstractNum>
  <w:abstractNum w:abstractNumId="4">
    <w:nsid w:val="09FD4165"/>
    <w:multiLevelType w:val="singleLevel"/>
    <w:tmpl w:val="09FD4165"/>
    <w:lvl w:ilvl="0" w:tentative="0">
      <w:start w:val="1"/>
      <w:numFmt w:val="decimal"/>
      <w:suff w:val="nothing"/>
      <w:lvlText w:val="（%1）"/>
      <w:lvlJc w:val="left"/>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2"/>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33A7EF9"/>
    <w:rsid w:val="04821621"/>
    <w:rsid w:val="04993371"/>
    <w:rsid w:val="05A82C11"/>
    <w:rsid w:val="062D358E"/>
    <w:rsid w:val="06EB0639"/>
    <w:rsid w:val="06F8685F"/>
    <w:rsid w:val="09FA6D9C"/>
    <w:rsid w:val="0AE2148F"/>
    <w:rsid w:val="0C4E49E7"/>
    <w:rsid w:val="0D5E68B0"/>
    <w:rsid w:val="10CA0E55"/>
    <w:rsid w:val="129D2CB6"/>
    <w:rsid w:val="14066173"/>
    <w:rsid w:val="140A7B16"/>
    <w:rsid w:val="14880C31"/>
    <w:rsid w:val="15FE35BC"/>
    <w:rsid w:val="161929A3"/>
    <w:rsid w:val="169546CA"/>
    <w:rsid w:val="17162BCB"/>
    <w:rsid w:val="19FD4DD2"/>
    <w:rsid w:val="1A8A66BC"/>
    <w:rsid w:val="1B342ADF"/>
    <w:rsid w:val="1BDB1C76"/>
    <w:rsid w:val="22CD4F7C"/>
    <w:rsid w:val="23EA2E04"/>
    <w:rsid w:val="27B63304"/>
    <w:rsid w:val="27DF60CA"/>
    <w:rsid w:val="2C7835C4"/>
    <w:rsid w:val="2D476C23"/>
    <w:rsid w:val="2F1C47BA"/>
    <w:rsid w:val="2F992837"/>
    <w:rsid w:val="2F9E0569"/>
    <w:rsid w:val="349C5A22"/>
    <w:rsid w:val="34D40275"/>
    <w:rsid w:val="36F74710"/>
    <w:rsid w:val="3A5B799D"/>
    <w:rsid w:val="3AED7B12"/>
    <w:rsid w:val="3C557989"/>
    <w:rsid w:val="3DFF7BC3"/>
    <w:rsid w:val="3E2004F2"/>
    <w:rsid w:val="3E2C68B4"/>
    <w:rsid w:val="3F4818D8"/>
    <w:rsid w:val="40EB0026"/>
    <w:rsid w:val="424D08D4"/>
    <w:rsid w:val="42A33B1C"/>
    <w:rsid w:val="435F62A3"/>
    <w:rsid w:val="44995B88"/>
    <w:rsid w:val="44BB6512"/>
    <w:rsid w:val="44E632AE"/>
    <w:rsid w:val="46707032"/>
    <w:rsid w:val="46883841"/>
    <w:rsid w:val="493A7868"/>
    <w:rsid w:val="49C11749"/>
    <w:rsid w:val="4A4C19D0"/>
    <w:rsid w:val="4ABF5218"/>
    <w:rsid w:val="4BAC112D"/>
    <w:rsid w:val="4C0F6561"/>
    <w:rsid w:val="4DC33ECE"/>
    <w:rsid w:val="4E92074E"/>
    <w:rsid w:val="528B4A19"/>
    <w:rsid w:val="53B966A0"/>
    <w:rsid w:val="55C44435"/>
    <w:rsid w:val="583F6A70"/>
    <w:rsid w:val="58D03934"/>
    <w:rsid w:val="5A9A5C47"/>
    <w:rsid w:val="5F2B57F5"/>
    <w:rsid w:val="5F6A2794"/>
    <w:rsid w:val="5FF76275"/>
    <w:rsid w:val="64067710"/>
    <w:rsid w:val="655A2DF4"/>
    <w:rsid w:val="66C67976"/>
    <w:rsid w:val="672F432D"/>
    <w:rsid w:val="6744549C"/>
    <w:rsid w:val="69FE3E99"/>
    <w:rsid w:val="6AA440E2"/>
    <w:rsid w:val="6D5B6740"/>
    <w:rsid w:val="6E2C386C"/>
    <w:rsid w:val="6F4F21E6"/>
    <w:rsid w:val="70C4582E"/>
    <w:rsid w:val="71051127"/>
    <w:rsid w:val="73E1687E"/>
    <w:rsid w:val="753961CE"/>
    <w:rsid w:val="76F92276"/>
    <w:rsid w:val="776667F5"/>
    <w:rsid w:val="7A4946DC"/>
    <w:rsid w:val="7AE97230"/>
    <w:rsid w:val="7C7B7BEC"/>
    <w:rsid w:val="7CA55F70"/>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kern w:val="44"/>
      <w:sz w:val="44"/>
      <w:szCs w:val="20"/>
    </w:rPr>
  </w:style>
  <w:style w:type="paragraph" w:styleId="5">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6">
    <w:name w:val="heading 3"/>
    <w:basedOn w:val="1"/>
    <w:next w:val="1"/>
    <w:qFormat/>
    <w:uiPriority w:val="99"/>
    <w:pPr>
      <w:keepNext/>
      <w:keepLines/>
      <w:spacing w:before="260" w:after="260" w:line="416" w:lineRule="auto"/>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99"/>
    <w:pPr>
      <w:spacing w:after="120"/>
    </w:pPr>
    <w:rPr>
      <w:sz w:val="24"/>
      <w:szCs w:val="20"/>
    </w:rPr>
  </w:style>
  <w:style w:type="paragraph" w:styleId="7">
    <w:name w:val="List 3"/>
    <w:basedOn w:val="1"/>
    <w:qFormat/>
    <w:uiPriority w:val="99"/>
    <w:pPr>
      <w:ind w:left="100" w:leftChars="400" w:hanging="200" w:hangingChars="20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index 4"/>
    <w:basedOn w:val="1"/>
    <w:next w:val="1"/>
    <w:qFormat/>
    <w:uiPriority w:val="0"/>
    <w:pPr>
      <w:adjustRightInd w:val="0"/>
      <w:spacing w:line="360" w:lineRule="auto"/>
      <w:ind w:left="960" w:hanging="240"/>
      <w:jc w:val="left"/>
      <w:textAlignment w:val="baseline"/>
    </w:pPr>
    <w:rPr>
      <w:sz w:val="20"/>
      <w:szCs w:val="20"/>
    </w:rPr>
  </w:style>
  <w:style w:type="paragraph" w:styleId="12">
    <w:name w:val="toc 3"/>
    <w:basedOn w:val="1"/>
    <w:next w:val="1"/>
    <w:unhideWhenUsed/>
    <w:qFormat/>
    <w:uiPriority w:val="39"/>
    <w:pPr>
      <w:ind w:left="840" w:leftChars="4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toc 2"/>
    <w:basedOn w:val="1"/>
    <w:next w:val="1"/>
    <w:qFormat/>
    <w:uiPriority w:val="39"/>
    <w:pPr>
      <w:ind w:left="200" w:left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rPr>
      <w:rFonts w:cs="Times New Roman"/>
    </w:rPr>
  </w:style>
  <w:style w:type="paragraph" w:customStyle="1" w:styleId="21">
    <w:name w:val="样式29"/>
    <w:basedOn w:val="22"/>
    <w:qFormat/>
    <w:uiPriority w:val="99"/>
    <w:rPr>
      <w:rFonts w:eastAsia="楷体_GB2312"/>
    </w:rPr>
  </w:style>
  <w:style w:type="paragraph" w:customStyle="1" w:styleId="22">
    <w:name w:val="样式9 Char"/>
    <w:basedOn w:val="1"/>
    <w:qFormat/>
    <w:uiPriority w:val="99"/>
    <w:pPr>
      <w:widowControl/>
      <w:spacing w:line="440" w:lineRule="exact"/>
      <w:ind w:firstLine="200" w:firstLineChars="200"/>
      <w:jc w:val="left"/>
    </w:pPr>
    <w:rPr>
      <w:spacing w:val="6"/>
      <w:sz w:val="24"/>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37427</Words>
  <Characters>40520</Characters>
  <Lines>0</Lines>
  <Paragraphs>0</Paragraphs>
  <TotalTime>5</TotalTime>
  <ScaleCrop>false</ScaleCrop>
  <LinksUpToDate>false</LinksUpToDate>
  <CharactersWithSpaces>42036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2022-12-06T02:55:00Z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49EB670853504AA7867C34BF0DC796E0</vt:lpwstr>
  </property>
</Properties>
</file>