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华文中宋"/>
          <w:highlight w:val="none"/>
        </w:rPr>
      </w:pPr>
    </w:p>
    <w:p>
      <w:pPr>
        <w:rPr>
          <w:rFonts w:ascii="华文中宋" w:hAnsi="华文中宋" w:eastAsia="华文中宋" w:cs="华文中宋"/>
          <w:highlight w:val="none"/>
        </w:rPr>
      </w:pPr>
    </w:p>
    <w:p>
      <w:pPr>
        <w:rPr>
          <w:rFonts w:ascii="华文中宋" w:hAnsi="华文中宋" w:eastAsia="华文中宋" w:cs="华文中宋"/>
          <w:highlight w:val="none"/>
        </w:rPr>
      </w:pPr>
    </w:p>
    <w:p>
      <w:pP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山东大学第二医院O型臂及手术导航定位系统采购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w:t>
      </w:r>
      <w:r>
        <w:rPr>
          <w:rFonts w:hint="eastAsia" w:ascii="华文中宋" w:hAnsi="华文中宋" w:eastAsia="华文中宋" w:cs="华文中宋"/>
          <w:sz w:val="28"/>
          <w:szCs w:val="28"/>
          <w:highlight w:val="none"/>
          <w:lang w:val="en-US" w:eastAsia="zh-CN"/>
        </w:rPr>
        <w:t>050</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：2022年</w:t>
      </w:r>
      <w:r>
        <w:rPr>
          <w:rFonts w:hint="default" w:ascii="华文中宋" w:hAnsi="华文中宋" w:eastAsia="华文中宋" w:cs="华文中宋"/>
          <w:spacing w:val="11"/>
          <w:sz w:val="32"/>
          <w:szCs w:val="32"/>
          <w:highlight w:val="none"/>
          <w:lang w:val="en-US"/>
        </w:rPr>
        <w:t>12</w:t>
      </w:r>
      <w:r>
        <w:rPr>
          <w:rFonts w:hint="eastAsia" w:ascii="华文中宋" w:hAnsi="华文中宋" w:eastAsia="华文中宋" w:cs="华文中宋"/>
          <w:spacing w:val="11"/>
          <w:sz w:val="32"/>
          <w:szCs w:val="32"/>
          <w:highlight w:val="none"/>
        </w:rPr>
        <w:t>月</w:t>
      </w: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b/>
          <w:bCs/>
          <w:sz w:val="44"/>
          <w:szCs w:val="44"/>
          <w:highlight w:val="none"/>
        </w:rPr>
        <w:id w:val="147461592"/>
        <w:docPartObj>
          <w:docPartGallery w:val="Table of Contents"/>
          <w:docPartUnique/>
        </w:docPartObj>
      </w:sdtPr>
      <w:sdtEndPr>
        <w:rPr>
          <w:rFonts w:ascii="宋体" w:hAnsi="宋体" w:eastAsia="宋体"/>
          <w:b w:val="0"/>
          <w:bCs w:val="0"/>
          <w:sz w:val="44"/>
          <w:szCs w:val="44"/>
          <w:highlight w:val="none"/>
        </w:rPr>
      </w:sdtEndPr>
      <w:sdtContent>
        <w:p>
          <w:pPr>
            <w:spacing w:afterLines="100"/>
            <w:jc w:val="center"/>
            <w:rPr>
              <w:b/>
              <w:bCs/>
              <w:sz w:val="44"/>
              <w:szCs w:val="44"/>
              <w:highlight w:val="none"/>
            </w:rPr>
          </w:pPr>
          <w:r>
            <w:rPr>
              <w:rFonts w:ascii="宋体" w:hAnsi="宋体" w:eastAsia="宋体"/>
              <w:b/>
              <w:bCs/>
              <w:sz w:val="44"/>
              <w:szCs w:val="44"/>
              <w:highlight w:val="none"/>
            </w:rPr>
            <w:t>目录</w:t>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"_Toc21713" </w:instrText>
          </w:r>
          <w:r>
            <w:rPr>
              <w:highlight w:val="none"/>
            </w:rPr>
            <w:fldChar w:fldCharType="separate"/>
          </w:r>
          <w:r>
            <w:rPr>
              <w:rFonts w:hint="eastAsia" w:ascii="仿宋" w:hAnsi="仿宋" w:eastAsia="仿宋" w:cs="仿宋"/>
              <w:sz w:val="24"/>
              <w:szCs w:val="32"/>
              <w:highlight w:val="none"/>
            </w:rPr>
            <w:t>第一部分 招标公告</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_Toc21713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"_Toc23894" </w:instrText>
          </w:r>
          <w:r>
            <w:rPr>
              <w:highlight w:val="none"/>
            </w:rPr>
            <w:fldChar w:fldCharType="separate"/>
          </w:r>
          <w:r>
            <w:rPr>
              <w:rFonts w:hint="eastAsia" w:ascii="仿宋" w:hAnsi="仿宋" w:eastAsia="仿宋" w:cs="仿宋"/>
              <w:sz w:val="24"/>
              <w:szCs w:val="32"/>
              <w:highlight w:val="none"/>
            </w:rPr>
            <w:t>第二章 投标须知</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_Toc23894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"_Toc30943" </w:instrText>
          </w:r>
          <w:r>
            <w:rPr>
              <w:highlight w:val="none"/>
            </w:rPr>
            <w:fldChar w:fldCharType="separate"/>
          </w:r>
          <w:r>
            <w:rPr>
              <w:rFonts w:hint="eastAsia" w:ascii="仿宋" w:hAnsi="仿宋" w:eastAsia="仿宋" w:cs="仿宋"/>
              <w:sz w:val="24"/>
              <w:szCs w:val="52"/>
              <w:highlight w:val="none"/>
            </w:rPr>
            <w:t>供应商须知前附表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_Toc30943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"_Toc17782" </w:instrText>
          </w:r>
          <w:r>
            <w:rPr>
              <w:highlight w:val="none"/>
            </w:rPr>
            <w:fldChar w:fldCharType="separate"/>
          </w:r>
          <w:r>
            <w:rPr>
              <w:rFonts w:hint="eastAsia" w:ascii="仿宋" w:hAnsi="仿宋" w:eastAsia="仿宋" w:cs="仿宋"/>
              <w:sz w:val="24"/>
              <w:szCs w:val="52"/>
              <w:highlight w:val="none"/>
            </w:rPr>
            <w:t>供应商须知正文</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_Toc17782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- 15 -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"_Toc2534" </w:instrText>
          </w:r>
          <w:r>
            <w:rPr>
              <w:highlight w:val="none"/>
            </w:rPr>
            <w:fldChar w:fldCharType="separate"/>
          </w:r>
          <w:r>
            <w:rPr>
              <w:rFonts w:hint="eastAsia" w:ascii="仿宋" w:hAnsi="仿宋" w:eastAsia="仿宋" w:cs="仿宋"/>
              <w:sz w:val="24"/>
              <w:szCs w:val="32"/>
              <w:highlight w:val="none"/>
            </w:rPr>
            <w:t>第三章 评分办法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_Toc2534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"_Toc19583" </w:instrText>
          </w:r>
          <w:r>
            <w:rPr>
              <w:highlight w:val="none"/>
            </w:rPr>
            <w:fldChar w:fldCharType="separate"/>
          </w:r>
          <w:r>
            <w:rPr>
              <w:rFonts w:hint="eastAsia" w:ascii="仿宋" w:hAnsi="仿宋" w:eastAsia="仿宋" w:cs="仿宋"/>
              <w:sz w:val="24"/>
              <w:szCs w:val="32"/>
              <w:highlight w:val="none"/>
            </w:rPr>
            <w:t>一、 评标方法</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_Toc19583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"_Toc4998" </w:instrText>
          </w:r>
          <w:r>
            <w:rPr>
              <w:highlight w:val="none"/>
            </w:rPr>
            <w:fldChar w:fldCharType="separate"/>
          </w:r>
          <w:r>
            <w:rPr>
              <w:rFonts w:hint="eastAsia" w:ascii="仿宋" w:hAnsi="仿宋" w:eastAsia="仿宋" w:cs="仿宋"/>
              <w:sz w:val="24"/>
              <w:szCs w:val="32"/>
              <w:highlight w:val="none"/>
            </w:rPr>
            <w:t>二、 评审细则</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_Toc4998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"_Toc23021" </w:instrText>
          </w:r>
          <w:r>
            <w:rPr>
              <w:highlight w:val="none"/>
            </w:rPr>
            <w:fldChar w:fldCharType="separate"/>
          </w:r>
          <w:r>
            <w:rPr>
              <w:rFonts w:hint="eastAsia" w:ascii="仿宋" w:hAnsi="仿宋" w:eastAsia="仿宋" w:cs="仿宋"/>
              <w:sz w:val="24"/>
              <w:szCs w:val="32"/>
              <w:highlight w:val="none"/>
            </w:rPr>
            <w:t>三、 评审执行的政府采购政策</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_Toc23021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- 48 -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"_Toc22715" </w:instrText>
          </w:r>
          <w:r>
            <w:rPr>
              <w:highlight w:val="none"/>
            </w:rPr>
            <w:fldChar w:fldCharType="separate"/>
          </w:r>
          <w:r>
            <w:rPr>
              <w:rFonts w:hint="eastAsia" w:ascii="仿宋" w:hAnsi="仿宋" w:eastAsia="仿宋" w:cs="仿宋"/>
              <w:sz w:val="24"/>
              <w:szCs w:val="32"/>
              <w:highlight w:val="none"/>
            </w:rPr>
            <w:t>第四章 采购内容及项目要求</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_Toc22715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"_Toc28115" </w:instrText>
          </w:r>
          <w:r>
            <w:rPr>
              <w:highlight w:val="none"/>
            </w:rPr>
            <w:fldChar w:fldCharType="separate"/>
          </w:r>
          <w:r>
            <w:rPr>
              <w:rFonts w:hint="eastAsia" w:ascii="仿宋" w:hAnsi="仿宋" w:eastAsia="仿宋" w:cs="仿宋"/>
              <w:sz w:val="24"/>
              <w:szCs w:val="32"/>
              <w:highlight w:val="none"/>
            </w:rPr>
            <w:t>第五章 合同格式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_Toc28115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- 57 -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"_Toc29975" </w:instrText>
          </w:r>
          <w:r>
            <w:rPr>
              <w:highlight w:val="none"/>
            </w:rPr>
            <w:fldChar w:fldCharType="separate"/>
          </w:r>
          <w:r>
            <w:rPr>
              <w:rFonts w:hint="eastAsia" w:ascii="仿宋" w:hAnsi="仿宋" w:eastAsia="仿宋" w:cs="仿宋"/>
              <w:sz w:val="24"/>
              <w:szCs w:val="32"/>
              <w:highlight w:val="none"/>
            </w:rPr>
            <w:t>第六章 投标文件格式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_Toc29975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"_Toc3606" </w:instrText>
          </w:r>
          <w:r>
            <w:rPr>
              <w:highlight w:val="none"/>
            </w:rPr>
            <w:fldChar w:fldCharType="separate"/>
          </w:r>
          <w:r>
            <w:rPr>
              <w:rFonts w:hint="eastAsia" w:ascii="仿宋" w:hAnsi="仿宋" w:eastAsia="仿宋" w:cs="仿宋"/>
              <w:sz w:val="24"/>
              <w:szCs w:val="32"/>
              <w:highlight w:val="none"/>
            </w:rPr>
            <w:t>附件一：投标函</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_Toc3606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"_Toc15950" </w:instrText>
          </w:r>
          <w:r>
            <w:rPr>
              <w:highlight w:val="none"/>
            </w:rPr>
            <w:fldChar w:fldCharType="separate"/>
          </w:r>
          <w:r>
            <w:rPr>
              <w:rFonts w:hint="eastAsia" w:ascii="仿宋" w:hAnsi="仿宋" w:eastAsia="仿宋" w:cs="仿宋"/>
              <w:sz w:val="24"/>
              <w:szCs w:val="32"/>
              <w:highlight w:val="none"/>
            </w:rPr>
            <w:t>附件二：法定代表人身份证明</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_Toc15950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仿宋" w:hAnsi="仿宋" w:eastAsia="仿宋" w:cs="仿宋"/>
              <w:sz w:val="24"/>
              <w:szCs w:val="32"/>
              <w:highlight w:val="none"/>
            </w:rPr>
            <w:t>附件三：法定代表人授权委托书</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_Toc24503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"_Toc14908" </w:instrText>
          </w:r>
          <w:r>
            <w:rPr>
              <w:highlight w:val="none"/>
            </w:rPr>
            <w:fldChar w:fldCharType="separate"/>
          </w:r>
          <w:r>
            <w:rPr>
              <w:rFonts w:hint="eastAsia" w:ascii="仿宋" w:hAnsi="仿宋" w:eastAsia="仿宋" w:cs="仿宋"/>
              <w:sz w:val="24"/>
              <w:szCs w:val="32"/>
              <w:highlight w:val="none"/>
            </w:rPr>
            <w:t>附件四：开标一览表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_Toc14908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"_Toc12194" </w:instrText>
          </w:r>
          <w:r>
            <w:rPr>
              <w:highlight w:val="none"/>
            </w:rPr>
            <w:fldChar w:fldCharType="separate"/>
          </w:r>
          <w:r>
            <w:rPr>
              <w:rFonts w:hint="eastAsia" w:ascii="仿宋" w:hAnsi="仿宋" w:eastAsia="仿宋" w:cs="仿宋"/>
              <w:sz w:val="24"/>
              <w:szCs w:val="32"/>
              <w:highlight w:val="none"/>
            </w:rPr>
            <w:t>附件五：主要设备及配件报价明细表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_Toc12194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"_Toc15617" </w:instrText>
          </w:r>
          <w:r>
            <w:rPr>
              <w:highlight w:val="none"/>
            </w:rPr>
            <w:fldChar w:fldCharType="separate"/>
          </w:r>
          <w:r>
            <w:rPr>
              <w:rFonts w:hint="eastAsia" w:ascii="仿宋" w:hAnsi="仿宋" w:eastAsia="仿宋" w:cs="仿宋"/>
              <w:sz w:val="24"/>
              <w:szCs w:val="32"/>
              <w:highlight w:val="none"/>
            </w:rPr>
            <w:t>附件六：设备维保明细表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_Toc15617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"_Toc5851" </w:instrText>
          </w:r>
          <w:r>
            <w:rPr>
              <w:highlight w:val="none"/>
            </w:rPr>
            <w:fldChar w:fldCharType="separate"/>
          </w:r>
          <w:r>
            <w:rPr>
              <w:rFonts w:hint="eastAsia" w:ascii="仿宋" w:hAnsi="仿宋" w:eastAsia="仿宋" w:cs="仿宋"/>
              <w:sz w:val="24"/>
              <w:szCs w:val="32"/>
              <w:highlight w:val="none"/>
            </w:rPr>
            <w:t>附件七：质保期内供应的备品备件、易损件、耗材、专用工具价格表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_Toc5851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- 69 -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"_Toc25433" </w:instrText>
          </w:r>
          <w:r>
            <w:rPr>
              <w:highlight w:val="none"/>
            </w:rPr>
            <w:fldChar w:fldCharType="separate"/>
          </w:r>
          <w:r>
            <w:rPr>
              <w:rFonts w:hint="eastAsia" w:ascii="仿宋" w:hAnsi="仿宋" w:eastAsia="仿宋" w:cs="仿宋"/>
              <w:sz w:val="24"/>
              <w:szCs w:val="32"/>
              <w:highlight w:val="none"/>
            </w:rPr>
            <w:t>附件八：质保期满后长期供应的备品备件、易损件、耗材、专用工具价格表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_Toc25433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- 70 -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"_Toc4081" </w:instrText>
          </w:r>
          <w:r>
            <w:rPr>
              <w:highlight w:val="none"/>
            </w:rPr>
            <w:fldChar w:fldCharType="separate"/>
          </w:r>
          <w:r>
            <w:rPr>
              <w:rFonts w:hint="eastAsia" w:ascii="仿宋" w:hAnsi="仿宋" w:eastAsia="仿宋" w:cs="仿宋"/>
              <w:sz w:val="24"/>
              <w:szCs w:val="32"/>
              <w:highlight w:val="none"/>
            </w:rPr>
            <w:t>附件九：商务响应一览表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_Toc4081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- 71 -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"_Toc13157" </w:instrText>
          </w:r>
          <w:r>
            <w:rPr>
              <w:highlight w:val="none"/>
            </w:rPr>
            <w:fldChar w:fldCharType="separate"/>
          </w:r>
          <w:r>
            <w:rPr>
              <w:rFonts w:hint="eastAsia" w:ascii="仿宋" w:hAnsi="仿宋" w:eastAsia="仿宋" w:cs="仿宋"/>
              <w:sz w:val="24"/>
              <w:szCs w:val="32"/>
              <w:highlight w:val="none"/>
            </w:rPr>
            <w:t>附件十：技术响应一览表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_Toc13157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- 72 -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"_Toc28417" </w:instrText>
          </w:r>
          <w:r>
            <w:rPr>
              <w:highlight w:val="none"/>
            </w:rPr>
            <w:fldChar w:fldCharType="separate"/>
          </w:r>
          <w:r>
            <w:rPr>
              <w:rFonts w:hint="eastAsia" w:ascii="仿宋" w:hAnsi="仿宋" w:eastAsia="仿宋" w:cs="仿宋"/>
              <w:sz w:val="24"/>
              <w:szCs w:val="32"/>
              <w:highlight w:val="none"/>
            </w:rPr>
            <w:t>附件十一：近年业绩一览表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_Toc28417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- 73 -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"_Toc9521" </w:instrText>
          </w:r>
          <w:r>
            <w:rPr>
              <w:highlight w:val="none"/>
            </w:rPr>
            <w:fldChar w:fldCharType="separate"/>
          </w:r>
          <w:r>
            <w:rPr>
              <w:rFonts w:hint="eastAsia" w:ascii="仿宋" w:hAnsi="仿宋" w:eastAsia="仿宋" w:cs="仿宋"/>
              <w:sz w:val="24"/>
              <w:szCs w:val="32"/>
              <w:highlight w:val="none"/>
            </w:rPr>
            <w:t>附件十二：中小企业声明函（如有）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_Toc9521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"_Toc30411" </w:instrText>
          </w:r>
          <w:r>
            <w:rPr>
              <w:highlight w:val="none"/>
            </w:rPr>
            <w:fldChar w:fldCharType="separate"/>
          </w:r>
          <w:r>
            <w:rPr>
              <w:rFonts w:hint="eastAsia" w:ascii="仿宋" w:hAnsi="仿宋" w:eastAsia="仿宋" w:cs="仿宋"/>
              <w:sz w:val="24"/>
              <w:szCs w:val="32"/>
              <w:highlight w:val="none"/>
            </w:rPr>
            <w:t>附件十三：残疾人福利性单位声明函（如有）</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_Toc30411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- 75 -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"_Toc22511" </w:instrText>
          </w:r>
          <w:r>
            <w:rPr>
              <w:highlight w:val="none"/>
            </w:rPr>
            <w:fldChar w:fldCharType="separate"/>
          </w:r>
          <w:r>
            <w:rPr>
              <w:rFonts w:hint="eastAsia" w:ascii="仿宋" w:hAnsi="仿宋" w:eastAsia="仿宋" w:cs="仿宋"/>
              <w:sz w:val="24"/>
              <w:szCs w:val="32"/>
              <w:highlight w:val="none"/>
            </w:rPr>
            <w:t>附件十四：环境标志产品明细表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_Toc22511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- 76 -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"_Toc23388" </w:instrText>
          </w:r>
          <w:r>
            <w:rPr>
              <w:highlight w:val="none"/>
            </w:rPr>
            <w:fldChar w:fldCharType="separate"/>
          </w:r>
          <w:r>
            <w:rPr>
              <w:rFonts w:hint="eastAsia" w:ascii="仿宋" w:hAnsi="仿宋" w:eastAsia="仿宋" w:cs="仿宋"/>
              <w:sz w:val="24"/>
              <w:szCs w:val="32"/>
              <w:highlight w:val="none"/>
            </w:rPr>
            <w:t>附件十五：节能产品明细表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_Toc23388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- 77 -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"_Toc8827" </w:instrText>
          </w:r>
          <w:r>
            <w:rPr>
              <w:highlight w:val="none"/>
            </w:rPr>
            <w:fldChar w:fldCharType="separate"/>
          </w:r>
          <w:r>
            <w:rPr>
              <w:rFonts w:hint="eastAsia" w:ascii="仿宋" w:hAnsi="仿宋" w:eastAsia="仿宋" w:cs="仿宋"/>
              <w:sz w:val="24"/>
              <w:szCs w:val="32"/>
              <w:highlight w:val="none"/>
            </w:rPr>
            <w:t>附件十六：政府强制采购节能产品明细表</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_Toc8827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- 78 -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仿宋" w:hAnsi="仿宋" w:eastAsia="仿宋" w:cs="仿宋"/>
              <w:sz w:val="24"/>
              <w:szCs w:val="32"/>
              <w:highlight w:val="none"/>
            </w:rPr>
          </w:pPr>
          <w:r>
            <w:rPr>
              <w:highlight w:val="none"/>
            </w:rPr>
            <w:fldChar w:fldCharType="begin"/>
          </w:r>
          <w:r>
            <w:rPr>
              <w:highlight w:val="none"/>
            </w:rPr>
            <w:instrText xml:space="preserve"> HYPERLINK \l "_Toc18203" </w:instrText>
          </w:r>
          <w:r>
            <w:rPr>
              <w:highlight w:val="none"/>
            </w:rPr>
            <w:fldChar w:fldCharType="separate"/>
          </w:r>
          <w:r>
            <w:rPr>
              <w:rFonts w:hint="eastAsia" w:ascii="仿宋" w:hAnsi="仿宋" w:eastAsia="仿宋" w:cs="仿宋"/>
              <w:sz w:val="24"/>
              <w:szCs w:val="32"/>
              <w:highlight w:val="none"/>
            </w:rPr>
            <w:t>附件十七：资格证明材料格式（参考）</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_Toc18203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- 79 -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highlight w:val="none"/>
            </w:rPr>
            <w:fldChar w:fldCharType="begin"/>
          </w:r>
          <w:r>
            <w:rPr>
              <w:highlight w:val="none"/>
            </w:rPr>
            <w:instrText xml:space="preserve"> HYPERLINK \l "_Toc19709" </w:instrText>
          </w:r>
          <w:r>
            <w:rPr>
              <w:highlight w:val="none"/>
            </w:rPr>
            <w:fldChar w:fldCharType="separate"/>
          </w:r>
          <w:r>
            <w:rPr>
              <w:rFonts w:hint="eastAsia" w:ascii="仿宋" w:hAnsi="仿宋" w:eastAsia="仿宋" w:cs="仿宋"/>
              <w:sz w:val="24"/>
              <w:szCs w:val="32"/>
              <w:highlight w:val="none"/>
            </w:rPr>
            <w:t>附件十八：投标文件密封封套标记格式</w:t>
          </w:r>
          <w:r>
            <w:rPr>
              <w:rFonts w:hint="eastAsia" w:ascii="仿宋" w:hAnsi="仿宋" w:eastAsia="仿宋" w:cs="仿宋"/>
              <w:sz w:val="24"/>
              <w:szCs w:val="32"/>
              <w:highlight w:val="none"/>
            </w:rPr>
            <w:tab/>
          </w:r>
          <w:r>
            <w:rPr>
              <w:rFonts w:hint="eastAsia" w:ascii="仿宋" w:hAnsi="仿宋" w:eastAsia="仿宋" w:cs="仿宋"/>
              <w:sz w:val="24"/>
              <w:szCs w:val="32"/>
              <w:highlight w:val="none"/>
            </w:rPr>
            <w:fldChar w:fldCharType="begin"/>
          </w:r>
          <w:r>
            <w:rPr>
              <w:rFonts w:hint="eastAsia" w:ascii="仿宋" w:hAnsi="仿宋" w:eastAsia="仿宋" w:cs="仿宋"/>
              <w:sz w:val="24"/>
              <w:szCs w:val="32"/>
              <w:highlight w:val="none"/>
            </w:rPr>
            <w:instrText xml:space="preserve"> PAGEREF _Toc19709 \h </w:instrText>
          </w:r>
          <w:r>
            <w:rPr>
              <w:rFonts w:hint="eastAsia" w:ascii="仿宋" w:hAnsi="仿宋" w:eastAsia="仿宋" w:cs="仿宋"/>
              <w:sz w:val="24"/>
              <w:szCs w:val="32"/>
              <w:highlight w:val="none"/>
            </w:rPr>
            <w:fldChar w:fldCharType="separate"/>
          </w:r>
          <w:r>
            <w:rPr>
              <w:rFonts w:hint="eastAsia" w:ascii="仿宋" w:hAnsi="仿宋" w:eastAsia="仿宋" w:cs="仿宋"/>
              <w:sz w:val="24"/>
              <w:szCs w:val="32"/>
              <w:highlight w:val="none"/>
            </w:rPr>
            <w:t>- 94 -</w:t>
          </w:r>
          <w:r>
            <w:rPr>
              <w:rFonts w:hint="eastAsia" w:ascii="仿宋" w:hAnsi="仿宋" w:eastAsia="仿宋" w:cs="仿宋"/>
              <w:sz w:val="24"/>
              <w:szCs w:val="32"/>
              <w:highlight w:val="none"/>
            </w:rPr>
            <w:fldChar w:fldCharType="end"/>
          </w:r>
          <w:r>
            <w:rPr>
              <w:rFonts w:hint="eastAsia" w:ascii="仿宋" w:hAnsi="仿宋" w:eastAsia="仿宋" w:cs="仿宋"/>
              <w:sz w:val="24"/>
              <w:szCs w:val="32"/>
              <w:highlight w:val="none"/>
            </w:rPr>
            <w:fldChar w:fldCharType="end"/>
          </w:r>
        </w:p>
        <w:p>
          <w:pPr>
            <w:rPr>
              <w:highlight w:val="none"/>
            </w:rPr>
          </w:pPr>
          <w:r>
            <w:rPr>
              <w:highlight w:val="none"/>
            </w:rPr>
            <w:fldChar w:fldCharType="end"/>
          </w:r>
        </w:p>
      </w:sdtContent>
    </w:sdt>
    <w:p>
      <w:pPr>
        <w:tabs>
          <w:tab w:val="left" w:pos="6580"/>
        </w:tabs>
        <w:bidi w:val="0"/>
        <w:jc w:val="left"/>
        <w:rPr>
          <w:rFonts w:hint="eastAsia"/>
          <w:highlight w:val="none"/>
          <w:lang w:eastAsia="zh-CN"/>
        </w:rPr>
      </w:pPr>
      <w:r>
        <w:rPr>
          <w:rFonts w:hint="eastAsia"/>
          <w:highlight w:val="none"/>
          <w:lang w:eastAsia="zh-CN"/>
        </w:rPr>
        <w:tab/>
      </w:r>
    </w:p>
    <w:p>
      <w:pPr>
        <w:bidi w:val="0"/>
        <w:rPr>
          <w:rFonts w:hint="eastAsia" w:asciiTheme="minorHAnsi" w:hAnsiTheme="minorHAnsi" w:eastAsiaTheme="minorEastAsia" w:cstheme="minorBidi"/>
          <w:kern w:val="2"/>
          <w:sz w:val="21"/>
          <w:szCs w:val="24"/>
          <w:highlight w:val="none"/>
          <w:lang w:val="en-US" w:eastAsia="zh-CN" w:bidi="ar-SA"/>
        </w:rPr>
      </w:pPr>
    </w:p>
    <w:p>
      <w:pPr>
        <w:tabs>
          <w:tab w:val="left" w:pos="5178"/>
        </w:tabs>
        <w:bidi w:val="0"/>
        <w:jc w:val="left"/>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ighlight w:val="none"/>
          <w:lang w:val="en-US" w:eastAsia="zh-CN"/>
        </w:rPr>
        <w:tab/>
      </w:r>
    </w:p>
    <w:p>
      <w:pPr>
        <w:pStyle w:val="4"/>
        <w:numPr>
          <w:ilvl w:val="0"/>
          <w:numId w:val="1"/>
        </w:numPr>
        <w:spacing w:after="312"/>
        <w:rPr>
          <w:highlight w:val="none"/>
        </w:rPr>
      </w:pPr>
      <w:bookmarkStart w:id="0" w:name="_Toc12214"/>
      <w:bookmarkStart w:id="1" w:name="_Toc16040"/>
      <w:bookmarkStart w:id="2" w:name="_Toc21713"/>
      <w:r>
        <w:rPr>
          <w:rFonts w:hint="eastAsia"/>
          <w:highlight w:val="none"/>
        </w:rPr>
        <w:t>招标公告</w:t>
      </w:r>
      <w:bookmarkEnd w:id="0"/>
      <w:bookmarkEnd w:id="1"/>
      <w:bookmarkEnd w:id="2"/>
    </w:p>
    <w:p>
      <w:pPr>
        <w:spacing w:afterLines="100"/>
        <w:jc w:val="center"/>
        <w:rPr>
          <w:sz w:val="40"/>
          <w:szCs w:val="40"/>
          <w:highlight w:val="none"/>
        </w:rPr>
      </w:pPr>
      <w:r>
        <w:rPr>
          <w:rFonts w:hint="eastAsia"/>
          <w:sz w:val="40"/>
          <w:szCs w:val="40"/>
          <w:highlight w:val="none"/>
          <w:lang w:eastAsia="zh-CN"/>
        </w:rPr>
        <w:t>山东大学第二医院O型臂及手术导航定位系统采购</w:t>
      </w:r>
      <w:r>
        <w:rPr>
          <w:rFonts w:hint="eastAsia"/>
          <w:sz w:val="40"/>
          <w:szCs w:val="40"/>
          <w:highlight w:val="none"/>
        </w:rPr>
        <w:t>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山东大学第二医院O型臂及手术导航定位系统采购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日9点00 分（北京时间）前提交投标文件。</w:t>
            </w:r>
          </w:p>
        </w:tc>
      </w:tr>
    </w:tbl>
    <w:p>
      <w:pPr>
        <w:pStyle w:val="5"/>
        <w:numPr>
          <w:ilvl w:val="0"/>
          <w:numId w:val="2"/>
        </w:numPr>
        <w:spacing w:before="156" w:after="156"/>
        <w:rPr>
          <w:sz w:val="36"/>
          <w:szCs w:val="28"/>
          <w:highlight w:val="none"/>
        </w:rPr>
      </w:pPr>
      <w:bookmarkStart w:id="3" w:name="_Toc25958"/>
      <w:r>
        <w:rPr>
          <w:rFonts w:hint="eastAsia"/>
          <w:sz w:val="36"/>
          <w:szCs w:val="28"/>
          <w:highlight w:val="none"/>
        </w:rPr>
        <w:t>项目基本情况</w:t>
      </w:r>
      <w:bookmarkEnd w:id="3"/>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050</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山东大学第二医院O型臂及手术导航定位系统采购</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1200万元</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1200万元</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采购需求：山东大学第二医院根据需要需</w:t>
      </w:r>
      <w:r>
        <w:rPr>
          <w:rFonts w:hint="eastAsia" w:ascii="仿宋" w:hAnsi="仿宋" w:eastAsia="仿宋" w:cs="仿宋"/>
          <w:sz w:val="28"/>
          <w:szCs w:val="28"/>
          <w:highlight w:val="none"/>
          <w:lang w:val="en-US" w:eastAsia="zh-CN"/>
        </w:rPr>
        <w:t>采购O型臂X射线机1套，可采进口；手术导航定位系统1套，可采进口；使用科室：手术室/脊柱外科</w:t>
      </w:r>
      <w:r>
        <w:rPr>
          <w:rFonts w:hint="eastAsia" w:ascii="仿宋" w:hAnsi="仿宋" w:eastAsia="仿宋" w:cs="仿宋"/>
          <w:sz w:val="28"/>
          <w:szCs w:val="28"/>
          <w:highlight w:val="none"/>
        </w:rPr>
        <w:t>；详见招标文件“第四章 采购内容及项目要求”。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标段划分：1个标段</w:t>
      </w:r>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合同履行期限（质保期）：≥</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年</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5"/>
        <w:numPr>
          <w:ilvl w:val="0"/>
          <w:numId w:val="2"/>
        </w:numPr>
        <w:spacing w:before="156" w:after="156"/>
        <w:rPr>
          <w:sz w:val="36"/>
          <w:szCs w:val="28"/>
          <w:highlight w:val="none"/>
        </w:rPr>
      </w:pPr>
      <w:bookmarkStart w:id="4" w:name="_Toc23673"/>
      <w:r>
        <w:rPr>
          <w:rFonts w:hint="eastAsia"/>
          <w:sz w:val="36"/>
          <w:szCs w:val="28"/>
          <w:highlight w:val="none"/>
        </w:rPr>
        <w:t>申请人的资格要求</w:t>
      </w:r>
      <w:bookmarkEnd w:id="4"/>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pPr>
        <w:numPr>
          <w:ilvl w:val="0"/>
          <w:numId w:val="4"/>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本项目部分设备可采进口产品，供应商所投产品为进口产品的，须提供制造商或可追溯到制造商合法授权的代理商出具的针对本项目的授权书（原件扫描件并加盖公章）；</w:t>
      </w:r>
    </w:p>
    <w:p>
      <w:pPr>
        <w:pStyle w:val="5"/>
        <w:numPr>
          <w:ilvl w:val="0"/>
          <w:numId w:val="2"/>
        </w:numPr>
        <w:spacing w:before="156" w:after="156"/>
        <w:rPr>
          <w:sz w:val="36"/>
          <w:szCs w:val="28"/>
          <w:highlight w:val="none"/>
        </w:rPr>
      </w:pPr>
      <w:bookmarkStart w:id="5" w:name="_Toc16954"/>
      <w:r>
        <w:rPr>
          <w:rFonts w:hint="eastAsia"/>
          <w:sz w:val="36"/>
          <w:szCs w:val="28"/>
          <w:highlight w:val="none"/>
        </w:rPr>
        <w:t>获取招标文件</w:t>
      </w:r>
      <w:bookmarkEnd w:id="5"/>
    </w:p>
    <w:p>
      <w:pPr>
        <w:ind w:left="42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时间：2022年</w:t>
      </w: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29</w:t>
      </w:r>
      <w:r>
        <w:rPr>
          <w:rFonts w:hint="eastAsia" w:ascii="仿宋" w:hAnsi="仿宋" w:eastAsia="仿宋" w:cs="仿宋"/>
          <w:sz w:val="28"/>
          <w:szCs w:val="28"/>
          <w:highlight w:val="none"/>
        </w:rPr>
        <w:t>日09:00至202</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日17:00止。</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15315311287）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3）与本项目相关事宜联系人、联系电话；（4）招标文件费汇款凭证。</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w:t>
      </w:r>
      <w:r>
        <w:rPr>
          <w:rFonts w:hint="eastAsia" w:ascii="仿宋" w:hAnsi="仿宋" w:eastAsia="仿宋" w:cs="仿宋"/>
          <w:sz w:val="28"/>
          <w:szCs w:val="28"/>
          <w:highlight w:val="none"/>
          <w:lang w:val="en-US" w:eastAsia="zh-CN"/>
        </w:rPr>
        <w:t>如需</w:t>
      </w:r>
      <w:r>
        <w:rPr>
          <w:rFonts w:hint="eastAsia" w:ascii="仿宋" w:hAnsi="仿宋" w:eastAsia="仿宋" w:cs="仿宋"/>
          <w:sz w:val="28"/>
          <w:szCs w:val="28"/>
          <w:highlight w:val="none"/>
        </w:rPr>
        <w:t>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5"/>
        <w:numPr>
          <w:ilvl w:val="0"/>
          <w:numId w:val="2"/>
        </w:numPr>
        <w:spacing w:before="156" w:after="156"/>
        <w:rPr>
          <w:sz w:val="36"/>
          <w:szCs w:val="28"/>
          <w:highlight w:val="none"/>
        </w:rPr>
      </w:pPr>
      <w:bookmarkStart w:id="6" w:name="_Toc8125"/>
      <w:r>
        <w:rPr>
          <w:rFonts w:hint="eastAsia"/>
          <w:sz w:val="36"/>
          <w:szCs w:val="28"/>
          <w:highlight w:val="none"/>
        </w:rPr>
        <w:t>提交投标文件</w:t>
      </w:r>
      <w:bookmarkEnd w:id="6"/>
      <w:r>
        <w:rPr>
          <w:rFonts w:hint="eastAsia"/>
          <w:sz w:val="36"/>
          <w:szCs w:val="28"/>
          <w:highlight w:val="none"/>
        </w:rPr>
        <w:t>截止时间、开标时间和地点</w:t>
      </w:r>
    </w:p>
    <w:p>
      <w:pPr>
        <w:numPr>
          <w:ilvl w:val="0"/>
          <w:numId w:val="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0</w:t>
      </w:r>
      <w:r>
        <w:rPr>
          <w:rFonts w:hint="default"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u w:val="single"/>
        </w:rPr>
        <w:t>日9点00分</w:t>
      </w:r>
    </w:p>
    <w:p>
      <w:pPr>
        <w:ind w:firstLine="560" w:firstLineChars="200"/>
        <w:rPr>
          <w:rFonts w:ascii="仿宋" w:hAnsi="仿宋" w:eastAsia="仿宋" w:cs="仿宋"/>
          <w:sz w:val="28"/>
          <w:szCs w:val="28"/>
          <w:highlight w:val="none"/>
        </w:rPr>
      </w:pP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投标文件递交的地点：济南市历下区历山路134号277室，逾期送达的或者未送达指定地点的投标文件，采购人不予受理。</w:t>
      </w:r>
    </w:p>
    <w:p>
      <w:pPr>
        <w:pStyle w:val="5"/>
        <w:numPr>
          <w:ilvl w:val="0"/>
          <w:numId w:val="2"/>
        </w:numPr>
        <w:spacing w:before="156" w:after="156"/>
        <w:rPr>
          <w:sz w:val="36"/>
          <w:szCs w:val="28"/>
          <w:highlight w:val="none"/>
        </w:rPr>
      </w:pPr>
      <w:bookmarkStart w:id="7" w:name="_Toc19407"/>
      <w:r>
        <w:rPr>
          <w:rFonts w:hint="eastAsia"/>
          <w:sz w:val="36"/>
          <w:szCs w:val="28"/>
          <w:highlight w:val="none"/>
        </w:rPr>
        <w:t>公告期限</w:t>
      </w:r>
      <w:bookmarkEnd w:id="7"/>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5"/>
        <w:numPr>
          <w:ilvl w:val="0"/>
          <w:numId w:val="2"/>
        </w:numPr>
        <w:spacing w:before="156" w:after="156"/>
        <w:rPr>
          <w:sz w:val="36"/>
          <w:szCs w:val="28"/>
          <w:highlight w:val="none"/>
        </w:rPr>
      </w:pPr>
      <w:bookmarkStart w:id="8" w:name="_Toc26363"/>
      <w:r>
        <w:rPr>
          <w:rFonts w:hint="eastAsia"/>
          <w:sz w:val="36"/>
          <w:szCs w:val="28"/>
          <w:highlight w:val="none"/>
        </w:rPr>
        <w:t>其他补充事宜</w:t>
      </w:r>
      <w:bookmarkEnd w:id="8"/>
    </w:p>
    <w:p>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5"/>
        <w:numPr>
          <w:ilvl w:val="0"/>
          <w:numId w:val="2"/>
        </w:numPr>
        <w:spacing w:before="156" w:after="156"/>
        <w:rPr>
          <w:sz w:val="36"/>
          <w:szCs w:val="28"/>
          <w:highlight w:val="none"/>
        </w:rPr>
      </w:pPr>
      <w:bookmarkStart w:id="9" w:name="_Toc12221"/>
      <w:r>
        <w:rPr>
          <w:rFonts w:hint="eastAsia"/>
          <w:sz w:val="36"/>
          <w:szCs w:val="28"/>
          <w:highlight w:val="none"/>
        </w:rPr>
        <w:t>对本次招标提出询问，请按以下方式联系</w:t>
      </w:r>
      <w:bookmarkEnd w:id="9"/>
    </w:p>
    <w:p>
      <w:pPr>
        <w:rPr>
          <w:rFonts w:ascii="仿宋" w:hAnsi="仿宋" w:eastAsia="仿宋" w:cs="仿宋"/>
          <w:sz w:val="28"/>
          <w:szCs w:val="28"/>
          <w:highlight w:val="none"/>
        </w:rPr>
      </w:pPr>
      <w:r>
        <w:rPr>
          <w:rFonts w:hint="eastAsia" w:ascii="仿宋" w:hAnsi="仿宋" w:eastAsia="仿宋" w:cs="仿宋"/>
          <w:sz w:val="28"/>
          <w:szCs w:val="28"/>
          <w:highlight w:val="none"/>
        </w:rPr>
        <w:t>1、采购人信息</w:t>
      </w:r>
    </w:p>
    <w:p>
      <w:pP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rPr>
          <w:rFonts w:ascii="仿宋" w:hAnsi="仿宋" w:eastAsia="仿宋" w:cs="仿宋"/>
          <w:sz w:val="28"/>
          <w:szCs w:val="28"/>
          <w:highlight w:val="none"/>
        </w:rPr>
      </w:pPr>
      <w:r>
        <w:rPr>
          <w:rFonts w:hint="eastAsia" w:ascii="仿宋" w:hAnsi="仿宋" w:eastAsia="仿宋" w:cs="仿宋"/>
          <w:sz w:val="28"/>
          <w:szCs w:val="28"/>
          <w:highlight w:val="none"/>
        </w:rPr>
        <w:t>2、采购代理机构信息</w:t>
      </w:r>
    </w:p>
    <w:p>
      <w:pP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rPr>
          <w:rFonts w:ascii="仿宋" w:hAnsi="仿宋" w:eastAsia="仿宋" w:cs="仿宋"/>
          <w:sz w:val="28"/>
          <w:szCs w:val="28"/>
          <w:highlight w:val="none"/>
        </w:rPr>
      </w:pPr>
      <w:r>
        <w:rPr>
          <w:rFonts w:hint="eastAsia" w:ascii="仿宋" w:hAnsi="仿宋" w:eastAsia="仿宋" w:cs="仿宋"/>
          <w:sz w:val="28"/>
          <w:szCs w:val="28"/>
          <w:highlight w:val="none"/>
        </w:rPr>
        <w:t>3.项目联系方式</w:t>
      </w:r>
    </w:p>
    <w:p>
      <w:pP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4"/>
        <w:numPr>
          <w:ilvl w:val="0"/>
          <w:numId w:val="6"/>
        </w:numPr>
        <w:spacing w:after="312"/>
        <w:rPr>
          <w:highlight w:val="none"/>
        </w:rPr>
      </w:pPr>
      <w:bookmarkStart w:id="10" w:name="_Toc23894"/>
      <w:r>
        <w:rPr>
          <w:rFonts w:hint="eastAsia"/>
          <w:highlight w:val="none"/>
        </w:rPr>
        <w:t>投标须知</w:t>
      </w:r>
      <w:bookmarkEnd w:id="10"/>
    </w:p>
    <w:p>
      <w:pPr>
        <w:pStyle w:val="5"/>
        <w:keepNext w:val="0"/>
        <w:keepLines w:val="0"/>
        <w:pageBreakBefore w:val="0"/>
        <w:widowControl w:val="0"/>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11" w:name="_Toc30943"/>
      <w:r>
        <w:rPr>
          <w:rFonts w:hint="eastAsia" w:ascii="仿宋" w:hAnsi="仿宋" w:eastAsia="仿宋" w:cs="仿宋"/>
          <w:b/>
          <w:bCs/>
          <w:sz w:val="32"/>
          <w:szCs w:val="32"/>
          <w:highlight w:val="none"/>
        </w:rPr>
        <w:t>供应商须知前附表</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26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26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386" w:type="dxa"/>
            <w:vAlign w:val="center"/>
          </w:tcPr>
          <w:p>
            <w:pP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050</w:t>
            </w:r>
            <w:r>
              <w:rPr>
                <w:rFonts w:hint="eastAsia" w:ascii="仿宋" w:hAnsi="仿宋" w:eastAsia="仿宋" w:cs="仿宋"/>
                <w:sz w:val="28"/>
                <w:szCs w:val="28"/>
                <w:highlight w:val="none"/>
              </w:rPr>
              <w:t>）</w:t>
            </w:r>
          </w:p>
          <w:p>
            <w:pP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山东大学第二医院O型臂及手术导航定位系统采购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资金来源：贴息贷款</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1200万元</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1200万元</w:t>
            </w:r>
          </w:p>
          <w:p>
            <w:pP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386" w:type="dxa"/>
            <w:vAlign w:val="center"/>
          </w:tcPr>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（9）供应商所投产品为进口产品的，须提供制造商或可追溯到制造商合法授权的代理商出具的针对本项目的授权书（复印件并加盖公章）。</w:t>
            </w:r>
          </w:p>
          <w:p>
            <w:pPr>
              <w:rPr>
                <w:rFonts w:ascii="仿宋" w:hAnsi="仿宋" w:eastAsia="仿宋" w:cs="仿宋"/>
                <w:sz w:val="28"/>
                <w:szCs w:val="28"/>
                <w:highlight w:val="none"/>
              </w:rPr>
            </w:pPr>
            <w:r>
              <w:rPr>
                <w:rFonts w:hint="eastAsia" w:ascii="仿宋" w:hAnsi="仿宋" w:eastAsia="仿宋" w:cs="仿宋"/>
                <w:sz w:val="28"/>
                <w:szCs w:val="28"/>
                <w:highlight w:val="none"/>
              </w:rPr>
              <w:t>（10）供应商符合法律、行政法规规定的其它要求。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rPr>
              <w:t>日上午11:00前。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default" w:ascii="仿宋" w:hAnsi="仿宋" w:eastAsia="仿宋" w:cs="仿宋"/>
                <w:sz w:val="28"/>
                <w:szCs w:val="28"/>
                <w:highlight w:val="none"/>
                <w:lang w:val="en-US" w:eastAsia="zh-CN"/>
              </w:rPr>
              <w:t>7</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柒</w:t>
            </w:r>
            <w:r>
              <w:rPr>
                <w:rFonts w:hint="eastAsia" w:ascii="仿宋" w:hAnsi="仿宋" w:eastAsia="仿宋" w:cs="仿宋"/>
                <w:sz w:val="28"/>
                <w:szCs w:val="28"/>
                <w:highlight w:val="none"/>
              </w:rPr>
              <w:t>万元整）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386" w:type="dxa"/>
            <w:vAlign w:val="center"/>
          </w:tcPr>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386" w:type="dxa"/>
            <w:vAlign w:val="center"/>
          </w:tcPr>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近三年：2019年1</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月1日至今；</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386"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 xml:space="preserve"> 投标单位自报</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386" w:type="dxa"/>
            <w:vAlign w:val="center"/>
          </w:tcPr>
          <w:p>
            <w:pP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386" w:type="dxa"/>
            <w:vAlign w:val="center"/>
          </w:tcPr>
          <w:p>
            <w:pPr>
              <w:snapToGrid w:val="0"/>
              <w:spacing w:line="300" w:lineRule="auto"/>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 xml:space="preserve">货物经双方验收合格签字确认交付后，甲方收到发票入库三个月内，支付合同总金额90%，余款作为质量保证金，自财务入账之日起满12个月后，无质量问题，付总金额的10%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进口产品投标</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部分产品可采进口，详见第四章产品清单。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进口产品的需提供进口产品制造商授权书的说明</w:t>
            </w:r>
          </w:p>
        </w:tc>
        <w:tc>
          <w:tcPr>
            <w:tcW w:w="5386"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所投产品为进口产品的需提供进口产品制造商授权书：（a）当产品国内总代理或涵盖采购人地区的总代理直接参与投标时，需提供制造商对该代理的</w:t>
            </w:r>
            <w:r>
              <w:rPr>
                <w:rFonts w:hint="eastAsia" w:ascii="仿宋" w:hAnsi="仿宋" w:eastAsia="仿宋" w:cs="仿宋"/>
                <w:sz w:val="28"/>
                <w:szCs w:val="28"/>
                <w:highlight w:val="none"/>
                <w:lang w:val="en-US" w:eastAsia="zh-CN"/>
              </w:rPr>
              <w:t>有效期内</w:t>
            </w:r>
            <w:r>
              <w:rPr>
                <w:rFonts w:hint="eastAsia" w:ascii="仿宋" w:hAnsi="仿宋" w:eastAsia="仿宋" w:cs="仿宋"/>
                <w:sz w:val="28"/>
                <w:szCs w:val="28"/>
                <w:highlight w:val="none"/>
              </w:rPr>
              <w:t>授权书的复印件，若为外文，需翻译成中文并加盖供应商公章；（b）除上述第（a）条情况外，供应商需提供产品制造商或其国内总代理或涵盖采购人地区总代理出具的授权书原件，和从所投产品的制造商至出具授权书机构的各级相关授权文件的复印件并加盖供应商公章，以证明出具授权书机构的有效性。且上述为供应商出具授权书的区域经销商自身获得的相关授权的有效期应至少包括本年度，且至少应涵盖采购人所在地区，否则将被视为无效投标文件；若评标委员会要求，供应商应能立即提供从所投产品的制造商至该区域经销商的各级相关授权文件委托方的联系人及联系方式，以便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napToGrid w:val="0"/>
              <w:spacing w:line="300" w:lineRule="auto"/>
              <w:jc w:val="center"/>
              <w:rPr>
                <w:rFonts w:ascii="仿宋" w:hAnsi="仿宋" w:eastAsia="仿宋" w:cs="仿宋"/>
                <w:sz w:val="28"/>
                <w:szCs w:val="28"/>
                <w:highlight w:val="none"/>
              </w:rPr>
            </w:pPr>
          </w:p>
        </w:tc>
        <w:tc>
          <w:tcPr>
            <w:tcW w:w="2266"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386" w:type="dxa"/>
            <w:vAlign w:val="center"/>
          </w:tcPr>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rPr>
          <w:sz w:val="22"/>
          <w:szCs w:val="28"/>
          <w:highlight w:val="none"/>
        </w:rPr>
      </w:pPr>
      <w:r>
        <w:rPr>
          <w:sz w:val="22"/>
          <w:szCs w:val="28"/>
          <w:highlight w:val="none"/>
        </w:rPr>
        <w:br w:type="page"/>
      </w:r>
    </w:p>
    <w:p>
      <w:pPr>
        <w:pStyle w:val="5"/>
        <w:spacing w:before="156" w:after="156"/>
        <w:jc w:val="center"/>
        <w:rPr>
          <w:rFonts w:ascii="宋体" w:hAnsi="宋体" w:eastAsia="宋体" w:cs="宋体"/>
          <w:sz w:val="44"/>
          <w:szCs w:val="44"/>
          <w:highlight w:val="none"/>
        </w:rPr>
      </w:pPr>
      <w:bookmarkStart w:id="12" w:name="_Toc17782"/>
      <w:r>
        <w:rPr>
          <w:rFonts w:hint="eastAsia" w:ascii="宋体" w:hAnsi="宋体" w:eastAsia="宋体" w:cs="宋体"/>
          <w:sz w:val="44"/>
          <w:szCs w:val="44"/>
          <w:highlight w:val="none"/>
        </w:rPr>
        <w:t>供应商须知正文</w:t>
      </w:r>
      <w:bookmarkEnd w:id="12"/>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3" w:name="_Toc7569"/>
      <w:r>
        <w:rPr>
          <w:rFonts w:hint="eastAsia" w:ascii="黑体" w:hAnsi="黑体" w:eastAsia="黑体" w:cs="黑体"/>
          <w:b w:val="0"/>
          <w:bCs/>
          <w:sz w:val="36"/>
          <w:szCs w:val="36"/>
          <w:highlight w:val="none"/>
        </w:rPr>
        <w:t>说明</w:t>
      </w:r>
      <w:bookmarkEnd w:id="13"/>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4" w:name="_Toc18768"/>
      <w:r>
        <w:rPr>
          <w:rFonts w:ascii="黑体" w:hAnsi="黑体" w:eastAsia="黑体" w:cs="黑体"/>
          <w:b w:val="0"/>
          <w:bCs/>
          <w:sz w:val="36"/>
          <w:szCs w:val="36"/>
          <w:highlight w:val="none"/>
        </w:rPr>
        <w:t>招标文件</w:t>
      </w:r>
      <w:bookmarkEnd w:id="14"/>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5" w:name="_Toc8401"/>
      <w:r>
        <w:rPr>
          <w:rFonts w:ascii="黑体" w:hAnsi="黑体" w:eastAsia="黑体" w:cs="黑体"/>
          <w:b w:val="0"/>
          <w:bCs/>
          <w:sz w:val="36"/>
          <w:szCs w:val="36"/>
          <w:highlight w:val="none"/>
        </w:rPr>
        <w:t>投标文件编写</w:t>
      </w:r>
      <w:bookmarkEnd w:id="15"/>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主要设备及配件报价明细表；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设备维保明细表；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质保期满后长期供应的备品备件、易损件、耗材、专用工具价格表；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投标货物的详细供货范围清单（包括配置情况、主要部件、配套件、备品备件及专用工具等的名称、品牌、型号规格、主要技术参数及性能、数量、单价、制造商全称及制造地点等）及技术响应一览表；</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投标货物的制造、调试、验收标准/方案计划；</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投标货物安装或指导安装方案，安装或指导安装组织机构及人员情况；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对招标人操作、维护人员培训方案（包括培训人数、时间、地点、目的、内容、培训程度等）；</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质保期内的售后服务方案：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对中标货物在质保期内的售后服务具体内容及承诺，机构设置和人员配置情况；</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质保期满后的售后服务方案：卖方对中标货物在质保期满后，维保的范围、内容、价格及承诺，机构设置和人员配置情况，以及买方不委托卖方维保的情况下卖方的售后服务具体内容及承诺；</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pPr>
        <w:numPr>
          <w:ilvl w:val="0"/>
          <w:numId w:val="13"/>
        </w:num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投标货物交货时可提供的技术资料清单；</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紧急故障处理预案</w:t>
      </w:r>
      <w:r>
        <w:rPr>
          <w:rFonts w:ascii="仿宋" w:hAnsi="仿宋" w:eastAsia="仿宋" w:cs="仿宋"/>
          <w:sz w:val="28"/>
          <w:szCs w:val="28"/>
          <w:highlight w:val="none"/>
        </w:rPr>
        <w:t>；</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投标报价应报出运至项目现场并安装调试后价格，含主件(包括软件)、标准附件、备品备件、专用工具、内陆运输费、相关保险费、伴随服务费、装卸费、保管费、外贸相关费用（进口货物提供）、安装调试费、检测费、培训费、售后服务等内容的所有税、费（以上相关费用在报价明细表中单列，包含在本次报价中）。报价应包括达到采购人使用要求的全部费用。</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应充分考虑采购条件，不得在中标后无故增加任何费用。</w:t>
      </w:r>
    </w:p>
    <w:p>
      <w:pPr>
        <w:pStyle w:val="8"/>
        <w:keepNext w:val="0"/>
        <w:keepLines w:val="0"/>
        <w:pageBreakBefore w:val="0"/>
        <w:widowControl w:val="0"/>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10.6对于进口货物，</w:t>
      </w:r>
      <w:r>
        <w:rPr>
          <w:rFonts w:hint="eastAsia" w:ascii="仿宋" w:hAnsi="仿宋" w:eastAsia="仿宋" w:cs="仿宋"/>
          <w:sz w:val="28"/>
          <w:szCs w:val="28"/>
          <w:highlight w:val="none"/>
        </w:rPr>
        <w:t>供应商</w:t>
      </w:r>
      <w:r>
        <w:rPr>
          <w:rFonts w:ascii="仿宋" w:hAnsi="仿宋" w:eastAsia="仿宋" w:cs="仿宋"/>
          <w:sz w:val="28"/>
          <w:szCs w:val="28"/>
          <w:highlight w:val="none"/>
        </w:rPr>
        <w:t>应充分理解招标要求，并确保设备合法进口。本次招标由</w:t>
      </w:r>
      <w:r>
        <w:rPr>
          <w:rFonts w:hint="eastAsia" w:ascii="仿宋" w:hAnsi="仿宋" w:eastAsia="仿宋" w:cs="仿宋"/>
          <w:sz w:val="28"/>
          <w:szCs w:val="28"/>
          <w:highlight w:val="none"/>
        </w:rPr>
        <w:t>中标人</w:t>
      </w:r>
      <w:r>
        <w:rPr>
          <w:rFonts w:ascii="仿宋" w:hAnsi="仿宋" w:eastAsia="仿宋" w:cs="仿宋"/>
          <w:sz w:val="28"/>
          <w:szCs w:val="28"/>
          <w:highlight w:val="none"/>
        </w:rPr>
        <w:t>办理相关进关手续并承担相关费用，否则采购人有权取消其中标资格。进口货物在交货时要向采购人出具进口货物报关单、税单、原产地证明、进字号注册证等进口证明材料。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w:t>
      </w:r>
      <w:r>
        <w:rPr>
          <w:rFonts w:hint="eastAsia" w:ascii="仿宋" w:hAnsi="仿宋" w:eastAsia="仿宋" w:cs="仿宋"/>
          <w:sz w:val="28"/>
          <w:szCs w:val="28"/>
          <w:highlight w:val="none"/>
        </w:rPr>
        <w:t>7</w:t>
      </w:r>
      <w:r>
        <w:rPr>
          <w:rFonts w:ascii="仿宋" w:hAnsi="仿宋" w:eastAsia="仿宋" w:cs="仿宋"/>
          <w:sz w:val="28"/>
          <w:szCs w:val="28"/>
          <w:highlight w:val="none"/>
        </w:rPr>
        <w:t>对原产于美国的产品，进口时在正常的科创免税之外，中国政府加征的特殊关税由</w:t>
      </w:r>
      <w:r>
        <w:rPr>
          <w:rFonts w:hint="eastAsia" w:ascii="仿宋" w:hAnsi="仿宋" w:eastAsia="仿宋" w:cs="仿宋"/>
          <w:sz w:val="28"/>
          <w:szCs w:val="28"/>
          <w:highlight w:val="none"/>
        </w:rPr>
        <w:t>中标人</w:t>
      </w:r>
      <w:r>
        <w:rPr>
          <w:rFonts w:ascii="仿宋" w:hAnsi="仿宋" w:eastAsia="仿宋" w:cs="仿宋"/>
          <w:sz w:val="28"/>
          <w:szCs w:val="28"/>
          <w:highlight w:val="none"/>
        </w:rPr>
        <w:t>承担。</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10.8对于进口货物，供应商自行承担在外贸代理业务过程中，因汇率波动导致的费用变化风险。</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2" w:firstLineChars="200"/>
        <w:rPr>
          <w:rFonts w:hint="eastAsia" w:ascii="仿宋" w:hAnsi="仿宋" w:eastAsia="仿宋" w:cs="仿宋"/>
          <w:b/>
          <w:bCs/>
          <w:spacing w:val="0"/>
          <w:kern w:val="2"/>
          <w:sz w:val="28"/>
          <w:szCs w:val="28"/>
          <w:highlight w:val="none"/>
          <w:lang w:val="en-US" w:eastAsia="zh-CN" w:bidi="ar-SA"/>
        </w:rPr>
      </w:pPr>
      <w:r>
        <w:rPr>
          <w:rFonts w:ascii="仿宋" w:hAnsi="仿宋" w:eastAsia="仿宋" w:cs="仿宋"/>
          <w:b/>
          <w:bCs/>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ind w:firstLine="560" w:firstLineChars="200"/>
        <w:rPr>
          <w:rFonts w:ascii="仿宋" w:hAnsi="仿宋" w:eastAsia="仿宋" w:cs="仿宋"/>
          <w:sz w:val="28"/>
          <w:szCs w:val="28"/>
          <w:highlight w:val="none"/>
        </w:rPr>
      </w:pPr>
      <w:r>
        <w:rPr>
          <w:rFonts w:hint="default" w:ascii="仿宋" w:hAnsi="仿宋" w:eastAsia="仿宋" w:cs="仿宋"/>
          <w:b w:val="0"/>
          <w:bCs w:val="0"/>
          <w:spacing w:val="0"/>
          <w:kern w:val="2"/>
          <w:sz w:val="28"/>
          <w:szCs w:val="28"/>
          <w:highlight w:val="none"/>
          <w:lang w:val="en-US" w:eastAsia="zh-CN" w:bidi="ar-SA"/>
        </w:rPr>
        <w:t>11.9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6" w:name="_Toc25926"/>
      <w:r>
        <w:rPr>
          <w:rFonts w:ascii="黑体" w:hAnsi="黑体" w:eastAsia="黑体" w:cs="黑体"/>
          <w:b w:val="0"/>
          <w:bCs/>
          <w:sz w:val="36"/>
          <w:szCs w:val="36"/>
          <w:highlight w:val="none"/>
        </w:rPr>
        <w:t>投标文件递交</w:t>
      </w:r>
      <w:bookmarkEnd w:id="16"/>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7" w:name="_Toc25964"/>
      <w:r>
        <w:rPr>
          <w:rFonts w:ascii="黑体" w:hAnsi="黑体" w:eastAsia="黑体" w:cs="黑体"/>
          <w:b w:val="0"/>
          <w:bCs/>
          <w:sz w:val="36"/>
          <w:szCs w:val="36"/>
          <w:highlight w:val="none"/>
        </w:rPr>
        <w:t>开标与评标</w:t>
      </w:r>
      <w:bookmarkEnd w:id="17"/>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ind w:firstLine="560" w:firstLineChars="200"/>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8" w:name="_Toc12568"/>
      <w:r>
        <w:rPr>
          <w:rFonts w:ascii="黑体" w:hAnsi="黑体" w:eastAsia="黑体" w:cs="黑体"/>
          <w:b w:val="0"/>
          <w:bCs/>
          <w:sz w:val="36"/>
          <w:szCs w:val="36"/>
          <w:highlight w:val="none"/>
        </w:rPr>
        <w:t>询问和质疑</w:t>
      </w:r>
      <w:bookmarkEnd w:id="18"/>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19" w:name="_Toc2982"/>
      <w:r>
        <w:rPr>
          <w:rFonts w:ascii="黑体" w:hAnsi="黑体" w:eastAsia="黑体" w:cs="黑体"/>
          <w:b w:val="0"/>
          <w:bCs/>
          <w:sz w:val="36"/>
          <w:szCs w:val="36"/>
          <w:highlight w:val="none"/>
        </w:rPr>
        <w:t>授予合同</w:t>
      </w:r>
      <w:bookmarkEnd w:id="19"/>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20" w:name="_Toc13556"/>
      <w:r>
        <w:rPr>
          <w:rFonts w:ascii="黑体" w:hAnsi="黑体" w:eastAsia="黑体" w:cs="黑体"/>
          <w:b w:val="0"/>
          <w:bCs/>
          <w:sz w:val="36"/>
          <w:szCs w:val="36"/>
          <w:highlight w:val="none"/>
        </w:rPr>
        <w:t>中标服务费</w:t>
      </w:r>
      <w:bookmarkEnd w:id="20"/>
    </w:p>
    <w:p>
      <w:pP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21" w:name="_Toc13138"/>
      <w:r>
        <w:rPr>
          <w:rFonts w:ascii="黑体" w:hAnsi="黑体" w:eastAsia="黑体" w:cs="黑体"/>
          <w:b w:val="0"/>
          <w:bCs/>
          <w:sz w:val="36"/>
          <w:szCs w:val="36"/>
          <w:highlight w:val="none"/>
        </w:rPr>
        <w:t>其他</w:t>
      </w:r>
      <w:bookmarkEnd w:id="21"/>
    </w:p>
    <w:p>
      <w:pP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6"/>
        <w:numPr>
          <w:ilvl w:val="0"/>
          <w:numId w:val="11"/>
        </w:numPr>
        <w:spacing w:beforeLines="50" w:afterLines="50"/>
        <w:ind w:firstLine="0" w:firstLineChars="0"/>
        <w:rPr>
          <w:rFonts w:ascii="黑体" w:hAnsi="黑体" w:eastAsia="黑体" w:cs="黑体"/>
          <w:b w:val="0"/>
          <w:bCs/>
          <w:sz w:val="36"/>
          <w:szCs w:val="36"/>
          <w:highlight w:val="none"/>
        </w:rPr>
      </w:pPr>
      <w:bookmarkStart w:id="22" w:name="_Toc9927"/>
      <w:r>
        <w:rPr>
          <w:rFonts w:ascii="黑体" w:hAnsi="黑体" w:eastAsia="黑体" w:cs="黑体"/>
          <w:b w:val="0"/>
          <w:bCs/>
          <w:sz w:val="36"/>
          <w:szCs w:val="36"/>
          <w:highlight w:val="none"/>
        </w:rPr>
        <w:t>解释权</w:t>
      </w:r>
      <w:bookmarkEnd w:id="22"/>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rPr>
          <w:sz w:val="22"/>
          <w:szCs w:val="28"/>
          <w:highlight w:val="none"/>
        </w:rPr>
      </w:pPr>
      <w:r>
        <w:rPr>
          <w:sz w:val="22"/>
          <w:szCs w:val="28"/>
          <w:highlight w:val="none"/>
        </w:rPr>
        <w:br w:type="page"/>
      </w:r>
    </w:p>
    <w:p>
      <w:pPr>
        <w:pStyle w:val="4"/>
        <w:numPr>
          <w:ilvl w:val="0"/>
          <w:numId w:val="6"/>
        </w:numPr>
        <w:spacing w:after="312"/>
        <w:rPr>
          <w:highlight w:val="none"/>
        </w:rPr>
      </w:pPr>
      <w:bookmarkStart w:id="23" w:name="_Toc2534"/>
      <w:r>
        <w:rPr>
          <w:rFonts w:hint="eastAsia"/>
          <w:highlight w:val="none"/>
        </w:rPr>
        <w:t>评分办法</w:t>
      </w:r>
      <w:bookmarkEnd w:id="23"/>
    </w:p>
    <w:p>
      <w:pPr>
        <w:pStyle w:val="5"/>
        <w:numPr>
          <w:ilvl w:val="0"/>
          <w:numId w:val="14"/>
        </w:numPr>
        <w:spacing w:before="156" w:after="156"/>
        <w:rPr>
          <w:sz w:val="36"/>
          <w:szCs w:val="28"/>
          <w:highlight w:val="none"/>
        </w:rPr>
      </w:pPr>
      <w:bookmarkStart w:id="24" w:name="_Toc19583"/>
      <w:r>
        <w:rPr>
          <w:sz w:val="36"/>
          <w:szCs w:val="28"/>
          <w:highlight w:val="none"/>
        </w:rPr>
        <w:t>评标方法</w:t>
      </w:r>
      <w:bookmarkEnd w:id="24"/>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5"/>
        <w:numPr>
          <w:ilvl w:val="0"/>
          <w:numId w:val="14"/>
        </w:numPr>
        <w:spacing w:before="156" w:after="156"/>
        <w:rPr>
          <w:sz w:val="36"/>
          <w:szCs w:val="28"/>
          <w:highlight w:val="none"/>
        </w:rPr>
      </w:pPr>
      <w:bookmarkStart w:id="25" w:name="_Toc4998"/>
      <w:r>
        <w:rPr>
          <w:rFonts w:hint="eastAsia"/>
          <w:sz w:val="36"/>
          <w:szCs w:val="28"/>
          <w:highlight w:val="none"/>
        </w:rPr>
        <w:t>评审细则</w:t>
      </w:r>
      <w:bookmarkEnd w:id="25"/>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929"/>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29"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61"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29"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61" w:type="dxa"/>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29" w:type="dxa"/>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61" w:type="dxa"/>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对投标文件进行技术条款响应性评审：技术参数中标记“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分；技术参数中每出现1条普通技术规格指标未实质性响应或负偏离的，扣0.5分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29" w:type="dxa"/>
            <w:vAlign w:val="center"/>
          </w:tcPr>
          <w:p>
            <w:pPr>
              <w:snapToGrid w:val="0"/>
              <w:spacing w:line="30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质保期在满足招标文件最低要求情况下，质保每增加一年的2分，本项最多得4分；（提供原厂质保函，否则不得分）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61" w:type="dxa"/>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default" w:ascii="仿宋" w:hAnsi="仿宋" w:eastAsia="仿宋" w:cs="仿宋"/>
                <w:sz w:val="28"/>
                <w:szCs w:val="28"/>
                <w:highlight w:val="none"/>
                <w:lang w:val="en-US"/>
              </w:rPr>
              <w:t>12</w:t>
            </w:r>
            <w:r>
              <w:rPr>
                <w:rFonts w:hint="eastAsia" w:ascii="仿宋" w:hAnsi="仿宋" w:eastAsia="仿宋" w:cs="仿宋"/>
                <w:sz w:val="28"/>
                <w:szCs w:val="28"/>
                <w:highlight w:val="none"/>
              </w:rPr>
              <w:t>月1日至今）所投产品的业绩，每个项目得1分，最多得3分，没有业绩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napToGrid w:val="0"/>
              <w:spacing w:line="300" w:lineRule="auto"/>
              <w:jc w:val="right"/>
              <w:rPr>
                <w:rFonts w:ascii="仿宋" w:hAnsi="仿宋" w:eastAsia="仿宋" w:cs="仿宋"/>
                <w:sz w:val="28"/>
                <w:szCs w:val="28"/>
                <w:highlight w:val="none"/>
              </w:rPr>
            </w:pPr>
          </w:p>
        </w:tc>
        <w:tc>
          <w:tcPr>
            <w:tcW w:w="1395"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29"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61" w:type="dxa"/>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由评标委员会认可的实质性优惠条款，每提供一条得1分，最高得2分，无不得分。</w:t>
            </w:r>
          </w:p>
        </w:tc>
      </w:tr>
    </w:tbl>
    <w:p>
      <w:pPr>
        <w:rPr>
          <w:rFonts w:hint="eastAsia"/>
          <w:sz w:val="36"/>
          <w:szCs w:val="28"/>
          <w:highlight w:val="none"/>
        </w:rPr>
      </w:pPr>
    </w:p>
    <w:p>
      <w:pPr>
        <w:pStyle w:val="5"/>
        <w:numPr>
          <w:ilvl w:val="0"/>
          <w:numId w:val="14"/>
        </w:numPr>
        <w:spacing w:before="156" w:after="156"/>
        <w:rPr>
          <w:sz w:val="36"/>
          <w:szCs w:val="28"/>
          <w:highlight w:val="none"/>
        </w:rPr>
      </w:pPr>
      <w:bookmarkStart w:id="26" w:name="_Toc23021"/>
      <w:r>
        <w:rPr>
          <w:sz w:val="36"/>
          <w:szCs w:val="28"/>
          <w:highlight w:val="none"/>
        </w:rPr>
        <w:t>评审执行的政府采购政策</w:t>
      </w:r>
      <w:bookmarkEnd w:id="26"/>
    </w:p>
    <w:p>
      <w:pPr>
        <w:pStyle w:val="6"/>
        <w:numPr>
          <w:ilvl w:val="0"/>
          <w:numId w:val="16"/>
        </w:numPr>
        <w:snapToGrid w:val="0"/>
        <w:spacing w:line="360" w:lineRule="auto"/>
        <w:ind w:firstLine="643"/>
        <w:rPr>
          <w:sz w:val="32"/>
          <w:szCs w:val="28"/>
          <w:highlight w:val="none"/>
        </w:rPr>
      </w:pPr>
      <w:bookmarkStart w:id="27" w:name="_Toc7284"/>
      <w:r>
        <w:rPr>
          <w:sz w:val="32"/>
          <w:szCs w:val="28"/>
          <w:highlight w:val="none"/>
        </w:rPr>
        <w:t>中小微型企业政府采购政策</w:t>
      </w:r>
      <w:bookmarkEnd w:id="2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6"/>
        <w:numPr>
          <w:ilvl w:val="0"/>
          <w:numId w:val="16"/>
        </w:numPr>
        <w:snapToGrid w:val="0"/>
        <w:spacing w:line="360" w:lineRule="auto"/>
        <w:ind w:firstLine="643"/>
        <w:rPr>
          <w:sz w:val="32"/>
          <w:szCs w:val="28"/>
          <w:highlight w:val="none"/>
        </w:rPr>
      </w:pPr>
      <w:bookmarkStart w:id="28" w:name="_Toc6941"/>
      <w:r>
        <w:rPr>
          <w:sz w:val="32"/>
          <w:szCs w:val="28"/>
          <w:highlight w:val="none"/>
        </w:rPr>
        <w:t>监狱企业政府采购政策</w:t>
      </w:r>
      <w:bookmarkEnd w:id="2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6"/>
        <w:numPr>
          <w:ilvl w:val="0"/>
          <w:numId w:val="16"/>
        </w:numPr>
        <w:snapToGrid w:val="0"/>
        <w:spacing w:line="360" w:lineRule="auto"/>
        <w:ind w:firstLine="643"/>
        <w:rPr>
          <w:sz w:val="32"/>
          <w:szCs w:val="28"/>
          <w:highlight w:val="none"/>
        </w:rPr>
      </w:pPr>
      <w:bookmarkStart w:id="29" w:name="_Toc30230"/>
      <w:r>
        <w:rPr>
          <w:sz w:val="32"/>
          <w:szCs w:val="28"/>
          <w:highlight w:val="none"/>
        </w:rPr>
        <w:t>残疾人福利性单位政府采购政策</w:t>
      </w:r>
      <w:bookmarkEnd w:id="29"/>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6"/>
        <w:numPr>
          <w:ilvl w:val="0"/>
          <w:numId w:val="16"/>
        </w:numPr>
        <w:snapToGrid w:val="0"/>
        <w:spacing w:line="360" w:lineRule="auto"/>
        <w:ind w:firstLine="643"/>
        <w:rPr>
          <w:rFonts w:hint="eastAsia"/>
          <w:sz w:val="32"/>
          <w:szCs w:val="28"/>
          <w:highlight w:val="none"/>
        </w:rPr>
      </w:pPr>
      <w:r>
        <w:rPr>
          <w:rFonts w:hint="eastAsia"/>
          <w:sz w:val="32"/>
          <w:szCs w:val="28"/>
          <w:highlight w:val="none"/>
        </w:rPr>
        <w:t>优采、强采、节能、环境标志产品</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sz w:val="28"/>
          <w:szCs w:val="28"/>
          <w:highlight w:val="none"/>
        </w:rPr>
        <w:t>。</w:t>
      </w:r>
    </w:p>
    <w:p>
      <w:pPr>
        <w:rPr>
          <w:sz w:val="22"/>
          <w:szCs w:val="28"/>
          <w:highlight w:val="none"/>
        </w:rPr>
      </w:pPr>
      <w:r>
        <w:rPr>
          <w:sz w:val="22"/>
          <w:szCs w:val="28"/>
          <w:highlight w:val="none"/>
        </w:rPr>
        <w:br w:type="page"/>
      </w:r>
    </w:p>
    <w:p>
      <w:pPr>
        <w:pStyle w:val="4"/>
        <w:numPr>
          <w:ilvl w:val="0"/>
          <w:numId w:val="6"/>
        </w:numPr>
        <w:spacing w:after="312"/>
        <w:rPr>
          <w:rFonts w:ascii="仿宋" w:hAnsi="仿宋" w:eastAsia="仿宋" w:cs="仿宋"/>
          <w:highlight w:val="none"/>
        </w:rPr>
      </w:pPr>
      <w:bookmarkStart w:id="30" w:name="_Toc22715"/>
      <w:r>
        <w:rPr>
          <w:rFonts w:hint="eastAsia" w:ascii="仿宋" w:hAnsi="仿宋" w:eastAsia="仿宋" w:cs="仿宋"/>
          <w:highlight w:val="none"/>
        </w:rPr>
        <w:t>采购内容及项目要求</w:t>
      </w:r>
      <w:bookmarkEnd w:id="30"/>
    </w:p>
    <w:p>
      <w:pPr>
        <w:numPr>
          <w:ilvl w:val="0"/>
          <w:numId w:val="17"/>
        </w:numPr>
        <w:spacing w:line="360" w:lineRule="auto"/>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招标项目内容、数量：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4149"/>
        <w:gridCol w:w="113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654"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4"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7"/>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color w:val="auto"/>
                <w:sz w:val="28"/>
                <w:szCs w:val="28"/>
                <w:highlight w:val="none"/>
                <w:lang w:eastAsia="zh-CN"/>
              </w:rPr>
              <w:t>O型臂X射线机</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b/>
                <w:bCs w:val="0"/>
                <w:color w:val="auto"/>
                <w:kern w:val="0"/>
                <w:sz w:val="28"/>
                <w:szCs w:val="28"/>
                <w:highlight w:val="none"/>
                <w:lang w:val="en-US" w:eastAsia="zh-CN"/>
              </w:rPr>
              <w:t>可采进口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54" w:type="pct"/>
            <w:noWrap/>
            <w:vAlign w:val="center"/>
          </w:tcPr>
          <w:p>
            <w:pPr>
              <w:numPr>
                <w:ilvl w:val="0"/>
                <w:numId w:val="18"/>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360" w:lineRule="auto"/>
              <w:jc w:val="left"/>
              <w:rPr>
                <w:rFonts w:hint="eastAsia" w:ascii="仿宋" w:hAnsi="仿宋" w:eastAsia="仿宋" w:cs="仿宋"/>
                <w:sz w:val="28"/>
                <w:szCs w:val="28"/>
                <w:highlight w:val="none"/>
              </w:rPr>
            </w:pPr>
            <w:r>
              <w:rPr>
                <w:rFonts w:hint="eastAsia" w:ascii="仿宋" w:hAnsi="仿宋" w:eastAsia="仿宋" w:cs="仿宋"/>
                <w:b/>
                <w:bCs w:val="0"/>
                <w:color w:val="auto"/>
                <w:kern w:val="0"/>
                <w:sz w:val="28"/>
                <w:szCs w:val="28"/>
                <w:highlight w:val="none"/>
                <w:lang w:eastAsia="zh-CN"/>
              </w:rPr>
              <w:t>手术导航定位系统</w:t>
            </w:r>
          </w:p>
        </w:tc>
        <w:tc>
          <w:tcPr>
            <w:tcW w:w="665" w:type="pct"/>
            <w:noWrap/>
            <w:vAlign w:val="center"/>
          </w:tcPr>
          <w:p>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套</w:t>
            </w:r>
          </w:p>
        </w:tc>
        <w:tc>
          <w:tcPr>
            <w:tcW w:w="1246" w:type="pct"/>
            <w:noWrap/>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b/>
                <w:bCs w:val="0"/>
                <w:color w:val="auto"/>
                <w:kern w:val="0"/>
                <w:sz w:val="28"/>
                <w:szCs w:val="28"/>
                <w:highlight w:val="none"/>
                <w:lang w:val="en-US" w:eastAsia="zh-CN"/>
              </w:rPr>
              <w:t>可采进口</w:t>
            </w:r>
          </w:p>
        </w:tc>
      </w:tr>
    </w:tbl>
    <w:p>
      <w:pPr>
        <w:pageBreakBefore w:val="0"/>
        <w:widowControl w:val="0"/>
        <w:numPr>
          <w:ilvl w:val="0"/>
          <w:numId w:val="17"/>
        </w:numPr>
        <w:kinsoku/>
        <w:wordWrap/>
        <w:overflowPunct/>
        <w:topLinePunct w:val="0"/>
        <w:autoSpaceDE/>
        <w:autoSpaceDN/>
        <w:bidi w:val="0"/>
        <w:adjustRightInd w:val="0"/>
        <w:snapToGrid w:val="0"/>
        <w:spacing w:line="52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项目报价明细要求、技术参数、采购清单等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整体要求：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w:t>
      </w:r>
      <w:r>
        <w:rPr>
          <w:rFonts w:hint="default"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val="en-US" w:eastAsia="zh-CN"/>
        </w:rPr>
        <w:t>）*各厂商投标产品为最新型号和最高端配置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w:t>
      </w:r>
      <w:r>
        <w:rPr>
          <w:rFonts w:hint="default"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val="en-US" w:eastAsia="zh-CN"/>
        </w:rPr>
        <w:t>）实现与医</w:t>
      </w:r>
      <w:bookmarkStart w:id="68" w:name="_GoBack"/>
      <w:bookmarkEnd w:id="68"/>
      <w:r>
        <w:rPr>
          <w:rFonts w:hint="eastAsia" w:ascii="仿宋" w:hAnsi="仿宋" w:eastAsia="仿宋" w:cs="仿宋"/>
          <w:b/>
          <w:bCs/>
          <w:sz w:val="28"/>
          <w:szCs w:val="28"/>
          <w:highlight w:val="none"/>
          <w:lang w:val="en-US" w:eastAsia="zh-CN"/>
        </w:rPr>
        <w:t>院HIS、PACS等相关业务系统对接，相关对接费用由中标商承担。</w:t>
      </w:r>
    </w:p>
    <w:p>
      <w:pPr>
        <w:keepNext w:val="0"/>
        <w:keepLines w:val="0"/>
        <w:pageBreakBefore w:val="0"/>
        <w:widowControl w:val="0"/>
        <w:numPr>
          <w:ilvl w:val="0"/>
          <w:numId w:val="19"/>
        </w:numPr>
        <w:kinsoku/>
        <w:wordWrap/>
        <w:overflowPunct/>
        <w:topLinePunct w:val="0"/>
        <w:autoSpaceDE/>
        <w:autoSpaceDN/>
        <w:bidi w:val="0"/>
        <w:adjustRightInd w:val="0"/>
        <w:snapToGrid w:val="0"/>
        <w:spacing w:line="520" w:lineRule="exact"/>
        <w:ind w:left="420" w:leftChars="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O型臂X射线机1套，可采进口，请填报人民币价格，若为进口品牌请填写免税价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产品主要功能及用途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1.1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具备术中二维透视功能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1.2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val="en-US" w:eastAsia="zh-CN"/>
        </w:rPr>
        <w:t>具备</w:t>
      </w:r>
      <w:r>
        <w:rPr>
          <w:rFonts w:hint="eastAsia" w:ascii="仿宋" w:hAnsi="仿宋" w:eastAsia="仿宋" w:cs="仿宋"/>
          <w:sz w:val="28"/>
          <w:szCs w:val="28"/>
          <w:highlight w:val="none"/>
          <w:lang w:eastAsia="zh-CN"/>
        </w:rPr>
        <w:t>三维图像采集，能够术中实时拍摄并显示脊柱、骨盆、关节、四肢的横断位，矢状位，冠状位的三维重建图像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1.3</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数据能自动发送给导航系统，术中自动完成导航注册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机架架构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具备可开合式机架设计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采用等中心数据采集设计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2.3</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球管和探测器沿轨道360°旋转，完成数据采集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2.4</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 xml:space="preserve">机架垂直升降：≥400mm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2.5</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 xml:space="preserve">机架水平移动：≥300mm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2.6</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 xml:space="preserve">机架前后移动：≥400mm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2.7</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机架左右倾斜幅度：≥±45°±2°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2.8</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机架左右摆动幅度：≥±15°±0.3°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2.9</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机架中心孔径：≥96</w:t>
      </w:r>
      <w:r>
        <w:rPr>
          <w:rFonts w:hint="default"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 xml:space="preserve">mm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2.10</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具备激光辅助定位功能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2.11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具备扫描位置记忆功能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2.12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具备辅助动力设备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2.13</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具备关机时检测电量状态功能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2.14</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具备等中心机架摇摆功能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高压发生器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3.1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最大输出功率：≥3</w:t>
      </w:r>
      <w:r>
        <w:rPr>
          <w:rFonts w:hint="default"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 xml:space="preserve">KW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3.2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具备脉冲透视功能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球管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4.1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具备双焦点技术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4.2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 xml:space="preserve">阳极热容量：≥300KHU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4.3</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 xml:space="preserve">球管热容量：≥1250KHU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4.4</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具备旋转阳极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数字平板摄影系统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5.1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数字平板尺寸≥38cm x 29cm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5.2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数字平板分辨率：≥2.0k x 1.5k</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具备双准直器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监视器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7.1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监视器尺寸≥30</w:t>
      </w:r>
      <w:r>
        <w:rPr>
          <w:rFonts w:hint="eastAsia" w:ascii="仿宋" w:hAnsi="仿宋" w:eastAsia="仿宋" w:cs="仿宋"/>
          <w:sz w:val="28"/>
          <w:szCs w:val="28"/>
          <w:highlight w:val="none"/>
          <w:lang w:val="en-US" w:eastAsia="zh-CN"/>
        </w:rPr>
        <w:t>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7.2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最大像素≥2560x1600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7.3</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显示器纵横比 16：9</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影像工作站及输出</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图像处理功能：图象左右翻转、上下翻转、旋转、黑白翻转（负片）、实时边缘增强、实时窗位调整、图像降噪处理</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具有最后一幅图像自动冻结功能</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8.3</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图像实时放大缩小功能</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8.4</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二维、三维观察切换功能</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8.5</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USB输出功能</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8.6</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DICOM输出，支持PACS网络</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8.7</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DVI-I输出功能</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8.8</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DICOM轴位、冠状位、矢状位序列输出</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8.9</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MIP三维透视软件功能    </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8.10</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打印机1台（按用户要求配置）</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val="en-US" w:eastAsia="zh-CN"/>
        </w:rPr>
        <w:t>9</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eastAsia="zh-CN"/>
        </w:rPr>
        <w:tab/>
      </w:r>
      <w:r>
        <w:rPr>
          <w:rFonts w:hint="eastAsia" w:ascii="仿宋" w:hAnsi="仿宋" w:eastAsia="仿宋" w:cs="仿宋"/>
          <w:b/>
          <w:bCs/>
          <w:sz w:val="28"/>
          <w:szCs w:val="28"/>
          <w:highlight w:val="none"/>
          <w:lang w:eastAsia="zh-CN"/>
        </w:rPr>
        <w:t>扫描与重建</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9.1</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三维采集时间≤16s</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9.2</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一次三维扫描数据采集数量≥74</w:t>
      </w:r>
      <w:r>
        <w:rPr>
          <w:rFonts w:hint="default" w:ascii="仿宋" w:hAnsi="仿宋" w:eastAsia="仿宋" w:cs="仿宋"/>
          <w:sz w:val="28"/>
          <w:szCs w:val="28"/>
          <w:highlight w:val="none"/>
          <w:lang w:val="en-US" w:eastAsia="zh-CN"/>
        </w:rPr>
        <w:t>0</w:t>
      </w:r>
      <w:r>
        <w:rPr>
          <w:rFonts w:hint="eastAsia" w:ascii="仿宋" w:hAnsi="仿宋" w:eastAsia="仿宋" w:cs="仿宋"/>
          <w:sz w:val="28"/>
          <w:szCs w:val="28"/>
          <w:highlight w:val="none"/>
          <w:lang w:eastAsia="zh-CN"/>
        </w:rPr>
        <w:t>张</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9.3</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横断面三维扫描视野≥39cm</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9.4</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重建层厚≤0.8</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mm</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9.5</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具备低剂量三维扫描模式</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9.6</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具备高清三维扫描模式</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9.7</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具备三维扫描长度可变视野</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9.8</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具备头部增强扫描模式</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9.9</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具备神外立体定向框架扫描模式</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9.7</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具备头部增强扫描模式</w:t>
      </w:r>
    </w:p>
    <w:p>
      <w:pPr>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9.8</w:t>
      </w:r>
      <w:r>
        <w:rPr>
          <w:rFonts w:hint="eastAsia" w:ascii="仿宋" w:hAnsi="仿宋" w:eastAsia="仿宋" w:cs="仿宋"/>
          <w:sz w:val="28"/>
          <w:szCs w:val="28"/>
          <w:highlight w:val="none"/>
          <w:lang w:eastAsia="zh-CN"/>
        </w:rPr>
        <w:tab/>
      </w:r>
      <w:r>
        <w:rPr>
          <w:rFonts w:hint="eastAsia" w:ascii="仿宋" w:hAnsi="仿宋" w:eastAsia="仿宋" w:cs="仿宋"/>
          <w:sz w:val="28"/>
          <w:szCs w:val="28"/>
          <w:highlight w:val="none"/>
          <w:lang w:eastAsia="zh-CN"/>
        </w:rPr>
        <w:t>具备神外立体定向框架扫描模式</w:t>
      </w:r>
    </w:p>
    <w:p>
      <w:pPr>
        <w:pStyle w:val="5"/>
        <w:keepNext/>
        <w:keepLines/>
        <w:pageBreakBefore w:val="0"/>
        <w:widowControl w:val="0"/>
        <w:kinsoku/>
        <w:wordWrap/>
        <w:overflowPunct/>
        <w:topLinePunct w:val="0"/>
        <w:autoSpaceDE/>
        <w:autoSpaceDN/>
        <w:bidi w:val="0"/>
        <w:adjustRightInd w:val="0"/>
        <w:snapToGrid w:val="0"/>
        <w:spacing w:before="0" w:after="0" w:line="52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（二）手术导航定位系统1套，可采进口</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Chars="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导航主机：</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1.1 CPU中央处理器速度≥3.0GHz；内存≥8GB，硬盘≥1TB。</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1.2双台车分体式设计，各台车均配备工作平台便于操作键盘鼠标。</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1.3各台车均配有</w:t>
      </w:r>
      <w:r>
        <w:rPr>
          <w:rFonts w:hint="eastAsia" w:ascii="仿宋" w:hAnsi="仿宋" w:eastAsia="仿宋" w:cs="仿宋"/>
          <w:sz w:val="24"/>
          <w:szCs w:val="24"/>
          <w:highlight w:val="none"/>
          <w:vertAlign w:val="baseline"/>
          <w:lang w:val="en-US" w:eastAsia="zh-CN"/>
        </w:rPr>
        <w:t>≥</w:t>
      </w:r>
      <w:r>
        <w:rPr>
          <w:rFonts w:hint="eastAsia" w:ascii="仿宋" w:hAnsi="仿宋" w:eastAsia="仿宋" w:cs="仿宋"/>
          <w:kern w:val="2"/>
          <w:sz w:val="28"/>
          <w:szCs w:val="28"/>
          <w:highlight w:val="none"/>
          <w:lang w:val="en-US" w:eastAsia="zh-CN" w:bidi="ar-SA"/>
        </w:rPr>
        <w:t>27英寸医用高清显示器,分辨率是</w:t>
      </w:r>
      <w:r>
        <w:rPr>
          <w:rFonts w:hint="eastAsia" w:ascii="仿宋" w:hAnsi="仿宋" w:eastAsia="仿宋" w:cs="仿宋"/>
          <w:sz w:val="24"/>
          <w:szCs w:val="24"/>
          <w:highlight w:val="none"/>
          <w:vertAlign w:val="baseline"/>
          <w:lang w:val="en-US" w:eastAsia="zh-CN"/>
        </w:rPr>
        <w:t>≥</w:t>
      </w:r>
      <w:r>
        <w:rPr>
          <w:rFonts w:hint="eastAsia" w:ascii="仿宋" w:hAnsi="仿宋" w:eastAsia="仿宋" w:cs="仿宋"/>
          <w:kern w:val="2"/>
          <w:sz w:val="28"/>
          <w:szCs w:val="28"/>
          <w:highlight w:val="none"/>
          <w:lang w:val="en-US" w:eastAsia="zh-CN" w:bidi="ar-SA"/>
        </w:rPr>
        <w:t>2560×1440；</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双台车均支持用户触屏与鼠标操控。</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1.4主机台车与摄像头台车均自带UPS功能，断电可持续工作</w:t>
      </w:r>
      <w:r>
        <w:rPr>
          <w:rFonts w:hint="eastAsia" w:ascii="仿宋" w:hAnsi="仿宋" w:eastAsia="仿宋" w:cs="仿宋"/>
          <w:sz w:val="24"/>
          <w:szCs w:val="24"/>
          <w:highlight w:val="none"/>
          <w:vertAlign w:val="baseline"/>
          <w:lang w:val="en-US" w:eastAsia="zh-CN"/>
        </w:rPr>
        <w:t>≥</w:t>
      </w:r>
      <w:r>
        <w:rPr>
          <w:rFonts w:hint="default" w:ascii="仿宋" w:hAnsi="仿宋" w:eastAsia="仿宋" w:cs="仿宋"/>
          <w:kern w:val="2"/>
          <w:sz w:val="28"/>
          <w:szCs w:val="28"/>
          <w:highlight w:val="none"/>
          <w:lang w:val="en-US" w:eastAsia="zh-CN" w:bidi="ar-SA"/>
        </w:rPr>
        <w:t>10</w:t>
      </w:r>
      <w:r>
        <w:rPr>
          <w:rFonts w:hint="eastAsia" w:ascii="仿宋" w:hAnsi="仿宋" w:eastAsia="仿宋" w:cs="仿宋"/>
          <w:kern w:val="2"/>
          <w:sz w:val="28"/>
          <w:szCs w:val="28"/>
          <w:highlight w:val="none"/>
          <w:lang w:val="en-US" w:eastAsia="zh-CN" w:bidi="ar-SA"/>
        </w:rPr>
        <w:t>分钟；</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1.5具有USB存储和CD/DVD刻录功能，承担连接医院局域网络传输标准影像，支持升级无线传输病人数据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1.6主机带有安全防护系统，医生可自定义用户权限，加密，防火墙等功能</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2、定位追踪系统</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2.1配置红外线光学跟踪技术。</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2.2配备激光定位装置：能够引导位置侦察仪快速锁定病人解剖结构的手术野位置，从而快速设定好导航工具的位置。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2.3具有DICOM3.0协议标准接口，可连医院局域网络传输标准影像</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2.4动态参照定位技术，病人和参考架一起移动不会影响导航精度。</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2.5术中注册时提供导航注册精度区域评价体系：具备用不同颜色在二维空间和三维空间显示手术区域导航精度，二维和三维图像上有手术区域精度提示。</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3、软件系统和临床应用支持：</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3.1配置最新款脊柱软件，能够开展脊柱外科及创伤相关手术；软件设计符合手术流程，根据不同医生的手术习惯保存设备和工具设置；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3.2导航能应用于全脊柱（包括颈椎）范围，适用于脊柱退变、脊柱侧弯、脊柱肿瘤、创伤等全术式应用。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3.3支持影像：支持术前CT、二维C臂，三维C臂，O型臂等术中设备的实时2D/3D影像</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3.4具备定制医生个人档案功能</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3.5计划系统：设计并存储多个手术计划并以不同颜色显示手术的入路轨迹,术中可直接修改手术计划；自带路径延伸功能，自定义延伸直径和深度、透明度调整，制定最合适的手术路径，有效规避多余组织损伤。</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3.6具备截骨规划功能。</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3.7具有屏幕自动截图功能及术中实时录像功能,术后可调看和编辑手术导航图像画面，可以通过CD/USB方便输出。</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3.8具有手术工具三维模型。</w:t>
      </w:r>
    </w:p>
    <w:p>
      <w:pPr>
        <w:pageBreakBefore w:val="0"/>
        <w:widowControl w:val="0"/>
        <w:kinsoku/>
        <w:wordWrap/>
        <w:overflowPunct/>
        <w:topLinePunct w:val="0"/>
        <w:autoSpaceDE/>
        <w:autoSpaceDN/>
        <w:bidi w:val="0"/>
        <w:adjustRightInd w:val="0"/>
        <w:snapToGrid w:val="0"/>
        <w:spacing w:line="520" w:lineRule="exact"/>
        <w:textAlignment w:val="auto"/>
        <w:rPr>
          <w:rFonts w:hint="default"/>
          <w:highlight w:val="none"/>
          <w:lang w:val="en-US" w:eastAsia="zh-CN"/>
        </w:rPr>
      </w:pPr>
      <w:r>
        <w:rPr>
          <w:rFonts w:hint="default" w:ascii="仿宋" w:hAnsi="仿宋" w:eastAsia="仿宋" w:cs="仿宋"/>
          <w:kern w:val="2"/>
          <w:sz w:val="28"/>
          <w:szCs w:val="28"/>
          <w:highlight w:val="none"/>
          <w:lang w:val="en-US" w:eastAsia="zh-CN" w:bidi="ar-SA"/>
        </w:rPr>
        <w:t>3.9导航可显示脊柱螺钉与融合器模型</w:t>
      </w:r>
      <w:r>
        <w:rPr>
          <w:rFonts w:hint="eastAsia" w:ascii="仿宋" w:hAnsi="仿宋" w:eastAsia="仿宋" w:cs="仿宋"/>
          <w:kern w:val="2"/>
          <w:sz w:val="28"/>
          <w:szCs w:val="28"/>
          <w:highlight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4、导航工具：</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4.1导航配置专用于脊柱及创伤应用的无线被动工具。</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4.2所有工具无需电池供电。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4.3参考架安装附件≥4种。</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4.4导航探针≥5个反射球。</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4.5配备脊柱全节段（颈椎，胸椎，腰椎）专用工具，辅助医生在所有节段均在导航引导下开展开放/微创手术</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4.6具备导航专用丝攻与上钉工具。</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4.7具备椎间融合软件应用模块与可导航融合器持取器。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4.8导航工具尾端可与动力手柄无缝连接，实现导航引导动力置钉，提升手术效率。</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配备创伤专用工具，协助医生在导航引导下开展创伤手术。</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4.9通用工具适配器≥3种。</w:t>
      </w:r>
    </w:p>
    <w:p>
      <w:pPr>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color w:val="0D0D0D"/>
          <w:sz w:val="28"/>
          <w:szCs w:val="28"/>
          <w:highlight w:val="none"/>
          <w:lang w:val="en-US" w:eastAsia="zh-CN"/>
        </w:rPr>
      </w:pPr>
      <w:r>
        <w:rPr>
          <w:rFonts w:hint="default" w:ascii="仿宋" w:hAnsi="仿宋" w:eastAsia="仿宋" w:cs="仿宋"/>
          <w:b/>
          <w:bCs/>
          <w:color w:val="0D0D0D"/>
          <w:sz w:val="28"/>
          <w:szCs w:val="28"/>
          <w:highlight w:val="none"/>
          <w:lang w:val="en-US"/>
        </w:rPr>
        <w:t>5</w:t>
      </w:r>
      <w:r>
        <w:rPr>
          <w:rFonts w:hint="eastAsia" w:ascii="仿宋" w:hAnsi="仿宋" w:eastAsia="仿宋" w:cs="仿宋"/>
          <w:b/>
          <w:bCs/>
          <w:color w:val="0D0D0D"/>
          <w:sz w:val="28"/>
          <w:szCs w:val="28"/>
          <w:highlight w:val="none"/>
          <w:lang w:val="en-US" w:eastAsia="zh-CN"/>
        </w:rPr>
        <w:t>、配备C型臂1台（按用户要求配置）</w:t>
      </w:r>
    </w:p>
    <w:p>
      <w:pPr>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lang w:val="en-US" w:eastAsia="zh-CN"/>
        </w:rPr>
        <w:t>三、售后服务及其他</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1、参考手册：技术资料、中英文操作手册；</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2、厂家配有专职临床技术人员，提供免费现场安装及提供操作培训及维护，手术跟台。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3、厂家在国内建有维修中心并建有零件保税仓库，并能提供保税仓库的证明文件。</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4、具备医疗器械注册证。</w:t>
      </w:r>
    </w:p>
    <w:p>
      <w:pPr>
        <w:pageBreakBefore w:val="0"/>
        <w:widowControl w:val="0"/>
        <w:kinsoku/>
        <w:wordWrap/>
        <w:overflowPunct/>
        <w:topLinePunct w:val="0"/>
        <w:autoSpaceDE/>
        <w:autoSpaceDN/>
        <w:bidi w:val="0"/>
        <w:adjustRightInd w:val="0"/>
        <w:snapToGrid w:val="0"/>
        <w:spacing w:line="520" w:lineRule="exact"/>
        <w:textAlignment w:val="auto"/>
        <w:rPr>
          <w:rFonts w:hint="default"/>
          <w:highlight w:val="none"/>
          <w:lang w:val="en-US" w:eastAsia="zh-CN"/>
        </w:rPr>
      </w:pPr>
      <w:r>
        <w:rPr>
          <w:rFonts w:hint="default" w:ascii="仿宋" w:hAnsi="仿宋" w:eastAsia="仿宋" w:cs="仿宋"/>
          <w:kern w:val="2"/>
          <w:sz w:val="28"/>
          <w:szCs w:val="28"/>
          <w:highlight w:val="none"/>
          <w:lang w:val="en-US" w:eastAsia="zh-CN" w:bidi="ar-SA"/>
        </w:rPr>
        <w:t>5</w:t>
      </w:r>
      <w:r>
        <w:rPr>
          <w:rFonts w:hint="eastAsia" w:ascii="仿宋" w:hAnsi="仿宋" w:eastAsia="仿宋" w:cs="仿宋"/>
          <w:kern w:val="2"/>
          <w:sz w:val="28"/>
          <w:szCs w:val="28"/>
          <w:highlight w:val="none"/>
          <w:lang w:val="en-US" w:eastAsia="zh-CN" w:bidi="ar-SA"/>
        </w:rPr>
        <w:t>、导航探针：单人次机器耗材不超过500元，并配置至少10人次机器耗材。</w:t>
      </w:r>
    </w:p>
    <w:p>
      <w:pPr>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color w:val="0D0D0D"/>
          <w:sz w:val="28"/>
          <w:szCs w:val="28"/>
          <w:highlight w:val="none"/>
          <w:lang w:val="en-US" w:eastAsia="zh-CN"/>
        </w:rPr>
      </w:pPr>
      <w:r>
        <w:rPr>
          <w:rFonts w:hint="eastAsia" w:ascii="仿宋" w:hAnsi="仿宋" w:eastAsia="仿宋" w:cs="仿宋"/>
          <w:b/>
          <w:bCs/>
          <w:color w:val="0D0D0D"/>
          <w:sz w:val="28"/>
          <w:szCs w:val="28"/>
          <w:highlight w:val="none"/>
          <w:lang w:val="en-US" w:eastAsia="zh-CN"/>
        </w:rPr>
        <w:t>四</w:t>
      </w:r>
      <w:r>
        <w:rPr>
          <w:rFonts w:hint="eastAsia" w:ascii="仿宋" w:hAnsi="仿宋" w:eastAsia="仿宋" w:cs="仿宋"/>
          <w:b/>
          <w:bCs/>
          <w:color w:val="0D0D0D"/>
          <w:sz w:val="28"/>
          <w:szCs w:val="28"/>
          <w:highlight w:val="none"/>
        </w:rPr>
        <w:t>、</w:t>
      </w:r>
      <w:r>
        <w:rPr>
          <w:rFonts w:hint="eastAsia" w:ascii="仿宋" w:hAnsi="仿宋" w:eastAsia="仿宋" w:cs="仿宋"/>
          <w:b/>
          <w:bCs/>
          <w:color w:val="0D0D0D"/>
          <w:sz w:val="28"/>
          <w:szCs w:val="28"/>
          <w:highlight w:val="none"/>
          <w:lang w:val="en-US" w:eastAsia="zh-CN"/>
        </w:rPr>
        <w:t>其他说明</w:t>
      </w:r>
    </w:p>
    <w:p>
      <w:pPr>
        <w:pageBreakBefore w:val="0"/>
        <w:widowControl w:val="0"/>
        <w:kinsoku/>
        <w:wordWrap/>
        <w:overflowPunct/>
        <w:topLinePunct w:val="0"/>
        <w:autoSpaceDE/>
        <w:autoSpaceDN/>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1、投标人所投包中的产品</w:t>
      </w:r>
      <w:r>
        <w:rPr>
          <w:rFonts w:hint="eastAsia" w:ascii="仿宋" w:hAnsi="仿宋" w:eastAsia="仿宋" w:cs="仿宋"/>
          <w:color w:val="000000"/>
          <w:kern w:val="0"/>
          <w:sz w:val="28"/>
          <w:szCs w:val="28"/>
          <w:highlight w:val="none"/>
        </w:rPr>
        <w:t>必须整包响应，不可分拆投标</w:t>
      </w:r>
      <w:r>
        <w:rPr>
          <w:rFonts w:hint="eastAsia" w:ascii="仿宋" w:hAnsi="仿宋" w:eastAsia="仿宋" w:cs="仿宋"/>
          <w:color w:val="000000"/>
          <w:sz w:val="28"/>
          <w:szCs w:val="28"/>
          <w:highlight w:val="none"/>
        </w:rPr>
        <w:t>，若有自己不生产的部分，投标人可以作为代理商代理其它制造商的产品进行投标。</w:t>
      </w:r>
    </w:p>
    <w:p>
      <w:pPr>
        <w:pageBreakBefore w:val="0"/>
        <w:widowControl w:val="0"/>
        <w:kinsoku/>
        <w:wordWrap/>
        <w:overflowPunct/>
        <w:topLinePunct w:val="0"/>
        <w:autoSpaceDE/>
        <w:autoSpaceDN/>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pageBreakBefore w:val="0"/>
        <w:widowControl w:val="0"/>
        <w:kinsoku/>
        <w:wordWrap/>
        <w:overflowPunct/>
        <w:topLinePunct w:val="0"/>
        <w:autoSpaceDE/>
        <w:autoSpaceDN/>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pageBreakBefore w:val="0"/>
        <w:widowControl w:val="0"/>
        <w:kinsoku/>
        <w:wordWrap/>
        <w:overflowPunct/>
        <w:topLinePunct w:val="0"/>
        <w:autoSpaceDE/>
        <w:autoSpaceDN/>
        <w:bidi w:val="0"/>
        <w:adjustRightInd w:val="0"/>
        <w:snapToGrid w:val="0"/>
        <w:spacing w:line="520" w:lineRule="exact"/>
        <w:ind w:firstLine="420" w:firstLineChars="1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00" w:lineRule="exact"/>
        <w:rPr>
          <w:rFonts w:ascii="仿宋_GB2312" w:hAnsi="仿宋" w:eastAsia="仿宋_GB2312" w:cs="仿宋"/>
          <w:bCs/>
          <w:sz w:val="28"/>
          <w:szCs w:val="28"/>
          <w:highlight w:val="none"/>
        </w:rPr>
      </w:pPr>
    </w:p>
    <w:p>
      <w:pPr>
        <w:rPr>
          <w:highlight w:val="none"/>
        </w:rPr>
      </w:pPr>
      <w:r>
        <w:rPr>
          <w:rFonts w:hint="eastAsia"/>
          <w:highlight w:val="none"/>
        </w:rPr>
        <w:br w:type="page"/>
      </w:r>
    </w:p>
    <w:p>
      <w:pPr>
        <w:pStyle w:val="4"/>
        <w:numPr>
          <w:ilvl w:val="0"/>
          <w:numId w:val="6"/>
        </w:numPr>
        <w:spacing w:after="312"/>
        <w:rPr>
          <w:highlight w:val="none"/>
        </w:rPr>
      </w:pPr>
      <w:bookmarkStart w:id="31" w:name="_Toc28115"/>
      <w:r>
        <w:rPr>
          <w:rFonts w:hint="eastAsia"/>
          <w:highlight w:val="none"/>
        </w:rPr>
        <w:t>合同格式</w:t>
      </w:r>
      <w:bookmarkEnd w:id="31"/>
    </w:p>
    <w:p>
      <w:pPr>
        <w:ind w:right="-92" w:rightChars="-44"/>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100" w:rightChars="1000"/>
        <w:jc w:val="right"/>
        <w:rPr>
          <w:rFonts w:ascii="华文中宋" w:hAnsi="华文中宋" w:eastAsia="华文中宋" w:cs="华文中宋"/>
          <w:sz w:val="28"/>
          <w:szCs w:val="28"/>
          <w:highlight w:val="none"/>
        </w:rPr>
      </w:pPr>
    </w:p>
    <w:p>
      <w:pPr>
        <w:ind w:right="2100" w:rightChars="1000"/>
        <w:jc w:val="right"/>
        <w:rPr>
          <w:rFonts w:ascii="华文中宋" w:hAnsi="华文中宋" w:eastAsia="华文中宋" w:cs="华文中宋"/>
          <w:sz w:val="28"/>
          <w:szCs w:val="28"/>
          <w:highlight w:val="none"/>
        </w:rPr>
      </w:pPr>
    </w:p>
    <w:p>
      <w:pPr>
        <w:jc w:val="center"/>
        <w:rPr>
          <w:rFonts w:ascii="华文中宋" w:hAnsi="华文中宋" w:eastAsia="华文中宋" w:cs="华文中宋"/>
          <w:sz w:val="64"/>
          <w:szCs w:val="64"/>
          <w:highlight w:val="none"/>
        </w:rPr>
      </w:pPr>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560" w:firstLineChars="200"/>
        <w:rPr>
          <w:rFonts w:ascii="华文中宋" w:hAnsi="华文中宋" w:eastAsia="华文中宋" w:cs="华文中宋"/>
          <w:sz w:val="28"/>
          <w:szCs w:val="28"/>
          <w:highlight w:val="none"/>
        </w:rPr>
      </w:pP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项目名称：</w:t>
      </w:r>
    </w:p>
    <w:p>
      <w:pPr>
        <w:ind w:firstLine="600" w:firstLineChars="200"/>
        <w:rPr>
          <w:rFonts w:ascii="华文中宋" w:hAnsi="华文中宋" w:eastAsia="华文中宋" w:cs="华文中宋"/>
          <w:sz w:val="30"/>
          <w:szCs w:val="30"/>
          <w:highlight w:val="none"/>
        </w:rPr>
      </w:pPr>
      <w:r>
        <w:rPr>
          <w:rFonts w:hint="eastAsia" w:ascii="华文中宋" w:hAnsi="华文中宋" w:eastAsia="华文中宋" w:cs="华文中宋"/>
          <w:sz w:val="30"/>
          <w:szCs w:val="30"/>
          <w:highlight w:val="none"/>
        </w:rPr>
        <w:t>采购编号：</w:t>
      </w: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2" w:name="_Toc6202"/>
      <w:r>
        <w:rPr>
          <w:sz w:val="36"/>
          <w:szCs w:val="28"/>
          <w:highlight w:val="none"/>
        </w:rPr>
        <w:t>一、合同文件</w:t>
      </w:r>
      <w:bookmarkEnd w:id="3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3" w:name="_Toc22929"/>
      <w:r>
        <w:rPr>
          <w:sz w:val="36"/>
          <w:szCs w:val="28"/>
          <w:highlight w:val="none"/>
        </w:rPr>
        <w:t>二、合同的范围和条件</w:t>
      </w:r>
      <w:bookmarkEnd w:id="3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4" w:name="_Toc23763"/>
      <w:r>
        <w:rPr>
          <w:sz w:val="36"/>
          <w:szCs w:val="28"/>
          <w:highlight w:val="none"/>
        </w:rPr>
        <w:t>三、货物、数量及规格</w:t>
      </w:r>
      <w:bookmarkEnd w:id="3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5" w:name="_Toc8807"/>
      <w:r>
        <w:rPr>
          <w:sz w:val="36"/>
          <w:szCs w:val="28"/>
          <w:highlight w:val="none"/>
        </w:rPr>
        <w:t>四、合同金额</w:t>
      </w:r>
      <w:bookmarkEnd w:id="3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6" w:name="_Toc13328"/>
      <w:r>
        <w:rPr>
          <w:sz w:val="36"/>
          <w:szCs w:val="28"/>
          <w:highlight w:val="none"/>
        </w:rPr>
        <w:t>五、付款途径</w:t>
      </w:r>
      <w:bookmarkEnd w:id="3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7" w:name="_Toc9881"/>
      <w:r>
        <w:rPr>
          <w:sz w:val="36"/>
          <w:szCs w:val="28"/>
          <w:highlight w:val="none"/>
        </w:rPr>
        <w:t>六、付款方式</w:t>
      </w:r>
      <w:bookmarkEnd w:id="3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38" w:name="_Toc11362"/>
      <w:r>
        <w:rPr>
          <w:rFonts w:hint="default" w:ascii="仿宋" w:hAnsi="仿宋" w:eastAsia="仿宋" w:cs="仿宋"/>
          <w:sz w:val="28"/>
          <w:szCs w:val="28"/>
          <w:highlight w:val="none"/>
          <w:lang w:val="en-US"/>
        </w:rPr>
        <w:t xml:space="preserve">货物经双方验收合格签字确认交付后，甲方收到发票入库三个月内，支付合同总金额90%，余款作为质量保证金，自财务入账之日起满12个月后，无质量问题，付总金额的10%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r>
        <w:rPr>
          <w:sz w:val="36"/>
          <w:szCs w:val="28"/>
          <w:highlight w:val="none"/>
        </w:rPr>
        <w:t>七、交货日期、地点</w:t>
      </w:r>
      <w:bookmarkEnd w:id="38"/>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39" w:name="_Toc18187"/>
      <w:r>
        <w:rPr>
          <w:sz w:val="36"/>
          <w:szCs w:val="28"/>
          <w:highlight w:val="none"/>
        </w:rPr>
        <w:t>八、质量标准和验收</w:t>
      </w:r>
      <w:bookmarkEnd w:id="3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0" w:name="_Toc26222"/>
      <w:r>
        <w:rPr>
          <w:sz w:val="36"/>
          <w:szCs w:val="28"/>
          <w:highlight w:val="none"/>
        </w:rPr>
        <w:t>九、履约保证金</w:t>
      </w:r>
      <w:bookmarkEnd w:id="40"/>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1" w:name="_Toc8157"/>
      <w:r>
        <w:rPr>
          <w:sz w:val="36"/>
          <w:szCs w:val="28"/>
          <w:highlight w:val="none"/>
        </w:rPr>
        <w:t>十、违约责任</w:t>
      </w:r>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2" w:name="_Toc15291"/>
      <w:r>
        <w:rPr>
          <w:sz w:val="36"/>
          <w:szCs w:val="28"/>
          <w:highlight w:val="none"/>
        </w:rPr>
        <w:t>十一、争议解决</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3" w:name="_Toc8912"/>
      <w:r>
        <w:rPr>
          <w:sz w:val="36"/>
          <w:szCs w:val="28"/>
          <w:highlight w:val="none"/>
        </w:rPr>
        <w:t>十二、合同生效</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4" w:name="_Toc17395"/>
      <w:r>
        <w:rPr>
          <w:sz w:val="36"/>
          <w:szCs w:val="28"/>
          <w:highlight w:val="none"/>
        </w:rPr>
        <w:t>十三、其他</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5"/>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45" w:name="_Toc2577"/>
      <w:r>
        <w:rPr>
          <w:sz w:val="36"/>
          <w:szCs w:val="28"/>
          <w:highlight w:val="none"/>
        </w:rPr>
        <w:t>十四、合同保存</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sz w:val="22"/>
          <w:szCs w:val="28"/>
          <w:highlight w:val="none"/>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rPr>
          <w:highlight w:val="none"/>
        </w:rPr>
      </w:pPr>
      <w:bookmarkStart w:id="46" w:name="_Toc29975"/>
      <w:r>
        <w:rPr>
          <w:rFonts w:hint="eastAsia"/>
          <w:highlight w:val="none"/>
        </w:rPr>
        <w:br w:type="page"/>
      </w:r>
    </w:p>
    <w:p>
      <w:pPr>
        <w:pStyle w:val="4"/>
        <w:numPr>
          <w:ilvl w:val="0"/>
          <w:numId w:val="6"/>
        </w:numPr>
        <w:spacing w:after="312"/>
        <w:rPr>
          <w:highlight w:val="none"/>
        </w:rPr>
      </w:pPr>
      <w:r>
        <w:rPr>
          <w:rFonts w:hint="eastAsia"/>
          <w:highlight w:val="none"/>
        </w:rPr>
        <w:t>投标文件格式</w:t>
      </w:r>
      <w:bookmarkEnd w:id="46"/>
    </w:p>
    <w:p>
      <w:pPr>
        <w:rPr>
          <w:rFonts w:ascii="华文中宋" w:hAnsi="华文中宋" w:eastAsia="华文中宋" w:cs="华文中宋"/>
          <w:highlight w:val="none"/>
        </w:rPr>
      </w:pPr>
    </w:p>
    <w:p>
      <w:pPr>
        <w:jc w:val="right"/>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正/副本</w:t>
      </w:r>
    </w:p>
    <w:p>
      <w:pPr>
        <w:rPr>
          <w:rFonts w:ascii="华文中宋" w:hAnsi="华文中宋" w:eastAsia="华文中宋" w:cs="华文中宋"/>
          <w:highlight w:val="none"/>
        </w:rPr>
      </w:pPr>
    </w:p>
    <w:p>
      <w:pPr>
        <w:jc w:val="center"/>
        <w:rPr>
          <w:rFonts w:hint="eastAsia" w:ascii="华文中宋" w:hAnsi="华文中宋" w:eastAsia="华文中宋" w:cs="华文中宋"/>
          <w:spacing w:val="11"/>
          <w:sz w:val="48"/>
          <w:szCs w:val="48"/>
          <w:highlight w:val="none"/>
          <w:lang w:eastAsia="zh-CN"/>
        </w:rPr>
      </w:pPr>
      <w:r>
        <w:rPr>
          <w:rFonts w:hint="eastAsia" w:ascii="华文中宋" w:hAnsi="华文中宋" w:eastAsia="华文中宋" w:cs="华文中宋"/>
          <w:spacing w:val="11"/>
          <w:sz w:val="40"/>
          <w:szCs w:val="40"/>
          <w:highlight w:val="none"/>
          <w:lang w:eastAsia="zh-CN"/>
        </w:rPr>
        <w:t>山东大学第二医院O型臂及手术导航定位系统采购</w:t>
      </w:r>
    </w:p>
    <w:p>
      <w:pPr>
        <w:jc w:val="center"/>
        <w:rPr>
          <w:rFonts w:ascii="华文中宋" w:hAnsi="华文中宋" w:eastAsia="华文中宋" w:cs="华文中宋"/>
          <w:sz w:val="52"/>
          <w:szCs w:val="52"/>
          <w:highlight w:val="none"/>
        </w:rPr>
      </w:pPr>
    </w:p>
    <w:p>
      <w:pP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TCZX-HW-2022-050</w:t>
      </w: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28"/>
          <w:szCs w:val="28"/>
          <w:highlight w:val="none"/>
        </w:rPr>
      </w:pPr>
    </w:p>
    <w:p>
      <w:pPr>
        <w:jc w:val="cente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rPr>
          <w:rFonts w:ascii="华文中宋" w:hAnsi="华文中宋" w:eastAsia="华文中宋" w:cs="华文中宋"/>
          <w:sz w:val="32"/>
          <w:szCs w:val="32"/>
          <w:highlight w:val="none"/>
        </w:rPr>
      </w:pPr>
    </w:p>
    <w:p>
      <w:pP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2022</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rPr>
          <w:highlight w:val="none"/>
        </w:rPr>
      </w:pPr>
      <w:r>
        <w:rPr>
          <w:highlight w:val="none"/>
        </w:rPr>
        <w:br w:type="page"/>
      </w:r>
    </w:p>
    <w:p>
      <w:pPr>
        <w:pStyle w:val="5"/>
        <w:spacing w:before="156" w:after="156" w:line="348" w:lineRule="auto"/>
        <w:rPr>
          <w:sz w:val="36"/>
          <w:szCs w:val="28"/>
          <w:highlight w:val="none"/>
        </w:rPr>
      </w:pPr>
      <w:bookmarkStart w:id="47" w:name="_Toc3606"/>
      <w:r>
        <w:rPr>
          <w:rFonts w:hint="eastAsia"/>
          <w:sz w:val="36"/>
          <w:szCs w:val="28"/>
          <w:highlight w:val="none"/>
        </w:rPr>
        <w:t>附件一：投标函</w:t>
      </w:r>
      <w:bookmarkEnd w:id="47"/>
    </w:p>
    <w:p>
      <w:pP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rPr>
          <w:sz w:val="22"/>
          <w:szCs w:val="28"/>
          <w:highlight w:val="none"/>
        </w:rPr>
      </w:pPr>
      <w:r>
        <w:rPr>
          <w:rFonts w:hint="eastAsia"/>
          <w:sz w:val="22"/>
          <w:szCs w:val="28"/>
          <w:highlight w:val="none"/>
        </w:rPr>
        <w:br w:type="page"/>
      </w:r>
    </w:p>
    <w:p>
      <w:pPr>
        <w:pStyle w:val="5"/>
        <w:spacing w:before="156" w:after="156"/>
        <w:rPr>
          <w:sz w:val="36"/>
          <w:szCs w:val="28"/>
          <w:highlight w:val="none"/>
        </w:rPr>
      </w:pPr>
      <w:bookmarkStart w:id="48" w:name="_Toc15950"/>
      <w:r>
        <w:rPr>
          <w:rFonts w:hint="eastAsia"/>
          <w:sz w:val="36"/>
          <w:szCs w:val="28"/>
          <w:highlight w:val="none"/>
        </w:rPr>
        <w:t>附件二：法定代表人身份证明</w:t>
      </w:r>
      <w:bookmarkEnd w:id="48"/>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sz w:val="22"/>
          <w:szCs w:val="28"/>
          <w:highlight w:val="none"/>
        </w:rPr>
      </w:pPr>
      <w:r>
        <w:rPr>
          <w:sz w:val="22"/>
          <w:szCs w:val="28"/>
          <w:highlight w:val="none"/>
        </w:rPr>
        <w:br w:type="page"/>
      </w:r>
    </w:p>
    <w:p>
      <w:pPr>
        <w:pStyle w:val="5"/>
        <w:spacing w:before="156" w:after="156"/>
        <w:rPr>
          <w:sz w:val="36"/>
          <w:szCs w:val="28"/>
          <w:highlight w:val="none"/>
        </w:rPr>
      </w:pPr>
      <w:bookmarkStart w:id="49" w:name="_Toc24503"/>
      <w:r>
        <w:rPr>
          <w:rFonts w:hint="eastAsia"/>
          <w:sz w:val="36"/>
          <w:szCs w:val="28"/>
          <w:highlight w:val="none"/>
        </w:rPr>
        <w:t>附件三：法定代表人授权委托书</w:t>
      </w:r>
      <w:bookmarkEnd w:id="49"/>
    </w:p>
    <w:p>
      <w:pP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5"/>
        <w:spacing w:before="156" w:after="156"/>
        <w:rPr>
          <w:sz w:val="36"/>
          <w:szCs w:val="28"/>
          <w:highlight w:val="none"/>
        </w:rPr>
      </w:pPr>
      <w:bookmarkStart w:id="50" w:name="_Toc14908"/>
      <w:r>
        <w:rPr>
          <w:rFonts w:hint="eastAsia"/>
          <w:sz w:val="36"/>
          <w:szCs w:val="28"/>
          <w:highlight w:val="none"/>
        </w:rPr>
        <w:t>附件四：开标一览表</w:t>
      </w:r>
      <w:bookmarkEnd w:id="50"/>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总报价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设备描述</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品牌：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型号：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交货期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仿宋" w:hAnsi="仿宋" w:eastAsia="仿宋" w:cs="仿宋"/>
                <w:sz w:val="28"/>
                <w:szCs w:val="28"/>
                <w:highlight w:val="none"/>
              </w:rPr>
            </w:pPr>
            <w:r>
              <w:rPr>
                <w:rFonts w:hint="eastAsia" w:ascii="仿宋" w:hAnsi="仿宋" w:eastAsia="仿宋" w:cs="仿宋"/>
                <w:sz w:val="28"/>
                <w:szCs w:val="28"/>
                <w:highlight w:val="none"/>
              </w:rPr>
              <w:t>合同签订后   日内安装调试完毕并验收合格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仿宋" w:hAnsi="仿宋" w:eastAsia="仿宋" w:cs="仿宋"/>
                <w:sz w:val="28"/>
                <w:szCs w:val="28"/>
                <w:highlight w:val="none"/>
              </w:rPr>
            </w:pPr>
            <w:r>
              <w:rPr>
                <w:rFonts w:hint="eastAsia" w:ascii="仿宋" w:hAnsi="仿宋" w:eastAsia="仿宋" w:cs="仿宋"/>
                <w:sz w:val="28"/>
                <w:szCs w:val="28"/>
                <w:highlight w:val="none"/>
              </w:rPr>
              <w:t>自设备交付验收合格之日起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耗材报价</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导航探针：单人次机器耗材</w:t>
            </w:r>
            <w:r>
              <w:rPr>
                <w:rFonts w:hint="default"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5"/>
        <w:spacing w:before="159" w:after="159"/>
        <w:rPr>
          <w:sz w:val="36"/>
          <w:szCs w:val="28"/>
          <w:highlight w:val="none"/>
        </w:rPr>
      </w:pPr>
      <w:bookmarkStart w:id="51" w:name="_Toc12194"/>
      <w:r>
        <w:rPr>
          <w:rFonts w:hint="eastAsia"/>
          <w:sz w:val="36"/>
          <w:szCs w:val="28"/>
          <w:highlight w:val="none"/>
        </w:rPr>
        <w:t>附件五：主要设备及配件报价明细表</w:t>
      </w:r>
      <w:bookmarkEnd w:id="51"/>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94"/>
        <w:gridCol w:w="919"/>
        <w:gridCol w:w="1457"/>
        <w:gridCol w:w="1550"/>
        <w:gridCol w:w="1505"/>
        <w:gridCol w:w="1313"/>
        <w:gridCol w:w="987"/>
        <w:gridCol w:w="1063"/>
        <w:gridCol w:w="133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2"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69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91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5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制造商商号商标</w:t>
            </w:r>
          </w:p>
        </w:tc>
        <w:tc>
          <w:tcPr>
            <w:tcW w:w="150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制造商及产地</w:t>
            </w:r>
          </w:p>
        </w:tc>
        <w:tc>
          <w:tcPr>
            <w:tcW w:w="131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8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0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33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46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numPr>
                <w:ilvl w:val="0"/>
                <w:numId w:val="20"/>
              </w:numPr>
              <w:ind w:left="0" w:firstLine="0"/>
              <w:jc w:val="center"/>
              <w:rPr>
                <w:rFonts w:ascii="仿宋" w:hAnsi="仿宋" w:eastAsia="仿宋" w:cs="仿宋"/>
                <w:sz w:val="28"/>
                <w:szCs w:val="28"/>
                <w:highlight w:val="none"/>
              </w:rPr>
            </w:pP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694" w:type="dxa"/>
          </w:tcPr>
          <w:p>
            <w:pPr>
              <w:jc w:val="center"/>
              <w:rPr>
                <w:rFonts w:ascii="仿宋" w:hAnsi="仿宋" w:eastAsia="仿宋" w:cs="仿宋"/>
                <w:sz w:val="28"/>
                <w:szCs w:val="28"/>
                <w:highlight w:val="none"/>
              </w:rPr>
            </w:pPr>
          </w:p>
        </w:tc>
        <w:tc>
          <w:tcPr>
            <w:tcW w:w="919" w:type="dxa"/>
          </w:tcPr>
          <w:p>
            <w:pPr>
              <w:jc w:val="center"/>
              <w:rPr>
                <w:rFonts w:ascii="仿宋" w:hAnsi="仿宋" w:eastAsia="仿宋" w:cs="仿宋"/>
                <w:sz w:val="28"/>
                <w:szCs w:val="28"/>
                <w:highlight w:val="none"/>
              </w:rPr>
            </w:pPr>
          </w:p>
        </w:tc>
        <w:tc>
          <w:tcPr>
            <w:tcW w:w="1457" w:type="dxa"/>
          </w:tcPr>
          <w:p>
            <w:pPr>
              <w:jc w:val="center"/>
              <w:rPr>
                <w:rFonts w:ascii="仿宋" w:hAnsi="仿宋" w:eastAsia="仿宋" w:cs="仿宋"/>
                <w:sz w:val="28"/>
                <w:szCs w:val="28"/>
                <w:highlight w:val="none"/>
              </w:rPr>
            </w:pPr>
          </w:p>
        </w:tc>
        <w:tc>
          <w:tcPr>
            <w:tcW w:w="1550" w:type="dxa"/>
          </w:tcPr>
          <w:p>
            <w:pPr>
              <w:jc w:val="center"/>
              <w:rPr>
                <w:rFonts w:ascii="仿宋" w:hAnsi="仿宋" w:eastAsia="仿宋" w:cs="仿宋"/>
                <w:sz w:val="28"/>
                <w:szCs w:val="28"/>
                <w:highlight w:val="none"/>
              </w:rPr>
            </w:pPr>
          </w:p>
        </w:tc>
        <w:tc>
          <w:tcPr>
            <w:tcW w:w="1505" w:type="dxa"/>
          </w:tcPr>
          <w:p>
            <w:pPr>
              <w:jc w:val="center"/>
              <w:rPr>
                <w:rFonts w:ascii="仿宋" w:hAnsi="仿宋" w:eastAsia="仿宋" w:cs="仿宋"/>
                <w:sz w:val="28"/>
                <w:szCs w:val="28"/>
                <w:highlight w:val="none"/>
              </w:rPr>
            </w:pPr>
          </w:p>
        </w:tc>
        <w:tc>
          <w:tcPr>
            <w:tcW w:w="1313" w:type="dxa"/>
          </w:tcPr>
          <w:p>
            <w:pPr>
              <w:jc w:val="center"/>
              <w:rPr>
                <w:rFonts w:ascii="仿宋" w:hAnsi="仿宋" w:eastAsia="仿宋" w:cs="仿宋"/>
                <w:sz w:val="28"/>
                <w:szCs w:val="28"/>
                <w:highlight w:val="none"/>
              </w:rPr>
            </w:pPr>
          </w:p>
        </w:tc>
        <w:tc>
          <w:tcPr>
            <w:tcW w:w="987" w:type="dxa"/>
          </w:tcPr>
          <w:p>
            <w:pPr>
              <w:jc w:val="center"/>
              <w:rPr>
                <w:rFonts w:ascii="仿宋" w:hAnsi="仿宋" w:eastAsia="仿宋" w:cs="仿宋"/>
                <w:sz w:val="28"/>
                <w:szCs w:val="28"/>
                <w:highlight w:val="none"/>
              </w:rPr>
            </w:pPr>
          </w:p>
        </w:tc>
        <w:tc>
          <w:tcPr>
            <w:tcW w:w="1063" w:type="dxa"/>
          </w:tcPr>
          <w:p>
            <w:pPr>
              <w:jc w:val="center"/>
              <w:rPr>
                <w:rFonts w:ascii="仿宋" w:hAnsi="仿宋" w:eastAsia="仿宋" w:cs="仿宋"/>
                <w:sz w:val="28"/>
                <w:szCs w:val="28"/>
                <w:highlight w:val="none"/>
              </w:rPr>
            </w:pPr>
          </w:p>
        </w:tc>
        <w:tc>
          <w:tcPr>
            <w:tcW w:w="1337" w:type="dxa"/>
          </w:tcPr>
          <w:p>
            <w:pPr>
              <w:jc w:val="center"/>
              <w:rPr>
                <w:rFonts w:ascii="仿宋" w:hAnsi="仿宋" w:eastAsia="仿宋" w:cs="仿宋"/>
                <w:sz w:val="28"/>
                <w:szCs w:val="28"/>
                <w:highlight w:val="none"/>
              </w:rPr>
            </w:pPr>
          </w:p>
        </w:tc>
        <w:tc>
          <w:tcPr>
            <w:tcW w:w="1467" w:type="dxa"/>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vMerge w:val="continue"/>
          </w:tcPr>
          <w:p>
            <w:pPr>
              <w:jc w:val="center"/>
              <w:rPr>
                <w:rFonts w:ascii="仿宋" w:hAnsi="仿宋" w:eastAsia="仿宋" w:cs="仿宋"/>
                <w:sz w:val="28"/>
                <w:szCs w:val="28"/>
                <w:highlight w:val="none"/>
              </w:rPr>
            </w:pPr>
          </w:p>
        </w:tc>
        <w:tc>
          <w:tcPr>
            <w:tcW w:w="11598" w:type="dxa"/>
            <w:gridSpan w:val="9"/>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4"/>
          <w:highlight w:val="none"/>
        </w:rPr>
      </w:pPr>
      <w:r>
        <w:rPr>
          <w:rFonts w:hint="eastAsia" w:ascii="仿宋" w:hAnsi="仿宋" w:eastAsia="仿宋" w:cs="仿宋"/>
          <w:sz w:val="24"/>
          <w:highlight w:val="none"/>
        </w:rPr>
        <w:t>注：1、本表可按相同形式扩展，每包一张，单独填写，装订在投标文件中。2、投标总价须与开标一览表中投标总价一致。</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52" w:name="_Toc15617"/>
      <w:r>
        <w:rPr>
          <w:rFonts w:hint="eastAsia"/>
          <w:sz w:val="36"/>
          <w:szCs w:val="28"/>
          <w:highlight w:val="none"/>
        </w:rPr>
        <w:t>附件六：</w:t>
      </w:r>
      <w:bookmarkEnd w:id="52"/>
      <w:r>
        <w:rPr>
          <w:rFonts w:hint="eastAsia"/>
          <w:sz w:val="36"/>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维保方案及维保费用报价表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1、服务范围</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2、服务期限</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3、服务内容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4、甲乙双方负责的内容</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5、保修响应（在满足采购要求的情况下竞报）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保修期内维保费用报价明细：（格式自定）</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保修期外维保费用报价明细：（格式自定，含需购买的附件和零配件的价格）</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注：1、保修期内维保费用包含在本次报价中；</w:t>
      </w:r>
    </w:p>
    <w:p>
      <w:pPr>
        <w:rPr>
          <w:rFonts w:ascii="仿宋" w:hAnsi="仿宋" w:eastAsia="仿宋" w:cs="仿宋"/>
          <w:sz w:val="28"/>
          <w:szCs w:val="28"/>
          <w:highlight w:val="none"/>
        </w:rPr>
      </w:pPr>
      <w:r>
        <w:rPr>
          <w:rFonts w:hint="eastAsia" w:ascii="仿宋" w:hAnsi="仿宋" w:eastAsia="仿宋" w:cs="仿宋"/>
          <w:sz w:val="28"/>
          <w:szCs w:val="28"/>
          <w:highlight w:val="none"/>
        </w:rPr>
        <w:t>2、保修期外维保费用不包含在本次报价中。</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53" w:name="_Toc5851"/>
      <w:r>
        <w:rPr>
          <w:rFonts w:hint="eastAsia"/>
          <w:sz w:val="36"/>
          <w:szCs w:val="28"/>
          <w:highlight w:val="none"/>
        </w:rPr>
        <w:t>附件七：质保期内供应的备品备件、易损件、耗材、专用工具价格表</w:t>
      </w:r>
      <w:bookmarkEnd w:id="53"/>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1"/>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5"/>
        <w:spacing w:before="159" w:after="159"/>
        <w:rPr>
          <w:sz w:val="36"/>
          <w:szCs w:val="28"/>
          <w:highlight w:val="none"/>
        </w:rPr>
      </w:pPr>
      <w:bookmarkStart w:id="54" w:name="_Toc25433"/>
      <w:r>
        <w:rPr>
          <w:rFonts w:hint="eastAsia"/>
          <w:sz w:val="36"/>
          <w:szCs w:val="28"/>
          <w:highlight w:val="none"/>
        </w:rPr>
        <w:t>附件八：质保期满后长期供应的备品备件、易损件、耗材、专用工具价格表</w:t>
      </w:r>
      <w:bookmarkEnd w:id="54"/>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1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备品备件/易损件/耗材/专用工具/名称</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单位</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总价</w:t>
            </w:r>
          </w:p>
        </w:tc>
        <w:tc>
          <w:tcPr>
            <w:tcW w:w="15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numPr>
                <w:ilvl w:val="0"/>
                <w:numId w:val="22"/>
              </w:numPr>
              <w:ind w:left="0" w:firstLine="0"/>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pP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c>
          <w:tcPr>
            <w:tcW w:w="1575"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vAlign w:val="center"/>
          </w:tcPr>
          <w:p>
            <w:pPr>
              <w:jc w:val="center"/>
              <w:rPr>
                <w:rFonts w:ascii="仿宋" w:hAnsi="仿宋" w:eastAsia="仿宋" w:cs="仿宋"/>
                <w:sz w:val="28"/>
                <w:szCs w:val="28"/>
                <w:highlight w:val="none"/>
              </w:rPr>
            </w:pPr>
          </w:p>
        </w:tc>
        <w:tc>
          <w:tcPr>
            <w:tcW w:w="12600" w:type="dxa"/>
            <w:gridSpan w:val="8"/>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说明：本表费用应包含在投标总价中。</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pStyle w:val="5"/>
        <w:spacing w:before="159" w:after="159"/>
        <w:rPr>
          <w:sz w:val="36"/>
          <w:szCs w:val="28"/>
          <w:highlight w:val="none"/>
        </w:rPr>
      </w:pPr>
      <w:bookmarkStart w:id="55" w:name="_Toc4081"/>
      <w:r>
        <w:rPr>
          <w:rFonts w:hint="eastAsia"/>
          <w:sz w:val="36"/>
          <w:szCs w:val="28"/>
          <w:highlight w:val="none"/>
        </w:rPr>
        <w:t>附件九：商务响应一览表</w:t>
      </w:r>
      <w:bookmarkEnd w:id="55"/>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响应的如付款方式、交货期、质保期、培训方式、售后服务等商务条款，并逐一作出承诺。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sz w:val="22"/>
          <w:szCs w:val="28"/>
          <w:highlight w:val="none"/>
        </w:rPr>
        <w:br w:type="page"/>
      </w:r>
    </w:p>
    <w:p>
      <w:pPr>
        <w:pStyle w:val="5"/>
        <w:spacing w:before="159" w:after="159"/>
        <w:rPr>
          <w:sz w:val="36"/>
          <w:szCs w:val="28"/>
          <w:highlight w:val="none"/>
        </w:rPr>
      </w:pPr>
      <w:bookmarkStart w:id="56" w:name="_Toc13157"/>
      <w:r>
        <w:rPr>
          <w:rFonts w:hint="eastAsia"/>
          <w:sz w:val="36"/>
          <w:szCs w:val="28"/>
          <w:highlight w:val="none"/>
        </w:rPr>
        <w:t>附件十：技术响应一览表</w:t>
      </w:r>
      <w:bookmarkEnd w:id="56"/>
      <w:r>
        <w:rPr>
          <w:rFonts w:hint="eastAsia"/>
          <w:sz w:val="36"/>
          <w:szCs w:val="28"/>
          <w:highlight w:val="none"/>
        </w:rPr>
        <w:t>/偏离表</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7" w:type="dxa"/>
            <w:vAlign w:val="center"/>
          </w:tcPr>
          <w:p>
            <w:pPr>
              <w:jc w:val="center"/>
              <w:rPr>
                <w:rFonts w:ascii="仿宋" w:hAnsi="仿宋" w:eastAsia="仿宋" w:cs="仿宋"/>
                <w:sz w:val="28"/>
                <w:szCs w:val="28"/>
                <w:highlight w:val="none"/>
              </w:rPr>
            </w:pPr>
          </w:p>
        </w:tc>
        <w:tc>
          <w:tcPr>
            <w:tcW w:w="1308" w:type="dxa"/>
            <w:vAlign w:val="center"/>
          </w:tcPr>
          <w:p>
            <w:pPr>
              <w:jc w:val="center"/>
              <w:rPr>
                <w:rFonts w:ascii="仿宋" w:hAnsi="仿宋" w:eastAsia="仿宋" w:cs="仿宋"/>
                <w:sz w:val="28"/>
                <w:szCs w:val="28"/>
                <w:highlight w:val="none"/>
              </w:rPr>
            </w:pPr>
          </w:p>
        </w:tc>
        <w:tc>
          <w:tcPr>
            <w:tcW w:w="1571" w:type="dxa"/>
            <w:vAlign w:val="center"/>
          </w:tcPr>
          <w:p>
            <w:pPr>
              <w:jc w:val="center"/>
              <w:rPr>
                <w:rFonts w:ascii="仿宋" w:hAnsi="仿宋" w:eastAsia="仿宋" w:cs="仿宋"/>
                <w:sz w:val="28"/>
                <w:szCs w:val="28"/>
                <w:highlight w:val="none"/>
              </w:rPr>
            </w:pPr>
          </w:p>
        </w:tc>
        <w:tc>
          <w:tcPr>
            <w:tcW w:w="863"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57" w:name="_Toc28417"/>
      <w:r>
        <w:rPr>
          <w:rFonts w:hint="eastAsia"/>
          <w:sz w:val="36"/>
          <w:szCs w:val="28"/>
          <w:highlight w:val="none"/>
        </w:rPr>
        <w:t>附件十一：近年业绩一览表</w:t>
      </w:r>
      <w:bookmarkEnd w:id="57"/>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设备名称</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3"/>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3"/>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3"/>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23"/>
              </w:numPr>
              <w:ind w:left="0" w:firstLine="0"/>
              <w:jc w:val="center"/>
              <w:rPr>
                <w:rFonts w:ascii="仿宋" w:hAnsi="仿宋" w:eastAsia="仿宋" w:cs="仿宋"/>
                <w:sz w:val="28"/>
                <w:szCs w:val="28"/>
                <w:highlight w:val="none"/>
              </w:rPr>
            </w:pPr>
          </w:p>
        </w:tc>
        <w:tc>
          <w:tcPr>
            <w:tcW w:w="1929"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950" w:type="dxa"/>
            <w:vAlign w:val="center"/>
          </w:tcPr>
          <w:p>
            <w:pPr>
              <w:jc w:val="center"/>
              <w:rPr>
                <w:rFonts w:ascii="仿宋" w:hAnsi="仿宋" w:eastAsia="仿宋" w:cs="仿宋"/>
                <w:sz w:val="28"/>
                <w:szCs w:val="28"/>
                <w:highlight w:val="none"/>
              </w:rPr>
            </w:pPr>
          </w:p>
        </w:tc>
        <w:tc>
          <w:tcPr>
            <w:tcW w:w="1225" w:type="dxa"/>
            <w:vAlign w:val="center"/>
          </w:tcPr>
          <w:p>
            <w:pPr>
              <w:jc w:val="center"/>
              <w:rPr>
                <w:rFonts w:ascii="仿宋" w:hAnsi="仿宋" w:eastAsia="仿宋" w:cs="仿宋"/>
                <w:sz w:val="28"/>
                <w:szCs w:val="28"/>
                <w:highlight w:val="none"/>
              </w:rPr>
            </w:pPr>
          </w:p>
        </w:tc>
        <w:tc>
          <w:tcPr>
            <w:tcW w:w="1475" w:type="dxa"/>
            <w:vAlign w:val="center"/>
          </w:tcPr>
          <w:p>
            <w:pPr>
              <w:jc w:val="center"/>
              <w:rPr>
                <w:rFonts w:ascii="仿宋" w:hAnsi="仿宋" w:eastAsia="仿宋" w:cs="仿宋"/>
                <w:sz w:val="28"/>
                <w:szCs w:val="28"/>
                <w:highlight w:val="none"/>
              </w:rPr>
            </w:pPr>
          </w:p>
        </w:tc>
        <w:tc>
          <w:tcPr>
            <w:tcW w:w="2018"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rPr>
          <w:sz w:val="22"/>
          <w:szCs w:val="28"/>
          <w:highlight w:val="none"/>
        </w:rPr>
      </w:pP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58" w:name="_Toc9521"/>
      <w:r>
        <w:rPr>
          <w:rFonts w:hint="eastAsia"/>
          <w:sz w:val="36"/>
          <w:szCs w:val="28"/>
          <w:highlight w:val="none"/>
        </w:rPr>
        <w:t>附件十二：中小企业声明函（如有）</w:t>
      </w:r>
      <w:bookmarkEnd w:id="58"/>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rPr>
          <w:sz w:val="22"/>
          <w:szCs w:val="28"/>
          <w:highlight w:val="none"/>
        </w:rPr>
      </w:pPr>
      <w:r>
        <w:rPr>
          <w:sz w:val="22"/>
          <w:szCs w:val="28"/>
          <w:highlight w:val="none"/>
        </w:rPr>
        <w:br w:type="page"/>
      </w:r>
    </w:p>
    <w:p>
      <w:pPr>
        <w:pStyle w:val="5"/>
        <w:spacing w:before="159" w:after="159"/>
        <w:rPr>
          <w:sz w:val="36"/>
          <w:szCs w:val="28"/>
          <w:highlight w:val="none"/>
        </w:rPr>
      </w:pPr>
      <w:bookmarkStart w:id="59" w:name="_Toc30411"/>
      <w:r>
        <w:rPr>
          <w:rFonts w:hint="eastAsia"/>
          <w:sz w:val="36"/>
          <w:szCs w:val="28"/>
          <w:highlight w:val="none"/>
        </w:rPr>
        <w:t>附件十三：残疾人福利性单位声明函（如有）</w:t>
      </w:r>
      <w:bookmarkEnd w:id="59"/>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60" w:name="_Toc22511"/>
      <w:r>
        <w:rPr>
          <w:rFonts w:hint="eastAsia"/>
          <w:sz w:val="36"/>
          <w:szCs w:val="28"/>
          <w:highlight w:val="none"/>
        </w:rPr>
        <w:t>附件十四：环境标志产品明细表</w:t>
      </w:r>
      <w:bookmarkEnd w:id="60"/>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r>
        <w:rPr>
          <w:rFonts w:hint="eastAsia"/>
          <w:sz w:val="22"/>
          <w:szCs w:val="28"/>
          <w:highlight w:val="none"/>
        </w:rPr>
        <w:br w:type="page"/>
      </w:r>
    </w:p>
    <w:p>
      <w:pPr>
        <w:pStyle w:val="5"/>
        <w:spacing w:before="159" w:after="159"/>
        <w:rPr>
          <w:rFonts w:hint="default" w:eastAsia="黑体"/>
          <w:sz w:val="36"/>
          <w:szCs w:val="28"/>
          <w:highlight w:val="none"/>
          <w:lang w:val="en-US" w:eastAsia="zh-CN"/>
        </w:rPr>
      </w:pPr>
      <w:bookmarkStart w:id="61" w:name="_Toc23388"/>
      <w:r>
        <w:rPr>
          <w:rFonts w:hint="eastAsia"/>
          <w:sz w:val="36"/>
          <w:szCs w:val="28"/>
          <w:highlight w:val="none"/>
        </w:rPr>
        <w:t>附件十五：节能产品明细表</w:t>
      </w:r>
      <w:bookmarkEnd w:id="61"/>
      <w:r>
        <w:rPr>
          <w:rFonts w:hint="eastAsia"/>
          <w:sz w:val="36"/>
          <w:szCs w:val="28"/>
          <w:highlight w:val="none"/>
          <w:lang w:eastAsia="zh-CN"/>
        </w:rPr>
        <w:t>（</w:t>
      </w:r>
      <w:r>
        <w:rPr>
          <w:rFonts w:hint="eastAsia"/>
          <w:sz w:val="36"/>
          <w:szCs w:val="28"/>
          <w:highlight w:val="none"/>
          <w:lang w:val="en-US" w:eastAsia="zh-CN"/>
        </w:rPr>
        <w:t>非强制节能产品）</w:t>
      </w:r>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jc w:val="center"/>
              <w:rPr>
                <w:rFonts w:ascii="仿宋" w:hAnsi="仿宋" w:eastAsia="仿宋" w:cs="仿宋"/>
                <w:sz w:val="28"/>
                <w:szCs w:val="28"/>
                <w:highlight w:val="none"/>
              </w:rPr>
            </w:pPr>
          </w:p>
        </w:tc>
        <w:tc>
          <w:tcPr>
            <w:tcW w:w="2028" w:type="dxa"/>
            <w:vMerge w:val="continue"/>
            <w:vAlign w:val="center"/>
          </w:tcPr>
          <w:p>
            <w:pPr>
              <w:jc w:val="center"/>
              <w:rPr>
                <w:rFonts w:ascii="仿宋" w:hAnsi="仿宋" w:eastAsia="仿宋" w:cs="仿宋"/>
                <w:sz w:val="28"/>
                <w:szCs w:val="28"/>
                <w:highlight w:val="none"/>
              </w:rPr>
            </w:pPr>
          </w:p>
        </w:tc>
        <w:tc>
          <w:tcPr>
            <w:tcW w:w="1922"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jc w:val="center"/>
              <w:rPr>
                <w:rFonts w:ascii="仿宋" w:hAnsi="仿宋" w:eastAsia="仿宋" w:cs="仿宋"/>
                <w:sz w:val="28"/>
                <w:szCs w:val="28"/>
                <w:highlight w:val="none"/>
              </w:rPr>
            </w:pPr>
          </w:p>
        </w:tc>
        <w:tc>
          <w:tcPr>
            <w:tcW w:w="2028" w:type="dxa"/>
            <w:vAlign w:val="center"/>
          </w:tcPr>
          <w:p>
            <w:pPr>
              <w:jc w:val="center"/>
              <w:rPr>
                <w:rFonts w:ascii="仿宋" w:hAnsi="仿宋" w:eastAsia="仿宋" w:cs="仿宋"/>
                <w:sz w:val="28"/>
                <w:szCs w:val="28"/>
                <w:highlight w:val="none"/>
              </w:rPr>
            </w:pPr>
          </w:p>
        </w:tc>
        <w:tc>
          <w:tcPr>
            <w:tcW w:w="1922"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c>
          <w:tcPr>
            <w:tcW w:w="1600" w:type="dxa"/>
            <w:vAlign w:val="center"/>
          </w:tcPr>
          <w:p>
            <w:pPr>
              <w:jc w:val="center"/>
              <w:rPr>
                <w:rFonts w:ascii="仿宋" w:hAnsi="仿宋" w:eastAsia="仿宋" w:cs="仿宋"/>
                <w:sz w:val="28"/>
                <w:szCs w:val="28"/>
                <w:highlight w:val="none"/>
              </w:rPr>
            </w:pPr>
          </w:p>
        </w:tc>
        <w:tc>
          <w:tcPr>
            <w:tcW w:w="1112" w:type="dxa"/>
            <w:vAlign w:val="center"/>
          </w:tcPr>
          <w:p>
            <w:pPr>
              <w:jc w:val="center"/>
              <w:rPr>
                <w:rFonts w:ascii="仿宋" w:hAnsi="仿宋" w:eastAsia="仿宋" w:cs="仿宋"/>
                <w:sz w:val="28"/>
                <w:szCs w:val="28"/>
                <w:highlight w:val="none"/>
              </w:rPr>
            </w:pPr>
          </w:p>
        </w:tc>
        <w:tc>
          <w:tcPr>
            <w:tcW w:w="1418" w:type="dxa"/>
            <w:vAlign w:val="center"/>
          </w:tcPr>
          <w:p>
            <w:pPr>
              <w:jc w:val="center"/>
              <w:rPr>
                <w:rFonts w:ascii="仿宋" w:hAnsi="仿宋" w:eastAsia="仿宋" w:cs="仿宋"/>
                <w:sz w:val="28"/>
                <w:szCs w:val="28"/>
                <w:highlight w:val="none"/>
              </w:rPr>
            </w:pPr>
          </w:p>
        </w:tc>
      </w:tr>
    </w:tbl>
    <w:p>
      <w:pP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rPr>
          <w:sz w:val="22"/>
          <w:szCs w:val="28"/>
          <w:highlight w:val="none"/>
        </w:rPr>
      </w:pPr>
    </w:p>
    <w:p>
      <w:pP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pacing w:before="159" w:after="159"/>
        <w:rPr>
          <w:sz w:val="36"/>
          <w:szCs w:val="28"/>
          <w:highlight w:val="none"/>
        </w:rPr>
      </w:pPr>
      <w:bookmarkStart w:id="62" w:name="_Toc8827"/>
      <w:r>
        <w:rPr>
          <w:rFonts w:hint="eastAsia"/>
          <w:sz w:val="36"/>
          <w:szCs w:val="28"/>
          <w:highlight w:val="none"/>
        </w:rPr>
        <w:t>附件十六：政府强制采购节能产品明细表</w:t>
      </w:r>
      <w:bookmarkEnd w:id="62"/>
    </w:p>
    <w:p>
      <w:pP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jc w:val="center"/>
              <w:rPr>
                <w:rFonts w:ascii="仿宋" w:hAnsi="仿宋" w:eastAsia="仿宋" w:cs="仿宋"/>
                <w:sz w:val="28"/>
                <w:szCs w:val="28"/>
                <w:highlight w:val="none"/>
              </w:rPr>
            </w:pPr>
          </w:p>
        </w:tc>
        <w:tc>
          <w:tcPr>
            <w:tcW w:w="1513" w:type="dxa"/>
            <w:vMerge w:val="continue"/>
            <w:vAlign w:val="center"/>
          </w:tcPr>
          <w:p>
            <w:pPr>
              <w:jc w:val="center"/>
              <w:rPr>
                <w:rFonts w:ascii="仿宋" w:hAnsi="仿宋" w:eastAsia="仿宋" w:cs="仿宋"/>
                <w:sz w:val="28"/>
                <w:szCs w:val="28"/>
                <w:highlight w:val="none"/>
              </w:rPr>
            </w:pPr>
          </w:p>
        </w:tc>
        <w:tc>
          <w:tcPr>
            <w:tcW w:w="1208" w:type="dxa"/>
            <w:vMerge w:val="continue"/>
            <w:vAlign w:val="center"/>
          </w:tcPr>
          <w:p>
            <w:pPr>
              <w:jc w:val="center"/>
              <w:rPr>
                <w:rFonts w:ascii="仿宋" w:hAnsi="仿宋" w:eastAsia="仿宋" w:cs="仿宋"/>
                <w:sz w:val="28"/>
                <w:szCs w:val="28"/>
                <w:highlight w:val="none"/>
              </w:rPr>
            </w:pPr>
          </w:p>
        </w:tc>
        <w:tc>
          <w:tcPr>
            <w:tcW w:w="912"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417" w:type="dxa"/>
            <w:vMerge w:val="continue"/>
            <w:vAlign w:val="center"/>
          </w:tcPr>
          <w:p>
            <w:pPr>
              <w:jc w:val="center"/>
              <w:rPr>
                <w:rFonts w:ascii="仿宋" w:hAnsi="仿宋" w:eastAsia="仿宋" w:cs="仿宋"/>
                <w:sz w:val="28"/>
                <w:szCs w:val="28"/>
                <w:highlight w:val="none"/>
              </w:rPr>
            </w:pPr>
          </w:p>
        </w:tc>
        <w:tc>
          <w:tcPr>
            <w:tcW w:w="1542" w:type="dxa"/>
            <w:vMerge w:val="continue"/>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仿宋" w:hAnsi="仿宋" w:eastAsia="仿宋" w:cs="仿宋"/>
                <w:sz w:val="28"/>
                <w:szCs w:val="28"/>
                <w:highlight w:val="none"/>
              </w:rPr>
            </w:pPr>
          </w:p>
        </w:tc>
        <w:tc>
          <w:tcPr>
            <w:tcW w:w="1513" w:type="dxa"/>
            <w:vAlign w:val="center"/>
          </w:tcPr>
          <w:p>
            <w:pPr>
              <w:jc w:val="center"/>
              <w:rPr>
                <w:rFonts w:ascii="仿宋" w:hAnsi="仿宋" w:eastAsia="仿宋" w:cs="仿宋"/>
                <w:sz w:val="28"/>
                <w:szCs w:val="28"/>
                <w:highlight w:val="none"/>
              </w:rPr>
            </w:pPr>
          </w:p>
        </w:tc>
        <w:tc>
          <w:tcPr>
            <w:tcW w:w="1208" w:type="dxa"/>
            <w:vAlign w:val="center"/>
          </w:tcPr>
          <w:p>
            <w:pPr>
              <w:jc w:val="center"/>
              <w:rPr>
                <w:rFonts w:ascii="仿宋" w:hAnsi="仿宋" w:eastAsia="仿宋" w:cs="仿宋"/>
                <w:sz w:val="28"/>
                <w:szCs w:val="28"/>
                <w:highlight w:val="none"/>
              </w:rPr>
            </w:pPr>
          </w:p>
        </w:tc>
        <w:tc>
          <w:tcPr>
            <w:tcW w:w="912"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417" w:type="dxa"/>
            <w:vAlign w:val="center"/>
          </w:tcPr>
          <w:p>
            <w:pPr>
              <w:jc w:val="center"/>
              <w:rPr>
                <w:rFonts w:ascii="仿宋" w:hAnsi="仿宋" w:eastAsia="仿宋" w:cs="仿宋"/>
                <w:sz w:val="28"/>
                <w:szCs w:val="28"/>
                <w:highlight w:val="none"/>
              </w:rPr>
            </w:pPr>
          </w:p>
        </w:tc>
        <w:tc>
          <w:tcPr>
            <w:tcW w:w="1542" w:type="dxa"/>
            <w:vAlign w:val="center"/>
          </w:tcPr>
          <w:p>
            <w:pPr>
              <w:jc w:val="center"/>
              <w:rPr>
                <w:rFonts w:ascii="仿宋" w:hAnsi="仿宋" w:eastAsia="仿宋" w:cs="仿宋"/>
                <w:sz w:val="28"/>
                <w:szCs w:val="28"/>
                <w:highlight w:val="none"/>
              </w:rPr>
            </w:pPr>
          </w:p>
        </w:tc>
      </w:tr>
    </w:tbl>
    <w:p>
      <w:pP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rPr>
          <w:b/>
          <w:bCs/>
          <w:highlight w:val="none"/>
        </w:rPr>
      </w:pPr>
      <w:r>
        <w:rPr>
          <w:rFonts w:hint="eastAsia"/>
          <w:b/>
          <w:bCs/>
          <w:highlight w:val="none"/>
        </w:rPr>
        <w:br w:type="page"/>
      </w:r>
    </w:p>
    <w:p>
      <w:pPr>
        <w:autoSpaceDE w:val="0"/>
        <w:autoSpaceDN w:val="0"/>
        <w:rPr>
          <w:rFonts w:ascii="仿宋" w:hAnsi="仿宋" w:eastAsia="仿宋" w:cs="仿宋"/>
          <w:sz w:val="28"/>
          <w:szCs w:val="28"/>
          <w:highlight w:val="none"/>
        </w:rPr>
      </w:pPr>
      <w:bookmarkStart w:id="63" w:name="_Toc18203"/>
      <w:r>
        <w:rPr>
          <w:rFonts w:hint="eastAsia" w:ascii="仿宋" w:hAnsi="仿宋" w:eastAsia="仿宋" w:cs="仿宋"/>
          <w:sz w:val="28"/>
          <w:szCs w:val="28"/>
          <w:highlight w:val="none"/>
        </w:rPr>
        <w:t>附表1：</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6"/>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6"/>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6"/>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6"/>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6"/>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6"/>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6"/>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6"/>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6"/>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6"/>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6"/>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6"/>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6"/>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6"/>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6"/>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6"/>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6"/>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6"/>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6"/>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6"/>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6"/>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6"/>
              <w:jc w:val="center"/>
              <w:rPr>
                <w:rFonts w:ascii="仿宋" w:hAnsi="仿宋" w:eastAsia="仿宋" w:cs="仿宋"/>
                <w:szCs w:val="32"/>
                <w:highlight w:val="none"/>
              </w:rPr>
            </w:pPr>
          </w:p>
        </w:tc>
        <w:tc>
          <w:tcPr>
            <w:tcW w:w="1916" w:type="dxa"/>
            <w:vAlign w:val="center"/>
          </w:tcPr>
          <w:p>
            <w:pPr>
              <w:pStyle w:val="26"/>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6"/>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restart"/>
            <w:vAlign w:val="center"/>
          </w:tcPr>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6"/>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6"/>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6"/>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jc w:val="center"/>
        </w:trPr>
        <w:tc>
          <w:tcPr>
            <w:tcW w:w="574"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jc w:val="center"/>
              <w:rPr>
                <w:rFonts w:ascii="仿宋" w:hAnsi="仿宋" w:eastAsia="仿宋" w:cs="仿宋"/>
                <w:sz w:val="6"/>
                <w:szCs w:val="6"/>
                <w:highlight w:val="none"/>
              </w:rPr>
            </w:pPr>
          </w:p>
        </w:tc>
        <w:tc>
          <w:tcPr>
            <w:tcW w:w="1801" w:type="dxa"/>
            <w:vAlign w:val="center"/>
          </w:tcPr>
          <w:p>
            <w:pPr>
              <w:pStyle w:val="26"/>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6"/>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6"/>
              <w:jc w:val="center"/>
              <w:rPr>
                <w:rFonts w:ascii="仿宋" w:hAnsi="仿宋" w:eastAsia="仿宋" w:cs="仿宋"/>
                <w:szCs w:val="32"/>
                <w:highlight w:val="none"/>
              </w:rPr>
            </w:pP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6"/>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6"/>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6"/>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6"/>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6"/>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6"/>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6"/>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6"/>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restart"/>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6"/>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6"/>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6"/>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6"/>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jc w:val="center"/>
        </w:trPr>
        <w:tc>
          <w:tcPr>
            <w:tcW w:w="574" w:type="dxa"/>
            <w:vMerge w:val="continue"/>
            <w:vAlign w:val="center"/>
          </w:tcPr>
          <w:p>
            <w:pPr>
              <w:pStyle w:val="26"/>
              <w:jc w:val="center"/>
              <w:rPr>
                <w:rFonts w:ascii="仿宋" w:hAnsi="仿宋" w:eastAsia="仿宋" w:cs="仿宋"/>
                <w:szCs w:val="32"/>
                <w:highlight w:val="none"/>
              </w:rPr>
            </w:pPr>
          </w:p>
        </w:tc>
        <w:tc>
          <w:tcPr>
            <w:tcW w:w="1167" w:type="dxa"/>
            <w:vMerge w:val="continue"/>
            <w:vAlign w:val="center"/>
          </w:tcPr>
          <w:p>
            <w:pPr>
              <w:pStyle w:val="26"/>
              <w:jc w:val="center"/>
              <w:rPr>
                <w:rFonts w:ascii="仿宋" w:hAnsi="仿宋" w:eastAsia="仿宋" w:cs="仿宋"/>
                <w:szCs w:val="32"/>
                <w:highlight w:val="none"/>
              </w:rPr>
            </w:pPr>
          </w:p>
        </w:tc>
        <w:tc>
          <w:tcPr>
            <w:tcW w:w="1801" w:type="dxa"/>
            <w:vMerge w:val="restart"/>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6"/>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6"/>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6"/>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6"/>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jc w:val="center"/>
              <w:rPr>
                <w:rFonts w:ascii="仿宋" w:hAnsi="仿宋" w:eastAsia="仿宋" w:cs="仿宋"/>
                <w:sz w:val="6"/>
                <w:szCs w:val="6"/>
                <w:highlight w:val="none"/>
              </w:rPr>
            </w:pPr>
          </w:p>
        </w:tc>
        <w:tc>
          <w:tcPr>
            <w:tcW w:w="1167" w:type="dxa"/>
            <w:vMerge w:val="continue"/>
            <w:vAlign w:val="center"/>
          </w:tcPr>
          <w:p>
            <w:pPr>
              <w:jc w:val="center"/>
              <w:rPr>
                <w:rFonts w:ascii="仿宋" w:hAnsi="仿宋" w:eastAsia="仿宋" w:cs="仿宋"/>
                <w:sz w:val="6"/>
                <w:szCs w:val="6"/>
                <w:highlight w:val="none"/>
              </w:rPr>
            </w:pPr>
          </w:p>
        </w:tc>
        <w:tc>
          <w:tcPr>
            <w:tcW w:w="1801" w:type="dxa"/>
            <w:vMerge w:val="continue"/>
            <w:tcBorders>
              <w:top w:val="nil"/>
            </w:tcBorders>
            <w:vAlign w:val="center"/>
          </w:tcPr>
          <w:p>
            <w:pPr>
              <w:jc w:val="center"/>
              <w:rPr>
                <w:rFonts w:ascii="仿宋" w:hAnsi="仿宋" w:eastAsia="仿宋" w:cs="仿宋"/>
                <w:sz w:val="6"/>
                <w:szCs w:val="6"/>
                <w:highlight w:val="none"/>
              </w:rPr>
            </w:pPr>
          </w:p>
        </w:tc>
        <w:tc>
          <w:tcPr>
            <w:tcW w:w="1916" w:type="dxa"/>
            <w:vAlign w:val="center"/>
          </w:tcPr>
          <w:p>
            <w:pPr>
              <w:pStyle w:val="26"/>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6"/>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 w:hRule="atLeast"/>
          <w:jc w:val="center"/>
        </w:trPr>
        <w:tc>
          <w:tcPr>
            <w:tcW w:w="574" w:type="dxa"/>
            <w:vMerge w:val="restart"/>
            <w:vAlign w:val="center"/>
          </w:tcPr>
          <w:p>
            <w:pPr>
              <w:pStyle w:val="26"/>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6"/>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6"/>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6"/>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6"/>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6"/>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6"/>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6"/>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6"/>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6"/>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6"/>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6"/>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6"/>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6"/>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6"/>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jc w:val="center"/>
              <w:rPr>
                <w:rFonts w:ascii="仿宋" w:hAnsi="仿宋" w:eastAsia="仿宋" w:cs="仿宋"/>
                <w:sz w:val="6"/>
                <w:szCs w:val="6"/>
                <w:highlight w:val="none"/>
              </w:rPr>
            </w:pPr>
          </w:p>
        </w:tc>
        <w:tc>
          <w:tcPr>
            <w:tcW w:w="1167" w:type="dxa"/>
            <w:vMerge w:val="continue"/>
            <w:tcBorders>
              <w:top w:val="nil"/>
            </w:tcBorders>
            <w:vAlign w:val="center"/>
          </w:tcPr>
          <w:p>
            <w:pPr>
              <w:jc w:val="center"/>
              <w:rPr>
                <w:rFonts w:ascii="仿宋" w:hAnsi="仿宋" w:eastAsia="仿宋" w:cs="仿宋"/>
                <w:sz w:val="6"/>
                <w:szCs w:val="6"/>
                <w:highlight w:val="none"/>
              </w:rPr>
            </w:pPr>
          </w:p>
        </w:tc>
        <w:tc>
          <w:tcPr>
            <w:tcW w:w="1801" w:type="dxa"/>
            <w:vAlign w:val="center"/>
          </w:tcPr>
          <w:p>
            <w:pPr>
              <w:pStyle w:val="26"/>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6"/>
              <w:jc w:val="center"/>
              <w:rPr>
                <w:rFonts w:ascii="仿宋" w:hAnsi="仿宋" w:eastAsia="仿宋" w:cs="仿宋"/>
                <w:szCs w:val="32"/>
                <w:highlight w:val="none"/>
              </w:rPr>
            </w:pPr>
          </w:p>
        </w:tc>
        <w:tc>
          <w:tcPr>
            <w:tcW w:w="2967" w:type="dxa"/>
            <w:vAlign w:val="center"/>
          </w:tcPr>
          <w:p>
            <w:pPr>
              <w:pStyle w:val="26"/>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6"/>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6"/>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6"/>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6"/>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6"/>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6"/>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6"/>
              <w:jc w:val="center"/>
              <w:rPr>
                <w:rFonts w:ascii="仿宋" w:hAnsi="仿宋" w:eastAsia="仿宋" w:cs="仿宋"/>
                <w:sz w:val="22"/>
                <w:szCs w:val="32"/>
                <w:highlight w:val="none"/>
              </w:rPr>
            </w:pPr>
          </w:p>
        </w:tc>
        <w:tc>
          <w:tcPr>
            <w:tcW w:w="1916" w:type="dxa"/>
            <w:vAlign w:val="center"/>
          </w:tcPr>
          <w:p>
            <w:pPr>
              <w:pStyle w:val="26"/>
              <w:jc w:val="center"/>
              <w:rPr>
                <w:rFonts w:ascii="仿宋" w:hAnsi="仿宋" w:eastAsia="仿宋" w:cs="仿宋"/>
                <w:sz w:val="22"/>
                <w:szCs w:val="32"/>
                <w:highlight w:val="none"/>
              </w:rPr>
            </w:pPr>
          </w:p>
        </w:tc>
        <w:tc>
          <w:tcPr>
            <w:tcW w:w="2967" w:type="dxa"/>
            <w:vAlign w:val="center"/>
          </w:tcPr>
          <w:p>
            <w:pPr>
              <w:pStyle w:val="26"/>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附表2：</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c>
          <w:tcPr>
            <w:tcW w:w="1151"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tcMar>
              <w:left w:w="108" w:type="dxa"/>
              <w:right w:w="108" w:type="dxa"/>
            </w:tcMar>
            <w:vAlign w:val="center"/>
          </w:tcPr>
          <w:p>
            <w:pP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计算机</w:t>
            </w:r>
          </w:p>
          <w:p>
            <w:pP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便携式</w:t>
            </w:r>
          </w:p>
          <w:p>
            <w:pP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平板式</w:t>
            </w:r>
          </w:p>
          <w:p>
            <w:pP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图形图像</w:t>
            </w:r>
          </w:p>
          <w:p>
            <w:pP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多功能</w:t>
            </w:r>
          </w:p>
          <w:p>
            <w:pP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专用制冷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其他制冷</w:t>
            </w:r>
          </w:p>
          <w:p>
            <w:pP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生活用</w:t>
            </w:r>
          </w:p>
          <w:p>
            <w:pP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51"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196" w:type="dxa"/>
            <w:vMerge w:val="continue"/>
            <w:shd w:val="clear" w:color="auto" w:fill="FFFFFF"/>
            <w:tcMar>
              <w:left w:w="108" w:type="dxa"/>
              <w:right w:w="108" w:type="dxa"/>
            </w:tcMar>
            <w:vAlign w:val="center"/>
          </w:tcPr>
          <w:p>
            <w:pPr>
              <w:jc w:val="center"/>
              <w:rPr>
                <w:rFonts w:ascii="仿宋" w:hAnsi="仿宋" w:eastAsia="仿宋" w:cs="仿宋"/>
                <w:sz w:val="24"/>
                <w:highlight w:val="none"/>
              </w:rPr>
            </w:pP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威凯认证检测有限公司</w:t>
            </w:r>
          </w:p>
          <w:p>
            <w:pP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视频监</w:t>
            </w:r>
          </w:p>
          <w:p>
            <w:pP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饮食炊</w:t>
            </w:r>
          </w:p>
          <w:p>
            <w:pP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北京鉴衡认证中心</w:t>
            </w:r>
          </w:p>
          <w:p>
            <w:pP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restart"/>
            <w:shd w:val="clear" w:color="auto" w:fill="FFFFFF"/>
            <w:tcMar>
              <w:left w:w="108" w:type="dxa"/>
              <w:right w:w="108" w:type="dxa"/>
            </w:tcMar>
            <w:vAlign w:val="center"/>
          </w:tcPr>
          <w:p>
            <w:pPr>
              <w:rPr>
                <w:rFonts w:ascii="仿宋" w:hAnsi="仿宋" w:eastAsia="仿宋" w:cs="仿宋"/>
                <w:sz w:val="24"/>
                <w:highlight w:val="none"/>
              </w:rPr>
            </w:pPr>
            <w:r>
              <w:rPr>
                <w:rFonts w:hint="eastAsia" w:ascii="仿宋" w:hAnsi="仿宋" w:eastAsia="仿宋" w:cs="仿宋"/>
                <w:sz w:val="24"/>
                <w:highlight w:val="none"/>
              </w:rPr>
              <w:t>中国质量认证中心</w:t>
            </w:r>
          </w:p>
          <w:p>
            <w:pP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便器</w:t>
            </w:r>
          </w:p>
          <w:p>
            <w:pP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1354" w:type="dxa"/>
            <w:shd w:val="clear" w:color="auto" w:fill="FFFFFF"/>
            <w:tcMar>
              <w:left w:w="108" w:type="dxa"/>
              <w:right w:w="108" w:type="dxa"/>
            </w:tcMar>
            <w:vAlign w:val="center"/>
          </w:tcPr>
          <w:p>
            <w:pPr>
              <w:jc w:val="center"/>
              <w:rPr>
                <w:rFonts w:ascii="仿宋" w:hAnsi="仿宋" w:eastAsia="仿宋" w:cs="仿宋"/>
                <w:sz w:val="24"/>
                <w:highlight w:val="none"/>
              </w:rPr>
            </w:pPr>
          </w:p>
        </w:tc>
        <w:tc>
          <w:tcPr>
            <w:tcW w:w="3261" w:type="dxa"/>
            <w:vMerge w:val="continue"/>
            <w:shd w:val="clear" w:color="auto" w:fill="FFFFFF"/>
            <w:tcMar>
              <w:left w:w="108" w:type="dxa"/>
              <w:right w:w="108" w:type="dxa"/>
            </w:tcMar>
            <w:vAlign w:val="center"/>
          </w:tcPr>
          <w:p>
            <w:pPr>
              <w:rPr>
                <w:rFonts w:ascii="仿宋" w:hAnsi="仿宋" w:eastAsia="仿宋" w:cs="仿宋"/>
                <w:sz w:val="24"/>
                <w:highlight w:val="none"/>
              </w:rPr>
            </w:pPr>
          </w:p>
        </w:tc>
      </w:tr>
    </w:tbl>
    <w:p>
      <w:pPr>
        <w:rPr>
          <w:rFonts w:ascii="仿宋" w:hAnsi="仿宋" w:eastAsia="仿宋" w:cs="仿宋"/>
          <w:highlight w:val="none"/>
        </w:rPr>
      </w:pPr>
      <w:r>
        <w:rPr>
          <w:rFonts w:hint="eastAsia" w:ascii="仿宋" w:hAnsi="仿宋" w:eastAsia="仿宋" w:cs="仿宋"/>
          <w:highlight w:val="none"/>
        </w:rPr>
        <w:br w:type="page"/>
      </w:r>
    </w:p>
    <w:p>
      <w:pPr>
        <w:rPr>
          <w:rFonts w:ascii="仿宋" w:hAnsi="仿宋" w:eastAsia="仿宋" w:cs="仿宋"/>
          <w:sz w:val="28"/>
          <w:szCs w:val="28"/>
          <w:highlight w:val="none"/>
        </w:rPr>
      </w:pPr>
      <w:r>
        <w:rPr>
          <w:rFonts w:hint="eastAsia" w:ascii="仿宋" w:hAnsi="仿宋" w:eastAsia="仿宋" w:cs="仿宋"/>
          <w:sz w:val="28"/>
          <w:szCs w:val="28"/>
          <w:highlight w:val="none"/>
        </w:rPr>
        <w:t>附表3</w:t>
      </w:r>
    </w:p>
    <w:p>
      <w:pP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tcMar>
              <w:left w:w="108" w:type="dxa"/>
              <w:right w:w="108" w:type="dxa"/>
            </w:tcMar>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tcMar>
              <w:left w:w="108" w:type="dxa"/>
              <w:right w:w="108" w:type="dxa"/>
            </w:tcMar>
            <w:vAlign w:val="center"/>
          </w:tcPr>
          <w:p>
            <w:pP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rPr>
          <w:rFonts w:ascii="仿宋" w:hAnsi="仿宋" w:eastAsia="仿宋" w:cs="仿宋"/>
          <w:b/>
          <w:bCs/>
          <w:highlight w:val="none"/>
        </w:rPr>
      </w:pPr>
      <w:r>
        <w:rPr>
          <w:rFonts w:hint="eastAsia" w:ascii="仿宋" w:hAnsi="仿宋" w:eastAsia="仿宋" w:cs="仿宋"/>
          <w:b/>
          <w:bCs/>
          <w:highlight w:val="none"/>
        </w:rPr>
        <w:br w:type="page"/>
      </w:r>
    </w:p>
    <w:p>
      <w:pPr>
        <w:pStyle w:val="5"/>
        <w:spacing w:before="159" w:after="159"/>
        <w:rPr>
          <w:sz w:val="36"/>
          <w:szCs w:val="28"/>
          <w:highlight w:val="none"/>
        </w:rPr>
      </w:pPr>
      <w:r>
        <w:rPr>
          <w:rFonts w:hint="eastAsia"/>
          <w:sz w:val="36"/>
          <w:szCs w:val="28"/>
          <w:highlight w:val="none"/>
        </w:rPr>
        <w:t>附件十七：资格证明材料格式（参考）</w:t>
      </w:r>
      <w:bookmarkEnd w:id="63"/>
    </w:p>
    <w:p>
      <w:pPr>
        <w:snapToGrid w:val="0"/>
        <w:spacing w:line="360" w:lineRule="auto"/>
        <w:rPr>
          <w:rFonts w:ascii="仿宋" w:hAnsi="仿宋" w:eastAsia="仿宋" w:cs="仿宋"/>
          <w:sz w:val="28"/>
          <w:szCs w:val="28"/>
          <w:highlight w:val="none"/>
        </w:rPr>
      </w:pPr>
      <w:bookmarkStart w:id="64" w:name="_Toc24753"/>
      <w:r>
        <w:rPr>
          <w:rFonts w:hint="eastAsia" w:ascii="仿宋" w:hAnsi="仿宋" w:eastAsia="仿宋" w:cs="仿宋"/>
          <w:sz w:val="28"/>
          <w:szCs w:val="28"/>
          <w:highlight w:val="none"/>
        </w:rPr>
        <w:t>供应商应提供能够证明符合资格条件的下列材料：</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w:t>
      </w:r>
      <w:r>
        <w:rPr>
          <w:rFonts w:hint="eastAsia" w:ascii="仿宋" w:hAnsi="仿宋" w:eastAsia="仿宋" w:cs="仿宋"/>
          <w:sz w:val="26"/>
          <w:szCs w:val="26"/>
          <w:highlight w:val="none"/>
        </w:rPr>
        <w:t>供应商所投产品为进口产品的，须提供制造商授权委托书。</w:t>
      </w:r>
    </w:p>
    <w:p>
      <w:pPr>
        <w:spacing w:line="360" w:lineRule="auto"/>
        <w:rPr>
          <w:sz w:val="32"/>
          <w:szCs w:val="28"/>
          <w:highlight w:val="none"/>
        </w:rPr>
      </w:pPr>
      <w:r>
        <w:rPr>
          <w:rFonts w:hint="eastAsia" w:ascii="仿宋" w:hAnsi="仿宋" w:eastAsia="仿宋" w:cs="仿宋"/>
          <w:sz w:val="28"/>
          <w:szCs w:val="28"/>
          <w:highlight w:val="none"/>
        </w:rPr>
        <w:t>（10）供应商符合法律、行政法规规定的其它要求。</w:t>
      </w:r>
      <w:r>
        <w:rPr>
          <w:rFonts w:hint="eastAsia"/>
          <w:sz w:val="32"/>
          <w:szCs w:val="28"/>
          <w:highlight w:val="none"/>
        </w:rPr>
        <w:br w:type="page"/>
      </w:r>
    </w:p>
    <w:p>
      <w:pPr>
        <w:pStyle w:val="6"/>
        <w:numPr>
          <w:ilvl w:val="0"/>
          <w:numId w:val="24"/>
        </w:numPr>
        <w:ind w:firstLine="643"/>
        <w:rPr>
          <w:sz w:val="32"/>
          <w:szCs w:val="28"/>
          <w:highlight w:val="none"/>
        </w:rPr>
      </w:pPr>
      <w:r>
        <w:rPr>
          <w:rFonts w:hint="eastAsia"/>
          <w:sz w:val="32"/>
          <w:szCs w:val="28"/>
          <w:highlight w:val="none"/>
        </w:rPr>
        <w:t>参加政府采购活动前三年内在经营活动中没有重大违法记录的书面声明</w:t>
      </w:r>
      <w:bookmarkEnd w:id="64"/>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rPr>
          <w:rFonts w:ascii="仿宋" w:hAnsi="仿宋" w:eastAsia="仿宋" w:cs="仿宋"/>
          <w:sz w:val="28"/>
          <w:szCs w:val="28"/>
          <w:highlight w:val="none"/>
        </w:rPr>
      </w:pPr>
    </w:p>
    <w:p>
      <w:pPr>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rPr>
          <w:rFonts w:ascii="仿宋" w:hAnsi="仿宋" w:eastAsia="仿宋" w:cs="仿宋"/>
          <w:sz w:val="28"/>
          <w:szCs w:val="28"/>
          <w:highlight w:val="none"/>
        </w:rPr>
      </w:pPr>
    </w:p>
    <w:p>
      <w:pP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rPr>
          <w:sz w:val="22"/>
          <w:szCs w:val="28"/>
          <w:highlight w:val="none"/>
        </w:rPr>
      </w:pPr>
      <w:r>
        <w:rPr>
          <w:rFonts w:hint="eastAsia"/>
          <w:sz w:val="22"/>
          <w:szCs w:val="28"/>
          <w:highlight w:val="none"/>
        </w:rPr>
        <w:br w:type="page"/>
      </w:r>
    </w:p>
    <w:p>
      <w:pPr>
        <w:pStyle w:val="6"/>
        <w:numPr>
          <w:ilvl w:val="0"/>
          <w:numId w:val="24"/>
        </w:numPr>
        <w:ind w:firstLine="643"/>
        <w:rPr>
          <w:sz w:val="32"/>
          <w:szCs w:val="28"/>
          <w:highlight w:val="none"/>
        </w:rPr>
      </w:pPr>
      <w:bookmarkStart w:id="65" w:name="_Toc23872"/>
      <w:r>
        <w:rPr>
          <w:rFonts w:hint="eastAsia"/>
          <w:sz w:val="32"/>
          <w:szCs w:val="28"/>
          <w:highlight w:val="none"/>
        </w:rPr>
        <w:t>供应商不存在关联关系声明</w:t>
      </w:r>
      <w:bookmarkEnd w:id="65"/>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numPr>
          <w:ilvl w:val="0"/>
          <w:numId w:val="25"/>
        </w:num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sz w:val="22"/>
          <w:szCs w:val="28"/>
          <w:highlight w:val="none"/>
        </w:rPr>
      </w:pPr>
      <w:r>
        <w:rPr>
          <w:rFonts w:hint="eastAsia"/>
          <w:sz w:val="22"/>
          <w:szCs w:val="28"/>
          <w:highlight w:val="none"/>
        </w:rPr>
        <w:br w:type="page"/>
      </w:r>
    </w:p>
    <w:p>
      <w:pPr>
        <w:pStyle w:val="6"/>
        <w:numPr>
          <w:ilvl w:val="0"/>
          <w:numId w:val="24"/>
        </w:numPr>
        <w:ind w:firstLine="643"/>
        <w:rPr>
          <w:sz w:val="32"/>
          <w:szCs w:val="28"/>
          <w:highlight w:val="none"/>
        </w:rPr>
      </w:pPr>
      <w:bookmarkStart w:id="66" w:name="_Toc11401"/>
      <w:r>
        <w:rPr>
          <w:sz w:val="32"/>
          <w:szCs w:val="28"/>
          <w:highlight w:val="none"/>
        </w:rPr>
        <w:t>不存在禁止参加政府采购活动情形的书面声明</w:t>
      </w:r>
      <w:bookmarkEnd w:id="66"/>
    </w:p>
    <w:p>
      <w:pP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ind w:firstLine="560" w:firstLineChars="200"/>
        <w:rPr>
          <w:rFonts w:ascii="仿宋" w:hAnsi="仿宋" w:eastAsia="仿宋" w:cs="仿宋"/>
          <w:sz w:val="28"/>
          <w:szCs w:val="28"/>
          <w:highlight w:val="none"/>
        </w:rPr>
      </w:pPr>
    </w:p>
    <w:p>
      <w:pPr>
        <w:ind w:firstLine="560" w:firstLineChars="200"/>
        <w:rPr>
          <w:rFonts w:ascii="仿宋" w:hAnsi="仿宋" w:eastAsia="仿宋" w:cs="仿宋"/>
          <w:sz w:val="28"/>
          <w:szCs w:val="28"/>
          <w:highlight w:val="none"/>
        </w:rPr>
      </w:pP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highlight w:val="none"/>
        </w:rPr>
      </w:pPr>
      <w:r>
        <w:rPr>
          <w:rFonts w:hint="eastAsia"/>
          <w:highlight w:val="none"/>
        </w:rPr>
        <w:br w:type="page"/>
      </w:r>
    </w:p>
    <w:p>
      <w:pPr>
        <w:pStyle w:val="6"/>
        <w:numPr>
          <w:ilvl w:val="0"/>
          <w:numId w:val="24"/>
        </w:numPr>
        <w:ind w:firstLine="643"/>
        <w:rPr>
          <w:rFonts w:hint="eastAsia"/>
          <w:sz w:val="32"/>
          <w:szCs w:val="28"/>
          <w:highlight w:val="none"/>
        </w:rPr>
      </w:pPr>
      <w:bookmarkStart w:id="67" w:name="_Toc19709"/>
      <w:r>
        <w:rPr>
          <w:rFonts w:hint="eastAsia"/>
          <w:sz w:val="32"/>
          <w:szCs w:val="28"/>
          <w:highlight w:val="none"/>
        </w:rPr>
        <w:t>具备履行合同所必需的设备和专业技术能力承诺书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ind w:left="2100" w:leftChars="1000"/>
        <w:rPr>
          <w:rFonts w:ascii="仿宋" w:hAnsi="仿宋" w:eastAsia="仿宋" w:cs="仿宋"/>
          <w:sz w:val="28"/>
          <w:szCs w:val="28"/>
          <w:highlight w:val="none"/>
        </w:rPr>
      </w:pPr>
    </w:p>
    <w:p>
      <w:pP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rPr>
          <w:rFonts w:hint="eastAsia"/>
          <w:sz w:val="36"/>
          <w:szCs w:val="28"/>
          <w:highlight w:val="none"/>
        </w:rPr>
      </w:pPr>
    </w:p>
    <w:p>
      <w:pPr>
        <w:rPr>
          <w:rFonts w:hint="eastAsia"/>
          <w:sz w:val="36"/>
          <w:szCs w:val="28"/>
          <w:highlight w:val="none"/>
        </w:rPr>
      </w:pPr>
      <w:r>
        <w:rPr>
          <w:rFonts w:hint="eastAsia"/>
          <w:sz w:val="36"/>
          <w:szCs w:val="28"/>
          <w:highlight w:val="none"/>
        </w:rPr>
        <w:br w:type="page"/>
      </w:r>
    </w:p>
    <w:p>
      <w:pPr>
        <w:pStyle w:val="5"/>
        <w:spacing w:before="159" w:after="159"/>
        <w:rPr>
          <w:sz w:val="36"/>
          <w:szCs w:val="28"/>
          <w:highlight w:val="none"/>
        </w:rPr>
      </w:pPr>
      <w:r>
        <w:rPr>
          <w:rFonts w:hint="eastAsia"/>
          <w:sz w:val="36"/>
          <w:szCs w:val="28"/>
          <w:highlight w:val="none"/>
        </w:rPr>
        <w:t>附件十八：投标文件密封封套标记格式</w:t>
      </w:r>
      <w:bookmarkEnd w:id="6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（正本）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（副本）</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（开标一览表）</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c>
          <w:tcPr>
            <w:tcW w:w="4258" w:type="dxa"/>
          </w:tcPr>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投标文件</w:t>
            </w:r>
          </w:p>
          <w:p>
            <w:pPr>
              <w:jc w:val="cente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（电子版）</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项目编号：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项目名称：</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包号：</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供应商名称（公章）：</w:t>
            </w:r>
          </w:p>
          <w:p>
            <w:pPr>
              <w:rPr>
                <w:rFonts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地址：</w:t>
            </w:r>
          </w:p>
          <w:p>
            <w:pPr>
              <w:rPr>
                <w:sz w:val="22"/>
                <w:szCs w:val="28"/>
                <w:highlight w:val="none"/>
              </w:rPr>
            </w:pPr>
            <w:r>
              <w:rPr>
                <w:rFonts w:hint="eastAsia" w:ascii="华文中宋" w:hAnsi="华文中宋" w:eastAsia="华文中宋" w:cs="华文中宋"/>
                <w:sz w:val="28"/>
                <w:szCs w:val="28"/>
                <w:highlight w:val="none"/>
              </w:rPr>
              <w:t>电话：</w:t>
            </w:r>
          </w:p>
        </w:tc>
      </w:tr>
    </w:tbl>
    <w:p>
      <w:pPr>
        <w:rPr>
          <w:rFonts w:ascii="黑体" w:hAnsi="黑体" w:eastAsia="黑体" w:cs="黑体"/>
          <w:sz w:val="32"/>
          <w:szCs w:val="32"/>
          <w:highlight w:val="none"/>
        </w:rPr>
      </w:pPr>
    </w:p>
    <w:p>
      <w:pPr>
        <w:rPr>
          <w:rFonts w:ascii="黑体" w:hAnsi="黑体" w:eastAsia="黑体" w:cs="黑体"/>
          <w:sz w:val="32"/>
          <w:szCs w:val="32"/>
          <w:highlight w:val="none"/>
        </w:rPr>
      </w:pPr>
      <w:r>
        <w:rPr>
          <w:rFonts w:hint="eastAsia" w:ascii="黑体" w:hAnsi="黑体" w:eastAsia="黑体" w:cs="黑体"/>
          <w:sz w:val="32"/>
          <w:szCs w:val="32"/>
          <w:highlight w:val="none"/>
        </w:rPr>
        <w:t>封条格式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jc w:val="center"/>
              <w:rPr>
                <w:rFonts w:ascii="华文中宋" w:hAnsi="华文中宋" w:eastAsia="华文中宋" w:cs="华文中宋"/>
                <w:sz w:val="24"/>
                <w:highlight w:val="none"/>
              </w:rPr>
            </w:pPr>
            <w:r>
              <w:rPr>
                <w:rFonts w:hint="eastAsia" w:ascii="华文中宋" w:hAnsi="华文中宋" w:eastAsia="华文中宋" w:cs="华文中宋"/>
                <w:sz w:val="24"/>
                <w:highlight w:val="none"/>
              </w:rPr>
              <w:t>………于    年   月   日   时   分之前不准启封（公章）………</w:t>
            </w:r>
          </w:p>
        </w:tc>
      </w:tr>
    </w:tbl>
    <w:p>
      <w:pP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87C4A6C8"/>
    <w:multiLevelType w:val="singleLevel"/>
    <w:tmpl w:val="87C4A6C8"/>
    <w:lvl w:ilvl="0" w:tentative="0">
      <w:start w:val="1"/>
      <w:numFmt w:val="chineseCounting"/>
      <w:suff w:val="nothing"/>
      <w:lvlText w:val="（%1）"/>
      <w:lvlJc w:val="left"/>
      <w:pPr>
        <w:ind w:left="420"/>
      </w:pPr>
      <w:rPr>
        <w:rFonts w:hint="eastAsia"/>
      </w:rPr>
    </w:lvl>
  </w:abstractNum>
  <w:abstractNum w:abstractNumId="2">
    <w:nsid w:val="94FAF84E"/>
    <w:multiLevelType w:val="singleLevel"/>
    <w:tmpl w:val="94FAF84E"/>
    <w:lvl w:ilvl="0" w:tentative="0">
      <w:start w:val="1"/>
      <w:numFmt w:val="decimal"/>
      <w:suff w:val="nothing"/>
      <w:lvlText w:val="（%1）"/>
      <w:lvlJc w:val="left"/>
    </w:lvl>
  </w:abstractNum>
  <w:abstractNum w:abstractNumId="3">
    <w:nsid w:val="BBEAC1AD"/>
    <w:multiLevelType w:val="singleLevel"/>
    <w:tmpl w:val="BBEAC1AD"/>
    <w:lvl w:ilvl="0" w:tentative="0">
      <w:start w:val="1"/>
      <w:numFmt w:val="decimal"/>
      <w:suff w:val="nothing"/>
      <w:lvlText w:val="%1"/>
      <w:lvlJc w:val="left"/>
      <w:pPr>
        <w:ind w:left="17" w:firstLine="403"/>
      </w:pPr>
      <w:rPr>
        <w:rFonts w:hint="default"/>
      </w:rPr>
    </w:lvl>
  </w:abstractNum>
  <w:abstractNum w:abstractNumId="4">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5">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6">
    <w:nsid w:val="E2B6C38B"/>
    <w:multiLevelType w:val="singleLevel"/>
    <w:tmpl w:val="E2B6C38B"/>
    <w:lvl w:ilvl="0" w:tentative="0">
      <w:start w:val="1"/>
      <w:numFmt w:val="decimal"/>
      <w:suff w:val="nothing"/>
      <w:lvlText w:val="%1"/>
      <w:lvlJc w:val="left"/>
      <w:pPr>
        <w:ind w:left="17" w:firstLine="403"/>
      </w:pPr>
      <w:rPr>
        <w:rFonts w:hint="default"/>
      </w:rPr>
    </w:lvl>
  </w:abstractNum>
  <w:abstractNum w:abstractNumId="7">
    <w:nsid w:val="E99DE957"/>
    <w:multiLevelType w:val="singleLevel"/>
    <w:tmpl w:val="E99DE957"/>
    <w:lvl w:ilvl="0" w:tentative="0">
      <w:start w:val="1"/>
      <w:numFmt w:val="chineseCounting"/>
      <w:suff w:val="nothing"/>
      <w:lvlText w:val="%1、"/>
      <w:lvlJc w:val="left"/>
      <w:rPr>
        <w:rFonts w:hint="eastAsia"/>
      </w:rPr>
    </w:lvl>
  </w:abstractNum>
  <w:abstractNum w:abstractNumId="8">
    <w:nsid w:val="F06F0C77"/>
    <w:multiLevelType w:val="singleLevel"/>
    <w:tmpl w:val="F06F0C77"/>
    <w:lvl w:ilvl="0" w:tentative="0">
      <w:start w:val="1"/>
      <w:numFmt w:val="decimal"/>
      <w:suff w:val="nothing"/>
      <w:lvlText w:val="%1、"/>
      <w:lvlJc w:val="left"/>
    </w:lvl>
  </w:abstractNum>
  <w:abstractNum w:abstractNumId="9">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10">
    <w:nsid w:val="092C0995"/>
    <w:multiLevelType w:val="singleLevel"/>
    <w:tmpl w:val="092C0995"/>
    <w:lvl w:ilvl="0" w:tentative="0">
      <w:start w:val="1"/>
      <w:numFmt w:val="decimal"/>
      <w:suff w:val="nothing"/>
      <w:lvlText w:val="（%1）"/>
      <w:lvlJc w:val="left"/>
    </w:lvl>
  </w:abstractNum>
  <w:abstractNum w:abstractNumId="11">
    <w:nsid w:val="09FD4165"/>
    <w:multiLevelType w:val="singleLevel"/>
    <w:tmpl w:val="09FD4165"/>
    <w:lvl w:ilvl="0" w:tentative="0">
      <w:start w:val="1"/>
      <w:numFmt w:val="decimal"/>
      <w:suff w:val="nothing"/>
      <w:lvlText w:val="（%1）"/>
      <w:lvlJc w:val="left"/>
    </w:lvl>
  </w:abstractNum>
  <w:abstractNum w:abstractNumId="12">
    <w:nsid w:val="1198D91C"/>
    <w:multiLevelType w:val="singleLevel"/>
    <w:tmpl w:val="1198D91C"/>
    <w:lvl w:ilvl="0" w:tentative="0">
      <w:start w:val="1"/>
      <w:numFmt w:val="decimal"/>
      <w:lvlText w:val="%1."/>
      <w:lvlJc w:val="left"/>
      <w:pPr>
        <w:ind w:left="425" w:hanging="425"/>
      </w:pPr>
      <w:rPr>
        <w:rFonts w:hint="default"/>
      </w:rPr>
    </w:lvl>
  </w:abstractNum>
  <w:abstractNum w:abstractNumId="13">
    <w:nsid w:val="1CAE17B4"/>
    <w:multiLevelType w:val="singleLevel"/>
    <w:tmpl w:val="1CAE17B4"/>
    <w:lvl w:ilvl="0" w:tentative="0">
      <w:start w:val="1"/>
      <w:numFmt w:val="decimal"/>
      <w:lvlText w:val="%1."/>
      <w:lvlJc w:val="left"/>
      <w:pPr>
        <w:ind w:left="425" w:hanging="425"/>
      </w:pPr>
      <w:rPr>
        <w:rFonts w:hint="default"/>
      </w:rPr>
    </w:lvl>
  </w:abstractNum>
  <w:abstractNum w:abstractNumId="14">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5">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E6C82FE"/>
    <w:multiLevelType w:val="singleLevel"/>
    <w:tmpl w:val="2E6C82FE"/>
    <w:lvl w:ilvl="0" w:tentative="0">
      <w:start w:val="1"/>
      <w:numFmt w:val="chineseCounting"/>
      <w:suff w:val="nothing"/>
      <w:lvlText w:val="%1、"/>
      <w:lvlJc w:val="left"/>
      <w:rPr>
        <w:rFonts w:hint="eastAsia"/>
      </w:rPr>
    </w:lvl>
  </w:abstractNum>
  <w:abstractNum w:abstractNumId="17">
    <w:nsid w:val="3E2AC779"/>
    <w:multiLevelType w:val="singleLevel"/>
    <w:tmpl w:val="3E2AC779"/>
    <w:lvl w:ilvl="0" w:tentative="0">
      <w:start w:val="1"/>
      <w:numFmt w:val="decimal"/>
      <w:suff w:val="nothing"/>
      <w:lvlText w:val="（%1）"/>
      <w:lvlJc w:val="left"/>
    </w:lvl>
  </w:abstractNum>
  <w:abstractNum w:abstractNumId="18">
    <w:nsid w:val="3E3D6081"/>
    <w:multiLevelType w:val="singleLevel"/>
    <w:tmpl w:val="3E3D6081"/>
    <w:lvl w:ilvl="0" w:tentative="0">
      <w:start w:val="1"/>
      <w:numFmt w:val="decimal"/>
      <w:suff w:val="nothing"/>
      <w:lvlText w:val="（%1）"/>
      <w:lvlJc w:val="left"/>
    </w:lvl>
  </w:abstractNum>
  <w:abstractNum w:abstractNumId="19">
    <w:nsid w:val="42B27805"/>
    <w:multiLevelType w:val="singleLevel"/>
    <w:tmpl w:val="42B27805"/>
    <w:lvl w:ilvl="0" w:tentative="0">
      <w:start w:val="1"/>
      <w:numFmt w:val="decimal"/>
      <w:suff w:val="nothing"/>
      <w:lvlText w:val="%1、"/>
      <w:lvlJc w:val="left"/>
    </w:lvl>
  </w:abstractNum>
  <w:abstractNum w:abstractNumId="20">
    <w:nsid w:val="48117AEE"/>
    <w:multiLevelType w:val="singleLevel"/>
    <w:tmpl w:val="48117AEE"/>
    <w:lvl w:ilvl="0" w:tentative="0">
      <w:start w:val="1"/>
      <w:numFmt w:val="chineseCounting"/>
      <w:suff w:val="nothing"/>
      <w:lvlText w:val="（%1）"/>
      <w:lvlJc w:val="left"/>
      <w:rPr>
        <w:rFonts w:hint="eastAsia"/>
      </w:rPr>
    </w:lvl>
  </w:abstractNum>
  <w:abstractNum w:abstractNumId="21">
    <w:nsid w:val="535DF3F7"/>
    <w:multiLevelType w:val="singleLevel"/>
    <w:tmpl w:val="535DF3F7"/>
    <w:lvl w:ilvl="0" w:tentative="0">
      <w:start w:val="1"/>
      <w:numFmt w:val="chineseCounting"/>
      <w:suff w:val="nothing"/>
      <w:lvlText w:val="%1、"/>
      <w:lvlJc w:val="left"/>
      <w:rPr>
        <w:rFonts w:hint="eastAsia"/>
      </w:rPr>
    </w:lvl>
  </w:abstractNum>
  <w:abstractNum w:abstractNumId="22">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23">
    <w:nsid w:val="6BB823B2"/>
    <w:multiLevelType w:val="singleLevel"/>
    <w:tmpl w:val="6BB823B2"/>
    <w:lvl w:ilvl="0" w:tentative="0">
      <w:start w:val="2"/>
      <w:numFmt w:val="chineseCounting"/>
      <w:suff w:val="space"/>
      <w:lvlText w:val="第%1章"/>
      <w:lvlJc w:val="left"/>
      <w:rPr>
        <w:rFonts w:hint="eastAsia"/>
      </w:rPr>
    </w:lvl>
  </w:abstractNum>
  <w:abstractNum w:abstractNumId="24">
    <w:nsid w:val="74FB255C"/>
    <w:multiLevelType w:val="singleLevel"/>
    <w:tmpl w:val="74FB255C"/>
    <w:lvl w:ilvl="0" w:tentative="0">
      <w:start w:val="1"/>
      <w:numFmt w:val="chineseCounting"/>
      <w:suff w:val="space"/>
      <w:lvlText w:val="第%1部分"/>
      <w:lvlJc w:val="left"/>
      <w:rPr>
        <w:rFonts w:hint="eastAsia"/>
      </w:rPr>
    </w:lvl>
  </w:abstractNum>
  <w:num w:numId="1">
    <w:abstractNumId w:val="24"/>
  </w:num>
  <w:num w:numId="2">
    <w:abstractNumId w:val="7"/>
  </w:num>
  <w:num w:numId="3">
    <w:abstractNumId w:val="0"/>
  </w:num>
  <w:num w:numId="4">
    <w:abstractNumId w:val="14"/>
  </w:num>
  <w:num w:numId="5">
    <w:abstractNumId w:val="8"/>
  </w:num>
  <w:num w:numId="6">
    <w:abstractNumId w:val="23"/>
  </w:num>
  <w:num w:numId="7">
    <w:abstractNumId w:val="22"/>
  </w:num>
  <w:num w:numId="8">
    <w:abstractNumId w:val="13"/>
  </w:num>
  <w:num w:numId="9">
    <w:abstractNumId w:val="18"/>
  </w:num>
  <w:num w:numId="10">
    <w:abstractNumId w:val="2"/>
  </w:num>
  <w:num w:numId="11">
    <w:abstractNumId w:val="21"/>
  </w:num>
  <w:num w:numId="12">
    <w:abstractNumId w:val="17"/>
  </w:num>
  <w:num w:numId="13">
    <w:abstractNumId w:val="10"/>
  </w:num>
  <w:num w:numId="14">
    <w:abstractNumId w:val="16"/>
  </w:num>
  <w:num w:numId="15">
    <w:abstractNumId w:val="4"/>
  </w:num>
  <w:num w:numId="16">
    <w:abstractNumId w:val="20"/>
  </w:num>
  <w:num w:numId="17">
    <w:abstractNumId w:val="15"/>
  </w:num>
  <w:num w:numId="18">
    <w:abstractNumId w:val="12"/>
  </w:num>
  <w:num w:numId="19">
    <w:abstractNumId w:val="1"/>
  </w:num>
  <w:num w:numId="20">
    <w:abstractNumId w:val="5"/>
  </w:num>
  <w:num w:numId="21">
    <w:abstractNumId w:val="3"/>
  </w:num>
  <w:num w:numId="22">
    <w:abstractNumId w:val="6"/>
  </w:num>
  <w:num w:numId="23">
    <w:abstractNumId w:val="9"/>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0F9E6945"/>
    <w:rsid w:val="00042DC2"/>
    <w:rsid w:val="0025161E"/>
    <w:rsid w:val="003F2474"/>
    <w:rsid w:val="00793413"/>
    <w:rsid w:val="008F6CDF"/>
    <w:rsid w:val="00B01A4E"/>
    <w:rsid w:val="00BC2FD6"/>
    <w:rsid w:val="010B4C70"/>
    <w:rsid w:val="0166176F"/>
    <w:rsid w:val="017316D6"/>
    <w:rsid w:val="017338C8"/>
    <w:rsid w:val="017D3C54"/>
    <w:rsid w:val="01856EBB"/>
    <w:rsid w:val="01891A58"/>
    <w:rsid w:val="01914207"/>
    <w:rsid w:val="02045673"/>
    <w:rsid w:val="02320CD2"/>
    <w:rsid w:val="02423C4A"/>
    <w:rsid w:val="02677FB9"/>
    <w:rsid w:val="02D45F6D"/>
    <w:rsid w:val="030E6D56"/>
    <w:rsid w:val="0367585D"/>
    <w:rsid w:val="03B56657"/>
    <w:rsid w:val="03ED646F"/>
    <w:rsid w:val="03FE05ED"/>
    <w:rsid w:val="042B5A8A"/>
    <w:rsid w:val="049108AB"/>
    <w:rsid w:val="04E850BB"/>
    <w:rsid w:val="051017B6"/>
    <w:rsid w:val="05760B31"/>
    <w:rsid w:val="057B56AA"/>
    <w:rsid w:val="05A57610"/>
    <w:rsid w:val="066607A8"/>
    <w:rsid w:val="06951A2A"/>
    <w:rsid w:val="06BC2EEB"/>
    <w:rsid w:val="06E76A08"/>
    <w:rsid w:val="07BC5F66"/>
    <w:rsid w:val="08042ADE"/>
    <w:rsid w:val="081656C8"/>
    <w:rsid w:val="08630412"/>
    <w:rsid w:val="08773C59"/>
    <w:rsid w:val="08B649EF"/>
    <w:rsid w:val="08B77900"/>
    <w:rsid w:val="08C55445"/>
    <w:rsid w:val="08CA79E4"/>
    <w:rsid w:val="08F04086"/>
    <w:rsid w:val="09273D9C"/>
    <w:rsid w:val="09331C3C"/>
    <w:rsid w:val="096430D6"/>
    <w:rsid w:val="09684744"/>
    <w:rsid w:val="09746B49"/>
    <w:rsid w:val="09FF529A"/>
    <w:rsid w:val="0A9A7FC7"/>
    <w:rsid w:val="0AAE008A"/>
    <w:rsid w:val="0AC02960"/>
    <w:rsid w:val="0AEB1055"/>
    <w:rsid w:val="0B166E82"/>
    <w:rsid w:val="0B3227DE"/>
    <w:rsid w:val="0B3A7AAB"/>
    <w:rsid w:val="0B3F244B"/>
    <w:rsid w:val="0B3F2FBC"/>
    <w:rsid w:val="0B44031D"/>
    <w:rsid w:val="0B7A250D"/>
    <w:rsid w:val="0BAF056F"/>
    <w:rsid w:val="0BDF168A"/>
    <w:rsid w:val="0BED19FB"/>
    <w:rsid w:val="0BEE1958"/>
    <w:rsid w:val="0C047F37"/>
    <w:rsid w:val="0C0E1D88"/>
    <w:rsid w:val="0C8676FF"/>
    <w:rsid w:val="0CAD4C6C"/>
    <w:rsid w:val="0CB16402"/>
    <w:rsid w:val="0CB367E8"/>
    <w:rsid w:val="0D0F50F9"/>
    <w:rsid w:val="0D3222D3"/>
    <w:rsid w:val="0D6A5F78"/>
    <w:rsid w:val="0E244923"/>
    <w:rsid w:val="0E76548A"/>
    <w:rsid w:val="0E9252B5"/>
    <w:rsid w:val="0E947FED"/>
    <w:rsid w:val="0EA50A23"/>
    <w:rsid w:val="0EC0770C"/>
    <w:rsid w:val="0EC15FF0"/>
    <w:rsid w:val="0EE83BE3"/>
    <w:rsid w:val="0EEC54CF"/>
    <w:rsid w:val="0F0800EA"/>
    <w:rsid w:val="0F846560"/>
    <w:rsid w:val="0F9E6945"/>
    <w:rsid w:val="0FD40AB1"/>
    <w:rsid w:val="0FE76316"/>
    <w:rsid w:val="104A629A"/>
    <w:rsid w:val="1053332C"/>
    <w:rsid w:val="105519AE"/>
    <w:rsid w:val="10831630"/>
    <w:rsid w:val="110B56B0"/>
    <w:rsid w:val="114C4C3C"/>
    <w:rsid w:val="1161345D"/>
    <w:rsid w:val="119637A3"/>
    <w:rsid w:val="11B76268"/>
    <w:rsid w:val="11CF5A3A"/>
    <w:rsid w:val="11EF609C"/>
    <w:rsid w:val="12226661"/>
    <w:rsid w:val="12282CC2"/>
    <w:rsid w:val="125508A2"/>
    <w:rsid w:val="125D0F08"/>
    <w:rsid w:val="12AF79F1"/>
    <w:rsid w:val="12C467FC"/>
    <w:rsid w:val="12E71167"/>
    <w:rsid w:val="136372D4"/>
    <w:rsid w:val="139B365F"/>
    <w:rsid w:val="13AD4BF5"/>
    <w:rsid w:val="13BF2B85"/>
    <w:rsid w:val="13C058EC"/>
    <w:rsid w:val="14100E11"/>
    <w:rsid w:val="141677D8"/>
    <w:rsid w:val="14C66AE3"/>
    <w:rsid w:val="14EB372B"/>
    <w:rsid w:val="151C05CE"/>
    <w:rsid w:val="157C0937"/>
    <w:rsid w:val="158C6D67"/>
    <w:rsid w:val="159223E7"/>
    <w:rsid w:val="15965452"/>
    <w:rsid w:val="159A7B3B"/>
    <w:rsid w:val="15A4508C"/>
    <w:rsid w:val="15B6041C"/>
    <w:rsid w:val="161D1D38"/>
    <w:rsid w:val="1630011F"/>
    <w:rsid w:val="165805A1"/>
    <w:rsid w:val="16645AC9"/>
    <w:rsid w:val="16670C5B"/>
    <w:rsid w:val="1675749B"/>
    <w:rsid w:val="169200D9"/>
    <w:rsid w:val="16B714BA"/>
    <w:rsid w:val="16CB1F9C"/>
    <w:rsid w:val="16E648E1"/>
    <w:rsid w:val="170065F8"/>
    <w:rsid w:val="17140135"/>
    <w:rsid w:val="177644E5"/>
    <w:rsid w:val="177E6ED8"/>
    <w:rsid w:val="179B2189"/>
    <w:rsid w:val="179E0AB2"/>
    <w:rsid w:val="17A54DC9"/>
    <w:rsid w:val="17B324F3"/>
    <w:rsid w:val="17E66FF6"/>
    <w:rsid w:val="17FB5ED1"/>
    <w:rsid w:val="17FB65A3"/>
    <w:rsid w:val="17FC5CDB"/>
    <w:rsid w:val="185F52BC"/>
    <w:rsid w:val="18CD2D4B"/>
    <w:rsid w:val="190C2310"/>
    <w:rsid w:val="194633D7"/>
    <w:rsid w:val="195D7FB8"/>
    <w:rsid w:val="199145EF"/>
    <w:rsid w:val="1991782E"/>
    <w:rsid w:val="19EE2763"/>
    <w:rsid w:val="1A5F2A47"/>
    <w:rsid w:val="1ACD50FF"/>
    <w:rsid w:val="1AD90757"/>
    <w:rsid w:val="1AE22C33"/>
    <w:rsid w:val="1B001D6F"/>
    <w:rsid w:val="1B063DBD"/>
    <w:rsid w:val="1B1E34D8"/>
    <w:rsid w:val="1B8B17E3"/>
    <w:rsid w:val="1B9F3E3B"/>
    <w:rsid w:val="1C1474DC"/>
    <w:rsid w:val="1C3B1844"/>
    <w:rsid w:val="1C3C7D6D"/>
    <w:rsid w:val="1CE0353F"/>
    <w:rsid w:val="1D9E20B3"/>
    <w:rsid w:val="1E0F2BF2"/>
    <w:rsid w:val="1E4E745E"/>
    <w:rsid w:val="1E9F75C1"/>
    <w:rsid w:val="1F046865"/>
    <w:rsid w:val="1F8E15B2"/>
    <w:rsid w:val="1F996BEF"/>
    <w:rsid w:val="1FB3612C"/>
    <w:rsid w:val="1FCE7695"/>
    <w:rsid w:val="1FD82C93"/>
    <w:rsid w:val="1FF6054A"/>
    <w:rsid w:val="20222154"/>
    <w:rsid w:val="20403221"/>
    <w:rsid w:val="204D5EE5"/>
    <w:rsid w:val="205E2895"/>
    <w:rsid w:val="20652803"/>
    <w:rsid w:val="207520F5"/>
    <w:rsid w:val="20CD4199"/>
    <w:rsid w:val="218F6E59"/>
    <w:rsid w:val="21A3214D"/>
    <w:rsid w:val="21E73701"/>
    <w:rsid w:val="21EF1A14"/>
    <w:rsid w:val="21F17C02"/>
    <w:rsid w:val="22462F38"/>
    <w:rsid w:val="225E405F"/>
    <w:rsid w:val="227F5B18"/>
    <w:rsid w:val="22891C77"/>
    <w:rsid w:val="22920ECA"/>
    <w:rsid w:val="229932B8"/>
    <w:rsid w:val="229F1624"/>
    <w:rsid w:val="23307A4C"/>
    <w:rsid w:val="233E2112"/>
    <w:rsid w:val="23632698"/>
    <w:rsid w:val="237164F7"/>
    <w:rsid w:val="23901A3B"/>
    <w:rsid w:val="23A42F15"/>
    <w:rsid w:val="2424538D"/>
    <w:rsid w:val="245A3471"/>
    <w:rsid w:val="24703714"/>
    <w:rsid w:val="249F70F9"/>
    <w:rsid w:val="24A63BFF"/>
    <w:rsid w:val="24F43D8A"/>
    <w:rsid w:val="2535731C"/>
    <w:rsid w:val="254C2A3F"/>
    <w:rsid w:val="25922771"/>
    <w:rsid w:val="25C8703D"/>
    <w:rsid w:val="25F419CB"/>
    <w:rsid w:val="261B0C3D"/>
    <w:rsid w:val="2627274E"/>
    <w:rsid w:val="27026C4C"/>
    <w:rsid w:val="27631D57"/>
    <w:rsid w:val="27916A6C"/>
    <w:rsid w:val="27A03EB6"/>
    <w:rsid w:val="27D46B2A"/>
    <w:rsid w:val="27D730C2"/>
    <w:rsid w:val="28032459"/>
    <w:rsid w:val="280D095E"/>
    <w:rsid w:val="280F00F6"/>
    <w:rsid w:val="2820392C"/>
    <w:rsid w:val="283E2D9E"/>
    <w:rsid w:val="283F1296"/>
    <w:rsid w:val="28506F1C"/>
    <w:rsid w:val="288323B7"/>
    <w:rsid w:val="289219F7"/>
    <w:rsid w:val="2893599D"/>
    <w:rsid w:val="2898607F"/>
    <w:rsid w:val="28A61362"/>
    <w:rsid w:val="29187CC6"/>
    <w:rsid w:val="29631B98"/>
    <w:rsid w:val="29B25700"/>
    <w:rsid w:val="29F560BE"/>
    <w:rsid w:val="2A0665E7"/>
    <w:rsid w:val="2A10391F"/>
    <w:rsid w:val="2A851BED"/>
    <w:rsid w:val="2AC256A3"/>
    <w:rsid w:val="2AD92949"/>
    <w:rsid w:val="2B3B7F4D"/>
    <w:rsid w:val="2B58159A"/>
    <w:rsid w:val="2BC80B80"/>
    <w:rsid w:val="2BE52063"/>
    <w:rsid w:val="2BE65951"/>
    <w:rsid w:val="2BF355D4"/>
    <w:rsid w:val="2C8C2213"/>
    <w:rsid w:val="2CA10829"/>
    <w:rsid w:val="2CB93CF9"/>
    <w:rsid w:val="2D2B79D4"/>
    <w:rsid w:val="2D2D6D36"/>
    <w:rsid w:val="2DA91EFB"/>
    <w:rsid w:val="2DB23901"/>
    <w:rsid w:val="2DC24EC8"/>
    <w:rsid w:val="2DC62603"/>
    <w:rsid w:val="2DCC5B3D"/>
    <w:rsid w:val="2E2D4759"/>
    <w:rsid w:val="2E326F91"/>
    <w:rsid w:val="2E3E0F22"/>
    <w:rsid w:val="2E620A42"/>
    <w:rsid w:val="2EC1153B"/>
    <w:rsid w:val="2EC8738C"/>
    <w:rsid w:val="2ECD1469"/>
    <w:rsid w:val="2F4754AB"/>
    <w:rsid w:val="2F564747"/>
    <w:rsid w:val="2FA92CE0"/>
    <w:rsid w:val="30391CCE"/>
    <w:rsid w:val="30515F6A"/>
    <w:rsid w:val="3075311F"/>
    <w:rsid w:val="308877BC"/>
    <w:rsid w:val="309A7E37"/>
    <w:rsid w:val="30D61BC6"/>
    <w:rsid w:val="310A3B1A"/>
    <w:rsid w:val="312849BA"/>
    <w:rsid w:val="312D608B"/>
    <w:rsid w:val="319A3819"/>
    <w:rsid w:val="31A21C27"/>
    <w:rsid w:val="31C7551E"/>
    <w:rsid w:val="31F57FCD"/>
    <w:rsid w:val="31FA4FCC"/>
    <w:rsid w:val="321E61D3"/>
    <w:rsid w:val="322120F3"/>
    <w:rsid w:val="32272211"/>
    <w:rsid w:val="326C652B"/>
    <w:rsid w:val="32762D7D"/>
    <w:rsid w:val="32C65482"/>
    <w:rsid w:val="32F220E2"/>
    <w:rsid w:val="3377007E"/>
    <w:rsid w:val="339A4B8C"/>
    <w:rsid w:val="33F6127A"/>
    <w:rsid w:val="345B4324"/>
    <w:rsid w:val="34CE6601"/>
    <w:rsid w:val="34DC2CBF"/>
    <w:rsid w:val="356F7983"/>
    <w:rsid w:val="35CF6DE4"/>
    <w:rsid w:val="35DE4E4D"/>
    <w:rsid w:val="35EC61BF"/>
    <w:rsid w:val="35F819EA"/>
    <w:rsid w:val="360E4154"/>
    <w:rsid w:val="3611043B"/>
    <w:rsid w:val="366A5F62"/>
    <w:rsid w:val="368603E6"/>
    <w:rsid w:val="37071202"/>
    <w:rsid w:val="3715401D"/>
    <w:rsid w:val="37214A7E"/>
    <w:rsid w:val="37370EE8"/>
    <w:rsid w:val="374F5875"/>
    <w:rsid w:val="37567086"/>
    <w:rsid w:val="37875BA8"/>
    <w:rsid w:val="37D14BC7"/>
    <w:rsid w:val="3809516D"/>
    <w:rsid w:val="381E5902"/>
    <w:rsid w:val="38442F4B"/>
    <w:rsid w:val="38607389"/>
    <w:rsid w:val="38653669"/>
    <w:rsid w:val="389B54ED"/>
    <w:rsid w:val="389F1385"/>
    <w:rsid w:val="38A50216"/>
    <w:rsid w:val="38AD4540"/>
    <w:rsid w:val="38F512A1"/>
    <w:rsid w:val="393873DF"/>
    <w:rsid w:val="395E6774"/>
    <w:rsid w:val="39C323F2"/>
    <w:rsid w:val="39D15CBC"/>
    <w:rsid w:val="3A08233C"/>
    <w:rsid w:val="3A4C4FE3"/>
    <w:rsid w:val="3A790434"/>
    <w:rsid w:val="3A7E4D98"/>
    <w:rsid w:val="3A8F4646"/>
    <w:rsid w:val="3A972D83"/>
    <w:rsid w:val="3A9D2A14"/>
    <w:rsid w:val="3AD902FF"/>
    <w:rsid w:val="3B3B68F0"/>
    <w:rsid w:val="3BD83530"/>
    <w:rsid w:val="3C166CDF"/>
    <w:rsid w:val="3C266127"/>
    <w:rsid w:val="3C4D420E"/>
    <w:rsid w:val="3C6F4010"/>
    <w:rsid w:val="3CD32AA5"/>
    <w:rsid w:val="3CE078AF"/>
    <w:rsid w:val="3CE706BA"/>
    <w:rsid w:val="3D104B94"/>
    <w:rsid w:val="3D13433F"/>
    <w:rsid w:val="3D514F5A"/>
    <w:rsid w:val="3DB34567"/>
    <w:rsid w:val="3DE13CCE"/>
    <w:rsid w:val="3E082A12"/>
    <w:rsid w:val="3E197200"/>
    <w:rsid w:val="3E6871A2"/>
    <w:rsid w:val="3E721387"/>
    <w:rsid w:val="3E8F6702"/>
    <w:rsid w:val="3E9F69EA"/>
    <w:rsid w:val="3EC43B0D"/>
    <w:rsid w:val="3EE87AD4"/>
    <w:rsid w:val="3EEA3D39"/>
    <w:rsid w:val="3F050E0A"/>
    <w:rsid w:val="3F176BBD"/>
    <w:rsid w:val="3F475EE9"/>
    <w:rsid w:val="3F56485E"/>
    <w:rsid w:val="3F5C2A7D"/>
    <w:rsid w:val="408C41B5"/>
    <w:rsid w:val="40CA0A76"/>
    <w:rsid w:val="40F17BA1"/>
    <w:rsid w:val="40FC2472"/>
    <w:rsid w:val="41306B05"/>
    <w:rsid w:val="4131700C"/>
    <w:rsid w:val="41585D86"/>
    <w:rsid w:val="41803CF6"/>
    <w:rsid w:val="41C468CB"/>
    <w:rsid w:val="42165DE4"/>
    <w:rsid w:val="42433574"/>
    <w:rsid w:val="424402BA"/>
    <w:rsid w:val="42590C12"/>
    <w:rsid w:val="42AB0289"/>
    <w:rsid w:val="42D65569"/>
    <w:rsid w:val="42E0752E"/>
    <w:rsid w:val="42F35CC9"/>
    <w:rsid w:val="42FD6935"/>
    <w:rsid w:val="430429A8"/>
    <w:rsid w:val="432112A3"/>
    <w:rsid w:val="437754F8"/>
    <w:rsid w:val="439C26E0"/>
    <w:rsid w:val="43A018F3"/>
    <w:rsid w:val="43AD31CB"/>
    <w:rsid w:val="43BE68B9"/>
    <w:rsid w:val="43CF1B67"/>
    <w:rsid w:val="43DA0BA3"/>
    <w:rsid w:val="446B4A90"/>
    <w:rsid w:val="44892225"/>
    <w:rsid w:val="44B40598"/>
    <w:rsid w:val="44DB341E"/>
    <w:rsid w:val="455C526C"/>
    <w:rsid w:val="456C15DB"/>
    <w:rsid w:val="459461BA"/>
    <w:rsid w:val="45A66DC4"/>
    <w:rsid w:val="45B86916"/>
    <w:rsid w:val="45F768ED"/>
    <w:rsid w:val="463F79C3"/>
    <w:rsid w:val="46930B04"/>
    <w:rsid w:val="46A80BBA"/>
    <w:rsid w:val="46DC7B84"/>
    <w:rsid w:val="472F0903"/>
    <w:rsid w:val="47315627"/>
    <w:rsid w:val="476B0845"/>
    <w:rsid w:val="476C182D"/>
    <w:rsid w:val="479010AD"/>
    <w:rsid w:val="479877E3"/>
    <w:rsid w:val="47BD4581"/>
    <w:rsid w:val="47E46EB0"/>
    <w:rsid w:val="47FF1DC2"/>
    <w:rsid w:val="4800524E"/>
    <w:rsid w:val="48094F06"/>
    <w:rsid w:val="482374AD"/>
    <w:rsid w:val="483A7FD2"/>
    <w:rsid w:val="48786A4E"/>
    <w:rsid w:val="48895D89"/>
    <w:rsid w:val="4895451F"/>
    <w:rsid w:val="48E20A1A"/>
    <w:rsid w:val="4921695E"/>
    <w:rsid w:val="49745FB9"/>
    <w:rsid w:val="497D3218"/>
    <w:rsid w:val="49CF085F"/>
    <w:rsid w:val="49F94A24"/>
    <w:rsid w:val="4A0F2BFE"/>
    <w:rsid w:val="4A35761F"/>
    <w:rsid w:val="4A4332FB"/>
    <w:rsid w:val="4A95657B"/>
    <w:rsid w:val="4AB6578F"/>
    <w:rsid w:val="4ADF512F"/>
    <w:rsid w:val="4AED6205"/>
    <w:rsid w:val="4B186A5A"/>
    <w:rsid w:val="4B675C46"/>
    <w:rsid w:val="4B827180"/>
    <w:rsid w:val="4C1D043D"/>
    <w:rsid w:val="4C223033"/>
    <w:rsid w:val="4C3876FA"/>
    <w:rsid w:val="4C8275CE"/>
    <w:rsid w:val="4C903356"/>
    <w:rsid w:val="4C9160AA"/>
    <w:rsid w:val="4CA941B7"/>
    <w:rsid w:val="4CBD7983"/>
    <w:rsid w:val="4CD26278"/>
    <w:rsid w:val="4CF10C63"/>
    <w:rsid w:val="4CF55F89"/>
    <w:rsid w:val="4D271F40"/>
    <w:rsid w:val="4D56027C"/>
    <w:rsid w:val="4D5A78D7"/>
    <w:rsid w:val="4D94085C"/>
    <w:rsid w:val="4DA6341F"/>
    <w:rsid w:val="4DFB41E6"/>
    <w:rsid w:val="4E8A0DDD"/>
    <w:rsid w:val="4E921F30"/>
    <w:rsid w:val="4FAB01FF"/>
    <w:rsid w:val="50027558"/>
    <w:rsid w:val="502A397A"/>
    <w:rsid w:val="502D50C9"/>
    <w:rsid w:val="50594CB7"/>
    <w:rsid w:val="50603DA3"/>
    <w:rsid w:val="507F4113"/>
    <w:rsid w:val="508C6054"/>
    <w:rsid w:val="509633B2"/>
    <w:rsid w:val="50A1658E"/>
    <w:rsid w:val="50A60AB8"/>
    <w:rsid w:val="50C818C3"/>
    <w:rsid w:val="50EF62BE"/>
    <w:rsid w:val="512E64E4"/>
    <w:rsid w:val="5136609E"/>
    <w:rsid w:val="516C5739"/>
    <w:rsid w:val="52021998"/>
    <w:rsid w:val="523C375A"/>
    <w:rsid w:val="5245371A"/>
    <w:rsid w:val="527F7379"/>
    <w:rsid w:val="52C236DB"/>
    <w:rsid w:val="52E910BF"/>
    <w:rsid w:val="531677D2"/>
    <w:rsid w:val="53195734"/>
    <w:rsid w:val="53241BDE"/>
    <w:rsid w:val="534049B3"/>
    <w:rsid w:val="53493E2F"/>
    <w:rsid w:val="5383163E"/>
    <w:rsid w:val="53BC6A66"/>
    <w:rsid w:val="53D67F45"/>
    <w:rsid w:val="54077F0D"/>
    <w:rsid w:val="54196D74"/>
    <w:rsid w:val="547830D6"/>
    <w:rsid w:val="54952D25"/>
    <w:rsid w:val="54D43F38"/>
    <w:rsid w:val="54F620B3"/>
    <w:rsid w:val="54FC692E"/>
    <w:rsid w:val="5546439B"/>
    <w:rsid w:val="55A5355C"/>
    <w:rsid w:val="55E80012"/>
    <w:rsid w:val="55F21EC4"/>
    <w:rsid w:val="56036A94"/>
    <w:rsid w:val="561954A3"/>
    <w:rsid w:val="564065DA"/>
    <w:rsid w:val="564D3B26"/>
    <w:rsid w:val="5662059B"/>
    <w:rsid w:val="56623AB1"/>
    <w:rsid w:val="567943AF"/>
    <w:rsid w:val="56AA1C60"/>
    <w:rsid w:val="56B90EC4"/>
    <w:rsid w:val="56C25BA1"/>
    <w:rsid w:val="56D77CC7"/>
    <w:rsid w:val="56D94653"/>
    <w:rsid w:val="56DC75EF"/>
    <w:rsid w:val="573671FF"/>
    <w:rsid w:val="576777AA"/>
    <w:rsid w:val="577A67C6"/>
    <w:rsid w:val="57D90FB8"/>
    <w:rsid w:val="57DB6D9D"/>
    <w:rsid w:val="58001F19"/>
    <w:rsid w:val="58156F03"/>
    <w:rsid w:val="582C1B7B"/>
    <w:rsid w:val="582E4388"/>
    <w:rsid w:val="584D6874"/>
    <w:rsid w:val="58681E78"/>
    <w:rsid w:val="58785BA8"/>
    <w:rsid w:val="588777F0"/>
    <w:rsid w:val="588B2C33"/>
    <w:rsid w:val="58F12297"/>
    <w:rsid w:val="58F6127F"/>
    <w:rsid w:val="59454D2A"/>
    <w:rsid w:val="597F25E7"/>
    <w:rsid w:val="59D35625"/>
    <w:rsid w:val="5A0B3642"/>
    <w:rsid w:val="5A272E2C"/>
    <w:rsid w:val="5A320F34"/>
    <w:rsid w:val="5A63523E"/>
    <w:rsid w:val="5A7A6C84"/>
    <w:rsid w:val="5A7C3C6C"/>
    <w:rsid w:val="5AC40B2C"/>
    <w:rsid w:val="5AE512C5"/>
    <w:rsid w:val="5AF917B7"/>
    <w:rsid w:val="5B244AAC"/>
    <w:rsid w:val="5B337346"/>
    <w:rsid w:val="5B5B003C"/>
    <w:rsid w:val="5C59688B"/>
    <w:rsid w:val="5C642FCC"/>
    <w:rsid w:val="5C926652"/>
    <w:rsid w:val="5C9A0056"/>
    <w:rsid w:val="5C9C43BF"/>
    <w:rsid w:val="5CC7167C"/>
    <w:rsid w:val="5CD43B52"/>
    <w:rsid w:val="5D14216D"/>
    <w:rsid w:val="5D170973"/>
    <w:rsid w:val="5D50599E"/>
    <w:rsid w:val="5D736223"/>
    <w:rsid w:val="5DBA34C6"/>
    <w:rsid w:val="5DC76FDA"/>
    <w:rsid w:val="5DF36954"/>
    <w:rsid w:val="5E0B2794"/>
    <w:rsid w:val="5E1354D4"/>
    <w:rsid w:val="5E18450A"/>
    <w:rsid w:val="5E595C4D"/>
    <w:rsid w:val="5E5D506F"/>
    <w:rsid w:val="5E65689F"/>
    <w:rsid w:val="5EBE3364"/>
    <w:rsid w:val="5EF90010"/>
    <w:rsid w:val="5F021CEA"/>
    <w:rsid w:val="5F117CD6"/>
    <w:rsid w:val="5F3A449C"/>
    <w:rsid w:val="5F9759D4"/>
    <w:rsid w:val="5F9D5279"/>
    <w:rsid w:val="60496BD8"/>
    <w:rsid w:val="606D3F8B"/>
    <w:rsid w:val="609F7FC2"/>
    <w:rsid w:val="60AA0313"/>
    <w:rsid w:val="60C9298C"/>
    <w:rsid w:val="60E4627A"/>
    <w:rsid w:val="61525BD6"/>
    <w:rsid w:val="616866C1"/>
    <w:rsid w:val="61BF7429"/>
    <w:rsid w:val="61E513D9"/>
    <w:rsid w:val="61EE67F0"/>
    <w:rsid w:val="61FA7428"/>
    <w:rsid w:val="620C7519"/>
    <w:rsid w:val="622334EE"/>
    <w:rsid w:val="62385852"/>
    <w:rsid w:val="62975D9E"/>
    <w:rsid w:val="62B17A23"/>
    <w:rsid w:val="62B619D9"/>
    <w:rsid w:val="62D4154E"/>
    <w:rsid w:val="62E14496"/>
    <w:rsid w:val="62F8697C"/>
    <w:rsid w:val="631733BB"/>
    <w:rsid w:val="633515D4"/>
    <w:rsid w:val="6342396D"/>
    <w:rsid w:val="63704743"/>
    <w:rsid w:val="638D64C6"/>
    <w:rsid w:val="63905659"/>
    <w:rsid w:val="63934981"/>
    <w:rsid w:val="63E45201"/>
    <w:rsid w:val="63FB1D2D"/>
    <w:rsid w:val="643928B2"/>
    <w:rsid w:val="6439493A"/>
    <w:rsid w:val="64507657"/>
    <w:rsid w:val="645411FD"/>
    <w:rsid w:val="64A47B5E"/>
    <w:rsid w:val="650D4695"/>
    <w:rsid w:val="651701CA"/>
    <w:rsid w:val="65DB6668"/>
    <w:rsid w:val="65EC39CF"/>
    <w:rsid w:val="661C405F"/>
    <w:rsid w:val="66687214"/>
    <w:rsid w:val="66853842"/>
    <w:rsid w:val="66A43ECC"/>
    <w:rsid w:val="66CA6859"/>
    <w:rsid w:val="677F2FE1"/>
    <w:rsid w:val="67846636"/>
    <w:rsid w:val="679B2764"/>
    <w:rsid w:val="67C676E7"/>
    <w:rsid w:val="68596B83"/>
    <w:rsid w:val="685B5978"/>
    <w:rsid w:val="68625513"/>
    <w:rsid w:val="68D95A15"/>
    <w:rsid w:val="69000064"/>
    <w:rsid w:val="69006B8C"/>
    <w:rsid w:val="69015B57"/>
    <w:rsid w:val="690B51CD"/>
    <w:rsid w:val="690E5E3F"/>
    <w:rsid w:val="69315102"/>
    <w:rsid w:val="69371F3A"/>
    <w:rsid w:val="693F44CD"/>
    <w:rsid w:val="69D05549"/>
    <w:rsid w:val="69D3452E"/>
    <w:rsid w:val="69D60274"/>
    <w:rsid w:val="69E54242"/>
    <w:rsid w:val="6A3E4A44"/>
    <w:rsid w:val="6A5852BE"/>
    <w:rsid w:val="6A77530C"/>
    <w:rsid w:val="6A7B4D63"/>
    <w:rsid w:val="6AFD409F"/>
    <w:rsid w:val="6B157906"/>
    <w:rsid w:val="6B183BEF"/>
    <w:rsid w:val="6B9C28BF"/>
    <w:rsid w:val="6BD72179"/>
    <w:rsid w:val="6BDD2682"/>
    <w:rsid w:val="6C24420E"/>
    <w:rsid w:val="6C6106F3"/>
    <w:rsid w:val="6C6D7E8C"/>
    <w:rsid w:val="6D074C05"/>
    <w:rsid w:val="6D0E5548"/>
    <w:rsid w:val="6D611A0A"/>
    <w:rsid w:val="6D7C499B"/>
    <w:rsid w:val="6DA12E2A"/>
    <w:rsid w:val="6DAF3FA6"/>
    <w:rsid w:val="6DC4735B"/>
    <w:rsid w:val="6DC60B4F"/>
    <w:rsid w:val="6DD726D9"/>
    <w:rsid w:val="6DDF162A"/>
    <w:rsid w:val="6E2B75B4"/>
    <w:rsid w:val="6E4A45E0"/>
    <w:rsid w:val="6E596BEF"/>
    <w:rsid w:val="6E755580"/>
    <w:rsid w:val="6EA66DDF"/>
    <w:rsid w:val="6EAE259D"/>
    <w:rsid w:val="6EC2773A"/>
    <w:rsid w:val="6ECB5303"/>
    <w:rsid w:val="6F2C3047"/>
    <w:rsid w:val="6FB05E6A"/>
    <w:rsid w:val="6FBB4A72"/>
    <w:rsid w:val="6FC13F83"/>
    <w:rsid w:val="6FCB3DE5"/>
    <w:rsid w:val="6FE734F8"/>
    <w:rsid w:val="6FF70365"/>
    <w:rsid w:val="701D7FCD"/>
    <w:rsid w:val="705636CC"/>
    <w:rsid w:val="705D2F31"/>
    <w:rsid w:val="70B77A52"/>
    <w:rsid w:val="70FA6797"/>
    <w:rsid w:val="712A0EF7"/>
    <w:rsid w:val="713843A4"/>
    <w:rsid w:val="713F1FE1"/>
    <w:rsid w:val="715E00BC"/>
    <w:rsid w:val="71796F79"/>
    <w:rsid w:val="718113A7"/>
    <w:rsid w:val="71B104EF"/>
    <w:rsid w:val="71B644CD"/>
    <w:rsid w:val="72066B83"/>
    <w:rsid w:val="7245109B"/>
    <w:rsid w:val="724B303B"/>
    <w:rsid w:val="7254121B"/>
    <w:rsid w:val="727E42A8"/>
    <w:rsid w:val="72BC7E71"/>
    <w:rsid w:val="72EC6403"/>
    <w:rsid w:val="72F37B03"/>
    <w:rsid w:val="7313467E"/>
    <w:rsid w:val="734F1B35"/>
    <w:rsid w:val="73B00AEB"/>
    <w:rsid w:val="73E27F64"/>
    <w:rsid w:val="74025A20"/>
    <w:rsid w:val="742944BB"/>
    <w:rsid w:val="74C364B4"/>
    <w:rsid w:val="74C91D76"/>
    <w:rsid w:val="74F05765"/>
    <w:rsid w:val="75001F90"/>
    <w:rsid w:val="7536217A"/>
    <w:rsid w:val="753632D2"/>
    <w:rsid w:val="758E75B7"/>
    <w:rsid w:val="75AE7645"/>
    <w:rsid w:val="75E562F1"/>
    <w:rsid w:val="760218D5"/>
    <w:rsid w:val="7662159A"/>
    <w:rsid w:val="76A1199F"/>
    <w:rsid w:val="76C24D26"/>
    <w:rsid w:val="76C35112"/>
    <w:rsid w:val="76DB36A6"/>
    <w:rsid w:val="76EE0E26"/>
    <w:rsid w:val="7740797A"/>
    <w:rsid w:val="77420B60"/>
    <w:rsid w:val="7765592F"/>
    <w:rsid w:val="77B603D2"/>
    <w:rsid w:val="77EF67F0"/>
    <w:rsid w:val="787A6F36"/>
    <w:rsid w:val="78B33DB1"/>
    <w:rsid w:val="78BC78C1"/>
    <w:rsid w:val="79010C0C"/>
    <w:rsid w:val="79484052"/>
    <w:rsid w:val="798A420C"/>
    <w:rsid w:val="79A13C0A"/>
    <w:rsid w:val="79F92E99"/>
    <w:rsid w:val="7A2A0D21"/>
    <w:rsid w:val="7A2B129F"/>
    <w:rsid w:val="7A5331B4"/>
    <w:rsid w:val="7A874C91"/>
    <w:rsid w:val="7B536CBC"/>
    <w:rsid w:val="7B5D5BA9"/>
    <w:rsid w:val="7B766476"/>
    <w:rsid w:val="7B822347"/>
    <w:rsid w:val="7BAD35AE"/>
    <w:rsid w:val="7BB42068"/>
    <w:rsid w:val="7BFF6FE3"/>
    <w:rsid w:val="7C135CA8"/>
    <w:rsid w:val="7C170F90"/>
    <w:rsid w:val="7C8B5CA2"/>
    <w:rsid w:val="7C9912ED"/>
    <w:rsid w:val="7CC6291D"/>
    <w:rsid w:val="7CF17F48"/>
    <w:rsid w:val="7D1F6763"/>
    <w:rsid w:val="7D6210D3"/>
    <w:rsid w:val="7D747508"/>
    <w:rsid w:val="7D924E1F"/>
    <w:rsid w:val="7DBC60D4"/>
    <w:rsid w:val="7DD70A00"/>
    <w:rsid w:val="7DEF1411"/>
    <w:rsid w:val="7E176D34"/>
    <w:rsid w:val="7E28486A"/>
    <w:rsid w:val="7E4049F2"/>
    <w:rsid w:val="7E5E176D"/>
    <w:rsid w:val="7E64708C"/>
    <w:rsid w:val="7E6A0360"/>
    <w:rsid w:val="7E991836"/>
    <w:rsid w:val="7EB82D94"/>
    <w:rsid w:val="7F8A5505"/>
    <w:rsid w:val="7FD46F67"/>
    <w:rsid w:val="7FFE7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afterLines="100"/>
      <w:jc w:val="center"/>
      <w:outlineLvl w:val="0"/>
    </w:pPr>
    <w:rPr>
      <w:rFonts w:eastAsia="宋体"/>
      <w:b/>
      <w:kern w:val="44"/>
      <w:sz w:val="44"/>
    </w:rPr>
  </w:style>
  <w:style w:type="paragraph" w:styleId="5">
    <w:name w:val="heading 2"/>
    <w:basedOn w:val="1"/>
    <w:next w:val="1"/>
    <w:unhideWhenUsed/>
    <w:qFormat/>
    <w:uiPriority w:val="0"/>
    <w:pPr>
      <w:spacing w:beforeLines="50" w:afterLines="50"/>
      <w:outlineLvl w:val="1"/>
    </w:pPr>
    <w:rPr>
      <w:rFonts w:ascii="Arial" w:hAnsi="Arial" w:eastAsia="黑体"/>
      <w:sz w:val="32"/>
    </w:rPr>
  </w:style>
  <w:style w:type="paragraph" w:styleId="6">
    <w:name w:val="heading 3"/>
    <w:basedOn w:val="1"/>
    <w:next w:val="1"/>
    <w:unhideWhenUsed/>
    <w:qFormat/>
    <w:uiPriority w:val="0"/>
    <w:pPr>
      <w:ind w:firstLine="420" w:firstLineChars="200"/>
      <w:outlineLvl w:val="2"/>
    </w:pPr>
    <w:rPr>
      <w:rFonts w:eastAsia="楷体"/>
      <w:b/>
      <w:sz w:val="28"/>
    </w:rPr>
  </w:style>
  <w:style w:type="paragraph" w:styleId="7">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0">
    <w:name w:val="Default Paragraph Font"/>
    <w:link w:val="21"/>
    <w:semiHidden/>
    <w:unhideWhenUsed/>
    <w:qFormat/>
    <w:uiPriority w:val="1"/>
    <w:rPr>
      <w:rFonts w:ascii="Tahoma" w:hAnsi="Tahoma"/>
      <w:b/>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0"/>
    <w:rPr>
      <w:rFonts w:hAnsi="宋体"/>
      <w:sz w:val="32"/>
      <w:szCs w:val="20"/>
    </w:rPr>
  </w:style>
  <w:style w:type="paragraph" w:styleId="8">
    <w:name w:val="List 3"/>
    <w:basedOn w:val="1"/>
    <w:qFormat/>
    <w:uiPriority w:val="99"/>
    <w:pPr>
      <w:ind w:left="100" w:leftChars="400" w:hanging="200" w:hangingChars="20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Char Char Char Char Char Char Char Char Char Char Char Char Char1 Char Char Char Char"/>
    <w:basedOn w:val="9"/>
    <w:link w:val="20"/>
    <w:qFormat/>
    <w:uiPriority w:val="0"/>
    <w:pPr>
      <w:adjustRightInd w:val="0"/>
      <w:spacing w:line="436" w:lineRule="exact"/>
      <w:ind w:left="357"/>
      <w:jc w:val="left"/>
      <w:outlineLvl w:val="3"/>
    </w:pPr>
    <w:rPr>
      <w:rFonts w:ascii="Tahoma" w:hAnsi="Tahoma"/>
      <w:b/>
      <w:sz w:val="24"/>
    </w:rPr>
  </w:style>
  <w:style w:type="character" w:styleId="22">
    <w:name w:val="Strong"/>
    <w:basedOn w:val="20"/>
    <w:qFormat/>
    <w:uiPriority w:val="0"/>
    <w:rPr>
      <w:bCs/>
    </w:rPr>
  </w:style>
  <w:style w:type="character" w:styleId="23">
    <w:name w:val="page number"/>
    <w:qFormat/>
    <w:uiPriority w:val="99"/>
    <w:rPr>
      <w:rFonts w:cs="Times New Roman"/>
    </w:rPr>
  </w:style>
  <w:style w:type="character" w:styleId="24">
    <w:name w:val="Hyperlink"/>
    <w:basedOn w:val="20"/>
    <w:qFormat/>
    <w:uiPriority w:val="0"/>
    <w:rPr>
      <w:color w:val="0000FF"/>
      <w:u w:val="single"/>
    </w:rPr>
  </w:style>
  <w:style w:type="paragraph" w:customStyle="1" w:styleId="25">
    <w:name w:val="_Style 2"/>
    <w:basedOn w:val="1"/>
    <w:qFormat/>
    <w:uiPriority w:val="34"/>
    <w:pPr>
      <w:widowControl/>
      <w:ind w:firstLine="420" w:firstLineChars="200"/>
      <w:jc w:val="left"/>
    </w:pPr>
    <w:rPr>
      <w:kern w:val="0"/>
      <w:sz w:val="24"/>
    </w:rPr>
  </w:style>
  <w:style w:type="paragraph" w:customStyle="1" w:styleId="26">
    <w:name w:val="Table Paragraph"/>
    <w:basedOn w:val="1"/>
    <w:qFormat/>
    <w:uiPriority w:val="1"/>
    <w:rPr>
      <w:rFonts w:ascii="宋体" w:hAnsi="宋体" w:eastAsia="宋体" w:cs="宋体"/>
    </w:rPr>
  </w:style>
  <w:style w:type="paragraph" w:customStyle="1" w:styleId="27">
    <w:name w:val="样式29"/>
    <w:basedOn w:val="28"/>
    <w:qFormat/>
    <w:uiPriority w:val="99"/>
    <w:rPr>
      <w:rFonts w:eastAsia="楷体_GB2312"/>
    </w:rPr>
  </w:style>
  <w:style w:type="paragraph" w:customStyle="1" w:styleId="28">
    <w:name w:val="样式9 Char"/>
    <w:basedOn w:val="1"/>
    <w:qFormat/>
    <w:uiPriority w:val="99"/>
    <w:pPr>
      <w:widowControl/>
      <w:spacing w:line="440" w:lineRule="exact"/>
      <w:ind w:firstLine="200" w:firstLineChars="200"/>
      <w:jc w:val="left"/>
    </w:pPr>
    <w:rPr>
      <w:spacing w:val="6"/>
      <w:sz w:val="24"/>
      <w:szCs w:val="20"/>
    </w:rPr>
  </w:style>
  <w:style w:type="character" w:customStyle="1" w:styleId="29">
    <w:name w:val="批注框文本 Char"/>
    <w:basedOn w:val="20"/>
    <w:link w:val="12"/>
    <w:qFormat/>
    <w:uiPriority w:val="0"/>
    <w:rPr>
      <w:rFonts w:asciiTheme="minorHAnsi" w:hAnsiTheme="minorHAnsi" w:eastAsiaTheme="minorEastAsia" w:cstheme="minorBidi"/>
      <w:kern w:val="2"/>
      <w:sz w:val="18"/>
      <w:szCs w:val="18"/>
    </w:rPr>
  </w:style>
  <w:style w:type="paragraph" w:styleId="30">
    <w:name w:val="List Paragraph"/>
    <w:basedOn w:val="1"/>
    <w:qFormat/>
    <w:uiPriority w:val="99"/>
    <w:pPr>
      <w:ind w:firstLine="420" w:firstLineChars="200"/>
    </w:pPr>
    <w:rPr>
      <w:rFonts w:ascii="Calibri" w:hAnsi="Calibri"/>
      <w:szCs w:val="22"/>
    </w:rPr>
  </w:style>
  <w:style w:type="paragraph" w:customStyle="1" w:styleId="3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99</Pages>
  <Words>35407</Words>
  <Characters>38328</Characters>
  <Lines>454</Lines>
  <Paragraphs>127</Paragraphs>
  <TotalTime>0</TotalTime>
  <ScaleCrop>false</ScaleCrop>
  <LinksUpToDate>false</LinksUpToDate>
  <CharactersWithSpaces>39011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2022-12-28T02:22:06Z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28B60E02CD914036A8E738A2A0DB595F</vt:lpwstr>
  </property>
</Properties>
</file>