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ascii="华文中宋" w:hAnsi="华文中宋" w:eastAsia="华文中宋" w:cs="华文中宋"/>
          <w:highlight w:val="none"/>
        </w:rPr>
      </w:pPr>
    </w:p>
    <w:p>
      <w:pPr>
        <w:shd w:val="clear"/>
        <w:rPr>
          <w:rFonts w:ascii="华文中宋" w:hAnsi="华文中宋" w:eastAsia="华文中宋" w:cs="华文中宋"/>
          <w:highlight w:val="none"/>
        </w:rPr>
      </w:pPr>
    </w:p>
    <w:p>
      <w:pPr>
        <w:shd w:val="clear"/>
        <w:rPr>
          <w:rFonts w:ascii="华文中宋" w:hAnsi="华文中宋" w:eastAsia="华文中宋" w:cs="华文中宋"/>
          <w:highlight w:val="none"/>
        </w:rPr>
      </w:pPr>
    </w:p>
    <w:p>
      <w:pPr>
        <w:shd w:val="clear"/>
        <w:jc w:val="center"/>
        <w:rPr>
          <w:rFonts w:hint="default" w:ascii="华文中宋" w:hAnsi="华文中宋" w:eastAsia="华文中宋" w:cs="华文中宋"/>
          <w:spacing w:val="11"/>
          <w:sz w:val="40"/>
          <w:szCs w:val="40"/>
          <w:highlight w:val="none"/>
          <w:lang w:val="en-US" w:eastAsia="zh-CN"/>
        </w:rPr>
      </w:pPr>
      <w:r>
        <w:rPr>
          <w:rFonts w:hint="eastAsia" w:ascii="华文中宋" w:hAnsi="华文中宋" w:eastAsia="华文中宋" w:cs="华文中宋"/>
          <w:spacing w:val="11"/>
          <w:sz w:val="40"/>
          <w:szCs w:val="40"/>
          <w:highlight w:val="none"/>
          <w:lang w:eastAsia="zh-CN"/>
        </w:rPr>
        <w:t>山东大学第二医院消化内镜中心内镜消毒用过氧乙酸消毒液（二元）招标采购</w:t>
      </w:r>
    </w:p>
    <w:p>
      <w:pPr>
        <w:shd w:val="clear"/>
        <w:jc w:val="center"/>
        <w:rPr>
          <w:rFonts w:ascii="华文中宋" w:hAnsi="华文中宋" w:eastAsia="华文中宋" w:cs="华文中宋"/>
          <w:sz w:val="52"/>
          <w:szCs w:val="52"/>
          <w:highlight w:val="none"/>
        </w:rPr>
      </w:pPr>
    </w:p>
    <w:p>
      <w:pPr>
        <w:shd w:val="clea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招 标 文 件</w:t>
      </w:r>
    </w:p>
    <w:p>
      <w:pPr>
        <w:shd w:val="clea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TCZX-HW-2022-048</w:t>
      </w: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drawing>
          <wp:inline distT="0" distB="0" distL="114300" distR="114300">
            <wp:extent cx="1800225" cy="1800225"/>
            <wp:effectExtent l="0" t="0" r="3175" b="317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800225" cy="1800225"/>
                    </a:xfrm>
                    <a:prstGeom prst="rect">
                      <a:avLst/>
                    </a:prstGeom>
                  </pic:spPr>
                </pic:pic>
              </a:graphicData>
            </a:graphic>
          </wp:inline>
        </w:drawing>
      </w: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80"/>
          <w:kern w:val="0"/>
          <w:sz w:val="32"/>
          <w:szCs w:val="32"/>
          <w:highlight w:val="none"/>
          <w:fitText w:val="1280" w:id="1277978666"/>
        </w:rPr>
        <w:t>采购</w:t>
      </w:r>
      <w:r>
        <w:rPr>
          <w:rFonts w:hint="eastAsia" w:ascii="华文中宋" w:hAnsi="华文中宋" w:eastAsia="华文中宋" w:cs="华文中宋"/>
          <w:spacing w:val="0"/>
          <w:kern w:val="0"/>
          <w:sz w:val="32"/>
          <w:szCs w:val="32"/>
          <w:highlight w:val="none"/>
          <w:fitText w:val="1280" w:id="1277978666"/>
        </w:rPr>
        <w:t>人</w:t>
      </w:r>
      <w:r>
        <w:rPr>
          <w:rFonts w:hint="eastAsia" w:ascii="华文中宋" w:hAnsi="华文中宋" w:eastAsia="华文中宋" w:cs="华文中宋"/>
          <w:spacing w:val="11"/>
          <w:sz w:val="32"/>
          <w:szCs w:val="32"/>
          <w:highlight w:val="none"/>
        </w:rPr>
        <w:t>：山东大学第二医院</w:t>
      </w: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0"/>
          <w:kern w:val="0"/>
          <w:sz w:val="32"/>
          <w:szCs w:val="32"/>
          <w:highlight w:val="none"/>
          <w:fitText w:val="1280" w:id="1672817252"/>
        </w:rPr>
        <w:t>代理机构</w:t>
      </w:r>
      <w:r>
        <w:rPr>
          <w:rFonts w:hint="eastAsia" w:ascii="华文中宋" w:hAnsi="华文中宋" w:eastAsia="华文中宋" w:cs="华文中宋"/>
          <w:spacing w:val="11"/>
          <w:sz w:val="32"/>
          <w:szCs w:val="32"/>
          <w:highlight w:val="none"/>
        </w:rPr>
        <w:t>：同诚工程咨询集团股份有限公司</w:t>
      </w:r>
    </w:p>
    <w:p>
      <w:pPr>
        <w:shd w:val="clear"/>
        <w:ind w:left="420" w:leftChars="200"/>
        <w:rPr>
          <w:highlight w:val="none"/>
        </w:rPr>
      </w:pPr>
      <w:r>
        <w:rPr>
          <w:rFonts w:hint="eastAsia" w:ascii="华文中宋" w:hAnsi="华文中宋" w:eastAsia="华文中宋" w:cs="华文中宋"/>
          <w:spacing w:val="320"/>
          <w:kern w:val="0"/>
          <w:sz w:val="32"/>
          <w:szCs w:val="32"/>
          <w:highlight w:val="none"/>
          <w:fitText w:val="1280" w:id="666510277"/>
        </w:rPr>
        <w:t>日</w:t>
      </w:r>
      <w:r>
        <w:rPr>
          <w:rFonts w:hint="eastAsia" w:ascii="华文中宋" w:hAnsi="华文中宋" w:eastAsia="华文中宋" w:cs="华文中宋"/>
          <w:spacing w:val="0"/>
          <w:kern w:val="0"/>
          <w:sz w:val="32"/>
          <w:szCs w:val="32"/>
          <w:highlight w:val="none"/>
          <w:fitText w:val="1280" w:id="666510277"/>
        </w:rPr>
        <w:t>期</w:t>
      </w:r>
      <w:r>
        <w:rPr>
          <w:rFonts w:hint="eastAsia" w:ascii="华文中宋" w:hAnsi="华文中宋" w:eastAsia="华文中宋" w:cs="华文中宋"/>
          <w:spacing w:val="11"/>
          <w:sz w:val="32"/>
          <w:szCs w:val="32"/>
          <w:highlight w:val="none"/>
        </w:rPr>
        <w:t>：202</w:t>
      </w:r>
      <w:r>
        <w:rPr>
          <w:rFonts w:hint="default" w:ascii="华文中宋" w:hAnsi="华文中宋" w:eastAsia="华文中宋" w:cs="华文中宋"/>
          <w:spacing w:val="11"/>
          <w:sz w:val="32"/>
          <w:szCs w:val="32"/>
          <w:highlight w:val="none"/>
          <w:lang w:val="en-US"/>
        </w:rPr>
        <w:t>3</w:t>
      </w:r>
      <w:r>
        <w:rPr>
          <w:rFonts w:hint="eastAsia" w:ascii="华文中宋" w:hAnsi="华文中宋" w:eastAsia="华文中宋" w:cs="华文中宋"/>
          <w:spacing w:val="11"/>
          <w:sz w:val="32"/>
          <w:szCs w:val="32"/>
          <w:highlight w:val="none"/>
        </w:rPr>
        <w:t>年</w:t>
      </w:r>
      <w:r>
        <w:rPr>
          <w:rFonts w:hint="default" w:ascii="华文中宋" w:hAnsi="华文中宋" w:eastAsia="华文中宋" w:cs="华文中宋"/>
          <w:spacing w:val="11"/>
          <w:sz w:val="32"/>
          <w:szCs w:val="32"/>
          <w:highlight w:val="none"/>
          <w:lang w:val="en-US"/>
        </w:rPr>
        <w:t>01</w:t>
      </w:r>
      <w:r>
        <w:rPr>
          <w:rFonts w:hint="eastAsia" w:ascii="华文中宋" w:hAnsi="华文中宋" w:eastAsia="华文中宋" w:cs="华文中宋"/>
          <w:spacing w:val="11"/>
          <w:sz w:val="32"/>
          <w:szCs w:val="32"/>
          <w:highlight w:val="none"/>
        </w:rPr>
        <w:t>月</w:t>
      </w:r>
    </w:p>
    <w:p>
      <w:pPr>
        <w:shd w:val="clea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hint="eastAsia" w:ascii="仿宋" w:hAnsi="仿宋" w:eastAsia="仿宋" w:cs="仿宋"/>
          <w:b/>
          <w:bCs/>
          <w:sz w:val="44"/>
          <w:szCs w:val="44"/>
          <w:highlight w:val="none"/>
        </w:rPr>
        <w:id w:val="147461592"/>
        <w:docPartObj>
          <w:docPartGallery w:val="Table of Contents"/>
          <w:docPartUnique/>
        </w:docPartObj>
      </w:sdtPr>
      <w:sdtEndPr>
        <w:rPr>
          <w:rFonts w:hint="eastAsia" w:ascii="宋体" w:hAnsi="宋体" w:eastAsia="宋体" w:cs="仿宋"/>
          <w:b w:val="0"/>
          <w:bCs w:val="0"/>
          <w:sz w:val="44"/>
          <w:szCs w:val="44"/>
          <w:highlight w:val="none"/>
        </w:rPr>
      </w:sdtEndPr>
      <w:sdtContent>
        <w:p>
          <w:pPr>
            <w:shd w:val="clear"/>
            <w:spacing w:afterLines="100"/>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目录</w:t>
          </w:r>
        </w:p>
        <w:p>
          <w:pPr>
            <w:pStyle w:val="15"/>
            <w:tabs>
              <w:tab w:val="right" w:leader="dot" w:pos="8306"/>
            </w:tabs>
            <w:rPr>
              <w:rFonts w:hint="eastAsia" w:ascii="仿宋" w:hAnsi="仿宋" w:eastAsia="仿宋" w:cs="仿宋"/>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_Toc14537 </w:instrText>
          </w:r>
          <w:r>
            <w:rPr>
              <w:rFonts w:hint="eastAsia" w:ascii="仿宋" w:hAnsi="仿宋" w:eastAsia="仿宋" w:cs="仿宋"/>
              <w:szCs w:val="24"/>
              <w:highlight w:val="none"/>
            </w:rPr>
            <w:fldChar w:fldCharType="separate"/>
          </w:r>
          <w:r>
            <w:rPr>
              <w:rFonts w:hint="eastAsia" w:ascii="仿宋" w:hAnsi="仿宋" w:eastAsia="仿宋" w:cs="仿宋"/>
            </w:rPr>
            <w:t xml:space="preserve">第一部分 </w:t>
          </w:r>
          <w:r>
            <w:rPr>
              <w:rFonts w:hint="eastAsia" w:ascii="仿宋" w:hAnsi="仿宋" w:eastAsia="仿宋" w:cs="仿宋"/>
              <w:highlight w:val="none"/>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_Toc14537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5"/>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_Toc18409 </w:instrText>
          </w:r>
          <w:r>
            <w:rPr>
              <w:rFonts w:hint="eastAsia" w:ascii="仿宋" w:hAnsi="仿宋" w:eastAsia="仿宋" w:cs="仿宋"/>
              <w:szCs w:val="24"/>
              <w:highlight w:val="none"/>
            </w:rPr>
            <w:fldChar w:fldCharType="separate"/>
          </w:r>
          <w:r>
            <w:rPr>
              <w:rFonts w:hint="eastAsia" w:ascii="仿宋" w:hAnsi="仿宋" w:eastAsia="仿宋" w:cs="仿宋"/>
            </w:rPr>
            <w:t xml:space="preserve">第二章 </w:t>
          </w:r>
          <w:r>
            <w:rPr>
              <w:rFonts w:hint="eastAsia" w:ascii="仿宋" w:hAnsi="仿宋" w:eastAsia="仿宋" w:cs="仿宋"/>
              <w:highlight w:val="none"/>
            </w:rPr>
            <w:t>投标须知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_Toc18409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_Toc12971 </w:instrText>
          </w:r>
          <w:r>
            <w:rPr>
              <w:rFonts w:hint="eastAsia" w:ascii="仿宋" w:hAnsi="仿宋" w:eastAsia="仿宋" w:cs="仿宋"/>
              <w:szCs w:val="24"/>
              <w:highlight w:val="none"/>
            </w:rPr>
            <w:fldChar w:fldCharType="separate"/>
          </w:r>
          <w:r>
            <w:rPr>
              <w:rFonts w:hint="eastAsia" w:ascii="仿宋" w:hAnsi="仿宋" w:eastAsia="仿宋" w:cs="仿宋"/>
              <w:bCs/>
              <w:szCs w:val="32"/>
              <w:highlight w:val="none"/>
            </w:rPr>
            <w:t>供应商须知前附表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_Toc12971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_Toc28626 </w:instrText>
          </w:r>
          <w:r>
            <w:rPr>
              <w:rFonts w:hint="eastAsia" w:ascii="仿宋" w:hAnsi="仿宋" w:eastAsia="仿宋" w:cs="仿宋"/>
              <w:szCs w:val="24"/>
              <w:highlight w:val="none"/>
            </w:rPr>
            <w:fldChar w:fldCharType="separate"/>
          </w:r>
          <w:r>
            <w:rPr>
              <w:rFonts w:hint="eastAsia" w:ascii="仿宋" w:hAnsi="仿宋" w:eastAsia="仿宋" w:cs="仿宋"/>
              <w:szCs w:val="44"/>
              <w:highlight w:val="none"/>
            </w:rPr>
            <w:t>供应商须知正文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_Toc28626 \h </w:instrText>
          </w:r>
          <w:r>
            <w:rPr>
              <w:rFonts w:hint="eastAsia" w:ascii="仿宋" w:hAnsi="仿宋" w:eastAsia="仿宋" w:cs="仿宋"/>
            </w:rPr>
            <w:fldChar w:fldCharType="separate"/>
          </w:r>
          <w:r>
            <w:rPr>
              <w:rFonts w:hint="eastAsia" w:ascii="仿宋" w:hAnsi="仿宋" w:eastAsia="仿宋" w:cs="仿宋"/>
            </w:rPr>
            <w:t>- 14 -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_Toc2631 </w:instrText>
          </w:r>
          <w:r>
            <w:rPr>
              <w:rFonts w:hint="eastAsia" w:ascii="仿宋" w:hAnsi="仿宋" w:eastAsia="仿宋" w:cs="仿宋"/>
              <w:szCs w:val="24"/>
              <w:highlight w:val="none"/>
            </w:rPr>
            <w:fldChar w:fldCharType="separate"/>
          </w:r>
          <w:r>
            <w:rPr>
              <w:rFonts w:hint="eastAsia" w:ascii="仿宋" w:hAnsi="仿宋" w:eastAsia="仿宋" w:cs="仿宋"/>
              <w:bCs/>
              <w:szCs w:val="36"/>
            </w:rPr>
            <w:t xml:space="preserve">一、 </w:t>
          </w:r>
          <w:r>
            <w:rPr>
              <w:rFonts w:hint="eastAsia" w:ascii="仿宋" w:hAnsi="仿宋" w:eastAsia="仿宋" w:cs="仿宋"/>
              <w:bCs/>
              <w:szCs w:val="36"/>
              <w:highlight w:val="none"/>
            </w:rPr>
            <w:t>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_Toc2631 \h </w:instrText>
          </w:r>
          <w:r>
            <w:rPr>
              <w:rFonts w:hint="eastAsia" w:ascii="仿宋" w:hAnsi="仿宋" w:eastAsia="仿宋" w:cs="仿宋"/>
            </w:rPr>
            <w:fldChar w:fldCharType="separate"/>
          </w:r>
          <w:r>
            <w:rPr>
              <w:rFonts w:hint="eastAsia" w:ascii="仿宋" w:hAnsi="仿宋" w:eastAsia="仿宋" w:cs="仿宋"/>
            </w:rPr>
            <w:t>- 14 -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_Toc9883 </w:instrText>
          </w:r>
          <w:r>
            <w:rPr>
              <w:rFonts w:hint="eastAsia" w:ascii="仿宋" w:hAnsi="仿宋" w:eastAsia="仿宋" w:cs="仿宋"/>
              <w:szCs w:val="24"/>
              <w:highlight w:val="none"/>
            </w:rPr>
            <w:fldChar w:fldCharType="separate"/>
          </w:r>
          <w:r>
            <w:rPr>
              <w:rFonts w:hint="eastAsia" w:ascii="仿宋" w:hAnsi="仿宋" w:eastAsia="仿宋" w:cs="仿宋"/>
              <w:bCs/>
              <w:szCs w:val="36"/>
            </w:rPr>
            <w:t xml:space="preserve">二、 </w:t>
          </w:r>
          <w:r>
            <w:rPr>
              <w:rFonts w:hint="eastAsia" w:ascii="仿宋" w:hAnsi="仿宋" w:eastAsia="仿宋" w:cs="仿宋"/>
              <w:bCs/>
              <w:szCs w:val="36"/>
              <w:highlight w:val="none"/>
            </w:rPr>
            <w:t>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_Toc9883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_Toc10806 </w:instrText>
          </w:r>
          <w:r>
            <w:rPr>
              <w:rFonts w:hint="eastAsia" w:ascii="仿宋" w:hAnsi="仿宋" w:eastAsia="仿宋" w:cs="仿宋"/>
              <w:szCs w:val="24"/>
              <w:highlight w:val="none"/>
            </w:rPr>
            <w:fldChar w:fldCharType="separate"/>
          </w:r>
          <w:r>
            <w:rPr>
              <w:rFonts w:hint="eastAsia" w:ascii="仿宋" w:hAnsi="仿宋" w:eastAsia="仿宋" w:cs="仿宋"/>
              <w:bCs/>
              <w:szCs w:val="36"/>
            </w:rPr>
            <w:t xml:space="preserve">三、 </w:t>
          </w:r>
          <w:r>
            <w:rPr>
              <w:rFonts w:hint="eastAsia" w:ascii="仿宋" w:hAnsi="仿宋" w:eastAsia="仿宋" w:cs="仿宋"/>
              <w:bCs/>
              <w:szCs w:val="36"/>
              <w:highlight w:val="none"/>
            </w:rPr>
            <w:t>投标文件编写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_Toc10806 \h </w:instrText>
          </w:r>
          <w:r>
            <w:rPr>
              <w:rFonts w:hint="eastAsia" w:ascii="仿宋" w:hAnsi="仿宋" w:eastAsia="仿宋" w:cs="仿宋"/>
            </w:rPr>
            <w:fldChar w:fldCharType="separate"/>
          </w:r>
          <w:r>
            <w:rPr>
              <w:rFonts w:hint="eastAsia" w:ascii="仿宋" w:hAnsi="仿宋" w:eastAsia="仿宋" w:cs="仿宋"/>
            </w:rPr>
            <w:t>- 17 -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_Toc658 </w:instrText>
          </w:r>
          <w:r>
            <w:rPr>
              <w:rFonts w:hint="eastAsia" w:ascii="仿宋" w:hAnsi="仿宋" w:eastAsia="仿宋" w:cs="仿宋"/>
              <w:szCs w:val="24"/>
              <w:highlight w:val="none"/>
            </w:rPr>
            <w:fldChar w:fldCharType="separate"/>
          </w:r>
          <w:r>
            <w:rPr>
              <w:rFonts w:hint="eastAsia" w:ascii="仿宋" w:hAnsi="仿宋" w:eastAsia="仿宋" w:cs="仿宋"/>
              <w:bCs/>
              <w:szCs w:val="36"/>
            </w:rPr>
            <w:t xml:space="preserve">四、 </w:t>
          </w:r>
          <w:r>
            <w:rPr>
              <w:rFonts w:hint="eastAsia" w:ascii="仿宋" w:hAnsi="仿宋" w:eastAsia="仿宋" w:cs="仿宋"/>
              <w:bCs/>
              <w:szCs w:val="36"/>
              <w:highlight w:val="none"/>
            </w:rPr>
            <w:t>投标文件递交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_Toc658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_Toc18729 </w:instrText>
          </w:r>
          <w:r>
            <w:rPr>
              <w:rFonts w:hint="eastAsia" w:ascii="仿宋" w:hAnsi="仿宋" w:eastAsia="仿宋" w:cs="仿宋"/>
              <w:szCs w:val="24"/>
              <w:highlight w:val="none"/>
            </w:rPr>
            <w:fldChar w:fldCharType="separate"/>
          </w:r>
          <w:r>
            <w:rPr>
              <w:rFonts w:hint="eastAsia" w:ascii="仿宋" w:hAnsi="仿宋" w:eastAsia="仿宋" w:cs="仿宋"/>
              <w:bCs/>
              <w:szCs w:val="36"/>
            </w:rPr>
            <w:t xml:space="preserve">五、 </w:t>
          </w:r>
          <w:r>
            <w:rPr>
              <w:rFonts w:hint="eastAsia" w:ascii="仿宋" w:hAnsi="仿宋" w:eastAsia="仿宋" w:cs="仿宋"/>
              <w:bCs/>
              <w:szCs w:val="36"/>
              <w:highlight w:val="none"/>
            </w:rPr>
            <w:t>开标与评标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_Toc18729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_Toc23253 </w:instrText>
          </w:r>
          <w:r>
            <w:rPr>
              <w:rFonts w:hint="eastAsia" w:ascii="仿宋" w:hAnsi="仿宋" w:eastAsia="仿宋" w:cs="仿宋"/>
              <w:szCs w:val="24"/>
              <w:highlight w:val="none"/>
            </w:rPr>
            <w:fldChar w:fldCharType="separate"/>
          </w:r>
          <w:r>
            <w:rPr>
              <w:rFonts w:hint="eastAsia" w:ascii="仿宋" w:hAnsi="仿宋" w:eastAsia="仿宋" w:cs="仿宋"/>
              <w:bCs/>
              <w:szCs w:val="36"/>
            </w:rPr>
            <w:t xml:space="preserve">六、 </w:t>
          </w:r>
          <w:r>
            <w:rPr>
              <w:rFonts w:hint="eastAsia" w:ascii="仿宋" w:hAnsi="仿宋" w:eastAsia="仿宋" w:cs="仿宋"/>
              <w:bCs/>
              <w:szCs w:val="36"/>
              <w:highlight w:val="none"/>
            </w:rPr>
            <w:t>询问和质疑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_Toc23253 \h </w:instrText>
          </w:r>
          <w:r>
            <w:rPr>
              <w:rFonts w:hint="eastAsia" w:ascii="仿宋" w:hAnsi="仿宋" w:eastAsia="仿宋" w:cs="仿宋"/>
            </w:rPr>
            <w:fldChar w:fldCharType="separate"/>
          </w:r>
          <w:r>
            <w:rPr>
              <w:rFonts w:hint="eastAsia" w:ascii="仿宋" w:hAnsi="仿宋" w:eastAsia="仿宋" w:cs="仿宋"/>
            </w:rPr>
            <w:t>- 39 -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_Toc14382 </w:instrText>
          </w:r>
          <w:r>
            <w:rPr>
              <w:rFonts w:hint="eastAsia" w:ascii="仿宋" w:hAnsi="仿宋" w:eastAsia="仿宋" w:cs="仿宋"/>
              <w:szCs w:val="24"/>
              <w:highlight w:val="none"/>
            </w:rPr>
            <w:fldChar w:fldCharType="separate"/>
          </w:r>
          <w:r>
            <w:rPr>
              <w:rFonts w:hint="eastAsia" w:ascii="仿宋" w:hAnsi="仿宋" w:eastAsia="仿宋" w:cs="仿宋"/>
              <w:bCs/>
              <w:szCs w:val="36"/>
            </w:rPr>
            <w:t xml:space="preserve">七、 </w:t>
          </w:r>
          <w:r>
            <w:rPr>
              <w:rFonts w:hint="eastAsia" w:ascii="仿宋" w:hAnsi="仿宋" w:eastAsia="仿宋" w:cs="仿宋"/>
              <w:bCs/>
              <w:szCs w:val="36"/>
              <w:highlight w:val="none"/>
            </w:rPr>
            <w:t>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_Toc14382 \h </w:instrText>
          </w:r>
          <w:r>
            <w:rPr>
              <w:rFonts w:hint="eastAsia" w:ascii="仿宋" w:hAnsi="仿宋" w:eastAsia="仿宋" w:cs="仿宋"/>
            </w:rPr>
            <w:fldChar w:fldCharType="separate"/>
          </w:r>
          <w:r>
            <w:rPr>
              <w:rFonts w:hint="eastAsia" w:ascii="仿宋" w:hAnsi="仿宋" w:eastAsia="仿宋" w:cs="仿宋"/>
            </w:rPr>
            <w:t>- 42 -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_Toc24827 </w:instrText>
          </w:r>
          <w:r>
            <w:rPr>
              <w:rFonts w:hint="eastAsia" w:ascii="仿宋" w:hAnsi="仿宋" w:eastAsia="仿宋" w:cs="仿宋"/>
              <w:szCs w:val="24"/>
              <w:highlight w:val="none"/>
            </w:rPr>
            <w:fldChar w:fldCharType="separate"/>
          </w:r>
          <w:r>
            <w:rPr>
              <w:rFonts w:hint="eastAsia" w:ascii="仿宋" w:hAnsi="仿宋" w:eastAsia="仿宋" w:cs="仿宋"/>
              <w:bCs/>
              <w:szCs w:val="36"/>
            </w:rPr>
            <w:t xml:space="preserve">八、 </w:t>
          </w:r>
          <w:r>
            <w:rPr>
              <w:rFonts w:hint="eastAsia" w:ascii="仿宋" w:hAnsi="仿宋" w:eastAsia="仿宋" w:cs="仿宋"/>
              <w:bCs/>
              <w:szCs w:val="36"/>
              <w:highlight w:val="none"/>
            </w:rPr>
            <w:t>中标服务费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_Toc24827 \h </w:instrText>
          </w:r>
          <w:r>
            <w:rPr>
              <w:rFonts w:hint="eastAsia" w:ascii="仿宋" w:hAnsi="仿宋" w:eastAsia="仿宋" w:cs="仿宋"/>
            </w:rPr>
            <w:fldChar w:fldCharType="separate"/>
          </w:r>
          <w:r>
            <w:rPr>
              <w:rFonts w:hint="eastAsia" w:ascii="仿宋" w:hAnsi="仿宋" w:eastAsia="仿宋" w:cs="仿宋"/>
            </w:rPr>
            <w:t>- 42 -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_Toc31801 </w:instrText>
          </w:r>
          <w:r>
            <w:rPr>
              <w:rFonts w:hint="eastAsia" w:ascii="仿宋" w:hAnsi="仿宋" w:eastAsia="仿宋" w:cs="仿宋"/>
              <w:szCs w:val="24"/>
              <w:highlight w:val="none"/>
            </w:rPr>
            <w:fldChar w:fldCharType="separate"/>
          </w:r>
          <w:r>
            <w:rPr>
              <w:rFonts w:hint="eastAsia" w:ascii="仿宋" w:hAnsi="仿宋" w:eastAsia="仿宋" w:cs="仿宋"/>
              <w:bCs/>
              <w:szCs w:val="36"/>
            </w:rPr>
            <w:t xml:space="preserve">九、 </w:t>
          </w:r>
          <w:r>
            <w:rPr>
              <w:rFonts w:hint="eastAsia" w:ascii="仿宋" w:hAnsi="仿宋" w:eastAsia="仿宋" w:cs="仿宋"/>
              <w:bCs/>
              <w:szCs w:val="36"/>
              <w:highlight w:val="none"/>
            </w:rPr>
            <w:t>其他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_Toc31801 \h </w:instrText>
          </w:r>
          <w:r>
            <w:rPr>
              <w:rFonts w:hint="eastAsia" w:ascii="仿宋" w:hAnsi="仿宋" w:eastAsia="仿宋" w:cs="仿宋"/>
            </w:rPr>
            <w:fldChar w:fldCharType="separate"/>
          </w:r>
          <w:r>
            <w:rPr>
              <w:rFonts w:hint="eastAsia" w:ascii="仿宋" w:hAnsi="仿宋" w:eastAsia="仿宋" w:cs="仿宋"/>
            </w:rPr>
            <w:t>- 42 -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_Toc8442 </w:instrText>
          </w:r>
          <w:r>
            <w:rPr>
              <w:rFonts w:hint="eastAsia" w:ascii="仿宋" w:hAnsi="仿宋" w:eastAsia="仿宋" w:cs="仿宋"/>
              <w:szCs w:val="24"/>
              <w:highlight w:val="none"/>
            </w:rPr>
            <w:fldChar w:fldCharType="separate"/>
          </w:r>
          <w:r>
            <w:rPr>
              <w:rFonts w:hint="eastAsia" w:ascii="仿宋" w:hAnsi="仿宋" w:eastAsia="仿宋" w:cs="仿宋"/>
              <w:bCs/>
              <w:szCs w:val="36"/>
            </w:rPr>
            <w:t xml:space="preserve">十、 </w:t>
          </w:r>
          <w:r>
            <w:rPr>
              <w:rFonts w:hint="eastAsia" w:ascii="仿宋" w:hAnsi="仿宋" w:eastAsia="仿宋" w:cs="仿宋"/>
              <w:bCs/>
              <w:szCs w:val="36"/>
              <w:highlight w:val="none"/>
            </w:rPr>
            <w:t>解释权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_Toc8442 \h </w:instrText>
          </w:r>
          <w:r>
            <w:rPr>
              <w:rFonts w:hint="eastAsia" w:ascii="仿宋" w:hAnsi="仿宋" w:eastAsia="仿宋" w:cs="仿宋"/>
            </w:rPr>
            <w:fldChar w:fldCharType="separate"/>
          </w:r>
          <w:r>
            <w:rPr>
              <w:rFonts w:hint="eastAsia" w:ascii="仿宋" w:hAnsi="仿宋" w:eastAsia="仿宋" w:cs="仿宋"/>
            </w:rPr>
            <w:t>- 43 -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5"/>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_Toc26873 </w:instrText>
          </w:r>
          <w:r>
            <w:rPr>
              <w:rFonts w:hint="eastAsia" w:ascii="仿宋" w:hAnsi="仿宋" w:eastAsia="仿宋" w:cs="仿宋"/>
              <w:szCs w:val="24"/>
              <w:highlight w:val="none"/>
            </w:rPr>
            <w:fldChar w:fldCharType="separate"/>
          </w:r>
          <w:r>
            <w:rPr>
              <w:rFonts w:hint="eastAsia" w:ascii="仿宋" w:hAnsi="仿宋" w:eastAsia="仿宋" w:cs="仿宋"/>
            </w:rPr>
            <w:t xml:space="preserve">第三章 </w:t>
          </w:r>
          <w:r>
            <w:rPr>
              <w:rFonts w:hint="eastAsia" w:ascii="仿宋" w:hAnsi="仿宋" w:eastAsia="仿宋" w:cs="仿宋"/>
              <w:highlight w:val="none"/>
            </w:rPr>
            <w:t>评分办法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_Toc26873 \h </w:instrText>
          </w:r>
          <w:r>
            <w:rPr>
              <w:rFonts w:hint="eastAsia" w:ascii="仿宋" w:hAnsi="仿宋" w:eastAsia="仿宋" w:cs="仿宋"/>
            </w:rPr>
            <w:fldChar w:fldCharType="separate"/>
          </w:r>
          <w:r>
            <w:rPr>
              <w:rFonts w:hint="eastAsia" w:ascii="仿宋" w:hAnsi="仿宋" w:eastAsia="仿宋" w:cs="仿宋"/>
            </w:rPr>
            <w:t>- 44 -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_Toc24875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一、 </w:t>
          </w:r>
          <w:r>
            <w:rPr>
              <w:rFonts w:hint="eastAsia" w:ascii="仿宋" w:hAnsi="仿宋" w:eastAsia="仿宋" w:cs="仿宋"/>
              <w:szCs w:val="28"/>
              <w:highlight w:val="none"/>
            </w:rPr>
            <w:t>评标方法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_Toc24875 \h </w:instrText>
          </w:r>
          <w:r>
            <w:rPr>
              <w:rFonts w:hint="eastAsia" w:ascii="仿宋" w:hAnsi="仿宋" w:eastAsia="仿宋" w:cs="仿宋"/>
            </w:rPr>
            <w:fldChar w:fldCharType="separate"/>
          </w:r>
          <w:r>
            <w:rPr>
              <w:rFonts w:hint="eastAsia" w:ascii="仿宋" w:hAnsi="仿宋" w:eastAsia="仿宋" w:cs="仿宋"/>
            </w:rPr>
            <w:t>- 44 -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_Toc28469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二、 </w:t>
          </w:r>
          <w:r>
            <w:rPr>
              <w:rFonts w:hint="eastAsia" w:ascii="仿宋" w:hAnsi="仿宋" w:eastAsia="仿宋" w:cs="仿宋"/>
              <w:szCs w:val="28"/>
              <w:highlight w:val="none"/>
            </w:rPr>
            <w:t>评审细则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_Toc28469 \h </w:instrText>
          </w:r>
          <w:r>
            <w:rPr>
              <w:rFonts w:hint="eastAsia" w:ascii="仿宋" w:hAnsi="仿宋" w:eastAsia="仿宋" w:cs="仿宋"/>
            </w:rPr>
            <w:fldChar w:fldCharType="separate"/>
          </w:r>
          <w:r>
            <w:rPr>
              <w:rFonts w:hint="eastAsia" w:ascii="仿宋" w:hAnsi="仿宋" w:eastAsia="仿宋" w:cs="仿宋"/>
            </w:rPr>
            <w:t>- 44 -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_Toc27560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三、 </w:t>
          </w:r>
          <w:r>
            <w:rPr>
              <w:rFonts w:hint="eastAsia" w:ascii="仿宋" w:hAnsi="仿宋" w:eastAsia="仿宋" w:cs="仿宋"/>
              <w:szCs w:val="28"/>
              <w:highlight w:val="none"/>
            </w:rPr>
            <w:t>评审执行的政府采购政策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_Toc27560 \h </w:instrText>
          </w:r>
          <w:r>
            <w:rPr>
              <w:rFonts w:hint="eastAsia" w:ascii="仿宋" w:hAnsi="仿宋" w:eastAsia="仿宋" w:cs="仿宋"/>
            </w:rPr>
            <w:fldChar w:fldCharType="separate"/>
          </w:r>
          <w:r>
            <w:rPr>
              <w:rFonts w:hint="eastAsia" w:ascii="仿宋" w:hAnsi="仿宋" w:eastAsia="仿宋" w:cs="仿宋"/>
            </w:rPr>
            <w:t>- 46 -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_Toc9037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（一） </w:t>
          </w:r>
          <w:r>
            <w:rPr>
              <w:rFonts w:hint="eastAsia" w:ascii="仿宋" w:hAnsi="仿宋" w:eastAsia="仿宋" w:cs="仿宋"/>
              <w:szCs w:val="28"/>
              <w:highlight w:val="none"/>
            </w:rPr>
            <w:t>中小微型企业政府采购政策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_Toc9037 \h </w:instrText>
          </w:r>
          <w:r>
            <w:rPr>
              <w:rFonts w:hint="eastAsia" w:ascii="仿宋" w:hAnsi="仿宋" w:eastAsia="仿宋" w:cs="仿宋"/>
            </w:rPr>
            <w:fldChar w:fldCharType="separate"/>
          </w:r>
          <w:r>
            <w:rPr>
              <w:rFonts w:hint="eastAsia" w:ascii="仿宋" w:hAnsi="仿宋" w:eastAsia="仿宋" w:cs="仿宋"/>
            </w:rPr>
            <w:t>- 46 -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_Toc21330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（二） </w:t>
          </w:r>
          <w:r>
            <w:rPr>
              <w:rFonts w:hint="eastAsia" w:ascii="仿宋" w:hAnsi="仿宋" w:eastAsia="仿宋" w:cs="仿宋"/>
              <w:szCs w:val="28"/>
              <w:highlight w:val="none"/>
            </w:rPr>
            <w:t>监狱企业政府采购政策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_Toc21330 \h </w:instrText>
          </w:r>
          <w:r>
            <w:rPr>
              <w:rFonts w:hint="eastAsia" w:ascii="仿宋" w:hAnsi="仿宋" w:eastAsia="仿宋" w:cs="仿宋"/>
            </w:rPr>
            <w:fldChar w:fldCharType="separate"/>
          </w:r>
          <w:r>
            <w:rPr>
              <w:rFonts w:hint="eastAsia" w:ascii="仿宋" w:hAnsi="仿宋" w:eastAsia="仿宋" w:cs="仿宋"/>
            </w:rPr>
            <w:t>- 46 -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_Toc25750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（三） </w:t>
          </w:r>
          <w:r>
            <w:rPr>
              <w:rFonts w:hint="eastAsia" w:ascii="仿宋" w:hAnsi="仿宋" w:eastAsia="仿宋" w:cs="仿宋"/>
              <w:szCs w:val="28"/>
              <w:highlight w:val="none"/>
            </w:rPr>
            <w:t>残疾人福利性单位政府采购政策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_Toc25750 \h </w:instrText>
          </w:r>
          <w:r>
            <w:rPr>
              <w:rFonts w:hint="eastAsia" w:ascii="仿宋" w:hAnsi="仿宋" w:eastAsia="仿宋" w:cs="仿宋"/>
            </w:rPr>
            <w:fldChar w:fldCharType="separate"/>
          </w:r>
          <w:r>
            <w:rPr>
              <w:rFonts w:hint="eastAsia" w:ascii="仿宋" w:hAnsi="仿宋" w:eastAsia="仿宋" w:cs="仿宋"/>
            </w:rPr>
            <w:t>- 47 -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_Toc6718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（四） </w:t>
          </w:r>
          <w:r>
            <w:rPr>
              <w:rFonts w:hint="eastAsia" w:ascii="仿宋" w:hAnsi="仿宋" w:eastAsia="仿宋" w:cs="仿宋"/>
              <w:szCs w:val="28"/>
              <w:highlight w:val="none"/>
            </w:rPr>
            <w:t>优采、强采、节能、环境标志产品</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_Toc6718 \h </w:instrText>
          </w:r>
          <w:r>
            <w:rPr>
              <w:rFonts w:hint="eastAsia" w:ascii="仿宋" w:hAnsi="仿宋" w:eastAsia="仿宋" w:cs="仿宋"/>
            </w:rPr>
            <w:fldChar w:fldCharType="separate"/>
          </w:r>
          <w:r>
            <w:rPr>
              <w:rFonts w:hint="eastAsia" w:ascii="仿宋" w:hAnsi="仿宋" w:eastAsia="仿宋" w:cs="仿宋"/>
            </w:rPr>
            <w:t>- 47 -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5"/>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_Toc5280 </w:instrText>
          </w:r>
          <w:r>
            <w:rPr>
              <w:rFonts w:hint="eastAsia" w:ascii="仿宋" w:hAnsi="仿宋" w:eastAsia="仿宋" w:cs="仿宋"/>
              <w:szCs w:val="24"/>
              <w:highlight w:val="none"/>
            </w:rPr>
            <w:fldChar w:fldCharType="separate"/>
          </w:r>
          <w:r>
            <w:rPr>
              <w:rFonts w:hint="eastAsia" w:ascii="仿宋" w:hAnsi="仿宋" w:eastAsia="仿宋" w:cs="仿宋"/>
            </w:rPr>
            <w:t xml:space="preserve">第四章 </w:t>
          </w:r>
          <w:r>
            <w:rPr>
              <w:rFonts w:hint="eastAsia" w:ascii="仿宋" w:hAnsi="仿宋" w:eastAsia="仿宋" w:cs="仿宋"/>
              <w:highlight w:val="none"/>
            </w:rPr>
            <w:t>采购内容及项目要求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_Toc5280 \h </w:instrText>
          </w:r>
          <w:r>
            <w:rPr>
              <w:rFonts w:hint="eastAsia" w:ascii="仿宋" w:hAnsi="仿宋" w:eastAsia="仿宋" w:cs="仿宋"/>
            </w:rPr>
            <w:fldChar w:fldCharType="separate"/>
          </w:r>
          <w:r>
            <w:rPr>
              <w:rFonts w:hint="eastAsia" w:ascii="仿宋" w:hAnsi="仿宋" w:eastAsia="仿宋" w:cs="仿宋"/>
            </w:rPr>
            <w:t>- 48 -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_Toc3164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lang w:val="en-US" w:eastAsia="zh-CN"/>
            </w:rPr>
            <w:t>一、</w:t>
          </w:r>
          <w:r>
            <w:rPr>
              <w:rFonts w:hint="eastAsia" w:ascii="仿宋" w:hAnsi="仿宋" w:eastAsia="仿宋" w:cs="仿宋"/>
              <w:bCs/>
              <w:szCs w:val="28"/>
              <w:highlight w:val="none"/>
            </w:rPr>
            <w:t>招标项目内容、数量：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_Toc3164 \h </w:instrText>
          </w:r>
          <w:r>
            <w:rPr>
              <w:rFonts w:hint="eastAsia" w:ascii="仿宋" w:hAnsi="仿宋" w:eastAsia="仿宋" w:cs="仿宋"/>
            </w:rPr>
            <w:fldChar w:fldCharType="separate"/>
          </w:r>
          <w:r>
            <w:rPr>
              <w:rFonts w:hint="eastAsia" w:ascii="仿宋" w:hAnsi="仿宋" w:eastAsia="仿宋" w:cs="仿宋"/>
            </w:rPr>
            <w:t>- 48 -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_Toc1453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lang w:val="en-US" w:eastAsia="zh-CN"/>
            </w:rPr>
            <w:t>二、</w:t>
          </w:r>
          <w:r>
            <w:rPr>
              <w:rFonts w:hint="eastAsia" w:ascii="仿宋" w:hAnsi="仿宋" w:eastAsia="仿宋" w:cs="仿宋"/>
              <w:bCs/>
              <w:szCs w:val="28"/>
              <w:highlight w:val="none"/>
            </w:rPr>
            <w:t>供货期、工期及质量要求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_Toc1453 \h </w:instrText>
          </w:r>
          <w:r>
            <w:rPr>
              <w:rFonts w:hint="eastAsia" w:ascii="仿宋" w:hAnsi="仿宋" w:eastAsia="仿宋" w:cs="仿宋"/>
            </w:rPr>
            <w:fldChar w:fldCharType="separate"/>
          </w:r>
          <w:r>
            <w:rPr>
              <w:rFonts w:hint="eastAsia" w:ascii="仿宋" w:hAnsi="仿宋" w:eastAsia="仿宋" w:cs="仿宋"/>
            </w:rPr>
            <w:t>- 48 -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_Toc30875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三、</w:t>
          </w:r>
          <w:r>
            <w:rPr>
              <w:rFonts w:hint="eastAsia" w:ascii="仿宋" w:hAnsi="仿宋" w:eastAsia="仿宋" w:cs="仿宋"/>
              <w:bCs/>
              <w:szCs w:val="28"/>
              <w:highlight w:val="none"/>
              <w:lang w:val="en-US" w:eastAsia="zh-CN"/>
            </w:rPr>
            <w:t>其他说明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_Toc30875 \h </w:instrText>
          </w:r>
          <w:r>
            <w:rPr>
              <w:rFonts w:hint="eastAsia" w:ascii="仿宋" w:hAnsi="仿宋" w:eastAsia="仿宋" w:cs="仿宋"/>
            </w:rPr>
            <w:fldChar w:fldCharType="separate"/>
          </w:r>
          <w:r>
            <w:rPr>
              <w:rFonts w:hint="eastAsia" w:ascii="仿宋" w:hAnsi="仿宋" w:eastAsia="仿宋" w:cs="仿宋"/>
            </w:rPr>
            <w:t>- 48 -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5"/>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_Toc16864 </w:instrText>
          </w:r>
          <w:r>
            <w:rPr>
              <w:rFonts w:hint="eastAsia" w:ascii="仿宋" w:hAnsi="仿宋" w:eastAsia="仿宋" w:cs="仿宋"/>
              <w:szCs w:val="24"/>
              <w:highlight w:val="none"/>
            </w:rPr>
            <w:fldChar w:fldCharType="separate"/>
          </w:r>
          <w:r>
            <w:rPr>
              <w:rFonts w:hint="eastAsia" w:ascii="仿宋" w:hAnsi="仿宋" w:eastAsia="仿宋" w:cs="仿宋"/>
            </w:rPr>
            <w:t xml:space="preserve">第五章 </w:t>
          </w:r>
          <w:r>
            <w:rPr>
              <w:rFonts w:hint="eastAsia" w:ascii="仿宋" w:hAnsi="仿宋" w:eastAsia="仿宋" w:cs="仿宋"/>
              <w:highlight w:val="none"/>
            </w:rPr>
            <w:t>合同格式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_Toc16864 \h </w:instrText>
          </w:r>
          <w:r>
            <w:rPr>
              <w:rFonts w:hint="eastAsia" w:ascii="仿宋" w:hAnsi="仿宋" w:eastAsia="仿宋" w:cs="仿宋"/>
            </w:rPr>
            <w:fldChar w:fldCharType="separate"/>
          </w:r>
          <w:r>
            <w:rPr>
              <w:rFonts w:hint="eastAsia" w:ascii="仿宋" w:hAnsi="仿宋" w:eastAsia="仿宋" w:cs="仿宋"/>
            </w:rPr>
            <w:t>- 50 -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5"/>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_Toc27444 </w:instrText>
          </w:r>
          <w:r>
            <w:rPr>
              <w:rFonts w:hint="eastAsia" w:ascii="仿宋" w:hAnsi="仿宋" w:eastAsia="仿宋" w:cs="仿宋"/>
              <w:szCs w:val="24"/>
              <w:highlight w:val="none"/>
            </w:rPr>
            <w:fldChar w:fldCharType="separate"/>
          </w:r>
          <w:r>
            <w:rPr>
              <w:rFonts w:hint="eastAsia" w:ascii="仿宋" w:hAnsi="仿宋" w:eastAsia="仿宋" w:cs="仿宋"/>
            </w:rPr>
            <w:t xml:space="preserve">第六章 </w:t>
          </w:r>
          <w:r>
            <w:rPr>
              <w:rFonts w:hint="eastAsia" w:ascii="仿宋" w:hAnsi="仿宋" w:eastAsia="仿宋" w:cs="仿宋"/>
              <w:highlight w:val="none"/>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_Toc27444 \h </w:instrText>
          </w:r>
          <w:r>
            <w:rPr>
              <w:rFonts w:hint="eastAsia" w:ascii="仿宋" w:hAnsi="仿宋" w:eastAsia="仿宋" w:cs="仿宋"/>
            </w:rPr>
            <w:fldChar w:fldCharType="separate"/>
          </w:r>
          <w:r>
            <w:rPr>
              <w:rFonts w:hint="eastAsia" w:ascii="仿宋" w:hAnsi="仿宋" w:eastAsia="仿宋" w:cs="仿宋"/>
            </w:rPr>
            <w:t>- 55 -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_Toc26717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附件一：投标函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_Toc26717 \h </w:instrText>
          </w:r>
          <w:r>
            <w:rPr>
              <w:rFonts w:hint="eastAsia" w:ascii="仿宋" w:hAnsi="仿宋" w:eastAsia="仿宋" w:cs="仿宋"/>
            </w:rPr>
            <w:fldChar w:fldCharType="separate"/>
          </w:r>
          <w:r>
            <w:rPr>
              <w:rFonts w:hint="eastAsia" w:ascii="仿宋" w:hAnsi="仿宋" w:eastAsia="仿宋" w:cs="仿宋"/>
            </w:rPr>
            <w:t>- 56 -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_Toc4231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附件二：法定代表人身份证明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_Toc4231 \h </w:instrText>
          </w:r>
          <w:r>
            <w:rPr>
              <w:rFonts w:hint="eastAsia" w:ascii="仿宋" w:hAnsi="仿宋" w:eastAsia="仿宋" w:cs="仿宋"/>
            </w:rPr>
            <w:fldChar w:fldCharType="separate"/>
          </w:r>
          <w:r>
            <w:rPr>
              <w:rFonts w:hint="eastAsia" w:ascii="仿宋" w:hAnsi="仿宋" w:eastAsia="仿宋" w:cs="仿宋"/>
            </w:rPr>
            <w:t>- 57 -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_Toc14137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附件三：法定代表人授权委托书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_Toc14137 \h </w:instrText>
          </w:r>
          <w:r>
            <w:rPr>
              <w:rFonts w:hint="eastAsia" w:ascii="仿宋" w:hAnsi="仿宋" w:eastAsia="仿宋" w:cs="仿宋"/>
            </w:rPr>
            <w:fldChar w:fldCharType="separate"/>
          </w:r>
          <w:r>
            <w:rPr>
              <w:rFonts w:hint="eastAsia" w:ascii="仿宋" w:hAnsi="仿宋" w:eastAsia="仿宋" w:cs="仿宋"/>
            </w:rPr>
            <w:t>- 58 -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_Toc13633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附件四：开标一览表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_Toc13633 \h </w:instrText>
          </w:r>
          <w:r>
            <w:rPr>
              <w:rFonts w:hint="eastAsia" w:ascii="仿宋" w:hAnsi="仿宋" w:eastAsia="仿宋" w:cs="仿宋"/>
            </w:rPr>
            <w:fldChar w:fldCharType="separate"/>
          </w:r>
          <w:r>
            <w:rPr>
              <w:rFonts w:hint="eastAsia" w:ascii="仿宋" w:hAnsi="仿宋" w:eastAsia="仿宋" w:cs="仿宋"/>
            </w:rPr>
            <w:t>- 59 -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_Toc13756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附件五：报价明细表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_Toc13756 \h </w:instrText>
          </w:r>
          <w:r>
            <w:rPr>
              <w:rFonts w:hint="eastAsia" w:ascii="仿宋" w:hAnsi="仿宋" w:eastAsia="仿宋" w:cs="仿宋"/>
            </w:rPr>
            <w:fldChar w:fldCharType="separate"/>
          </w:r>
          <w:r>
            <w:rPr>
              <w:rFonts w:hint="eastAsia" w:ascii="仿宋" w:hAnsi="仿宋" w:eastAsia="仿宋" w:cs="仿宋"/>
            </w:rPr>
            <w:t>- 60 -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_Toc4550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：商务响应一览表/偏离表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_Toc4550 \h </w:instrText>
          </w:r>
          <w:r>
            <w:rPr>
              <w:rFonts w:hint="eastAsia" w:ascii="仿宋" w:hAnsi="仿宋" w:eastAsia="仿宋" w:cs="仿宋"/>
            </w:rPr>
            <w:fldChar w:fldCharType="separate"/>
          </w:r>
          <w:r>
            <w:rPr>
              <w:rFonts w:hint="eastAsia" w:ascii="仿宋" w:hAnsi="仿宋" w:eastAsia="仿宋" w:cs="仿宋"/>
            </w:rPr>
            <w:t>- 61 -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_Toc15782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：技术响应一览表/偏离表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_Toc15782 \h </w:instrText>
          </w:r>
          <w:r>
            <w:rPr>
              <w:rFonts w:hint="eastAsia" w:ascii="仿宋" w:hAnsi="仿宋" w:eastAsia="仿宋" w:cs="仿宋"/>
            </w:rPr>
            <w:fldChar w:fldCharType="separate"/>
          </w:r>
          <w:r>
            <w:rPr>
              <w:rFonts w:hint="eastAsia" w:ascii="仿宋" w:hAnsi="仿宋" w:eastAsia="仿宋" w:cs="仿宋"/>
            </w:rPr>
            <w:t>- 62 -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_Toc12478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：近年业绩一览表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_Toc12478 \h </w:instrText>
          </w:r>
          <w:r>
            <w:rPr>
              <w:rFonts w:hint="eastAsia" w:ascii="仿宋" w:hAnsi="仿宋" w:eastAsia="仿宋" w:cs="仿宋"/>
            </w:rPr>
            <w:fldChar w:fldCharType="separate"/>
          </w:r>
          <w:r>
            <w:rPr>
              <w:rFonts w:hint="eastAsia" w:ascii="仿宋" w:hAnsi="仿宋" w:eastAsia="仿宋" w:cs="仿宋"/>
            </w:rPr>
            <w:t>- 63 -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_Toc3907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：中小企业声明函（如有）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_Toc3907 \h </w:instrText>
          </w:r>
          <w:r>
            <w:rPr>
              <w:rFonts w:hint="eastAsia" w:ascii="仿宋" w:hAnsi="仿宋" w:eastAsia="仿宋" w:cs="仿宋"/>
            </w:rPr>
            <w:fldChar w:fldCharType="separate"/>
          </w:r>
          <w:r>
            <w:rPr>
              <w:rFonts w:hint="eastAsia" w:ascii="仿宋" w:hAnsi="仿宋" w:eastAsia="仿宋" w:cs="仿宋"/>
            </w:rPr>
            <w:t>- 64 -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_Toc14460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附件十：残疾人福利性单位声明函（如有）</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_Toc14460 \h </w:instrText>
          </w:r>
          <w:r>
            <w:rPr>
              <w:rFonts w:hint="eastAsia" w:ascii="仿宋" w:hAnsi="仿宋" w:eastAsia="仿宋" w:cs="仿宋"/>
            </w:rPr>
            <w:fldChar w:fldCharType="separate"/>
          </w:r>
          <w:r>
            <w:rPr>
              <w:rFonts w:hint="eastAsia" w:ascii="仿宋" w:hAnsi="仿宋" w:eastAsia="仿宋" w:cs="仿宋"/>
            </w:rPr>
            <w:t>- 65 -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_Toc27112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一</w:t>
          </w:r>
          <w:r>
            <w:rPr>
              <w:rFonts w:hint="eastAsia" w:ascii="仿宋" w:hAnsi="仿宋" w:eastAsia="仿宋" w:cs="仿宋"/>
              <w:szCs w:val="28"/>
              <w:highlight w:val="none"/>
            </w:rPr>
            <w:t>：环境标志产品明细表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_Toc27112 \h </w:instrText>
          </w:r>
          <w:r>
            <w:rPr>
              <w:rFonts w:hint="eastAsia" w:ascii="仿宋" w:hAnsi="仿宋" w:eastAsia="仿宋" w:cs="仿宋"/>
            </w:rPr>
            <w:fldChar w:fldCharType="separate"/>
          </w:r>
          <w:r>
            <w:rPr>
              <w:rFonts w:hint="eastAsia" w:ascii="仿宋" w:hAnsi="仿宋" w:eastAsia="仿宋" w:cs="仿宋"/>
            </w:rPr>
            <w:t>- 66 -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_Toc7180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：节能产品明细表</w:t>
          </w:r>
          <w:r>
            <w:rPr>
              <w:rFonts w:hint="eastAsia" w:ascii="仿宋" w:hAnsi="仿宋" w:eastAsia="仿宋" w:cs="仿宋"/>
              <w:szCs w:val="28"/>
              <w:highlight w:val="none"/>
              <w:lang w:eastAsia="zh-CN"/>
            </w:rPr>
            <w:t>（</w:t>
          </w:r>
          <w:r>
            <w:rPr>
              <w:rFonts w:hint="eastAsia" w:ascii="仿宋" w:hAnsi="仿宋" w:eastAsia="仿宋" w:cs="仿宋"/>
              <w:szCs w:val="28"/>
              <w:highlight w:val="none"/>
              <w:lang w:val="en-US" w:eastAsia="zh-CN"/>
            </w:rPr>
            <w:t>非强制节能产品）</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_Toc7180 \h </w:instrText>
          </w:r>
          <w:r>
            <w:rPr>
              <w:rFonts w:hint="eastAsia" w:ascii="仿宋" w:hAnsi="仿宋" w:eastAsia="仿宋" w:cs="仿宋"/>
            </w:rPr>
            <w:fldChar w:fldCharType="separate"/>
          </w:r>
          <w:r>
            <w:rPr>
              <w:rFonts w:hint="eastAsia" w:ascii="仿宋" w:hAnsi="仿宋" w:eastAsia="仿宋" w:cs="仿宋"/>
            </w:rPr>
            <w:t>- 67 -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_Toc2388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：政府强制采购节能产品明细表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_Toc2388 \h </w:instrText>
          </w:r>
          <w:r>
            <w:rPr>
              <w:rFonts w:hint="eastAsia" w:ascii="仿宋" w:hAnsi="仿宋" w:eastAsia="仿宋" w:cs="仿宋"/>
            </w:rPr>
            <w:fldChar w:fldCharType="separate"/>
          </w:r>
          <w:r>
            <w:rPr>
              <w:rFonts w:hint="eastAsia" w:ascii="仿宋" w:hAnsi="仿宋" w:eastAsia="仿宋" w:cs="仿宋"/>
            </w:rPr>
            <w:t>- 68 -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5"/>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_Toc29070 </w:instrText>
          </w:r>
          <w:r>
            <w:rPr>
              <w:rFonts w:hint="eastAsia" w:ascii="仿宋" w:hAnsi="仿宋" w:eastAsia="仿宋" w:cs="仿宋"/>
              <w:szCs w:val="24"/>
              <w:highlight w:val="none"/>
            </w:rPr>
            <w:fldChar w:fldCharType="separate"/>
          </w:r>
          <w:r>
            <w:rPr>
              <w:rFonts w:hint="eastAsia" w:ascii="仿宋" w:hAnsi="仿宋" w:eastAsia="仿宋" w:cs="仿宋"/>
              <w:szCs w:val="40"/>
              <w:highlight w:val="none"/>
            </w:rPr>
            <w:t>节能产品政府采购品目清单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_Toc29070 \h </w:instrText>
          </w:r>
          <w:r>
            <w:rPr>
              <w:rFonts w:hint="eastAsia" w:ascii="仿宋" w:hAnsi="仿宋" w:eastAsia="仿宋" w:cs="仿宋"/>
            </w:rPr>
            <w:fldChar w:fldCharType="separate"/>
          </w:r>
          <w:r>
            <w:rPr>
              <w:rFonts w:hint="eastAsia" w:ascii="仿宋" w:hAnsi="仿宋" w:eastAsia="仿宋" w:cs="仿宋"/>
            </w:rPr>
            <w:t>- 69 -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5"/>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_Toc14110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附表2：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_Toc14110 \h </w:instrText>
          </w:r>
          <w:r>
            <w:rPr>
              <w:rFonts w:hint="eastAsia" w:ascii="仿宋" w:hAnsi="仿宋" w:eastAsia="仿宋" w:cs="仿宋"/>
            </w:rPr>
            <w:fldChar w:fldCharType="separate"/>
          </w:r>
          <w:r>
            <w:rPr>
              <w:rFonts w:hint="eastAsia" w:ascii="仿宋" w:hAnsi="仿宋" w:eastAsia="仿宋" w:cs="仿宋"/>
            </w:rPr>
            <w:t>- 74 -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5"/>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_Toc101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附表3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_Toc101 \h </w:instrText>
          </w:r>
          <w:r>
            <w:rPr>
              <w:rFonts w:hint="eastAsia" w:ascii="仿宋" w:hAnsi="仿宋" w:eastAsia="仿宋" w:cs="仿宋"/>
            </w:rPr>
            <w:fldChar w:fldCharType="separate"/>
          </w:r>
          <w:r>
            <w:rPr>
              <w:rFonts w:hint="eastAsia" w:ascii="仿宋" w:hAnsi="仿宋" w:eastAsia="仿宋" w:cs="仿宋"/>
            </w:rPr>
            <w:t>- 77 -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_Toc22681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：资格证明材料格式（参考）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_Toc22681 \h </w:instrText>
          </w:r>
          <w:r>
            <w:rPr>
              <w:rFonts w:hint="eastAsia" w:ascii="仿宋" w:hAnsi="仿宋" w:eastAsia="仿宋" w:cs="仿宋"/>
            </w:rPr>
            <w:fldChar w:fldCharType="separate"/>
          </w:r>
          <w:r>
            <w:rPr>
              <w:rFonts w:hint="eastAsia" w:ascii="仿宋" w:hAnsi="仿宋" w:eastAsia="仿宋" w:cs="仿宋"/>
            </w:rPr>
            <w:t>- 78 -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_Toc28179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1、 </w:t>
          </w:r>
          <w:r>
            <w:rPr>
              <w:rFonts w:hint="eastAsia" w:ascii="仿宋" w:hAnsi="仿宋" w:eastAsia="仿宋" w:cs="仿宋"/>
              <w:szCs w:val="28"/>
              <w:highlight w:val="none"/>
            </w:rPr>
            <w:t>参加政府采购活动前三年内在经营活动中没有重大违法记录的书面声明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_Toc28179 \h </w:instrText>
          </w:r>
          <w:r>
            <w:rPr>
              <w:rFonts w:hint="eastAsia" w:ascii="仿宋" w:hAnsi="仿宋" w:eastAsia="仿宋" w:cs="仿宋"/>
            </w:rPr>
            <w:fldChar w:fldCharType="separate"/>
          </w:r>
          <w:r>
            <w:rPr>
              <w:rFonts w:hint="eastAsia" w:ascii="仿宋" w:hAnsi="仿宋" w:eastAsia="仿宋" w:cs="仿宋"/>
            </w:rPr>
            <w:t>- 81 -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_Toc25813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2、 </w:t>
          </w:r>
          <w:r>
            <w:rPr>
              <w:rFonts w:hint="eastAsia" w:ascii="仿宋" w:hAnsi="仿宋" w:eastAsia="仿宋" w:cs="仿宋"/>
              <w:szCs w:val="28"/>
              <w:highlight w:val="none"/>
            </w:rPr>
            <w:t>供应商不存在关联关系声明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_Toc25813 \h </w:instrText>
          </w:r>
          <w:r>
            <w:rPr>
              <w:rFonts w:hint="eastAsia" w:ascii="仿宋" w:hAnsi="仿宋" w:eastAsia="仿宋" w:cs="仿宋"/>
            </w:rPr>
            <w:fldChar w:fldCharType="separate"/>
          </w:r>
          <w:r>
            <w:rPr>
              <w:rFonts w:hint="eastAsia" w:ascii="仿宋" w:hAnsi="仿宋" w:eastAsia="仿宋" w:cs="仿宋"/>
            </w:rPr>
            <w:t>- 82 -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_Toc26290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3、 </w:t>
          </w:r>
          <w:r>
            <w:rPr>
              <w:rFonts w:hint="eastAsia" w:ascii="仿宋" w:hAnsi="仿宋" w:eastAsia="仿宋" w:cs="仿宋"/>
              <w:szCs w:val="28"/>
              <w:highlight w:val="none"/>
            </w:rPr>
            <w:t>不存在禁止参加政府采购活动情形的书面声明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_Toc26290 \h </w:instrText>
          </w:r>
          <w:r>
            <w:rPr>
              <w:rFonts w:hint="eastAsia" w:ascii="仿宋" w:hAnsi="仿宋" w:eastAsia="仿宋" w:cs="仿宋"/>
            </w:rPr>
            <w:fldChar w:fldCharType="separate"/>
          </w:r>
          <w:r>
            <w:rPr>
              <w:rFonts w:hint="eastAsia" w:ascii="仿宋" w:hAnsi="仿宋" w:eastAsia="仿宋" w:cs="仿宋"/>
            </w:rPr>
            <w:t>- 83 -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_Toc19363 </w:instrText>
          </w:r>
          <w:r>
            <w:rPr>
              <w:rFonts w:hint="eastAsia" w:ascii="仿宋" w:hAnsi="仿宋" w:eastAsia="仿宋" w:cs="仿宋"/>
              <w:szCs w:val="24"/>
              <w:highlight w:val="none"/>
            </w:rPr>
            <w:fldChar w:fldCharType="separate"/>
          </w:r>
          <w:r>
            <w:rPr>
              <w:rFonts w:hint="eastAsia" w:ascii="仿宋" w:hAnsi="仿宋" w:eastAsia="仿宋" w:cs="仿宋"/>
              <w:szCs w:val="28"/>
            </w:rPr>
            <w:t xml:space="preserve">4、 </w:t>
          </w:r>
          <w:r>
            <w:rPr>
              <w:rFonts w:hint="eastAsia" w:ascii="仿宋" w:hAnsi="仿宋" w:eastAsia="仿宋" w:cs="仿宋"/>
              <w:szCs w:val="28"/>
              <w:highlight w:val="none"/>
            </w:rPr>
            <w:t>具备履行合同所必需的设备和专业技术能力承诺书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_Toc19363 \h </w:instrText>
          </w:r>
          <w:r>
            <w:rPr>
              <w:rFonts w:hint="eastAsia" w:ascii="仿宋" w:hAnsi="仿宋" w:eastAsia="仿宋" w:cs="仿宋"/>
            </w:rPr>
            <w:fldChar w:fldCharType="separate"/>
          </w:r>
          <w:r>
            <w:rPr>
              <w:rFonts w:hint="eastAsia" w:ascii="仿宋" w:hAnsi="仿宋" w:eastAsia="仿宋" w:cs="仿宋"/>
            </w:rPr>
            <w:t>- 84 -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pStyle w:val="16"/>
            <w:tabs>
              <w:tab w:val="right" w:leader="dot" w:pos="8306"/>
            </w:tabs>
            <w:rPr>
              <w:rFonts w:hint="eastAsia" w:ascii="仿宋" w:hAnsi="仿宋" w:eastAsia="仿宋" w:cs="仿宋"/>
            </w:rPr>
          </w:pPr>
          <w:r>
            <w:rPr>
              <w:rFonts w:hint="eastAsia" w:ascii="仿宋" w:hAnsi="仿宋" w:eastAsia="仿宋" w:cs="仿宋"/>
              <w:szCs w:val="24"/>
              <w:highlight w:val="none"/>
            </w:rPr>
            <w:fldChar w:fldCharType="begin"/>
          </w:r>
          <w:r>
            <w:rPr>
              <w:rFonts w:hint="eastAsia" w:ascii="仿宋" w:hAnsi="仿宋" w:eastAsia="仿宋" w:cs="仿宋"/>
              <w:szCs w:val="24"/>
              <w:highlight w:val="none"/>
            </w:rPr>
            <w:instrText xml:space="preserve"> HYPERLINK \l _Toc18021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：投标文件密封封套标记格式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_Toc18021 \h </w:instrText>
          </w:r>
          <w:r>
            <w:rPr>
              <w:rFonts w:hint="eastAsia" w:ascii="仿宋" w:hAnsi="仿宋" w:eastAsia="仿宋" w:cs="仿宋"/>
            </w:rPr>
            <w:fldChar w:fldCharType="separate"/>
          </w:r>
          <w:r>
            <w:rPr>
              <w:rFonts w:hint="eastAsia" w:ascii="仿宋" w:hAnsi="仿宋" w:eastAsia="仿宋" w:cs="仿宋"/>
            </w:rPr>
            <w:t>- 85 -</w:t>
          </w:r>
          <w:r>
            <w:rPr>
              <w:rFonts w:hint="eastAsia" w:ascii="仿宋" w:hAnsi="仿宋" w:eastAsia="仿宋" w:cs="仿宋"/>
            </w:rPr>
            <w:fldChar w:fldCharType="end"/>
          </w:r>
          <w:r>
            <w:rPr>
              <w:rFonts w:hint="eastAsia" w:ascii="仿宋" w:hAnsi="仿宋" w:eastAsia="仿宋" w:cs="仿宋"/>
              <w:szCs w:val="24"/>
              <w:highlight w:val="none"/>
            </w:rPr>
            <w:fldChar w:fldCharType="end"/>
          </w:r>
        </w:p>
        <w:p>
          <w:pPr>
            <w:shd w:val="clear"/>
            <w:rPr>
              <w:highlight w:val="none"/>
            </w:rPr>
          </w:pPr>
          <w:r>
            <w:rPr>
              <w:rFonts w:hint="eastAsia" w:ascii="仿宋" w:hAnsi="仿宋" w:eastAsia="仿宋" w:cs="仿宋"/>
              <w:szCs w:val="24"/>
              <w:highlight w:val="none"/>
            </w:rPr>
            <w:fldChar w:fldCharType="end"/>
          </w:r>
        </w:p>
      </w:sdtContent>
    </w:sdt>
    <w:p>
      <w:pPr>
        <w:shd w:val="clear"/>
        <w:tabs>
          <w:tab w:val="left" w:pos="6580"/>
        </w:tabs>
        <w:bidi w:val="0"/>
        <w:jc w:val="left"/>
        <w:rPr>
          <w:rFonts w:hint="eastAsia"/>
          <w:highlight w:val="none"/>
          <w:lang w:eastAsia="zh-CN"/>
        </w:rPr>
      </w:pPr>
      <w:r>
        <w:rPr>
          <w:rFonts w:hint="eastAsia"/>
          <w:highlight w:val="none"/>
          <w:lang w:eastAsia="zh-CN"/>
        </w:rPr>
        <w:tab/>
      </w:r>
    </w:p>
    <w:p>
      <w:pPr>
        <w:shd w:val="clear"/>
        <w:bidi w:val="0"/>
        <w:rPr>
          <w:rFonts w:hint="eastAsia" w:asciiTheme="minorHAnsi" w:hAnsiTheme="minorHAnsi" w:eastAsiaTheme="minorEastAsia" w:cstheme="minorBidi"/>
          <w:kern w:val="2"/>
          <w:sz w:val="21"/>
          <w:szCs w:val="24"/>
          <w:highlight w:val="none"/>
          <w:lang w:val="en-US" w:eastAsia="zh-CN" w:bidi="ar-SA"/>
        </w:rPr>
      </w:pPr>
    </w:p>
    <w:p>
      <w:pPr>
        <w:shd w:val="clear"/>
        <w:tabs>
          <w:tab w:val="left" w:pos="5178"/>
        </w:tabs>
        <w:bidi w:val="0"/>
        <w:jc w:val="left"/>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ighlight w:val="none"/>
          <w:lang w:val="en-US" w:eastAsia="zh-CN"/>
        </w:rPr>
        <w:tab/>
      </w:r>
    </w:p>
    <w:p>
      <w:pPr>
        <w:pStyle w:val="4"/>
        <w:numPr>
          <w:ilvl w:val="0"/>
          <w:numId w:val="1"/>
        </w:numPr>
        <w:shd w:val="clear"/>
        <w:spacing w:after="312"/>
        <w:rPr>
          <w:highlight w:val="none"/>
        </w:rPr>
      </w:pPr>
      <w:bookmarkStart w:id="0" w:name="_Toc12214"/>
      <w:bookmarkStart w:id="1" w:name="_Toc16040"/>
      <w:bookmarkStart w:id="2" w:name="_Toc14537"/>
      <w:r>
        <w:rPr>
          <w:rFonts w:hint="eastAsia"/>
          <w:highlight w:val="none"/>
        </w:rPr>
        <w:t>招标公告</w:t>
      </w:r>
      <w:bookmarkEnd w:id="0"/>
      <w:bookmarkEnd w:id="1"/>
      <w:bookmarkEnd w:id="2"/>
    </w:p>
    <w:p>
      <w:pPr>
        <w:shd w:val="clear"/>
        <w:spacing w:afterLines="100"/>
        <w:jc w:val="center"/>
        <w:outlineLvl w:val="0"/>
        <w:rPr>
          <w:sz w:val="40"/>
          <w:szCs w:val="40"/>
          <w:highlight w:val="none"/>
        </w:rPr>
      </w:pPr>
      <w:bookmarkStart w:id="3" w:name="_Toc8873"/>
      <w:r>
        <w:rPr>
          <w:rFonts w:hint="eastAsia"/>
          <w:sz w:val="40"/>
          <w:szCs w:val="40"/>
          <w:highlight w:val="none"/>
          <w:lang w:eastAsia="zh-CN"/>
        </w:rPr>
        <w:t>山东大学第二医院消化内镜中心内镜消毒用过氧乙酸消毒液（二元）招标采购</w:t>
      </w:r>
      <w:r>
        <w:rPr>
          <w:rFonts w:hint="eastAsia"/>
          <w:sz w:val="40"/>
          <w:szCs w:val="40"/>
          <w:highlight w:val="none"/>
        </w:rPr>
        <w:t>招标公告</w:t>
      </w:r>
      <w:bookmarkEnd w:id="3"/>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项目概况：</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山东大学第二医院消化内镜中心内镜消毒用过氧乙酸消毒液（二元）招标采购</w:t>
            </w:r>
            <w:r>
              <w:rPr>
                <w:rFonts w:hint="eastAsia" w:ascii="仿宋" w:hAnsi="仿宋" w:eastAsia="仿宋" w:cs="仿宋"/>
                <w:sz w:val="28"/>
                <w:szCs w:val="28"/>
                <w:highlight w:val="none"/>
              </w:rPr>
              <w:t>招标项目的潜在供应商应在同诚工程咨询集团股份有限公司（济南市历城区万科海右府8-102）/线上（电子邮件）形式获取招标文件，并于202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31</w:t>
            </w:r>
            <w:r>
              <w:rPr>
                <w:rFonts w:hint="eastAsia" w:ascii="仿宋" w:hAnsi="仿宋" w:eastAsia="仿宋" w:cs="仿宋"/>
                <w:sz w:val="28"/>
                <w:szCs w:val="28"/>
                <w:highlight w:val="none"/>
              </w:rPr>
              <w:t>日9点00 分（北京时间）前提交投标文件。</w:t>
            </w:r>
          </w:p>
        </w:tc>
      </w:tr>
    </w:tbl>
    <w:p>
      <w:pPr>
        <w:pStyle w:val="5"/>
        <w:numPr>
          <w:ilvl w:val="0"/>
          <w:numId w:val="2"/>
        </w:numPr>
        <w:shd w:val="clear"/>
        <w:spacing w:before="156" w:after="156"/>
        <w:outlineLvl w:val="0"/>
        <w:rPr>
          <w:sz w:val="36"/>
          <w:szCs w:val="28"/>
          <w:highlight w:val="none"/>
        </w:rPr>
      </w:pPr>
      <w:bookmarkStart w:id="4" w:name="_Toc13118"/>
      <w:bookmarkStart w:id="5" w:name="_Toc25958"/>
      <w:bookmarkStart w:id="6" w:name="_Toc16153"/>
      <w:r>
        <w:rPr>
          <w:rFonts w:hint="eastAsia"/>
          <w:sz w:val="36"/>
          <w:szCs w:val="28"/>
          <w:highlight w:val="none"/>
        </w:rPr>
        <w:t>项目基本情况</w:t>
      </w:r>
      <w:bookmarkEnd w:id="4"/>
      <w:bookmarkEnd w:id="5"/>
      <w:bookmarkEnd w:id="6"/>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TCZX-HW-2022-048</w:t>
      </w:r>
    </w:p>
    <w:p>
      <w:pPr>
        <w:shd w:val="clea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山东大学第二医院消化内镜中心内镜消毒用过氧乙酸消毒液（二元）招标采购</w:t>
      </w:r>
    </w:p>
    <w:p>
      <w:pPr>
        <w:shd w:val="clea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default" w:ascii="仿宋" w:hAnsi="仿宋" w:eastAsia="仿宋" w:cs="仿宋"/>
          <w:sz w:val="28"/>
          <w:szCs w:val="28"/>
          <w:highlight w:val="none"/>
          <w:lang w:val="en-US" w:eastAsia="zh-CN"/>
        </w:rPr>
        <w:t>249</w:t>
      </w:r>
      <w:r>
        <w:rPr>
          <w:rFonts w:hint="eastAsia" w:ascii="仿宋" w:hAnsi="仿宋" w:eastAsia="仿宋" w:cs="仿宋"/>
          <w:sz w:val="28"/>
          <w:szCs w:val="28"/>
          <w:highlight w:val="none"/>
        </w:rPr>
        <w:t>万元</w:t>
      </w:r>
      <w:r>
        <w:rPr>
          <w:rFonts w:hint="default"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三年</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default" w:ascii="仿宋" w:hAnsi="仿宋" w:eastAsia="仿宋" w:cs="仿宋"/>
          <w:sz w:val="28"/>
          <w:szCs w:val="28"/>
          <w:highlight w:val="none"/>
          <w:lang w:val="en-US" w:eastAsia="zh-CN"/>
        </w:rPr>
        <w:t>249</w:t>
      </w:r>
      <w:r>
        <w:rPr>
          <w:rFonts w:hint="eastAsia" w:ascii="仿宋" w:hAnsi="仿宋" w:eastAsia="仿宋" w:cs="仿宋"/>
          <w:sz w:val="28"/>
          <w:szCs w:val="28"/>
          <w:highlight w:val="none"/>
        </w:rPr>
        <w:t>万元</w:t>
      </w:r>
      <w:r>
        <w:rPr>
          <w:rFonts w:hint="default"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三年</w:t>
      </w:r>
    </w:p>
    <w:p>
      <w:pPr>
        <w:shd w:val="clea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采购需求：山东大学第二医院</w:t>
      </w:r>
      <w:r>
        <w:rPr>
          <w:rFonts w:hint="eastAsia" w:ascii="仿宋" w:hAnsi="仿宋" w:eastAsia="仿宋" w:cs="仿宋"/>
          <w:sz w:val="28"/>
          <w:szCs w:val="28"/>
          <w:highlight w:val="none"/>
          <w:lang w:val="en-US" w:eastAsia="zh-CN"/>
        </w:rPr>
        <w:t>根据需要需采购</w:t>
      </w:r>
      <w:r>
        <w:rPr>
          <w:rFonts w:hint="eastAsia" w:ascii="仿宋" w:hAnsi="仿宋" w:eastAsia="仿宋" w:cs="仿宋"/>
          <w:sz w:val="28"/>
          <w:szCs w:val="28"/>
          <w:highlight w:val="none"/>
          <w:lang w:eastAsia="zh-CN"/>
        </w:rPr>
        <w:t>消化内镜中心内镜消毒用过氧乙酸消毒液（二元）</w:t>
      </w:r>
      <w:r>
        <w:rPr>
          <w:rFonts w:hint="eastAsia" w:ascii="仿宋" w:hAnsi="仿宋" w:eastAsia="仿宋" w:cs="仿宋"/>
          <w:sz w:val="28"/>
          <w:szCs w:val="28"/>
          <w:highlight w:val="none"/>
          <w:lang w:val="en-US" w:eastAsia="zh-CN"/>
        </w:rPr>
        <w:t>，用于消化内镜中心内镜消毒</w:t>
      </w:r>
      <w:r>
        <w:rPr>
          <w:rFonts w:hint="eastAsia" w:ascii="仿宋" w:hAnsi="仿宋" w:eastAsia="仿宋" w:cs="仿宋"/>
          <w:sz w:val="28"/>
          <w:szCs w:val="28"/>
          <w:highlight w:val="none"/>
        </w:rPr>
        <w:t>；详见招标文件“第四章 采购内容及项目要求”。</w:t>
      </w:r>
    </w:p>
    <w:p>
      <w:pPr>
        <w:shd w:val="clea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合同履行期限：供货（安装）期：3年</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本项目（不接受）联合体投标。</w:t>
      </w:r>
    </w:p>
    <w:p>
      <w:pPr>
        <w:pStyle w:val="5"/>
        <w:numPr>
          <w:ilvl w:val="0"/>
          <w:numId w:val="2"/>
        </w:numPr>
        <w:shd w:val="clear"/>
        <w:spacing w:before="156" w:after="156"/>
        <w:outlineLvl w:val="0"/>
        <w:rPr>
          <w:sz w:val="36"/>
          <w:szCs w:val="28"/>
          <w:highlight w:val="none"/>
        </w:rPr>
      </w:pPr>
      <w:bookmarkStart w:id="7" w:name="_Toc29710"/>
      <w:bookmarkStart w:id="8" w:name="_Toc26463"/>
      <w:bookmarkStart w:id="9" w:name="_Toc23673"/>
      <w:r>
        <w:rPr>
          <w:rFonts w:hint="eastAsia"/>
          <w:sz w:val="36"/>
          <w:szCs w:val="28"/>
          <w:highlight w:val="none"/>
        </w:rPr>
        <w:t>申请人的资格要求</w:t>
      </w:r>
      <w:bookmarkEnd w:id="7"/>
      <w:bookmarkEnd w:id="8"/>
      <w:bookmarkEnd w:id="9"/>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满足《中华人民共和国政府采购法》第二十二条规定；</w:t>
      </w:r>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落实政府采购政策需满足的资格要求：本项目不属于专门面向中小企业、监狱企业、残疾人福利性单位采购的项目；</w:t>
      </w:r>
    </w:p>
    <w:p>
      <w:pPr>
        <w:numPr>
          <w:ilvl w:val="0"/>
          <w:numId w:val="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本项目的特定资格要求：</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投标人须是在中华人民共和国境内依法注册，具有独立法人资格的生产或经营企业</w:t>
      </w:r>
      <w:r>
        <w:rPr>
          <w:rFonts w:hint="eastAsia" w:ascii="仿宋" w:hAnsi="仿宋" w:eastAsia="仿宋" w:cs="仿宋"/>
          <w:sz w:val="28"/>
          <w:szCs w:val="28"/>
          <w:highlight w:val="none"/>
          <w:lang w:val="en-US" w:eastAsia="zh-CN"/>
        </w:rPr>
        <w:t>；</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信用中国”（www.creditchina.gov.cn）、中国政府采购网（www.ccgp.gov.cn）等网站中被列入失信被执行人、重大税收违法案件当事人名单、政府采购严重违法失信行为记录名单的供应商，不得参加本次政府采购活动；</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单位负责人为同一人或者存在直接控股、管理关系的不同供应商，不得参加同一合同项下（同一包号）的政府采购活动；</w:t>
      </w:r>
    </w:p>
    <w:p>
      <w:pPr>
        <w:numPr>
          <w:ilvl w:val="0"/>
          <w:numId w:val="4"/>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lang w:val="en-US" w:eastAsia="zh-CN"/>
        </w:rPr>
        <w:t>所投产品的生产厂家须取得卫生行政部门发放《消毒产品生产企业卫生许可证》、所投产品须取得合格的安全评价报告</w:t>
      </w:r>
      <w:r>
        <w:rPr>
          <w:rFonts w:hint="eastAsia" w:ascii="仿宋" w:hAnsi="仿宋" w:eastAsia="仿宋" w:cs="仿宋"/>
          <w:sz w:val="28"/>
          <w:szCs w:val="28"/>
          <w:highlight w:val="none"/>
        </w:rPr>
        <w:t>。</w:t>
      </w:r>
    </w:p>
    <w:p>
      <w:pPr>
        <w:pStyle w:val="5"/>
        <w:numPr>
          <w:ilvl w:val="0"/>
          <w:numId w:val="2"/>
        </w:numPr>
        <w:shd w:val="clear"/>
        <w:spacing w:before="156" w:after="156"/>
        <w:outlineLvl w:val="0"/>
        <w:rPr>
          <w:sz w:val="36"/>
          <w:szCs w:val="28"/>
          <w:highlight w:val="none"/>
        </w:rPr>
      </w:pPr>
      <w:bookmarkStart w:id="10" w:name="_Toc1472"/>
      <w:bookmarkStart w:id="11" w:name="_Toc16954"/>
      <w:bookmarkStart w:id="12" w:name="_Toc609"/>
      <w:r>
        <w:rPr>
          <w:rFonts w:hint="eastAsia"/>
          <w:sz w:val="36"/>
          <w:szCs w:val="28"/>
          <w:highlight w:val="none"/>
        </w:rPr>
        <w:t>获取招标文件</w:t>
      </w:r>
      <w:bookmarkEnd w:id="10"/>
      <w:bookmarkEnd w:id="11"/>
      <w:bookmarkEnd w:id="12"/>
    </w:p>
    <w:p>
      <w:pPr>
        <w:shd w:val="clea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时间：202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05</w:t>
      </w:r>
      <w:r>
        <w:rPr>
          <w:rFonts w:hint="eastAsia" w:ascii="仿宋" w:hAnsi="仿宋" w:eastAsia="仿宋" w:cs="仿宋"/>
          <w:sz w:val="28"/>
          <w:szCs w:val="28"/>
          <w:highlight w:val="none"/>
        </w:rPr>
        <w:t>日09:00至202</w:t>
      </w: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11</w:t>
      </w:r>
      <w:r>
        <w:rPr>
          <w:rFonts w:hint="eastAsia" w:ascii="仿宋" w:hAnsi="仿宋" w:eastAsia="仿宋" w:cs="仿宋"/>
          <w:sz w:val="28"/>
          <w:szCs w:val="28"/>
          <w:highlight w:val="none"/>
        </w:rPr>
        <w:t>日17:00止。</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地点：同诚工程咨询集团股份有限公司（济南市历城区万科海右府8号102），疫情期间招标文件采用邮寄方式，不需现场领取。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方式：凡有意参加本次采购的供应商须在获取招标文件的期限内联系代理机构（联系人：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0531-88933166/18954549093）明确所投项目名称及项目确认，供应商项目确认后请访问中国政府采购网下载电子版招标文件；将以下材料发送至sdthgczx2022@163.com（邮件主题格式：项目名称+供应商名称）：（1）企业法人营业执照副本扫描件；（2）法定代表人证明或法定代表人授权委托书及相应本人身份证扫描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生产厂家</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《消毒产品生产企业卫生许可证》扫描件、所投产品的安全评价报告扫描件。（3）与本项目相关事宜联系人、联系电话；（4）招标文件费汇款凭证。</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招标文件售价：300元/本，邮寄另付邮费50元（售后不退）。缴纳招标文件工本费账户信息：开户名称：同诚工程咨询集团股份有限公司济南分公司；开户银行：威海市商业银行股份有限公司济南燕山支行；行  号：313451000125，账  号：817972201421003546；汇款须注明：项目简称+单位简称。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本项目实行资格后审，获取招标文件成功不代表资格后审的通过。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注：本采购项目的变更、修改、澄清、补遗内容及对项目的暂停、延期通知等情况均在“中国政府采购网”发布。潜在供应商自行查阅网站信息，未按要求查阅者自行承担相应后果。</w:t>
      </w:r>
    </w:p>
    <w:p>
      <w:pPr>
        <w:pStyle w:val="5"/>
        <w:numPr>
          <w:ilvl w:val="0"/>
          <w:numId w:val="2"/>
        </w:numPr>
        <w:shd w:val="clear"/>
        <w:spacing w:before="156" w:after="156"/>
        <w:outlineLvl w:val="0"/>
        <w:rPr>
          <w:sz w:val="36"/>
          <w:szCs w:val="28"/>
          <w:highlight w:val="none"/>
        </w:rPr>
      </w:pPr>
      <w:bookmarkStart w:id="13" w:name="_Toc8125"/>
      <w:bookmarkStart w:id="14" w:name="_Toc25587"/>
      <w:bookmarkStart w:id="15" w:name="_Toc11218"/>
      <w:r>
        <w:rPr>
          <w:rFonts w:hint="eastAsia"/>
          <w:sz w:val="36"/>
          <w:szCs w:val="28"/>
          <w:highlight w:val="none"/>
        </w:rPr>
        <w:t>提交投标文件</w:t>
      </w:r>
      <w:bookmarkEnd w:id="13"/>
      <w:r>
        <w:rPr>
          <w:rFonts w:hint="eastAsia"/>
          <w:sz w:val="36"/>
          <w:szCs w:val="28"/>
          <w:highlight w:val="none"/>
        </w:rPr>
        <w:t>截止时间、开标时间和地点</w:t>
      </w:r>
      <w:bookmarkEnd w:id="14"/>
      <w:bookmarkEnd w:id="15"/>
    </w:p>
    <w:p>
      <w:pPr>
        <w:numPr>
          <w:ilvl w:val="0"/>
          <w:numId w:val="5"/>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投标文件递交的截止时间及开标时间：</w:t>
      </w:r>
      <w:r>
        <w:rPr>
          <w:rFonts w:hint="eastAsia" w:ascii="仿宋" w:hAnsi="仿宋" w:eastAsia="仿宋" w:cs="仿宋"/>
          <w:sz w:val="28"/>
          <w:szCs w:val="28"/>
          <w:highlight w:val="none"/>
          <w:u w:val="single"/>
        </w:rPr>
        <w:t>202</w:t>
      </w:r>
      <w:r>
        <w:rPr>
          <w:rFonts w:hint="default" w:ascii="仿宋" w:hAnsi="仿宋" w:eastAsia="仿宋" w:cs="仿宋"/>
          <w:sz w:val="28"/>
          <w:szCs w:val="28"/>
          <w:highlight w:val="none"/>
          <w:u w:val="single"/>
          <w:lang w:val="en-US"/>
        </w:rPr>
        <w:t>3</w:t>
      </w:r>
      <w:r>
        <w:rPr>
          <w:rFonts w:hint="eastAsia" w:ascii="仿宋" w:hAnsi="仿宋" w:eastAsia="仿宋" w:cs="仿宋"/>
          <w:sz w:val="28"/>
          <w:szCs w:val="28"/>
          <w:highlight w:val="none"/>
          <w:u w:val="single"/>
        </w:rPr>
        <w:t>年</w:t>
      </w:r>
      <w:r>
        <w:rPr>
          <w:rFonts w:hint="default" w:ascii="仿宋" w:hAnsi="仿宋" w:eastAsia="仿宋" w:cs="仿宋"/>
          <w:sz w:val="28"/>
          <w:szCs w:val="28"/>
          <w:highlight w:val="none"/>
          <w:u w:val="single"/>
          <w:lang w:val="en-US" w:eastAsia="zh-CN"/>
        </w:rPr>
        <w:t>01</w:t>
      </w:r>
      <w:r>
        <w:rPr>
          <w:rFonts w:hint="eastAsia" w:ascii="仿宋" w:hAnsi="仿宋" w:eastAsia="仿宋" w:cs="仿宋"/>
          <w:sz w:val="28"/>
          <w:szCs w:val="28"/>
          <w:highlight w:val="none"/>
          <w:u w:val="single"/>
        </w:rPr>
        <w:t>月</w:t>
      </w:r>
      <w:r>
        <w:rPr>
          <w:rFonts w:hint="default" w:ascii="仿宋" w:hAnsi="仿宋" w:eastAsia="仿宋" w:cs="仿宋"/>
          <w:sz w:val="28"/>
          <w:szCs w:val="28"/>
          <w:highlight w:val="none"/>
          <w:u w:val="single"/>
          <w:lang w:val="en-US" w:eastAsia="zh-CN"/>
        </w:rPr>
        <w:t>31</w:t>
      </w:r>
      <w:r>
        <w:rPr>
          <w:rFonts w:hint="eastAsia" w:ascii="仿宋" w:hAnsi="仿宋" w:eastAsia="仿宋" w:cs="仿宋"/>
          <w:sz w:val="28"/>
          <w:szCs w:val="28"/>
          <w:highlight w:val="none"/>
          <w:u w:val="single"/>
        </w:rPr>
        <w:t>日9点00分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投标文件递交的地点：济南市历下区历山路134号277室，逾期送达的或者未送达指定地点的投标文件，采购人不予受理。</w:t>
      </w:r>
    </w:p>
    <w:p>
      <w:pPr>
        <w:pStyle w:val="5"/>
        <w:numPr>
          <w:ilvl w:val="0"/>
          <w:numId w:val="2"/>
        </w:numPr>
        <w:shd w:val="clear"/>
        <w:spacing w:before="156" w:after="156"/>
        <w:outlineLvl w:val="0"/>
        <w:rPr>
          <w:sz w:val="36"/>
          <w:szCs w:val="28"/>
          <w:highlight w:val="none"/>
        </w:rPr>
      </w:pPr>
      <w:bookmarkStart w:id="16" w:name="_Toc7730"/>
      <w:bookmarkStart w:id="17" w:name="_Toc24710"/>
      <w:bookmarkStart w:id="18" w:name="_Toc19407"/>
      <w:r>
        <w:rPr>
          <w:rFonts w:hint="eastAsia"/>
          <w:sz w:val="36"/>
          <w:szCs w:val="28"/>
          <w:highlight w:val="none"/>
        </w:rPr>
        <w:t>公告期限</w:t>
      </w:r>
      <w:bookmarkEnd w:id="16"/>
      <w:bookmarkEnd w:id="17"/>
      <w:bookmarkEnd w:id="18"/>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自本公告发布之日起五个工作日。</w:t>
      </w:r>
    </w:p>
    <w:p>
      <w:pPr>
        <w:pStyle w:val="5"/>
        <w:numPr>
          <w:ilvl w:val="0"/>
          <w:numId w:val="2"/>
        </w:numPr>
        <w:shd w:val="clear"/>
        <w:spacing w:before="156" w:after="156"/>
        <w:outlineLvl w:val="0"/>
        <w:rPr>
          <w:sz w:val="36"/>
          <w:szCs w:val="28"/>
          <w:highlight w:val="none"/>
        </w:rPr>
      </w:pPr>
      <w:bookmarkStart w:id="19" w:name="_Toc7101"/>
      <w:bookmarkStart w:id="20" w:name="_Toc26363"/>
      <w:bookmarkStart w:id="21" w:name="_Toc30510"/>
      <w:r>
        <w:rPr>
          <w:rFonts w:hint="eastAsia"/>
          <w:sz w:val="36"/>
          <w:szCs w:val="28"/>
          <w:highlight w:val="none"/>
        </w:rPr>
        <w:t>其他补充事宜</w:t>
      </w:r>
      <w:bookmarkEnd w:id="19"/>
      <w:bookmarkEnd w:id="20"/>
      <w:bookmarkEnd w:id="21"/>
    </w:p>
    <w:p>
      <w:pPr>
        <w:shd w:val="clea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采购项目需要落实的政府采购政策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中小微型企业政府采购政策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监狱企业政府采购政策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促进残疾人就业政府采购政策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节能、环保产品政府采购政策</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详见招标文件</w:t>
      </w:r>
      <w:r>
        <w:rPr>
          <w:rFonts w:hint="eastAsia" w:ascii="仿宋" w:hAnsi="仿宋" w:eastAsia="仿宋" w:cs="仿宋"/>
          <w:sz w:val="28"/>
          <w:szCs w:val="28"/>
          <w:highlight w:val="none"/>
          <w:lang w:eastAsia="zh-CN"/>
        </w:rPr>
        <w:t>。</w:t>
      </w:r>
    </w:p>
    <w:p>
      <w:pPr>
        <w:pStyle w:val="5"/>
        <w:numPr>
          <w:ilvl w:val="0"/>
          <w:numId w:val="2"/>
        </w:numPr>
        <w:shd w:val="clear"/>
        <w:spacing w:before="156" w:after="156"/>
        <w:outlineLvl w:val="0"/>
        <w:rPr>
          <w:sz w:val="36"/>
          <w:szCs w:val="28"/>
          <w:highlight w:val="none"/>
        </w:rPr>
      </w:pPr>
      <w:bookmarkStart w:id="22" w:name="_Toc12221"/>
      <w:bookmarkStart w:id="23" w:name="_Toc13305"/>
      <w:bookmarkStart w:id="24" w:name="_Toc10067"/>
      <w:r>
        <w:rPr>
          <w:rFonts w:hint="eastAsia"/>
          <w:sz w:val="36"/>
          <w:szCs w:val="28"/>
          <w:highlight w:val="none"/>
        </w:rPr>
        <w:t>对本次招标提出询问，请按以下方式联系</w:t>
      </w:r>
      <w:bookmarkEnd w:id="22"/>
      <w:bookmarkEnd w:id="23"/>
      <w:bookmarkEnd w:id="24"/>
    </w:p>
    <w:p>
      <w:pPr>
        <w:shd w:val="clear"/>
        <w:outlineLvl w:val="1"/>
        <w:rPr>
          <w:rFonts w:ascii="仿宋" w:hAnsi="仿宋" w:eastAsia="仿宋" w:cs="仿宋"/>
          <w:sz w:val="28"/>
          <w:szCs w:val="28"/>
          <w:highlight w:val="none"/>
        </w:rPr>
      </w:pPr>
      <w:bookmarkStart w:id="25" w:name="_Toc17217"/>
      <w:r>
        <w:rPr>
          <w:rFonts w:hint="eastAsia" w:ascii="仿宋" w:hAnsi="仿宋" w:eastAsia="仿宋" w:cs="仿宋"/>
          <w:sz w:val="28"/>
          <w:szCs w:val="28"/>
          <w:highlight w:val="none"/>
        </w:rPr>
        <w:t>1、采购人信息</w:t>
      </w:r>
      <w:bookmarkEnd w:id="25"/>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名 称：山东大学第二医院</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p>
      <w:pPr>
        <w:shd w:val="clear"/>
        <w:outlineLvl w:val="1"/>
        <w:rPr>
          <w:rFonts w:ascii="仿宋" w:hAnsi="仿宋" w:eastAsia="仿宋" w:cs="仿宋"/>
          <w:sz w:val="28"/>
          <w:szCs w:val="28"/>
          <w:highlight w:val="none"/>
        </w:rPr>
      </w:pPr>
      <w:bookmarkStart w:id="26" w:name="_Toc4433"/>
      <w:r>
        <w:rPr>
          <w:rFonts w:hint="eastAsia" w:ascii="仿宋" w:hAnsi="仿宋" w:eastAsia="仿宋" w:cs="仿宋"/>
          <w:sz w:val="28"/>
          <w:szCs w:val="28"/>
          <w:highlight w:val="none"/>
        </w:rPr>
        <w:t>2、采购代理机构信息</w:t>
      </w:r>
      <w:bookmarkEnd w:id="26"/>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地址：济南市历城区万科海右府8-102</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p>
      <w:pPr>
        <w:shd w:val="clear"/>
        <w:outlineLvl w:val="1"/>
        <w:rPr>
          <w:rFonts w:ascii="仿宋" w:hAnsi="仿宋" w:eastAsia="仿宋" w:cs="仿宋"/>
          <w:sz w:val="28"/>
          <w:szCs w:val="28"/>
          <w:highlight w:val="none"/>
        </w:rPr>
      </w:pPr>
      <w:bookmarkStart w:id="27" w:name="_Toc3270"/>
      <w:r>
        <w:rPr>
          <w:rFonts w:hint="eastAsia" w:ascii="仿宋" w:hAnsi="仿宋" w:eastAsia="仿宋" w:cs="仿宋"/>
          <w:sz w:val="28"/>
          <w:szCs w:val="28"/>
          <w:highlight w:val="none"/>
        </w:rPr>
        <w:t>3.项目联系方式</w:t>
      </w:r>
      <w:bookmarkEnd w:id="27"/>
    </w:p>
    <w:p>
      <w:pPr>
        <w:shd w:val="clear"/>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hd w:val="clear"/>
        <w:rPr>
          <w:sz w:val="22"/>
          <w:szCs w:val="28"/>
          <w:highlight w:val="none"/>
        </w:rPr>
      </w:pPr>
      <w:r>
        <w:rPr>
          <w:rFonts w:hint="eastAsia" w:ascii="仿宋" w:hAnsi="仿宋" w:eastAsia="仿宋" w:cs="仿宋"/>
          <w:sz w:val="28"/>
          <w:szCs w:val="28"/>
          <w:highlight w:val="none"/>
        </w:rPr>
        <w:t>电  话：0531-88933166</w:t>
      </w:r>
      <w:r>
        <w:rPr>
          <w:sz w:val="22"/>
          <w:szCs w:val="28"/>
          <w:highlight w:val="none"/>
        </w:rPr>
        <w:br w:type="page"/>
      </w:r>
    </w:p>
    <w:p>
      <w:pPr>
        <w:pStyle w:val="4"/>
        <w:numPr>
          <w:ilvl w:val="0"/>
          <w:numId w:val="6"/>
        </w:numPr>
        <w:shd w:val="clear"/>
        <w:spacing w:after="312"/>
        <w:rPr>
          <w:highlight w:val="none"/>
        </w:rPr>
      </w:pPr>
      <w:bookmarkStart w:id="28" w:name="_Toc18409"/>
      <w:r>
        <w:rPr>
          <w:rFonts w:hint="eastAsia"/>
          <w:highlight w:val="none"/>
        </w:rPr>
        <w:t>投标须知</w:t>
      </w:r>
      <w:bookmarkEnd w:id="28"/>
    </w:p>
    <w:p>
      <w:pPr>
        <w:pStyle w:val="5"/>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jc w:val="center"/>
        <w:textAlignment w:val="auto"/>
        <w:rPr>
          <w:rFonts w:hint="eastAsia" w:ascii="仿宋" w:hAnsi="仿宋" w:eastAsia="仿宋" w:cs="仿宋"/>
          <w:b/>
          <w:bCs/>
          <w:sz w:val="32"/>
          <w:szCs w:val="32"/>
          <w:highlight w:val="none"/>
        </w:rPr>
      </w:pPr>
      <w:bookmarkStart w:id="29" w:name="_Toc12971"/>
      <w:r>
        <w:rPr>
          <w:rFonts w:hint="eastAsia" w:ascii="仿宋" w:hAnsi="仿宋" w:eastAsia="仿宋" w:cs="仿宋"/>
          <w:b/>
          <w:bCs/>
          <w:sz w:val="32"/>
          <w:szCs w:val="32"/>
          <w:highlight w:val="none"/>
        </w:rPr>
        <w:t>供应商须知前附表</w:t>
      </w:r>
      <w:bookmarkEnd w:id="29"/>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153"/>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70"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2153"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5499" w:type="dxa"/>
            <w:vAlign w:val="center"/>
          </w:tcPr>
          <w:p>
            <w:pPr>
              <w:shd w:val="clear"/>
              <w:snapToGrid w:val="0"/>
              <w:spacing w:line="30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TCZX-HW-2022-048</w:t>
            </w:r>
          </w:p>
          <w:p>
            <w:pPr>
              <w:shd w:val="clear"/>
              <w:snapToGrid w:val="0"/>
              <w:spacing w:line="30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山东大学第二医院消化内镜中心内镜消毒用过氧乙酸消毒液（二元）招标采购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资金来源</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shd w:val="clea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default" w:ascii="仿宋" w:hAnsi="仿宋" w:eastAsia="仿宋" w:cs="仿宋"/>
                <w:sz w:val="28"/>
                <w:szCs w:val="28"/>
                <w:highlight w:val="none"/>
                <w:lang w:val="en-US" w:eastAsia="zh-CN"/>
              </w:rPr>
              <w:t>249</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val="en-US" w:eastAsia="zh-CN"/>
              </w:rPr>
              <w:t>/三年</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最高限价：</w:t>
            </w:r>
            <w:r>
              <w:rPr>
                <w:rFonts w:hint="default" w:ascii="仿宋" w:hAnsi="仿宋" w:eastAsia="仿宋" w:cs="仿宋"/>
                <w:sz w:val="28"/>
                <w:szCs w:val="28"/>
                <w:highlight w:val="none"/>
                <w:lang w:val="en-US" w:eastAsia="zh-CN"/>
              </w:rPr>
              <w:t>249</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val="en-US" w:eastAsia="zh-CN"/>
              </w:rPr>
              <w:t>/三年</w:t>
            </w:r>
          </w:p>
          <w:p>
            <w:pPr>
              <w:shd w:val="clear"/>
              <w:snapToGrid w:val="0"/>
              <w:spacing w:line="300" w:lineRule="auto"/>
              <w:rPr>
                <w:rFonts w:ascii="仿宋" w:hAnsi="仿宋" w:eastAsia="仿宋" w:cs="仿宋"/>
                <w:sz w:val="28"/>
                <w:szCs w:val="28"/>
                <w:highlight w:val="none"/>
              </w:rPr>
            </w:pPr>
            <w:r>
              <w:rPr>
                <w:rFonts w:ascii="仿宋" w:hAnsi="仿宋" w:eastAsia="仿宋" w:cs="仿宋"/>
                <w:b/>
                <w:bCs/>
                <w:sz w:val="28"/>
                <w:szCs w:val="28"/>
                <w:highlight w:val="none"/>
              </w:rPr>
              <w:t>投标报价超过预算金额或最高限价的，按无效投标处理。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供应商应提供</w:t>
            </w:r>
          </w:p>
          <w:p>
            <w:pPr>
              <w:shd w:val="clear"/>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的资格证明材料</w:t>
            </w:r>
          </w:p>
        </w:tc>
        <w:tc>
          <w:tcPr>
            <w:tcW w:w="5499" w:type="dxa"/>
            <w:vAlign w:val="center"/>
          </w:tcPr>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（8）生产厂家有效的卫生行政部门发放《消毒产品生产企业卫生许可证》复印件，所投产品具有</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的安全评价报告复印件；</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（9）供应商符合法律、行政法规规定的其它要求。</w:t>
            </w:r>
          </w:p>
          <w:p>
            <w:pPr>
              <w:pStyle w:val="2"/>
              <w:shd w:val="clear"/>
              <w:rPr>
                <w:highlight w:val="none"/>
              </w:rPr>
            </w:pPr>
            <w:r>
              <w:rPr>
                <w:rFonts w:hint="eastAsia" w:ascii="仿宋" w:hAnsi="仿宋" w:eastAsia="仿宋" w:cs="仿宋"/>
                <w:bCs w:val="0"/>
                <w:spacing w:val="0"/>
                <w:kern w:val="2"/>
                <w:sz w:val="28"/>
                <w:szCs w:val="28"/>
                <w:highlight w:val="none"/>
                <w:lang w:val="en-US" w:eastAsia="zh-CN" w:bidi="ar-SA"/>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对招标文件的疑问</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提交疑问时间：截止时间202</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eastAsia="zh-CN"/>
              </w:rPr>
              <w:t>12</w:t>
            </w:r>
            <w:bookmarkStart w:id="131" w:name="_GoBack"/>
            <w:bookmarkEnd w:id="131"/>
            <w:r>
              <w:rPr>
                <w:rFonts w:hint="eastAsia" w:ascii="仿宋" w:hAnsi="仿宋" w:eastAsia="仿宋" w:cs="仿宋"/>
                <w:sz w:val="28"/>
                <w:szCs w:val="28"/>
                <w:highlight w:val="none"/>
              </w:rPr>
              <w:t>日上午11:00前。</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招标文件澄清</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澄清和修改文件发送时间（如有）投标截止时间15天前；</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投标文件份数</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纸质投标文件4份，其中正本1份和副本3份；电子版投标文件1份（U盘，可编辑word版本和PDF版本各一份）；开标一览表一式3份。</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电子版内容应包含投标文件的全部商务、报价、技术内容及技术资料，其中有英文资料的还应提供中、英文对照文本。</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开标一览表一式3份单独密封。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装订方式：纸质投标文件应正反双面打印，每册采用胶装方式装订，装订应牢固、不易拆散和换页，不得采用活页装订；每册厚度不得超过4.5cm,如超过需分册装订；在封装背脊处打印项目名称；为节约成本，投标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投标文件密封和标记</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供应商应将投标文件正本、副本、电子版及开标一览表密封，并在封套明显处注明以下内容：</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正本或副本或电子版或开标一览表；</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numPr>
                <w:ilvl w:val="0"/>
                <w:numId w:val="8"/>
              </w:numPr>
              <w:shd w:val="clear"/>
              <w:snapToGrid w:val="0"/>
              <w:spacing w:line="300" w:lineRule="auto"/>
              <w:ind w:left="425" w:leftChars="0" w:hanging="425" w:firstLineChars="0"/>
              <w:rPr>
                <w:rFonts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投标文件的签署</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投标函、开标一览表以及招标文件格式要求中注明需盖章的资料均应按要求签署。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投标保证金</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0000.00元整(大写：</w:t>
            </w:r>
            <w:r>
              <w:rPr>
                <w:rFonts w:hint="eastAsia" w:ascii="仿宋" w:hAnsi="仿宋" w:eastAsia="仿宋" w:cs="仿宋"/>
                <w:sz w:val="28"/>
                <w:szCs w:val="28"/>
                <w:highlight w:val="none"/>
                <w:lang w:val="en-US" w:eastAsia="zh-CN"/>
              </w:rPr>
              <w:t>贰</w:t>
            </w:r>
            <w:r>
              <w:rPr>
                <w:rFonts w:hint="eastAsia" w:ascii="仿宋" w:hAnsi="仿宋" w:eastAsia="仿宋" w:cs="仿宋"/>
                <w:sz w:val="28"/>
                <w:szCs w:val="28"/>
                <w:highlight w:val="none"/>
              </w:rPr>
              <w:t>万元整）</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投标保证金缴纳形式：网银转账或电汇，银行保函或第三方担保。</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行  号：313451000125</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投标保证金以电汇或网银形式提交的必须从供应商的账户转出，并在提交投标文件截止时间前到达指定账户。其他形式提交的投标保证金须在提交投标文件截止时间前到达指定账户，供应商应充分考虑银行信息交换时间，由此带来的投标保证金不能按时到帐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投标有效期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自投标截止之日起90日历天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w:t>
            </w:r>
          </w:p>
        </w:tc>
        <w:tc>
          <w:tcPr>
            <w:tcW w:w="5499" w:type="dxa"/>
            <w:vAlign w:val="center"/>
          </w:tcPr>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投标文件递交时间：详见招标公告；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投标文件递交截止时间：详见招标公告；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投标文件递交地点：详见招标公告。</w:t>
            </w:r>
          </w:p>
          <w:p>
            <w:pPr>
              <w:shd w:val="clear"/>
              <w:snapToGrid w:val="0"/>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注：疫情期间如无法进入开标室，我方将根据具体情况另行通知。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开标时间</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开标地点</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开标时间：同投标文件递交截止时间；</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5499" w:type="dxa"/>
            <w:vAlign w:val="center"/>
          </w:tcPr>
          <w:p>
            <w:pPr>
              <w:numPr>
                <w:ilvl w:val="0"/>
                <w:numId w:val="9"/>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shd w:val="clear"/>
              <w:snapToGrid w:val="0"/>
              <w:spacing w:line="30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numPr>
                <w:ilvl w:val="0"/>
                <w:numId w:val="9"/>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注：上述证件复印件必须附在投标文件中。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近三年：20</w:t>
            </w:r>
            <w:r>
              <w:rPr>
                <w:rFonts w:hint="default" w:ascii="仿宋" w:hAnsi="仿宋" w:eastAsia="仿宋" w:cs="仿宋"/>
                <w:sz w:val="28"/>
                <w:szCs w:val="28"/>
                <w:highlight w:val="none"/>
                <w:lang w:val="en-US"/>
              </w:rPr>
              <w:t>20</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月1日至今；</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eastAsia="仿宋" w:cs="仿宋"/>
                <w:sz w:val="28"/>
                <w:szCs w:val="28"/>
                <w:highlight w:val="none"/>
                <w:lang w:val="en-US" w:eastAsia="zh-CN"/>
              </w:rPr>
              <w:t>无</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供</w:t>
            </w:r>
            <w:r>
              <w:rPr>
                <w:rFonts w:hint="eastAsia" w:ascii="仿宋" w:hAnsi="仿宋" w:eastAsia="仿宋" w:cs="仿宋"/>
                <w:sz w:val="28"/>
                <w:szCs w:val="28"/>
                <w:highlight w:val="none"/>
              </w:rPr>
              <w:t>货期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lang w:val="en-US" w:eastAsia="zh-CN"/>
              </w:rPr>
              <w:t>年</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lang w:eastAsia="zh-CN"/>
              </w:rPr>
              <w:t>距离产品失效期大于6个月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5499" w:type="dxa"/>
            <w:vAlign w:val="center"/>
          </w:tcPr>
          <w:p>
            <w:pPr>
              <w:shd w:val="clear"/>
              <w:snapToGrid w:val="0"/>
              <w:spacing w:line="300" w:lineRule="auto"/>
              <w:rPr>
                <w:rFonts w:hint="default" w:ascii="仿宋" w:hAnsi="仿宋" w:eastAsia="仿宋" w:cs="仿宋"/>
                <w:sz w:val="28"/>
                <w:szCs w:val="28"/>
                <w:highlight w:val="none"/>
                <w:lang w:val="en-US"/>
              </w:rPr>
            </w:pPr>
            <w:r>
              <w:rPr>
                <w:rFonts w:hint="default" w:ascii="仿宋" w:hAnsi="仿宋" w:eastAsia="仿宋" w:cs="仿宋"/>
                <w:sz w:val="28"/>
                <w:szCs w:val="28"/>
                <w:highlight w:val="none"/>
                <w:lang w:val="en-US"/>
              </w:rPr>
              <w:t>甲方根据医院实际采购消毒液的情况，与乙方就上月的实际采购情况对账确认无误后，在甲方财务入账后根据医院规定进行付款。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评标委员会组成</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根据本项目的特点组建评标委员会，其成员由有关评审专家和采购人代表等五人或以上单数组成，其中评审技术专家不得少于成员总数的三分之二。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本次评标采用综合评分法，评标委员会成员根据第三章“评分办法”进行打分，按照得分由高到低顺序对各供应商进行排序，提出书面评标报告。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是否授权评标委员会确定中标人</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中标服务费：</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本项目中标服务费按国家发展改革委员会办公厅发改办[2003]857号文、国家发展计划委员会计价格[2002]1980号文件规定的“货物类”收费标准下浮40%计取，中标服务费由中标人支付。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5499"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√不需要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金额：中标金额的__%</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0" w:type="dxa"/>
            <w:vAlign w:val="center"/>
          </w:tcPr>
          <w:p>
            <w:pPr>
              <w:numPr>
                <w:ilvl w:val="0"/>
                <w:numId w:val="7"/>
              </w:numPr>
              <w:shd w:val="clear"/>
              <w:snapToGrid w:val="0"/>
              <w:spacing w:line="300" w:lineRule="auto"/>
              <w:jc w:val="center"/>
              <w:rPr>
                <w:rFonts w:ascii="仿宋" w:hAnsi="仿宋" w:eastAsia="仿宋" w:cs="仿宋"/>
                <w:sz w:val="28"/>
                <w:szCs w:val="28"/>
                <w:highlight w:val="none"/>
              </w:rPr>
            </w:pPr>
          </w:p>
        </w:tc>
        <w:tc>
          <w:tcPr>
            <w:tcW w:w="21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说明</w:t>
            </w:r>
          </w:p>
        </w:tc>
        <w:tc>
          <w:tcPr>
            <w:tcW w:w="5499" w:type="dxa"/>
            <w:vAlign w:val="center"/>
          </w:tcPr>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招标文件标有“★”号条款要求的内容是实质性要求，不允许有负偏离，否则，该投标文件有可能因未响应招标文件规定的实质性要求而被否决；</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招标文件标有“*”号条款要求的内容是关键技术参数,不允许有负偏离，否则，做废标处理；</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招标文件标有“#”号条款要求的内容是重要技术参数,不做废标项；</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招标文件各章节中，有加粗的文字，表示是重要的内容，应引起供应商的注意。</w:t>
            </w:r>
          </w:p>
          <w:p>
            <w:pPr>
              <w:numPr>
                <w:ilvl w:val="0"/>
                <w:numId w:val="10"/>
              </w:num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tc>
      </w:tr>
    </w:tbl>
    <w:p>
      <w:pPr>
        <w:shd w:val="clear"/>
        <w:rPr>
          <w:sz w:val="22"/>
          <w:szCs w:val="28"/>
          <w:highlight w:val="none"/>
        </w:rPr>
      </w:pPr>
      <w:r>
        <w:rPr>
          <w:sz w:val="22"/>
          <w:szCs w:val="28"/>
          <w:highlight w:val="none"/>
        </w:rPr>
        <w:br w:type="page"/>
      </w:r>
    </w:p>
    <w:p>
      <w:pPr>
        <w:pStyle w:val="5"/>
        <w:shd w:val="clear"/>
        <w:spacing w:before="156" w:after="156"/>
        <w:jc w:val="center"/>
        <w:rPr>
          <w:rFonts w:ascii="宋体" w:hAnsi="宋体" w:eastAsia="宋体" w:cs="宋体"/>
          <w:sz w:val="44"/>
          <w:szCs w:val="44"/>
          <w:highlight w:val="none"/>
        </w:rPr>
      </w:pPr>
      <w:bookmarkStart w:id="30" w:name="_Toc28626"/>
      <w:r>
        <w:rPr>
          <w:rFonts w:hint="eastAsia" w:ascii="宋体" w:hAnsi="宋体" w:eastAsia="宋体" w:cs="宋体"/>
          <w:sz w:val="44"/>
          <w:szCs w:val="44"/>
          <w:highlight w:val="none"/>
        </w:rPr>
        <w:t>供应商须知正文</w:t>
      </w:r>
      <w:bookmarkEnd w:id="30"/>
    </w:p>
    <w:p>
      <w:pPr>
        <w:pStyle w:val="6"/>
        <w:numPr>
          <w:ilvl w:val="0"/>
          <w:numId w:val="11"/>
        </w:numPr>
        <w:shd w:val="clear"/>
        <w:spacing w:beforeLines="50" w:afterLines="50"/>
        <w:ind w:firstLine="0" w:firstLineChars="0"/>
        <w:outlineLvl w:val="1"/>
        <w:rPr>
          <w:rFonts w:ascii="黑体" w:hAnsi="黑体" w:eastAsia="黑体" w:cs="黑体"/>
          <w:b w:val="0"/>
          <w:bCs/>
          <w:sz w:val="36"/>
          <w:szCs w:val="36"/>
          <w:highlight w:val="none"/>
        </w:rPr>
      </w:pPr>
      <w:bookmarkStart w:id="31" w:name="_Toc7569"/>
      <w:bookmarkStart w:id="32" w:name="_Toc2631"/>
      <w:r>
        <w:rPr>
          <w:rFonts w:hint="eastAsia" w:ascii="黑体" w:hAnsi="黑体" w:eastAsia="黑体" w:cs="黑体"/>
          <w:b w:val="0"/>
          <w:bCs/>
          <w:sz w:val="36"/>
          <w:szCs w:val="36"/>
          <w:highlight w:val="none"/>
        </w:rPr>
        <w:t>说明</w:t>
      </w:r>
      <w:bookmarkEnd w:id="31"/>
      <w:bookmarkEnd w:id="32"/>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1.采购人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系指山东大学第二医院</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2.采购代理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系指同诚工程咨询集团股份有限公司</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3.合格供应商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3.1具备本招标公告规定的供应商资格要求；</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3.1.1具有独立承担民事责任的能力；</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3.1.2具有良好的商业信誉和健全的财务会计制度；</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3.1.3具有履行合同所必需的设备和专业技术能力；</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3.1.4有依法缴纳税收和社会保障资金的良好纪录；</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3.1.5参加本次采购活动前三年内，未列入失信被执行人、重大税收违法案件当事人名单、政府采购严重违法失信行为记录名单及没有重大违法记录；</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3.1.6单位负责人为同一人或者存在直接控股、管理关系的不同供应商，不得参加同一合同项下的采购活动；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3.1.7为采购项目提供整体设计、规范编制或者项目管理、监理、检测等服务的供应商，不得再参加该采购项目的其他采购活动（单一来源采购项目除外）；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3.1.8法律、行政法规规定的其他条件。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3.2提供的资格资质证明文件均真实有效；</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3.3依法获取招标文件；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3.4在以往的采购活动中没有违法、违规、违纪、违约行为；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3.5遵守《中华人民共和国政府采购法》及实施条例、其他有关的中国法律、法规和规定；</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3.6 本次招标不接受联合体投标；</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4.产品定义</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“招标产品”指本招标文件中所述产品及相关服务。</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4.2  进口产品是指通过中国海关报关验放进入中国境内且产自关境外的产品。若招标文件中写明允许采购进口产品的，供应商所投产品为进口产品的应保证所投产品可履行合法报通关手续进入中国关境内；若招标文件中未写明允许采购进口产品的，如供应商所投产品为进口产品，其投标将被认定为投标无效</w:t>
      </w:r>
      <w:r>
        <w:rPr>
          <w:rFonts w:ascii="仿宋" w:hAnsi="仿宋" w:eastAsia="仿宋" w:cs="仿宋"/>
          <w:sz w:val="28"/>
          <w:szCs w:val="28"/>
          <w:highlight w:val="none"/>
        </w:rPr>
        <w:t>。</w:t>
      </w:r>
    </w:p>
    <w:p>
      <w:pPr>
        <w:shd w:val="clear"/>
        <w:ind w:firstLine="643" w:firstLineChars="200"/>
        <w:rPr>
          <w:rFonts w:ascii="楷体" w:hAnsi="楷体" w:eastAsia="楷体" w:cs="楷体"/>
          <w:b/>
          <w:bCs/>
          <w:sz w:val="32"/>
          <w:szCs w:val="32"/>
          <w:highlight w:val="none"/>
        </w:rPr>
      </w:pPr>
      <w:r>
        <w:rPr>
          <w:rFonts w:ascii="楷体" w:hAnsi="楷体" w:eastAsia="楷体" w:cs="楷体"/>
          <w:b/>
          <w:bCs/>
          <w:sz w:val="32"/>
          <w:szCs w:val="32"/>
          <w:highlight w:val="none"/>
        </w:rPr>
        <w:t>5.投标费用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5.1无论投标过程的实施或结果如何，</w:t>
      </w:r>
      <w:r>
        <w:rPr>
          <w:rFonts w:hint="eastAsia" w:ascii="仿宋" w:hAnsi="仿宋" w:eastAsia="仿宋" w:cs="仿宋"/>
          <w:sz w:val="28"/>
          <w:szCs w:val="28"/>
          <w:highlight w:val="none"/>
        </w:rPr>
        <w:t>供应商</w:t>
      </w:r>
      <w:r>
        <w:rPr>
          <w:rFonts w:ascii="仿宋" w:hAnsi="仿宋" w:eastAsia="仿宋" w:cs="仿宋"/>
          <w:sz w:val="28"/>
          <w:szCs w:val="28"/>
          <w:highlight w:val="none"/>
        </w:rPr>
        <w:t>均应承担与投标文件制作和投标相关的所有费用。采购人和采购代理在任何情况下都不担负这些费用。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5.2招标代理服务费：采购人与</w:t>
      </w:r>
      <w:r>
        <w:rPr>
          <w:rFonts w:hint="eastAsia" w:ascii="仿宋" w:hAnsi="仿宋" w:eastAsia="仿宋" w:cs="仿宋"/>
          <w:sz w:val="28"/>
          <w:szCs w:val="28"/>
          <w:highlight w:val="none"/>
        </w:rPr>
        <w:t>中标人</w:t>
      </w:r>
      <w:r>
        <w:rPr>
          <w:rFonts w:ascii="仿宋" w:hAnsi="仿宋" w:eastAsia="仿宋" w:cs="仿宋"/>
          <w:sz w:val="28"/>
          <w:szCs w:val="28"/>
          <w:highlight w:val="none"/>
        </w:rPr>
        <w:t>签订合同后5日内，由</w:t>
      </w:r>
      <w:r>
        <w:rPr>
          <w:rFonts w:hint="eastAsia" w:ascii="仿宋" w:hAnsi="仿宋" w:eastAsia="仿宋" w:cs="仿宋"/>
          <w:sz w:val="28"/>
          <w:szCs w:val="28"/>
          <w:highlight w:val="none"/>
        </w:rPr>
        <w:t>中标人</w:t>
      </w:r>
      <w:r>
        <w:rPr>
          <w:rFonts w:ascii="仿宋" w:hAnsi="仿宋" w:eastAsia="仿宋" w:cs="仿宋"/>
          <w:sz w:val="28"/>
          <w:szCs w:val="28"/>
          <w:highlight w:val="none"/>
        </w:rPr>
        <w:t>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招标代理服务费。</w:t>
      </w:r>
    </w:p>
    <w:p>
      <w:pPr>
        <w:pStyle w:val="6"/>
        <w:numPr>
          <w:ilvl w:val="0"/>
          <w:numId w:val="11"/>
        </w:numPr>
        <w:shd w:val="clear"/>
        <w:spacing w:beforeLines="50" w:afterLines="50"/>
        <w:ind w:firstLine="0" w:firstLineChars="0"/>
        <w:outlineLvl w:val="1"/>
        <w:rPr>
          <w:rFonts w:ascii="黑体" w:hAnsi="黑体" w:eastAsia="黑体" w:cs="黑体"/>
          <w:b w:val="0"/>
          <w:bCs/>
          <w:sz w:val="36"/>
          <w:szCs w:val="36"/>
          <w:highlight w:val="none"/>
        </w:rPr>
      </w:pPr>
      <w:bookmarkStart w:id="33" w:name="_Toc9883"/>
      <w:bookmarkStart w:id="34" w:name="_Toc18768"/>
      <w:r>
        <w:rPr>
          <w:rFonts w:ascii="黑体" w:hAnsi="黑体" w:eastAsia="黑体" w:cs="黑体"/>
          <w:b w:val="0"/>
          <w:bCs/>
          <w:sz w:val="36"/>
          <w:szCs w:val="36"/>
          <w:highlight w:val="none"/>
        </w:rPr>
        <w:t>招标文件</w:t>
      </w:r>
      <w:bookmarkEnd w:id="33"/>
      <w:bookmarkEnd w:id="34"/>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6.</w:t>
      </w:r>
      <w:r>
        <w:rPr>
          <w:rFonts w:ascii="楷体" w:hAnsi="楷体" w:eastAsia="楷体" w:cs="楷体"/>
          <w:b/>
          <w:bCs/>
          <w:sz w:val="32"/>
          <w:szCs w:val="32"/>
          <w:highlight w:val="none"/>
        </w:rPr>
        <w:t>招标文件组成</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本招标文件由招标文件目录所列内容及按本招标文件要求发出的澄清、答疑和修改组成。</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7.</w:t>
      </w:r>
      <w:r>
        <w:rPr>
          <w:rFonts w:ascii="楷体" w:hAnsi="楷体" w:eastAsia="楷体" w:cs="楷体"/>
          <w:b/>
          <w:bCs/>
          <w:sz w:val="32"/>
          <w:szCs w:val="32"/>
          <w:highlight w:val="none"/>
        </w:rPr>
        <w:t>招标文件澄清和修改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7.1任何已依法获取招标文件（进行项目确认是依法获取招标文件的必要环节）的潜在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，认为招标文件存在歧视性条款或不合理要求等需要澄清的问题，均可要求对招标文件进行澄清。要求澄清的潜在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按前附表规定的时间、地点以书面形式（包括信函或传真）一次性全部提出，并通知到采购代理。采购代理在认为必要时，将不标明查询来源的书面答复按前附表规定的方式发布。补充文件将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均具有约束力。</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7.2 在投标截止时间15日前任何时候，采购代理无论出于何种原因，均可用补充文件的形式对招标文件进行澄清和修改。该澄清和修改作为招标文件的组成部分对所有</w:t>
      </w:r>
      <w:r>
        <w:rPr>
          <w:rFonts w:hint="eastAsia" w:ascii="仿宋" w:hAnsi="仿宋" w:eastAsia="仿宋" w:cs="仿宋"/>
          <w:sz w:val="28"/>
          <w:szCs w:val="28"/>
          <w:highlight w:val="none"/>
        </w:rPr>
        <w:t>供应商</w:t>
      </w:r>
      <w:r>
        <w:rPr>
          <w:rFonts w:ascii="仿宋" w:hAnsi="仿宋" w:eastAsia="仿宋" w:cs="仿宋"/>
          <w:sz w:val="28"/>
          <w:szCs w:val="28"/>
          <w:highlight w:val="none"/>
        </w:rPr>
        <w:t>具有约束力，该补充文件将在“中国政府采购网”发布，潜在</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自行查阅网站信息，未按要求查阅者自行承担相应后果。</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7.3 潜在</w:t>
      </w:r>
      <w:r>
        <w:rPr>
          <w:rFonts w:hint="eastAsia" w:ascii="仿宋" w:hAnsi="仿宋" w:eastAsia="仿宋" w:cs="仿宋"/>
          <w:sz w:val="28"/>
          <w:szCs w:val="28"/>
          <w:highlight w:val="none"/>
        </w:rPr>
        <w:t>供应商</w:t>
      </w:r>
      <w:r>
        <w:rPr>
          <w:rFonts w:ascii="仿宋" w:hAnsi="仿宋" w:eastAsia="仿宋" w:cs="仿宋"/>
          <w:sz w:val="28"/>
          <w:szCs w:val="28"/>
          <w:highlight w:val="none"/>
        </w:rPr>
        <w:t>未在前附表规定时间内提出质疑的，视为无需要澄清的问题，逾期任何问题不作答复。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7.4  如果澄清、补遗文件发出的时间距投标截止时间不足15天，且澄清、补遗的内容可能影响投标文件的制作，相应延长提交投标文件的截止时间和日期，并将此变更发布在“中国政府采购网”。在这种情况下，采购代理和</w:t>
      </w:r>
      <w:r>
        <w:rPr>
          <w:rFonts w:hint="eastAsia" w:ascii="仿宋" w:hAnsi="仿宋" w:eastAsia="仿宋" w:cs="仿宋"/>
          <w:sz w:val="28"/>
          <w:szCs w:val="28"/>
          <w:highlight w:val="none"/>
        </w:rPr>
        <w:t>供应商</w:t>
      </w:r>
      <w:r>
        <w:rPr>
          <w:rFonts w:ascii="仿宋" w:hAnsi="仿宋" w:eastAsia="仿宋" w:cs="仿宋"/>
          <w:sz w:val="28"/>
          <w:szCs w:val="28"/>
          <w:highlight w:val="none"/>
        </w:rPr>
        <w:t>受投标截止期制约的所有权利和义务均相应延长至新的截止日期。</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7.5澄清、补遗一经发布即生效，无需回复，未按要求查阅者自行承担相应后果。采购代理不因此承担任何责任，有关的招标活动可以继续有效地进行。</w:t>
      </w:r>
    </w:p>
    <w:p>
      <w:pPr>
        <w:pStyle w:val="6"/>
        <w:numPr>
          <w:ilvl w:val="0"/>
          <w:numId w:val="11"/>
        </w:numPr>
        <w:shd w:val="clear"/>
        <w:spacing w:beforeLines="50" w:afterLines="50"/>
        <w:ind w:firstLine="0" w:firstLineChars="0"/>
        <w:outlineLvl w:val="1"/>
        <w:rPr>
          <w:rFonts w:ascii="黑体" w:hAnsi="黑体" w:eastAsia="黑体" w:cs="黑体"/>
          <w:b w:val="0"/>
          <w:bCs/>
          <w:sz w:val="36"/>
          <w:szCs w:val="36"/>
          <w:highlight w:val="none"/>
        </w:rPr>
      </w:pPr>
      <w:bookmarkStart w:id="35" w:name="_Toc8401"/>
      <w:bookmarkStart w:id="36" w:name="_Toc10806"/>
      <w:r>
        <w:rPr>
          <w:rFonts w:ascii="黑体" w:hAnsi="黑体" w:eastAsia="黑体" w:cs="黑体"/>
          <w:b w:val="0"/>
          <w:bCs/>
          <w:sz w:val="36"/>
          <w:szCs w:val="36"/>
          <w:highlight w:val="none"/>
        </w:rPr>
        <w:t>投标文件编写</w:t>
      </w:r>
      <w:bookmarkEnd w:id="35"/>
      <w:bookmarkEnd w:id="36"/>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8.</w:t>
      </w:r>
      <w:r>
        <w:rPr>
          <w:rFonts w:ascii="楷体" w:hAnsi="楷体" w:eastAsia="楷体" w:cs="楷体"/>
          <w:b/>
          <w:bCs/>
          <w:sz w:val="32"/>
          <w:szCs w:val="32"/>
          <w:highlight w:val="none"/>
        </w:rPr>
        <w:t>投标语言及计量单位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8.1 </w:t>
      </w:r>
      <w:r>
        <w:rPr>
          <w:rFonts w:hint="eastAsia" w:ascii="仿宋" w:hAnsi="仿宋" w:eastAsia="仿宋" w:cs="仿宋"/>
          <w:sz w:val="28"/>
          <w:szCs w:val="28"/>
          <w:highlight w:val="none"/>
        </w:rPr>
        <w:t>供应商</w:t>
      </w:r>
      <w:r>
        <w:rPr>
          <w:rFonts w:ascii="仿宋" w:hAnsi="仿宋" w:eastAsia="仿宋" w:cs="仿宋"/>
          <w:sz w:val="28"/>
          <w:szCs w:val="28"/>
          <w:highlight w:val="none"/>
        </w:rPr>
        <w:t>提交的投标文件以及</w:t>
      </w:r>
      <w:r>
        <w:rPr>
          <w:rFonts w:hint="eastAsia" w:ascii="仿宋" w:hAnsi="仿宋" w:eastAsia="仿宋" w:cs="仿宋"/>
          <w:sz w:val="28"/>
          <w:szCs w:val="28"/>
          <w:highlight w:val="none"/>
        </w:rPr>
        <w:t>供应商</w:t>
      </w:r>
      <w:r>
        <w:rPr>
          <w:rFonts w:ascii="仿宋" w:hAnsi="仿宋" w:eastAsia="仿宋" w:cs="仿宋"/>
          <w:sz w:val="28"/>
          <w:szCs w:val="28"/>
          <w:highlight w:val="none"/>
        </w:rPr>
        <w:t>与采购代理就有关投标的所有来往函电均应使用中文简体字。</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 xml:space="preserve">8.2 </w:t>
      </w:r>
      <w:r>
        <w:rPr>
          <w:rFonts w:hint="eastAsia" w:ascii="仿宋" w:hAnsi="仿宋" w:eastAsia="仿宋" w:cs="仿宋"/>
          <w:sz w:val="28"/>
          <w:szCs w:val="28"/>
          <w:highlight w:val="none"/>
        </w:rPr>
        <w:t>供应商</w:t>
      </w:r>
      <w:r>
        <w:rPr>
          <w:rFonts w:ascii="仿宋" w:hAnsi="仿宋" w:eastAsia="仿宋" w:cs="仿宋"/>
          <w:sz w:val="28"/>
          <w:szCs w:val="28"/>
          <w:highlight w:val="none"/>
        </w:rPr>
        <w:t>所提供的技术文件和资料，包括图纸中的说明，应使用中文简体字。</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8.3 原版为外文的证书类文件，以及由外国人做出的本人签名、外国公司的名称或外国印章等可以是外文，但采购代理可以要求</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提供翻译文件，必要时可以要求提供附有公证书的翻译文件。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8.4 除招标文件的技术规格中另有规定外，投标文件中所使用的计量单位应使用中华人民共和国法定计量单位。</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8.5 对违反上述规定情形的，评标委员会有权要求其限期提供加盖公章的翻译文件或取消其投标资格。</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9.</w:t>
      </w:r>
      <w:r>
        <w:rPr>
          <w:rFonts w:ascii="楷体" w:hAnsi="楷体" w:eastAsia="楷体" w:cs="楷体"/>
          <w:b/>
          <w:bCs/>
          <w:sz w:val="32"/>
          <w:szCs w:val="32"/>
          <w:highlight w:val="none"/>
        </w:rPr>
        <w:t>投标文件组成</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投标文件由商务文件、技术文件</w:t>
      </w:r>
      <w:r>
        <w:rPr>
          <w:rFonts w:hint="eastAsia" w:ascii="仿宋" w:hAnsi="仿宋" w:eastAsia="仿宋" w:cs="仿宋"/>
          <w:b/>
          <w:bCs/>
          <w:sz w:val="28"/>
          <w:szCs w:val="28"/>
          <w:highlight w:val="none"/>
        </w:rPr>
        <w:t>、</w:t>
      </w:r>
      <w:r>
        <w:rPr>
          <w:rFonts w:ascii="仿宋" w:hAnsi="仿宋" w:eastAsia="仿宋" w:cs="仿宋"/>
          <w:b/>
          <w:bCs/>
          <w:sz w:val="28"/>
          <w:szCs w:val="28"/>
          <w:highlight w:val="none"/>
        </w:rPr>
        <w:t>资格证明文件三部分组成。</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9.1商务文件</w:t>
      </w:r>
      <w:r>
        <w:rPr>
          <w:rFonts w:hint="eastAsia" w:ascii="仿宋" w:hAnsi="仿宋" w:eastAsia="仿宋" w:cs="仿宋"/>
          <w:b/>
          <w:bCs/>
          <w:sz w:val="28"/>
          <w:szCs w:val="28"/>
          <w:highlight w:val="none"/>
        </w:rPr>
        <w:t>：</w:t>
      </w:r>
    </w:p>
    <w:p>
      <w:pPr>
        <w:numPr>
          <w:ilvl w:val="0"/>
          <w:numId w:val="12"/>
        </w:numPr>
        <w:shd w:val="clear"/>
        <w:ind w:left="70" w:leftChars="0" w:firstLine="560" w:firstLineChars="0"/>
        <w:rPr>
          <w:rFonts w:ascii="仿宋" w:hAnsi="仿宋" w:eastAsia="仿宋" w:cs="仿宋"/>
          <w:sz w:val="28"/>
          <w:szCs w:val="28"/>
          <w:highlight w:val="none"/>
        </w:rPr>
      </w:pPr>
      <w:r>
        <w:rPr>
          <w:rFonts w:ascii="仿宋" w:hAnsi="仿宋" w:eastAsia="仿宋" w:cs="仿宋"/>
          <w:sz w:val="28"/>
          <w:szCs w:val="28"/>
          <w:highlight w:val="none"/>
        </w:rPr>
        <w:t>投标函；</w:t>
      </w:r>
    </w:p>
    <w:p>
      <w:pPr>
        <w:numPr>
          <w:ilvl w:val="0"/>
          <w:numId w:val="12"/>
        </w:numPr>
        <w:shd w:val="clear"/>
        <w:ind w:left="70" w:leftChars="0" w:firstLine="560" w:firstLineChars="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p>
    <w:p>
      <w:pPr>
        <w:numPr>
          <w:ilvl w:val="0"/>
          <w:numId w:val="12"/>
        </w:numPr>
        <w:shd w:val="clear"/>
        <w:ind w:left="70" w:leftChars="0" w:firstLine="560" w:firstLineChars="0"/>
        <w:rPr>
          <w:rFonts w:ascii="仿宋" w:hAnsi="仿宋" w:eastAsia="仿宋" w:cs="仿宋"/>
          <w:sz w:val="28"/>
          <w:szCs w:val="28"/>
          <w:highlight w:val="none"/>
        </w:rPr>
      </w:pPr>
      <w:r>
        <w:rPr>
          <w:rFonts w:ascii="仿宋" w:hAnsi="仿宋" w:eastAsia="仿宋" w:cs="仿宋"/>
          <w:sz w:val="28"/>
          <w:szCs w:val="28"/>
          <w:highlight w:val="none"/>
        </w:rPr>
        <w:t>法定代表人授权委托书；</w:t>
      </w:r>
    </w:p>
    <w:p>
      <w:pPr>
        <w:numPr>
          <w:ilvl w:val="0"/>
          <w:numId w:val="12"/>
        </w:numPr>
        <w:shd w:val="clear"/>
        <w:ind w:left="70" w:leftChars="0" w:firstLine="560" w:firstLineChars="0"/>
        <w:rPr>
          <w:rFonts w:ascii="仿宋" w:hAnsi="仿宋" w:eastAsia="仿宋" w:cs="仿宋"/>
          <w:sz w:val="28"/>
          <w:szCs w:val="28"/>
          <w:highlight w:val="none"/>
        </w:rPr>
      </w:pPr>
      <w:r>
        <w:rPr>
          <w:rFonts w:ascii="仿宋" w:hAnsi="仿宋" w:eastAsia="仿宋" w:cs="仿宋"/>
          <w:sz w:val="28"/>
          <w:szCs w:val="28"/>
          <w:highlight w:val="none"/>
        </w:rPr>
        <w:t>开标一览表；</w:t>
      </w:r>
    </w:p>
    <w:p>
      <w:pPr>
        <w:numPr>
          <w:ilvl w:val="0"/>
          <w:numId w:val="12"/>
        </w:numPr>
        <w:shd w:val="clear"/>
        <w:ind w:left="70" w:leftChars="0" w:firstLine="560" w:firstLineChars="0"/>
        <w:rPr>
          <w:rFonts w:ascii="仿宋" w:hAnsi="仿宋" w:eastAsia="仿宋" w:cs="仿宋"/>
          <w:sz w:val="28"/>
          <w:szCs w:val="28"/>
          <w:highlight w:val="none"/>
        </w:rPr>
      </w:pPr>
      <w:r>
        <w:rPr>
          <w:rFonts w:ascii="仿宋" w:hAnsi="仿宋" w:eastAsia="仿宋" w:cs="仿宋"/>
          <w:sz w:val="28"/>
          <w:szCs w:val="28"/>
          <w:highlight w:val="none"/>
        </w:rPr>
        <w:t>分项报价表；</w:t>
      </w:r>
    </w:p>
    <w:p>
      <w:pPr>
        <w:numPr>
          <w:ilvl w:val="0"/>
          <w:numId w:val="12"/>
        </w:numPr>
        <w:shd w:val="clear"/>
        <w:ind w:left="70" w:leftChars="0" w:firstLine="560" w:firstLineChars="0"/>
        <w:rPr>
          <w:rFonts w:ascii="仿宋" w:hAnsi="仿宋" w:eastAsia="仿宋" w:cs="仿宋"/>
          <w:sz w:val="28"/>
          <w:szCs w:val="28"/>
          <w:highlight w:val="none"/>
        </w:rPr>
      </w:pPr>
      <w:r>
        <w:rPr>
          <w:rFonts w:ascii="仿宋" w:hAnsi="仿宋" w:eastAsia="仿宋" w:cs="仿宋"/>
          <w:sz w:val="28"/>
          <w:szCs w:val="28"/>
          <w:highlight w:val="none"/>
        </w:rPr>
        <w:t>商务响应一览表；</w:t>
      </w:r>
    </w:p>
    <w:p>
      <w:pPr>
        <w:numPr>
          <w:ilvl w:val="0"/>
          <w:numId w:val="12"/>
        </w:numPr>
        <w:shd w:val="clear"/>
        <w:ind w:left="70" w:leftChars="0" w:firstLine="560" w:firstLineChars="0"/>
        <w:rPr>
          <w:rFonts w:ascii="仿宋" w:hAnsi="仿宋" w:eastAsia="仿宋" w:cs="仿宋"/>
          <w:sz w:val="28"/>
          <w:szCs w:val="28"/>
          <w:highlight w:val="none"/>
        </w:rPr>
      </w:pPr>
      <w:r>
        <w:rPr>
          <w:rFonts w:ascii="仿宋" w:hAnsi="仿宋" w:eastAsia="仿宋" w:cs="仿宋"/>
          <w:sz w:val="28"/>
          <w:szCs w:val="28"/>
          <w:highlight w:val="none"/>
        </w:rPr>
        <w:t>近年类似业绩一览表，附相关证明材料；</w:t>
      </w:r>
    </w:p>
    <w:p>
      <w:pPr>
        <w:numPr>
          <w:ilvl w:val="0"/>
          <w:numId w:val="12"/>
        </w:numPr>
        <w:shd w:val="clear"/>
        <w:ind w:left="70" w:leftChars="0" w:firstLine="560" w:firstLineChars="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认为需要加以说明的其他内容。</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9.2技术文件：</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产品主要技术指标和性能的详细说明，包括制造商公开发布的印刷文献、产品技术白皮书、产品使用手册、检测报告等</w:t>
      </w:r>
      <w:r>
        <w:rPr>
          <w:rFonts w:hint="eastAsia" w:ascii="仿宋" w:hAnsi="仿宋" w:eastAsia="仿宋" w:cs="仿宋"/>
          <w:sz w:val="28"/>
          <w:szCs w:val="28"/>
          <w:highlight w:val="none"/>
          <w:lang w:val="en-US" w:eastAsia="zh-CN"/>
        </w:rPr>
        <w:t>资料</w:t>
      </w:r>
      <w:r>
        <w:rPr>
          <w:rFonts w:hint="eastAsia" w:ascii="仿宋" w:hAnsi="仿宋" w:eastAsia="仿宋" w:cs="仿宋"/>
          <w:sz w:val="28"/>
          <w:szCs w:val="28"/>
          <w:highlight w:val="none"/>
        </w:rPr>
        <w:t>（供应商修改、遮掩、涂改原始证明材料或提供虚假翻译本谋取成交的，采购人可上报主管部门）</w:t>
      </w:r>
      <w:r>
        <w:rPr>
          <w:rFonts w:ascii="仿宋" w:hAnsi="仿宋" w:eastAsia="仿宋" w:cs="仿宋"/>
          <w:sz w:val="28"/>
          <w:szCs w:val="28"/>
          <w:highlight w:val="none"/>
        </w:rPr>
        <w:t>及技术响应一览表；</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w:t>
      </w:r>
      <w:r>
        <w:rPr>
          <w:rFonts w:hint="eastAsia" w:ascii="仿宋" w:hAnsi="仿宋" w:eastAsia="仿宋" w:cs="仿宋"/>
          <w:sz w:val="28"/>
          <w:szCs w:val="28"/>
          <w:highlight w:val="none"/>
          <w:lang w:val="en-US" w:eastAsia="zh-CN"/>
        </w:rPr>
        <w:t>生产</w:t>
      </w:r>
      <w:r>
        <w:rPr>
          <w:rFonts w:ascii="仿宋" w:hAnsi="仿宋" w:eastAsia="仿宋" w:cs="仿宋"/>
          <w:sz w:val="28"/>
          <w:szCs w:val="28"/>
          <w:highlight w:val="none"/>
        </w:rPr>
        <w:t>、</w:t>
      </w:r>
      <w:r>
        <w:rPr>
          <w:rFonts w:hint="eastAsia" w:ascii="仿宋" w:hAnsi="仿宋" w:eastAsia="仿宋" w:cs="仿宋"/>
          <w:sz w:val="28"/>
          <w:szCs w:val="28"/>
          <w:highlight w:val="none"/>
          <w:lang w:val="en-US" w:eastAsia="zh-CN"/>
        </w:rPr>
        <w:t>供货</w:t>
      </w:r>
      <w:r>
        <w:rPr>
          <w:rFonts w:ascii="仿宋" w:hAnsi="仿宋" w:eastAsia="仿宋" w:cs="仿宋"/>
          <w:sz w:val="28"/>
          <w:szCs w:val="28"/>
          <w:highlight w:val="none"/>
        </w:rPr>
        <w:t>计划；</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投标货物的包装、运输方案；</w:t>
      </w:r>
    </w:p>
    <w:p>
      <w:pPr>
        <w:numPr>
          <w:ilvl w:val="0"/>
          <w:numId w:val="13"/>
        </w:numPr>
        <w:shd w:val="clea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质量保证措施；</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残次品退换方案；</w:t>
      </w:r>
    </w:p>
    <w:p>
      <w:pPr>
        <w:numPr>
          <w:ilvl w:val="0"/>
          <w:numId w:val="13"/>
        </w:num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售后服务方案：</w:t>
      </w:r>
      <w:r>
        <w:rPr>
          <w:rFonts w:hint="eastAsia" w:ascii="仿宋" w:hAnsi="仿宋" w:eastAsia="仿宋" w:cs="仿宋"/>
          <w:sz w:val="28"/>
          <w:szCs w:val="28"/>
          <w:highlight w:val="none"/>
        </w:rPr>
        <w:t>供应商</w:t>
      </w:r>
      <w:r>
        <w:rPr>
          <w:rFonts w:ascii="仿宋" w:hAnsi="仿宋" w:eastAsia="仿宋" w:cs="仿宋"/>
          <w:sz w:val="28"/>
          <w:szCs w:val="28"/>
          <w:highlight w:val="none"/>
        </w:rPr>
        <w:t>对中标货物的售后服务具体内容及承诺，机构设置和人员配置情况；</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关于投标货物知识产权的承诺书（如有）；</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应急供货保障措施</w:t>
      </w:r>
      <w:r>
        <w:rPr>
          <w:rFonts w:ascii="仿宋" w:hAnsi="仿宋" w:eastAsia="仿宋" w:cs="仿宋"/>
          <w:sz w:val="28"/>
          <w:szCs w:val="28"/>
          <w:highlight w:val="none"/>
        </w:rPr>
        <w:t>；</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和制造商的基本情况；</w:t>
      </w:r>
    </w:p>
    <w:p>
      <w:pPr>
        <w:numPr>
          <w:ilvl w:val="0"/>
          <w:numId w:val="13"/>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认为需说明的其他内容。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投标文件应按上述目录顺序、内容逐一列出，如内容不全，由评标委员会综合认定。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9.3资格、资质证明部分：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.1资格证明文件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按《政府采购法实施条例》第十七条的规定，应提供的基本资格条件证明材料，详见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须知前附表第5条。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.2符合政府采购政策的证明文件</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ascii="仿宋" w:hAnsi="仿宋" w:eastAsia="仿宋" w:cs="仿宋"/>
          <w:sz w:val="28"/>
          <w:szCs w:val="28"/>
          <w:highlight w:val="none"/>
        </w:rPr>
        <w:t>所投产品制造商为符合政策要求的小型和微型企业的，须提供《中小企业声明函》。允许联合体投标或允许大中型企业向一家或者多家小微企业分包的，须提供《中小企业声明函》及产品明细表；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所投产品制造商为符合政策要求的为监狱企业的，须提供省级以上监狱管理局、戒毒管理局（含新疆生产建设兵团）出具的属于监狱企业的证明文件。允许联合体投标或允许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向一家或者多家监狱企业分包的，须提供省级以上监狱管理局、戒毒管理局（含新疆生产建设兵团）出具的属于监狱企业的证明文件及产品明细表（如果有）；</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供应商</w:t>
      </w:r>
      <w:r>
        <w:rPr>
          <w:rFonts w:ascii="仿宋" w:hAnsi="仿宋" w:eastAsia="仿宋" w:cs="仿宋"/>
          <w:sz w:val="28"/>
          <w:szCs w:val="28"/>
          <w:highlight w:val="none"/>
        </w:rPr>
        <w:t>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投标或允许</w:t>
      </w:r>
      <w:r>
        <w:rPr>
          <w:rFonts w:hint="eastAsia" w:ascii="仿宋" w:hAnsi="仿宋" w:eastAsia="仿宋" w:cs="仿宋"/>
          <w:sz w:val="28"/>
          <w:szCs w:val="28"/>
          <w:highlight w:val="none"/>
        </w:rPr>
        <w:t>供应商</w:t>
      </w:r>
      <w:r>
        <w:rPr>
          <w:rFonts w:ascii="仿宋" w:hAnsi="仿宋" w:eastAsia="仿宋" w:cs="仿宋"/>
          <w:sz w:val="28"/>
          <w:szCs w:val="28"/>
          <w:highlight w:val="none"/>
        </w:rPr>
        <w:t>向一家或者多家残疾人福利性单位分包的，需提供“残疾人福利性单位声明函及产品明细表”；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4）节能、环境标志产品证明文件复印件（如果有）；</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5）政府强制采购节能产品明细表。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w:t>
      </w:r>
      <w:r>
        <w:rPr>
          <w:rFonts w:hint="eastAsia" w:ascii="仿宋" w:hAnsi="仿宋" w:eastAsia="仿宋" w:cs="仿宋"/>
          <w:sz w:val="28"/>
          <w:szCs w:val="28"/>
          <w:highlight w:val="none"/>
        </w:rPr>
        <w:t>3</w:t>
      </w:r>
      <w:r>
        <w:rPr>
          <w:rFonts w:ascii="仿宋" w:hAnsi="仿宋" w:eastAsia="仿宋" w:cs="仿宋"/>
          <w:sz w:val="28"/>
          <w:szCs w:val="28"/>
          <w:highlight w:val="none"/>
        </w:rPr>
        <w:t>.3其它证明文件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1）近三年所投产品的业绩一览表及合同复印件；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2）评分细则中加分项的复印件；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3）有关的质量体系、安全等认证证书（如果有）；</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认为需要提交的其他文件。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备注：9.</w:t>
      </w:r>
      <w:r>
        <w:rPr>
          <w:rFonts w:hint="eastAsia" w:ascii="仿宋" w:hAnsi="仿宋" w:eastAsia="仿宋" w:cs="仿宋"/>
          <w:sz w:val="28"/>
          <w:szCs w:val="28"/>
          <w:highlight w:val="none"/>
        </w:rPr>
        <w:t>3</w:t>
      </w:r>
      <w:r>
        <w:rPr>
          <w:rFonts w:ascii="仿宋" w:hAnsi="仿宋" w:eastAsia="仿宋" w:cs="仿宋"/>
          <w:sz w:val="28"/>
          <w:szCs w:val="28"/>
          <w:highlight w:val="none"/>
        </w:rPr>
        <w:t>.2-9.</w:t>
      </w:r>
      <w:r>
        <w:rPr>
          <w:rFonts w:hint="eastAsia" w:ascii="仿宋" w:hAnsi="仿宋" w:eastAsia="仿宋" w:cs="仿宋"/>
          <w:sz w:val="28"/>
          <w:szCs w:val="28"/>
          <w:highlight w:val="none"/>
        </w:rPr>
        <w:t>3</w:t>
      </w:r>
      <w:r>
        <w:rPr>
          <w:rFonts w:ascii="仿宋" w:hAnsi="仿宋" w:eastAsia="仿宋" w:cs="仿宋"/>
          <w:sz w:val="28"/>
          <w:szCs w:val="28"/>
          <w:highlight w:val="none"/>
        </w:rPr>
        <w:t>.3项内容请</w:t>
      </w:r>
      <w:r>
        <w:rPr>
          <w:rFonts w:hint="eastAsia" w:ascii="仿宋" w:hAnsi="仿宋" w:eastAsia="仿宋" w:cs="仿宋"/>
          <w:sz w:val="28"/>
          <w:szCs w:val="28"/>
          <w:highlight w:val="none"/>
        </w:rPr>
        <w:t>供应商</w:t>
      </w:r>
      <w:r>
        <w:rPr>
          <w:rFonts w:ascii="仿宋" w:hAnsi="仿宋" w:eastAsia="仿宋" w:cs="仿宋"/>
          <w:sz w:val="28"/>
          <w:szCs w:val="28"/>
          <w:highlight w:val="none"/>
        </w:rPr>
        <w:t>认真填写，如无请填写无。</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9.3.4供应商</w:t>
      </w:r>
      <w:r>
        <w:rPr>
          <w:rFonts w:ascii="仿宋" w:hAnsi="仿宋" w:eastAsia="仿宋" w:cs="仿宋"/>
          <w:sz w:val="28"/>
          <w:szCs w:val="28"/>
          <w:highlight w:val="none"/>
        </w:rPr>
        <w:t>认为需要提交的其他相关证明文件。</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9.4投标文件应按上述目录顺序、内容逐一列出，如内容不全，由评标委员会综合认定。招标文件中未提供格式，</w:t>
      </w:r>
      <w:r>
        <w:rPr>
          <w:rFonts w:hint="eastAsia" w:ascii="仿宋" w:hAnsi="仿宋" w:eastAsia="仿宋" w:cs="仿宋"/>
          <w:sz w:val="28"/>
          <w:szCs w:val="28"/>
          <w:highlight w:val="none"/>
        </w:rPr>
        <w:t>供应商</w:t>
      </w:r>
      <w:r>
        <w:rPr>
          <w:rFonts w:ascii="仿宋" w:hAnsi="仿宋" w:eastAsia="仿宋" w:cs="仿宋"/>
          <w:sz w:val="28"/>
          <w:szCs w:val="28"/>
          <w:highlight w:val="none"/>
        </w:rPr>
        <w:t>可自拟格式。</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可将上述三个部分按上述顺序胶装装订在一起，并在首页编制连续页码。因未按上述顺序装订或投标文件未胶装散页导致无法评审等，由此造成的评审问题由</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自行承担责任。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643" w:firstLineChars="200"/>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10.</w:t>
      </w:r>
      <w:r>
        <w:rPr>
          <w:rFonts w:ascii="楷体" w:hAnsi="楷体" w:eastAsia="楷体" w:cs="楷体"/>
          <w:b/>
          <w:bCs/>
          <w:sz w:val="32"/>
          <w:szCs w:val="32"/>
          <w:highlight w:val="none"/>
        </w:rPr>
        <w:t>投标报价</w:t>
      </w:r>
    </w:p>
    <w:p>
      <w:pPr>
        <w:keepNext w:val="0"/>
        <w:keepLines w:val="0"/>
        <w:pageBreakBefore w:val="0"/>
        <w:widowControl w:val="0"/>
        <w:shd w:val="clear"/>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sz w:val="28"/>
          <w:szCs w:val="28"/>
          <w:highlight w:val="none"/>
        </w:rPr>
      </w:pPr>
      <w:r>
        <w:rPr>
          <w:rFonts w:ascii="仿宋" w:hAnsi="仿宋" w:eastAsia="仿宋" w:cs="仿宋"/>
          <w:b/>
          <w:bCs/>
          <w:sz w:val="28"/>
          <w:szCs w:val="28"/>
          <w:highlight w:val="none"/>
        </w:rPr>
        <w:t>10.1本次投标报价为一次性报价，报价币种为人民币。</w:t>
      </w:r>
      <w:r>
        <w:rPr>
          <w:rFonts w:hint="eastAsia" w:ascii="仿宋" w:hAnsi="仿宋" w:eastAsia="仿宋" w:cs="仿宋"/>
          <w:b/>
          <w:bCs/>
          <w:sz w:val="28"/>
          <w:szCs w:val="28"/>
          <w:highlight w:val="none"/>
        </w:rPr>
        <w:t>报价应报出运至项目现场的价格，含产品费、内陆运输费、相关保险费、装卸费、保管费、疫情防护费、检测费、伴随服务费、售后服务等内容的所有税、费（以上相关费用在报价明细表中单列，包含在本次报价中）。报价应包括达到采购人使用要求的全部费用。供应商应充分考虑采购条件，不得在成交后无故增加任何费用</w:t>
      </w:r>
      <w:r>
        <w:rPr>
          <w:rFonts w:ascii="仿宋" w:hAnsi="仿宋" w:eastAsia="仿宋" w:cs="仿宋"/>
          <w:b/>
          <w:bCs/>
          <w:sz w:val="28"/>
          <w:szCs w:val="28"/>
          <w:highlight w:val="none"/>
        </w:rPr>
        <w:t>。</w:t>
      </w:r>
    </w:p>
    <w:p>
      <w:pPr>
        <w:pStyle w:val="8"/>
        <w:keepNext w:val="0"/>
        <w:keepLines w:val="0"/>
        <w:pageBreakBefore w:val="0"/>
        <w:widowControl w:val="0"/>
        <w:shd w:val="clear"/>
        <w:tabs>
          <w:tab w:val="left" w:pos="382"/>
        </w:tabs>
        <w:kinsoku/>
        <w:wordWrap/>
        <w:overflowPunct/>
        <w:topLinePunct w:val="0"/>
        <w:autoSpaceDE/>
        <w:autoSpaceDN/>
        <w:bidi w:val="0"/>
        <w:adjustRightInd/>
        <w:snapToGrid/>
        <w:spacing w:line="360" w:lineRule="auto"/>
        <w:ind w:left="48" w:leftChars="23" w:firstLine="562" w:firstLineChars="200"/>
        <w:textAlignment w:val="auto"/>
        <w:rPr>
          <w:rFonts w:ascii="仿宋" w:hAnsi="仿宋" w:eastAsia="仿宋" w:cs="仿宋"/>
          <w:b/>
          <w:bCs/>
          <w:sz w:val="28"/>
          <w:szCs w:val="28"/>
          <w:highlight w:val="none"/>
        </w:rPr>
      </w:pPr>
      <w:r>
        <w:rPr>
          <w:rFonts w:ascii="仿宋" w:hAnsi="仿宋" w:eastAsia="仿宋" w:cs="仿宋"/>
          <w:b/>
          <w:bCs/>
          <w:kern w:val="2"/>
          <w:sz w:val="28"/>
          <w:szCs w:val="28"/>
          <w:highlight w:val="none"/>
          <w:lang w:val="en-US" w:eastAsia="zh-CN" w:bidi="ar-SA"/>
        </w:rPr>
        <w:t>10.2</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限报一种方案报价，采购人不接受可选择的投标方案和报价；</w:t>
      </w:r>
      <w:r>
        <w:rPr>
          <w:rFonts w:hint="eastAsia" w:ascii="仿宋" w:hAnsi="仿宋" w:eastAsia="仿宋" w:cs="仿宋"/>
          <w:b/>
          <w:bCs/>
          <w:kern w:val="2"/>
          <w:sz w:val="28"/>
          <w:szCs w:val="28"/>
          <w:highlight w:val="none"/>
          <w:lang w:val="en-US" w:eastAsia="zh-CN" w:bidi="ar-SA"/>
        </w:rPr>
        <w:t>任何有选择的或可调整的报价方案和价格将被视为非响应性报价而被拒绝。供应商</w:t>
      </w:r>
      <w:r>
        <w:rPr>
          <w:rFonts w:ascii="仿宋" w:hAnsi="仿宋" w:eastAsia="仿宋" w:cs="仿宋"/>
          <w:b/>
          <w:bCs/>
          <w:kern w:val="2"/>
          <w:sz w:val="28"/>
          <w:szCs w:val="28"/>
          <w:highlight w:val="none"/>
          <w:lang w:val="en-US" w:eastAsia="zh-CN" w:bidi="ar-SA"/>
        </w:rPr>
        <w:t>对投标报价作出优惠的，其投标文件及开标一览表中的投标报价均应为优惠后的最终报价。</w:t>
      </w:r>
      <w:r>
        <w:rPr>
          <w:rFonts w:hint="eastAsia" w:ascii="仿宋" w:hAnsi="仿宋" w:eastAsia="仿宋" w:cs="仿宋"/>
          <w:b/>
          <w:bCs/>
          <w:kern w:val="2"/>
          <w:sz w:val="28"/>
          <w:szCs w:val="28"/>
          <w:highlight w:val="none"/>
          <w:lang w:val="en-US" w:eastAsia="zh-CN" w:bidi="ar-SA"/>
        </w:rPr>
        <w:t>供应商</w:t>
      </w:r>
      <w:r>
        <w:rPr>
          <w:rFonts w:ascii="仿宋" w:hAnsi="仿宋" w:eastAsia="仿宋" w:cs="仿宋"/>
          <w:b/>
          <w:bCs/>
          <w:kern w:val="2"/>
          <w:sz w:val="28"/>
          <w:szCs w:val="28"/>
          <w:highlight w:val="none"/>
          <w:lang w:val="en-US" w:eastAsia="zh-CN" w:bidi="ar-SA"/>
        </w:rPr>
        <w:t>对报价若有说明或</w:t>
      </w:r>
      <w:r>
        <w:rPr>
          <w:rFonts w:ascii="仿宋" w:hAnsi="仿宋" w:eastAsia="仿宋" w:cs="仿宋"/>
          <w:b/>
          <w:bCs/>
          <w:sz w:val="28"/>
          <w:szCs w:val="28"/>
          <w:highlight w:val="none"/>
        </w:rPr>
        <w:t>优惠应在报价明细表和开标一览表中注明，否则该说明或优惠不予认可。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10.3最终报价（即合同价）在合同执行过程中是固定不变的，不得以任何理由予以变更。</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10.4</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提供的软/硬件产品要求在中华人民共和国境内拥有合法的使用权和版权，采购人应拥有合法的软件使用许可。</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应在投标文件中对此予以响应。</w:t>
      </w:r>
    </w:p>
    <w:p>
      <w:pPr>
        <w:shd w:val="clea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10.5</w:t>
      </w:r>
      <w:r>
        <w:rPr>
          <w:rFonts w:hint="eastAsia" w:ascii="仿宋" w:hAnsi="仿宋" w:eastAsia="仿宋" w:cs="仿宋"/>
          <w:sz w:val="28"/>
          <w:szCs w:val="28"/>
          <w:highlight w:val="none"/>
        </w:rPr>
        <w:t>供应商</w:t>
      </w:r>
      <w:r>
        <w:rPr>
          <w:rFonts w:ascii="仿宋" w:hAnsi="仿宋" w:eastAsia="仿宋" w:cs="仿宋"/>
          <w:sz w:val="28"/>
          <w:szCs w:val="28"/>
          <w:highlight w:val="none"/>
        </w:rPr>
        <w:t>的投标报价明显低于其他通过符合性审查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的报价，有可能影响商品质量和不能诚信履约的，评标委员会有权要求其在规定的时间内提供书面文件予以解释说明，并提交相关证明材料；否则，</w:t>
      </w:r>
      <w:r>
        <w:rPr>
          <w:rFonts w:ascii="仿宋" w:hAnsi="仿宋" w:eastAsia="仿宋" w:cs="仿宋"/>
          <w:b/>
          <w:bCs/>
          <w:sz w:val="28"/>
          <w:szCs w:val="28"/>
          <w:highlight w:val="none"/>
        </w:rPr>
        <w:t>评标委员会可以将其按无效投标处理。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11.</w:t>
      </w:r>
      <w:r>
        <w:rPr>
          <w:rFonts w:ascii="楷体" w:hAnsi="楷体" w:eastAsia="楷体" w:cs="楷体"/>
          <w:b/>
          <w:bCs/>
          <w:sz w:val="32"/>
          <w:szCs w:val="32"/>
          <w:highlight w:val="none"/>
        </w:rPr>
        <w:t>投标文件编写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11.1投标文件应按“投标文件组成”进行编写，如有必要，可以增加附页，作为投标文件的组成部分。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11.2投标文件应用不褪色的材料打印或复印。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11.3投标文件应尽量避免涂改、行间插字或删除。如果出现上述情况，改动之处应加盖单位章或由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的法定代表人或其委托代理人签字确认。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11.4供应商须如实响应招标文件要求，在投标文件中如实提供其技术指标。供应商不得复制粘贴招标文件中的技术及商务响应一览表中的参数及要求作为其投标文件的响应情况，否则，其投标按无效投标处理</w:t>
      </w:r>
      <w:r>
        <w:rPr>
          <w:rFonts w:ascii="仿宋" w:hAnsi="仿宋" w:eastAsia="仿宋" w:cs="仿宋"/>
          <w:b/>
          <w:bCs/>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11.5</w:t>
      </w:r>
      <w:r>
        <w:rPr>
          <w:rFonts w:hint="eastAsia" w:ascii="仿宋" w:hAnsi="仿宋" w:eastAsia="仿宋" w:cs="仿宋"/>
          <w:sz w:val="28"/>
          <w:szCs w:val="28"/>
          <w:highlight w:val="none"/>
        </w:rPr>
        <w:t>供应商</w:t>
      </w:r>
      <w:r>
        <w:rPr>
          <w:rFonts w:ascii="仿宋" w:hAnsi="仿宋" w:eastAsia="仿宋" w:cs="仿宋"/>
          <w:sz w:val="28"/>
          <w:szCs w:val="28"/>
          <w:highlight w:val="none"/>
        </w:rPr>
        <w:t>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11.6若投标文件中</w:t>
      </w:r>
      <w:r>
        <w:rPr>
          <w:rFonts w:hint="eastAsia" w:ascii="仿宋" w:hAnsi="仿宋" w:eastAsia="仿宋" w:cs="仿宋"/>
          <w:sz w:val="28"/>
          <w:szCs w:val="28"/>
          <w:highlight w:val="none"/>
        </w:rPr>
        <w:t>供应商</w:t>
      </w:r>
      <w:r>
        <w:rPr>
          <w:rFonts w:ascii="仿宋" w:hAnsi="仿宋" w:eastAsia="仿宋" w:cs="仿宋"/>
          <w:sz w:val="28"/>
          <w:szCs w:val="28"/>
          <w:highlight w:val="none"/>
        </w:rPr>
        <w:t>针对商务、技术响应表的响应情况与制造商提供的证明材料不相符，有可能导致其技术响应不满足招标文件要求的，评标委员会有权作出不利于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11.7</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提供的支持资料和已印刷的文献（如有关货物/服务的技术部分）可以用另一种语言，但相应内容应附有中文翻译本或中英文对照，在解释投标文件时以中文翻译本为准。若</w:t>
      </w:r>
      <w:r>
        <w:rPr>
          <w:rFonts w:hint="eastAsia" w:ascii="仿宋" w:hAnsi="仿宋" w:eastAsia="仿宋" w:cs="仿宋"/>
          <w:sz w:val="28"/>
          <w:szCs w:val="28"/>
          <w:highlight w:val="none"/>
        </w:rPr>
        <w:t>供应商</w:t>
      </w:r>
      <w:r>
        <w:rPr>
          <w:rFonts w:ascii="仿宋" w:hAnsi="仿宋" w:eastAsia="仿宋" w:cs="仿宋"/>
          <w:sz w:val="28"/>
          <w:szCs w:val="28"/>
          <w:highlight w:val="none"/>
        </w:rPr>
        <w:t>的中文翻译本与英文版明显不符的，则评标委员会有权作出不利于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关键及重要技术条款（*条款为关键技术条款，</w:t>
      </w:r>
      <w:r>
        <w:rPr>
          <w:rFonts w:hint="default" w:ascii="仿宋" w:hAnsi="仿宋" w:eastAsia="仿宋" w:cs="仿宋"/>
          <w:b/>
          <w:bCs/>
          <w:spacing w:val="0"/>
          <w:kern w:val="2"/>
          <w:sz w:val="28"/>
          <w:szCs w:val="28"/>
          <w:highlight w:val="none"/>
          <w:lang w:val="en-US" w:eastAsia="zh-CN" w:bidi="ar-SA"/>
        </w:rPr>
        <w:t>#</w:t>
      </w:r>
      <w:r>
        <w:rPr>
          <w:rFonts w:hint="eastAsia" w:ascii="仿宋" w:hAnsi="仿宋" w:eastAsia="仿宋" w:cs="仿宋"/>
          <w:b/>
          <w:bCs/>
          <w:spacing w:val="0"/>
          <w:kern w:val="2"/>
          <w:sz w:val="28"/>
          <w:szCs w:val="28"/>
          <w:highlight w:val="none"/>
          <w:lang w:val="en-US" w:eastAsia="zh-CN" w:bidi="ar-SA"/>
        </w:rPr>
        <w:t>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w:t>
      </w:r>
      <w:r>
        <w:rPr>
          <w:rFonts w:hint="default" w:ascii="仿宋" w:hAnsi="仿宋" w:eastAsia="仿宋" w:cs="仿宋"/>
          <w:sz w:val="28"/>
          <w:szCs w:val="28"/>
          <w:highlight w:val="none"/>
          <w:lang w:val="en-US"/>
        </w:rPr>
        <w:t>9</w:t>
      </w:r>
      <w:r>
        <w:rPr>
          <w:rFonts w:hint="eastAsia" w:ascii="仿宋" w:hAnsi="仿宋" w:eastAsia="仿宋" w:cs="仿宋"/>
          <w:sz w:val="28"/>
          <w:szCs w:val="28"/>
          <w:highlight w:val="none"/>
        </w:rPr>
        <w:t>供应商</w:t>
      </w:r>
      <w:r>
        <w:rPr>
          <w:rFonts w:ascii="仿宋" w:hAnsi="仿宋" w:eastAsia="仿宋" w:cs="仿宋"/>
          <w:sz w:val="28"/>
          <w:szCs w:val="28"/>
          <w:highlight w:val="none"/>
        </w:rPr>
        <w:t>须注意：为合理节约政府采购评审成本，提倡诚实信用的投标行为，特别要求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应本着诚信精神，在本次投标文件的偏离表中，均以审慎的态度明确、清楚地披露各项偏离。若</w:t>
      </w:r>
      <w:r>
        <w:rPr>
          <w:rFonts w:hint="eastAsia" w:ascii="仿宋" w:hAnsi="仿宋" w:eastAsia="仿宋" w:cs="仿宋"/>
          <w:sz w:val="28"/>
          <w:szCs w:val="28"/>
          <w:highlight w:val="none"/>
        </w:rPr>
        <w:t>供应商</w:t>
      </w:r>
      <w:r>
        <w:rPr>
          <w:rFonts w:ascii="仿宋" w:hAnsi="仿宋" w:eastAsia="仿宋" w:cs="仿宋"/>
          <w:sz w:val="28"/>
          <w:szCs w:val="28"/>
          <w:highlight w:val="none"/>
        </w:rPr>
        <w:t>对某一事项是否存在或是否属于偏离不能确定，亦必须在偏离表中清楚地表明该偏离事项，并可以注明不能确定的字样。</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12.</w:t>
      </w:r>
      <w:r>
        <w:rPr>
          <w:rFonts w:ascii="楷体" w:hAnsi="楷体" w:eastAsia="楷体" w:cs="楷体"/>
          <w:b/>
          <w:bCs/>
          <w:sz w:val="32"/>
          <w:szCs w:val="32"/>
          <w:highlight w:val="none"/>
        </w:rPr>
        <w:t>投标文件签署</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★投标文件应加盖投标单位公章（不得使用其他形式如带有“专用章”等字样的印章）并经法定代表人或其委托代理人签署（签字或加盖人名章），由委托代理人签字的投标文件中须附授权委托书。</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代表必须按招标文件的规定签署投标文件正本（副本可用正本复印件）。未按招标文件要求签署及盖章的投标文件无效。</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13.</w:t>
      </w:r>
      <w:r>
        <w:rPr>
          <w:rFonts w:ascii="楷体" w:hAnsi="楷体" w:eastAsia="楷体" w:cs="楷体"/>
          <w:b/>
          <w:bCs/>
          <w:sz w:val="32"/>
          <w:szCs w:val="32"/>
          <w:highlight w:val="none"/>
        </w:rPr>
        <w:t>投标文件密封和标记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13.1</w:t>
      </w:r>
      <w:r>
        <w:rPr>
          <w:rFonts w:hint="eastAsia" w:ascii="仿宋" w:hAnsi="仿宋" w:eastAsia="仿宋" w:cs="仿宋"/>
          <w:sz w:val="28"/>
          <w:szCs w:val="28"/>
          <w:highlight w:val="none"/>
        </w:rPr>
        <w:t>供应商</w:t>
      </w:r>
      <w:r>
        <w:rPr>
          <w:rFonts w:ascii="仿宋" w:hAnsi="仿宋" w:eastAsia="仿宋" w:cs="仿宋"/>
          <w:sz w:val="28"/>
          <w:szCs w:val="28"/>
          <w:highlight w:val="none"/>
        </w:rPr>
        <w:t>应准备的投标文件份数见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r>
        <w:rPr>
          <w:rFonts w:hint="eastAsia" w:ascii="仿宋" w:hAnsi="仿宋" w:eastAsia="仿宋" w:cs="仿宋"/>
          <w:sz w:val="28"/>
          <w:szCs w:val="28"/>
          <w:highlight w:val="none"/>
        </w:rPr>
        <w:t>供应商</w:t>
      </w:r>
      <w:r>
        <w:rPr>
          <w:rFonts w:ascii="仿宋" w:hAnsi="仿宋" w:eastAsia="仿宋" w:cs="仿宋"/>
          <w:sz w:val="28"/>
          <w:szCs w:val="28"/>
          <w:highlight w:val="none"/>
        </w:rPr>
        <w:t>应在每一份投标文件上注明“正本”或“副本”字样。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13.2投标文件的密封和标记详见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13.3如果</w:t>
      </w:r>
      <w:r>
        <w:rPr>
          <w:rFonts w:hint="eastAsia" w:ascii="仿宋" w:hAnsi="仿宋" w:eastAsia="仿宋" w:cs="仿宋"/>
          <w:sz w:val="28"/>
          <w:szCs w:val="28"/>
          <w:highlight w:val="none"/>
        </w:rPr>
        <w:t>供应商</w:t>
      </w:r>
      <w:r>
        <w:rPr>
          <w:rFonts w:ascii="仿宋" w:hAnsi="仿宋" w:eastAsia="仿宋" w:cs="仿宋"/>
          <w:sz w:val="28"/>
          <w:szCs w:val="28"/>
          <w:highlight w:val="none"/>
        </w:rPr>
        <w:t>未按上述要求对投标文件密封及加写标记，采购人及招标代理对投标文件的误投和提前启封概不负责。对由此造成提前开封的投标文件，采购人及招标代理有权予以拒绝，并退回</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14.</w:t>
      </w:r>
      <w:r>
        <w:rPr>
          <w:rFonts w:ascii="楷体" w:hAnsi="楷体" w:eastAsia="楷体" w:cs="楷体"/>
          <w:b/>
          <w:bCs/>
          <w:sz w:val="32"/>
          <w:szCs w:val="32"/>
          <w:highlight w:val="none"/>
        </w:rPr>
        <w:t>投标文件装订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15.</w:t>
      </w:r>
      <w:r>
        <w:rPr>
          <w:rFonts w:ascii="楷体" w:hAnsi="楷体" w:eastAsia="楷体" w:cs="楷体"/>
          <w:b/>
          <w:bCs/>
          <w:sz w:val="32"/>
          <w:szCs w:val="32"/>
          <w:highlight w:val="none"/>
        </w:rPr>
        <w:t>投标保证金</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15.1</w:t>
      </w:r>
      <w:r>
        <w:rPr>
          <w:rFonts w:hint="eastAsia" w:ascii="仿宋" w:hAnsi="仿宋" w:eastAsia="仿宋" w:cs="仿宋"/>
          <w:sz w:val="28"/>
          <w:szCs w:val="28"/>
          <w:highlight w:val="none"/>
        </w:rPr>
        <w:t>供应商</w:t>
      </w:r>
      <w:r>
        <w:rPr>
          <w:rFonts w:ascii="仿宋" w:hAnsi="仿宋" w:eastAsia="仿宋" w:cs="仿宋"/>
          <w:sz w:val="28"/>
          <w:szCs w:val="28"/>
          <w:highlight w:val="none"/>
        </w:rPr>
        <w:t>应按前附表的规定提交投标保证金，作为其投标文件的一部分。</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15.2如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有下列情况，投标保证金不予退还，给采购代理机构及采购人造成损失的，应予以赔偿：</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1）开标后，</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在投标有效期内撤回投标的；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或者代理机构恶意串通的；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4）向采购人、代理机构行贿或者提供其他不正当利益的；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w:t>
      </w:r>
      <w:r>
        <w:rPr>
          <w:rFonts w:hint="eastAsia" w:ascii="仿宋" w:hAnsi="仿宋" w:eastAsia="仿宋" w:cs="仿宋"/>
          <w:sz w:val="28"/>
          <w:szCs w:val="28"/>
          <w:highlight w:val="none"/>
        </w:rPr>
        <w:t>供应商</w:t>
      </w:r>
      <w:r>
        <w:rPr>
          <w:rFonts w:ascii="仿宋" w:hAnsi="仿宋" w:eastAsia="仿宋" w:cs="仿宋"/>
          <w:sz w:val="28"/>
          <w:szCs w:val="28"/>
          <w:highlight w:val="none"/>
        </w:rPr>
        <w:t>在投标文件中提供虚假材料的；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无正当理由未能按规定与采购人签订合同的；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7）法律法规和招标文件规定的其他情形。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15.3保证金的退还：</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1）未</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的投标保证金在中标通知书发出后5个工作日内退还；</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中标人</w:t>
      </w:r>
      <w:r>
        <w:rPr>
          <w:rFonts w:ascii="仿宋" w:hAnsi="仿宋" w:eastAsia="仿宋" w:cs="仿宋"/>
          <w:sz w:val="28"/>
          <w:szCs w:val="28"/>
          <w:highlight w:val="none"/>
        </w:rPr>
        <w:t>的投标保证金在签订合同后5个工作日内予以退还。</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16.</w:t>
      </w:r>
      <w:r>
        <w:rPr>
          <w:rFonts w:ascii="楷体" w:hAnsi="楷体" w:eastAsia="楷体" w:cs="楷体"/>
          <w:b/>
          <w:bCs/>
          <w:sz w:val="32"/>
          <w:szCs w:val="32"/>
          <w:highlight w:val="none"/>
        </w:rPr>
        <w:t>投标有效期</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★16.1本项目投标有效期见</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须知前附表。投标函的有效期比本须知规定的有效期短的，将被视为非响应性投标，采购人有权拒绝。</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16.2特殊情况下，在投标有效期满之前，代理机构可以以书面形式要求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同意延长投标有效期。</w:t>
      </w:r>
      <w:r>
        <w:rPr>
          <w:rFonts w:hint="eastAsia" w:ascii="仿宋" w:hAnsi="仿宋" w:eastAsia="仿宋" w:cs="仿宋"/>
          <w:sz w:val="28"/>
          <w:szCs w:val="28"/>
          <w:highlight w:val="none"/>
        </w:rPr>
        <w:t>供应商</w:t>
      </w:r>
      <w:r>
        <w:rPr>
          <w:rFonts w:ascii="仿宋" w:hAnsi="仿宋" w:eastAsia="仿宋" w:cs="仿宋"/>
          <w:sz w:val="28"/>
          <w:szCs w:val="28"/>
          <w:highlight w:val="none"/>
        </w:rPr>
        <w:t>可以以书面形式拒绝或接受上述要求。拒绝延长投标有效期的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有权收回投标保证金；同意延长投标有效期的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应当相应延长其投标保证金的有效期，但不得修改投标文件的实质性内容。</w:t>
      </w:r>
    </w:p>
    <w:p>
      <w:pPr>
        <w:pStyle w:val="6"/>
        <w:numPr>
          <w:ilvl w:val="0"/>
          <w:numId w:val="11"/>
        </w:numPr>
        <w:shd w:val="clear"/>
        <w:spacing w:beforeLines="50" w:afterLines="50"/>
        <w:ind w:firstLine="0" w:firstLineChars="0"/>
        <w:outlineLvl w:val="1"/>
        <w:rPr>
          <w:rFonts w:ascii="黑体" w:hAnsi="黑体" w:eastAsia="黑体" w:cs="黑体"/>
          <w:b w:val="0"/>
          <w:bCs/>
          <w:sz w:val="36"/>
          <w:szCs w:val="36"/>
          <w:highlight w:val="none"/>
        </w:rPr>
      </w:pPr>
      <w:bookmarkStart w:id="37" w:name="_Toc25926"/>
      <w:bookmarkStart w:id="38" w:name="_Toc658"/>
      <w:r>
        <w:rPr>
          <w:rFonts w:ascii="黑体" w:hAnsi="黑体" w:eastAsia="黑体" w:cs="黑体"/>
          <w:b w:val="0"/>
          <w:bCs/>
          <w:sz w:val="36"/>
          <w:szCs w:val="36"/>
          <w:highlight w:val="none"/>
        </w:rPr>
        <w:t>投标文件递交</w:t>
      </w:r>
      <w:bookmarkEnd w:id="37"/>
      <w:bookmarkEnd w:id="38"/>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17.</w:t>
      </w:r>
      <w:r>
        <w:rPr>
          <w:rFonts w:ascii="楷体" w:hAnsi="楷体" w:eastAsia="楷体" w:cs="楷体"/>
          <w:b/>
          <w:bCs/>
          <w:sz w:val="32"/>
          <w:szCs w:val="32"/>
          <w:highlight w:val="none"/>
        </w:rPr>
        <w:t>投标文件递交时间和地点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17.1投标文件递交截止时间及递交地点详见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17.2</w:t>
      </w:r>
      <w:r>
        <w:rPr>
          <w:rFonts w:hint="eastAsia" w:ascii="仿宋" w:hAnsi="仿宋" w:eastAsia="仿宋" w:cs="仿宋"/>
          <w:sz w:val="28"/>
          <w:szCs w:val="28"/>
          <w:highlight w:val="none"/>
        </w:rPr>
        <w:t>供应商</w:t>
      </w:r>
      <w:r>
        <w:rPr>
          <w:rFonts w:ascii="仿宋" w:hAnsi="仿宋" w:eastAsia="仿宋" w:cs="仿宋"/>
          <w:sz w:val="28"/>
          <w:szCs w:val="28"/>
          <w:highlight w:val="none"/>
        </w:rPr>
        <w:t>代表必须在投标截止时间前将投标文件送达指定地点。如因招标文件的修改推迟投标截止日期的，则按代理机构另行通知规定的时间递交。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17.3代理机构不接收投标截止时间后送达的投标文件。</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18.</w:t>
      </w:r>
      <w:r>
        <w:rPr>
          <w:rFonts w:ascii="楷体" w:hAnsi="楷体" w:eastAsia="楷体" w:cs="楷体"/>
          <w:b/>
          <w:bCs/>
          <w:sz w:val="32"/>
          <w:szCs w:val="32"/>
          <w:highlight w:val="none"/>
        </w:rPr>
        <w:t>投标文件签收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18.1本项目只接受书面形式的投标，其他形式的投标不予接收。</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18.2投标截止时间后对</w:t>
      </w:r>
      <w:r>
        <w:rPr>
          <w:rFonts w:hint="eastAsia" w:ascii="仿宋" w:hAnsi="仿宋" w:eastAsia="仿宋" w:cs="仿宋"/>
          <w:sz w:val="28"/>
          <w:szCs w:val="28"/>
          <w:highlight w:val="none"/>
        </w:rPr>
        <w:t>供应商</w:t>
      </w:r>
      <w:r>
        <w:rPr>
          <w:rFonts w:ascii="仿宋" w:hAnsi="仿宋" w:eastAsia="仿宋" w:cs="仿宋"/>
          <w:sz w:val="28"/>
          <w:szCs w:val="28"/>
          <w:highlight w:val="none"/>
        </w:rPr>
        <w:t>已提交的投标文件不予退还。</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19.</w:t>
      </w:r>
      <w:r>
        <w:rPr>
          <w:rFonts w:ascii="楷体" w:hAnsi="楷体" w:eastAsia="楷体" w:cs="楷体"/>
          <w:b/>
          <w:bCs/>
          <w:sz w:val="32"/>
          <w:szCs w:val="32"/>
          <w:highlight w:val="none"/>
        </w:rPr>
        <w:t>投标文件修改与撤回</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19.1</w:t>
      </w:r>
      <w:r>
        <w:rPr>
          <w:rFonts w:hint="eastAsia" w:ascii="仿宋" w:hAnsi="仿宋" w:eastAsia="仿宋" w:cs="仿宋"/>
          <w:sz w:val="28"/>
          <w:szCs w:val="28"/>
          <w:highlight w:val="none"/>
        </w:rPr>
        <w:t>供应商</w:t>
      </w:r>
      <w:r>
        <w:rPr>
          <w:rFonts w:ascii="仿宋" w:hAnsi="仿宋" w:eastAsia="仿宋" w:cs="仿宋"/>
          <w:sz w:val="28"/>
          <w:szCs w:val="28"/>
          <w:highlight w:val="none"/>
        </w:rPr>
        <w:t>在招标文件要求提交投标文件的截止时间前，可以修改或者撤回已提交的投标文件，并书面形式通知代理机构。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19.2任何修改内容必须由</w:t>
      </w:r>
      <w:r>
        <w:rPr>
          <w:rFonts w:hint="eastAsia" w:ascii="仿宋" w:hAnsi="仿宋" w:eastAsia="仿宋" w:cs="仿宋"/>
          <w:sz w:val="28"/>
          <w:szCs w:val="28"/>
          <w:highlight w:val="none"/>
        </w:rPr>
        <w:t>供应商</w:t>
      </w:r>
      <w:r>
        <w:rPr>
          <w:rFonts w:ascii="仿宋" w:hAnsi="仿宋" w:eastAsia="仿宋" w:cs="仿宋"/>
          <w:sz w:val="28"/>
          <w:szCs w:val="28"/>
          <w:highlight w:val="none"/>
        </w:rPr>
        <w:t>的法定代表人或其委托代理人签字，不得涂抹。经法定代表人或其委托代理人正式签署的修改文件组成投标文件的一部分，份数和密封要求同投标文件一致。</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19.3投标截止时间后不允许对投标文件做实质性修改。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19.4投标有效期内不得撤回投标，否则其投标保证金不予退还。</w:t>
      </w:r>
    </w:p>
    <w:p>
      <w:pPr>
        <w:pStyle w:val="6"/>
        <w:numPr>
          <w:ilvl w:val="0"/>
          <w:numId w:val="11"/>
        </w:numPr>
        <w:shd w:val="clear"/>
        <w:spacing w:beforeLines="50" w:afterLines="50"/>
        <w:ind w:firstLine="0" w:firstLineChars="0"/>
        <w:outlineLvl w:val="1"/>
        <w:rPr>
          <w:rFonts w:ascii="黑体" w:hAnsi="黑体" w:eastAsia="黑体" w:cs="黑体"/>
          <w:b w:val="0"/>
          <w:bCs/>
          <w:sz w:val="36"/>
          <w:szCs w:val="36"/>
          <w:highlight w:val="none"/>
        </w:rPr>
      </w:pPr>
      <w:bookmarkStart w:id="39" w:name="_Toc25964"/>
      <w:bookmarkStart w:id="40" w:name="_Toc18729"/>
      <w:r>
        <w:rPr>
          <w:rFonts w:ascii="黑体" w:hAnsi="黑体" w:eastAsia="黑体" w:cs="黑体"/>
          <w:b w:val="0"/>
          <w:bCs/>
          <w:sz w:val="36"/>
          <w:szCs w:val="36"/>
          <w:highlight w:val="none"/>
        </w:rPr>
        <w:t>开标与评标</w:t>
      </w:r>
      <w:bookmarkEnd w:id="39"/>
      <w:bookmarkEnd w:id="40"/>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本次招标的开标、评标由采购人委托的采购代理机构依法组织实施。</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20.</w:t>
      </w:r>
      <w:r>
        <w:rPr>
          <w:rFonts w:ascii="楷体" w:hAnsi="楷体" w:eastAsia="楷体" w:cs="楷体"/>
          <w:b/>
          <w:bCs/>
          <w:sz w:val="32"/>
          <w:szCs w:val="32"/>
          <w:highlight w:val="none"/>
        </w:rPr>
        <w:t>开标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.1采购人按照招标文件规定的时间、地点开标。开标由采购代理主持，邀请投标人参加。</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.2投标人法定代表人或其授权代理人应参加并签名报到以证明其出席。</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.3主持人按下列程序进行开标：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（1）宣读会场纪律；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（2）公布在提交投标文件截止时间前提交投标文件的投标人名称；</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（3）在采购人监督部门的监督下，由投标人或其推选的代表检查投标文件的密封情况并予以签字确认；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（4）按照宣布的开标顺序当众进行唱标，并由投标人授权代表对唱标内容签字确认。</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（5）开标会议结束，投标人退场。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.4投标人授权代表对开标过程和开标记录有疑义，以及认为采购人、采购代理相关工作人员有需要回避的情形的，应当场提出询问或者回避申请。</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.5若投标人的法定代表人或其委托代理人因故不能出席开标活动或参加开标活动时无法提供有效的授权书及身份证明，该投标人的投标文件提交人不能在开标记录上签字，且视为该投标人默认开标结果。</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.6投标人若有报价和优惠未被唱出，应在开标时声明或提请注意，否则采购代理对此不承担任何责任。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注：疫情期间如投标人无法进入开标场所的，我方将根据疫情的情况，另行通知。</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w:t>
      </w:r>
      <w:r>
        <w:rPr>
          <w:rFonts w:ascii="仿宋" w:hAnsi="仿宋" w:eastAsia="仿宋" w:cs="仿宋"/>
          <w:sz w:val="28"/>
          <w:szCs w:val="28"/>
          <w:highlight w:val="none"/>
        </w:rPr>
        <w:t>.7投标文件有下列情况之一者，采购人不予受理。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 投标文件未按规定标志、密封；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 未在密封处加盖投标人公章或法定代表人或授权代表签字或盖章；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 提交投标文件截止时间以后送达的投标文件。</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21.</w:t>
      </w:r>
      <w:r>
        <w:rPr>
          <w:rFonts w:ascii="楷体" w:hAnsi="楷体" w:eastAsia="楷体" w:cs="楷体"/>
          <w:b/>
          <w:bCs/>
          <w:sz w:val="32"/>
          <w:szCs w:val="32"/>
          <w:highlight w:val="none"/>
        </w:rPr>
        <w:t>评标委员会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采购代理将根据本项目的特点组建评标委员会，其成员由采购人代表及评审专家 5人及以上单数组成，其中评审专家不得少于成员总数的三分之二。评标委员会负责对投标文件进行审查、澄清、直接确定中标人。</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22.</w:t>
      </w:r>
      <w:r>
        <w:rPr>
          <w:rFonts w:ascii="楷体" w:hAnsi="楷体" w:eastAsia="楷体" w:cs="楷体"/>
          <w:b/>
          <w:bCs/>
          <w:sz w:val="32"/>
          <w:szCs w:val="32"/>
          <w:highlight w:val="none"/>
        </w:rPr>
        <w:t>评标原则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“客观、公正、审慎”为本次评标的基本原则，评标小组将按照这一原则公正、平等地对待各</w:t>
      </w:r>
      <w:r>
        <w:rPr>
          <w:rFonts w:hint="eastAsia" w:ascii="仿宋" w:hAnsi="仿宋" w:eastAsia="仿宋" w:cs="仿宋"/>
          <w:sz w:val="28"/>
          <w:szCs w:val="28"/>
          <w:highlight w:val="none"/>
        </w:rPr>
        <w:t>供应商</w:t>
      </w:r>
      <w:r>
        <w:rPr>
          <w:rFonts w:ascii="仿宋" w:hAnsi="仿宋" w:eastAsia="仿宋" w:cs="仿宋"/>
          <w:sz w:val="28"/>
          <w:szCs w:val="28"/>
          <w:highlight w:val="none"/>
        </w:rPr>
        <w:t>，同时在评标过程中遵守以下原则：</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22.1客观性原则；评标委员会将严格按照采购文件的规定，对投标文件的评审仅依据投标文件本身，而不依据投标文件以外的任何因素。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22.2公正性原则；评标委员会依据招标文件规定的评标程序、评标方法和评标标准按统一方法、同一标准进行独立评审，并对投标文件的各项指标进行综合分析和比较，而不以单项指标的优劣进行评审。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22.3审慎性原则：评标委员会独立对招标文件进行审阅，依据招标文件规定的评审标准审慎评审。评标委员会的评审不受外界任何因素的干扰和影响，评标委员会成员对出具的评标意见承担个人责任。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22.4保密性原则：评标委员会及有关工作人员，应当对评标过程及</w:t>
      </w:r>
      <w:r>
        <w:rPr>
          <w:rFonts w:hint="eastAsia" w:ascii="仿宋" w:hAnsi="仿宋" w:eastAsia="仿宋" w:cs="仿宋"/>
          <w:sz w:val="28"/>
          <w:szCs w:val="28"/>
          <w:highlight w:val="none"/>
        </w:rPr>
        <w:t>供应商</w:t>
      </w:r>
      <w:r>
        <w:rPr>
          <w:rFonts w:ascii="仿宋" w:hAnsi="仿宋" w:eastAsia="仿宋" w:cs="仿宋"/>
          <w:sz w:val="28"/>
          <w:szCs w:val="28"/>
          <w:highlight w:val="none"/>
        </w:rPr>
        <w:t>的商业和技术秘密予以保密。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23.</w:t>
      </w:r>
      <w:r>
        <w:rPr>
          <w:rFonts w:ascii="楷体" w:hAnsi="楷体" w:eastAsia="楷体" w:cs="楷体"/>
          <w:b/>
          <w:bCs/>
          <w:sz w:val="32"/>
          <w:szCs w:val="32"/>
          <w:highlight w:val="none"/>
        </w:rPr>
        <w:t>评标方法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本项目评标方法见</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24.</w:t>
      </w:r>
      <w:r>
        <w:rPr>
          <w:rFonts w:ascii="楷体" w:hAnsi="楷体" w:eastAsia="楷体" w:cs="楷体"/>
          <w:b/>
          <w:bCs/>
          <w:sz w:val="32"/>
          <w:szCs w:val="32"/>
          <w:highlight w:val="none"/>
        </w:rPr>
        <w:t>初步评审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24.1初步评审是对投标文件的资格和符合性进行审查。在评审活动开始前，采购代理机构宣布政府采购评审工作纪律。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24.2公开招标采购项目开标结束后，</w:t>
      </w:r>
      <w:r>
        <w:rPr>
          <w:rFonts w:hint="eastAsia" w:ascii="仿宋" w:hAnsi="仿宋" w:eastAsia="仿宋" w:cs="仿宋"/>
          <w:sz w:val="28"/>
          <w:szCs w:val="28"/>
          <w:highlight w:val="none"/>
        </w:rPr>
        <w:t>由</w:t>
      </w:r>
      <w:r>
        <w:rPr>
          <w:rFonts w:ascii="仿宋" w:hAnsi="仿宋" w:eastAsia="仿宋" w:cs="仿宋"/>
          <w:sz w:val="28"/>
          <w:szCs w:val="28"/>
          <w:highlight w:val="none"/>
        </w:rPr>
        <w:t>采购代理机构依法对</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的资格进行审查。资格审查后，合格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不足3家的，不得评标。</w:t>
      </w:r>
      <w:r>
        <w:rPr>
          <w:rFonts w:hint="eastAsia" w:ascii="仿宋" w:hAnsi="仿宋" w:eastAsia="仿宋" w:cs="仿宋"/>
          <w:sz w:val="28"/>
          <w:szCs w:val="28"/>
          <w:highlight w:val="none"/>
        </w:rPr>
        <w:t>供应商</w:t>
      </w:r>
      <w:r>
        <w:rPr>
          <w:rFonts w:ascii="仿宋" w:hAnsi="仿宋" w:eastAsia="仿宋" w:cs="仿宋"/>
          <w:sz w:val="28"/>
          <w:szCs w:val="28"/>
          <w:highlight w:val="none"/>
        </w:rPr>
        <w:t>的资格审查应依据招标文件和相关法律、法规进行审查。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24.3对于通过资格评审的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，评标委员会将进行符合性评审，以确定每一</w:t>
      </w:r>
      <w:r>
        <w:rPr>
          <w:rFonts w:hint="eastAsia" w:ascii="仿宋" w:hAnsi="仿宋" w:eastAsia="仿宋" w:cs="仿宋"/>
          <w:sz w:val="28"/>
          <w:szCs w:val="28"/>
          <w:highlight w:val="none"/>
        </w:rPr>
        <w:t>供应商</w:t>
      </w:r>
      <w:r>
        <w:rPr>
          <w:rFonts w:ascii="仿宋" w:hAnsi="仿宋" w:eastAsia="仿宋" w:cs="仿宋"/>
          <w:sz w:val="28"/>
          <w:szCs w:val="28"/>
          <w:highlight w:val="none"/>
        </w:rPr>
        <w:t>投标文件的有效性、完整性和对招标文件的响应情况，看其是否对招标文件的要求做出了实质性的响应，而没有重大偏离。</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★24.4如出现下列情形之一的，视为对招标文件没有做出实质性响应，按照无效投标处理。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1）投标文件未经法定代表人签署且未提供有效的法定代表人授权委托书的；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2）未按招标文件规定要求签署、盖章的；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3）未按规定交纳投标保证金的；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4）招标文件未明确说明允许投报进口产品，而投报了进口产品的；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5）不符合招标文件中任一带★号条款的；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6）投标文件内容不全或未按规定填写或字迹模糊、辨认不清或涂改未加盖公章确认也未经法定代表人或其委托代理人签字确认的；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7）不按照招标文件规定报价、有多个报价（招标文件另有规定的除外）、有选择性报价、附有条件的报价或者拒绝修正报价的；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8）评标委员会认为</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的报价明显低于其他通过符合性审查</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的报价，有可能影响产品质量或者不能诚信履约的，要求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在评审现场合理的时间内提供书面说明，但该</w:t>
      </w:r>
      <w:r>
        <w:rPr>
          <w:rFonts w:hint="eastAsia" w:ascii="仿宋" w:hAnsi="仿宋" w:eastAsia="仿宋" w:cs="仿宋"/>
          <w:sz w:val="28"/>
          <w:szCs w:val="28"/>
          <w:highlight w:val="none"/>
        </w:rPr>
        <w:t>供应商</w:t>
      </w:r>
      <w:r>
        <w:rPr>
          <w:rFonts w:ascii="仿宋" w:hAnsi="仿宋" w:eastAsia="仿宋" w:cs="仿宋"/>
          <w:sz w:val="28"/>
          <w:szCs w:val="28"/>
          <w:highlight w:val="none"/>
        </w:rPr>
        <w:t>未提交相关证明材料以证明其报价合理性的；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9）投标报价超过采购预算或最高限价的；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10）应提供而未提供政府强制采购节能产品的；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11）投标有效期不满足招标文件要求的；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12）投标文件含有采购人不能接受的附加条件的</w:t>
      </w:r>
      <w:r>
        <w:rPr>
          <w:rFonts w:hint="eastAsia"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13）以他人名义投标或者在投标文件中提供虚假材料的；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14）未响应招标文件规定的其他实质性要求的；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15）法律法规和招标文件规定的其他情形。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对投标无效的认定，必须经评标委员会集体做出决定并出具书面意见。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24.5评标委员会将否决被确定为非实质性响应的投标文件，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不能通过修正或撤销投标文件中的不符之处而使其投标成为实质性响应的投标。</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24.6评标委员会认为</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的报价明显低于其他通过符合性审查</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的报价，有可能影响产品质量或者不能诚信履约的，且</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在评标现场合理的时间内不能提供书面说明或相关证明材料证明其报价合理性的，评标委员会应当将其作为无效投标处理。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24.7评标委员会通过上述评审，确定通过初步评审的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名单，只有通过初步评审的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，才能进入综合评审。符合性审查后，合格</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不足3家的，不得继续评标.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24.8提供相同品牌产品的不同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参加同一合同项下投标的评审办法执行《中华人民共和国财政部令第87号》第31条规定。</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25.</w:t>
      </w:r>
      <w:r>
        <w:rPr>
          <w:rFonts w:ascii="楷体" w:hAnsi="楷体" w:eastAsia="楷体" w:cs="楷体"/>
          <w:b/>
          <w:bCs/>
          <w:sz w:val="32"/>
          <w:szCs w:val="32"/>
          <w:highlight w:val="none"/>
        </w:rPr>
        <w:t>投标不一致时的修正和处理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如果正本与副本或电子文档不一致，以正本为准；如果单独密封的开标一览表与投标文件正本有差异，以单独密封的开标一览表为准；投标文件中的开标一览表与投标文件中明细表内容不一致的，以开标一览表为准；开标一览表不一致的，按无效投标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（2）如果以文字表示的数据与数字表示的有差别，以文字为准。如果大写金额和小写金额不一致的，以大写金额为准；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（3）单价金额小数点或者百分比有明显错位的，以开标一览表的总价为准，并修改单价；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（4）总价金额与按单价汇总金额不一致的，以单价金额计算结果为准。</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★（5）</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所投同一个包中，两个或以上开标一览表不一致的，视为投报两个或多个方案，除非招标文件明确规定接受备选方案外，均按未实质性响应招标文件处理。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由评标委员会认定的</w:t>
      </w:r>
      <w:r>
        <w:rPr>
          <w:rFonts w:ascii="仿宋" w:hAnsi="仿宋" w:eastAsia="仿宋" w:cs="仿宋"/>
          <w:sz w:val="28"/>
          <w:szCs w:val="28"/>
          <w:highlight w:val="none"/>
        </w:rPr>
        <w:t>偏离项与</w:t>
      </w:r>
      <w:r>
        <w:rPr>
          <w:rFonts w:hint="eastAsia" w:ascii="仿宋" w:hAnsi="仿宋" w:eastAsia="仿宋" w:cs="仿宋"/>
          <w:sz w:val="28"/>
          <w:szCs w:val="28"/>
          <w:highlight w:val="none"/>
        </w:rPr>
        <w:t>投标文件中“商务响应一览表”、“</w:t>
      </w:r>
      <w:r>
        <w:rPr>
          <w:rFonts w:ascii="仿宋" w:hAnsi="仿宋" w:eastAsia="仿宋" w:cs="仿宋"/>
          <w:sz w:val="28"/>
          <w:szCs w:val="28"/>
          <w:highlight w:val="none"/>
        </w:rPr>
        <w:t>技术响应一览表</w:t>
      </w:r>
      <w:r>
        <w:rPr>
          <w:rFonts w:hint="eastAsia" w:ascii="仿宋" w:hAnsi="仿宋" w:eastAsia="仿宋" w:cs="仿宋"/>
          <w:sz w:val="28"/>
          <w:szCs w:val="28"/>
          <w:highlight w:val="none"/>
        </w:rPr>
        <w:t>”中</w:t>
      </w:r>
      <w:r>
        <w:rPr>
          <w:rFonts w:ascii="仿宋" w:hAnsi="仿宋" w:eastAsia="仿宋" w:cs="仿宋"/>
          <w:sz w:val="28"/>
          <w:szCs w:val="28"/>
          <w:highlight w:val="none"/>
        </w:rPr>
        <w:t>偏离项不一致</w:t>
      </w:r>
      <w:r>
        <w:rPr>
          <w:rFonts w:hint="eastAsia" w:ascii="仿宋" w:hAnsi="仿宋" w:eastAsia="仿宋" w:cs="仿宋"/>
          <w:sz w:val="28"/>
          <w:szCs w:val="28"/>
          <w:highlight w:val="none"/>
        </w:rPr>
        <w:t>时</w:t>
      </w:r>
      <w:r>
        <w:rPr>
          <w:rFonts w:ascii="仿宋" w:hAnsi="仿宋" w:eastAsia="仿宋" w:cs="仿宋"/>
          <w:sz w:val="28"/>
          <w:szCs w:val="28"/>
          <w:highlight w:val="none"/>
        </w:rPr>
        <w:t>，</w:t>
      </w:r>
      <w:r>
        <w:rPr>
          <w:rFonts w:hint="eastAsia" w:ascii="仿宋" w:hAnsi="仿宋" w:eastAsia="仿宋" w:cs="仿宋"/>
          <w:sz w:val="28"/>
          <w:szCs w:val="28"/>
          <w:highlight w:val="none"/>
        </w:rPr>
        <w:t>评标委员会按实际情况打分，并</w:t>
      </w:r>
      <w:r>
        <w:rPr>
          <w:rFonts w:ascii="仿宋" w:hAnsi="仿宋" w:eastAsia="仿宋" w:cs="仿宋"/>
          <w:sz w:val="28"/>
          <w:szCs w:val="28"/>
          <w:highlight w:val="none"/>
        </w:rPr>
        <w:t>在投标文件正本标注</w:t>
      </w:r>
      <w:r>
        <w:rPr>
          <w:rFonts w:hint="eastAsia" w:ascii="仿宋" w:hAnsi="仿宋" w:eastAsia="仿宋" w:cs="仿宋"/>
          <w:sz w:val="28"/>
          <w:szCs w:val="28"/>
          <w:highlight w:val="none"/>
        </w:rPr>
        <w:t>明细</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w:t>
      </w:r>
      <w:r>
        <w:rPr>
          <w:rFonts w:ascii="仿宋" w:hAnsi="仿宋" w:eastAsia="仿宋" w:cs="仿宋"/>
          <w:sz w:val="28"/>
          <w:szCs w:val="28"/>
          <w:highlight w:val="none"/>
        </w:rPr>
        <w:t>投标文件的正本与副本不一致的，以正本为准；对不同文字文本投标文件的解释发生异议的，以中文文本为准。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同时出现两种以上不一致的，按照上述规定的顺序修正。</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★评标委员会应要求</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法定代表人或其委托代理人对修正后的报价签字确认，</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不确认的，其投标无效。</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26.</w:t>
      </w:r>
      <w:r>
        <w:rPr>
          <w:rFonts w:ascii="楷体" w:hAnsi="楷体" w:eastAsia="楷体" w:cs="楷体"/>
          <w:b/>
          <w:bCs/>
          <w:sz w:val="32"/>
          <w:szCs w:val="32"/>
          <w:highlight w:val="none"/>
        </w:rPr>
        <w:t>投标文件的澄清</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26.1为有助于对投标文件进行审查、评估和比较，评标委员会有权向</w:t>
      </w:r>
      <w:r>
        <w:rPr>
          <w:rFonts w:hint="eastAsia" w:ascii="仿宋" w:hAnsi="仿宋" w:eastAsia="仿宋" w:cs="仿宋"/>
          <w:sz w:val="28"/>
          <w:szCs w:val="28"/>
          <w:highlight w:val="none"/>
        </w:rPr>
        <w:t>供应商</w:t>
      </w:r>
      <w:r>
        <w:rPr>
          <w:rFonts w:ascii="仿宋" w:hAnsi="仿宋" w:eastAsia="仿宋" w:cs="仿宋"/>
          <w:sz w:val="28"/>
          <w:szCs w:val="28"/>
          <w:highlight w:val="none"/>
        </w:rPr>
        <w:t>询问。</w:t>
      </w:r>
      <w:r>
        <w:rPr>
          <w:rFonts w:hint="eastAsia" w:ascii="仿宋" w:hAnsi="仿宋" w:eastAsia="仿宋" w:cs="仿宋"/>
          <w:sz w:val="28"/>
          <w:szCs w:val="28"/>
          <w:highlight w:val="none"/>
        </w:rPr>
        <w:t>供应商</w:t>
      </w:r>
      <w:r>
        <w:rPr>
          <w:rFonts w:ascii="仿宋" w:hAnsi="仿宋" w:eastAsia="仿宋" w:cs="仿宋"/>
          <w:sz w:val="28"/>
          <w:szCs w:val="28"/>
          <w:highlight w:val="none"/>
        </w:rPr>
        <w:t>有义务以书面形式对其投标文件中含义不明确、同类问题表述不一致或有明显文字错误的内容进行澄清和说明，但澄清和说明的内容不得超出投标文件的范围或改变投标文件的实质性内容。</w:t>
      </w:r>
      <w:r>
        <w:rPr>
          <w:rFonts w:hint="eastAsia" w:ascii="仿宋" w:hAnsi="仿宋" w:eastAsia="仿宋" w:cs="仿宋"/>
          <w:sz w:val="28"/>
          <w:szCs w:val="28"/>
          <w:highlight w:val="none"/>
        </w:rPr>
        <w:t>供应商</w:t>
      </w:r>
      <w:r>
        <w:rPr>
          <w:rFonts w:ascii="仿宋" w:hAnsi="仿宋" w:eastAsia="仿宋" w:cs="仿宋"/>
          <w:sz w:val="28"/>
          <w:szCs w:val="28"/>
          <w:highlight w:val="none"/>
        </w:rPr>
        <w:t>澄清和说明的内容构成投标文件的组成部分；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26.2评标委员会不接受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主动提出的澄清，采购人也不接受</w:t>
      </w:r>
      <w:r>
        <w:rPr>
          <w:rFonts w:hint="eastAsia" w:ascii="仿宋" w:hAnsi="仿宋" w:eastAsia="仿宋" w:cs="仿宋"/>
          <w:sz w:val="28"/>
          <w:szCs w:val="28"/>
          <w:highlight w:val="none"/>
        </w:rPr>
        <w:t>供应商</w:t>
      </w:r>
      <w:r>
        <w:rPr>
          <w:rFonts w:ascii="仿宋" w:hAnsi="仿宋" w:eastAsia="仿宋" w:cs="仿宋"/>
          <w:sz w:val="28"/>
          <w:szCs w:val="28"/>
          <w:highlight w:val="none"/>
        </w:rPr>
        <w:t>主动承诺给予采购人赠品、回扣或者与采购无关的其他商品、服务。</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27.</w:t>
      </w:r>
      <w:r>
        <w:rPr>
          <w:rFonts w:ascii="楷体" w:hAnsi="楷体" w:eastAsia="楷体" w:cs="楷体"/>
          <w:b/>
          <w:bCs/>
          <w:sz w:val="32"/>
          <w:szCs w:val="32"/>
          <w:highlight w:val="none"/>
        </w:rPr>
        <w:t>综合评审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27.1对通过初步评审的</w:t>
      </w:r>
      <w:r>
        <w:rPr>
          <w:rFonts w:hint="eastAsia" w:ascii="仿宋" w:hAnsi="仿宋" w:eastAsia="仿宋" w:cs="仿宋"/>
          <w:sz w:val="28"/>
          <w:szCs w:val="28"/>
          <w:highlight w:val="none"/>
        </w:rPr>
        <w:t>供应商</w:t>
      </w:r>
      <w:r>
        <w:rPr>
          <w:rFonts w:ascii="仿宋" w:hAnsi="仿宋" w:eastAsia="仿宋" w:cs="仿宋"/>
          <w:sz w:val="28"/>
          <w:szCs w:val="28"/>
          <w:highlight w:val="none"/>
        </w:rPr>
        <w:t>，由评标委员会根据招标文件“评标办法”进行综合评审。</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27.2评标委员会应当按照招标文件中规定的评标方法和标准，对通过初步评审的投标文件进行商务和技术评估，综合比较与评价。按照汇总得分由高到低的顺序对各</w:t>
      </w:r>
      <w:r>
        <w:rPr>
          <w:rFonts w:hint="eastAsia" w:ascii="仿宋" w:hAnsi="仿宋" w:eastAsia="仿宋" w:cs="仿宋"/>
          <w:sz w:val="28"/>
          <w:szCs w:val="28"/>
          <w:highlight w:val="none"/>
        </w:rPr>
        <w:t>供应商</w:t>
      </w:r>
      <w:r>
        <w:rPr>
          <w:rFonts w:ascii="仿宋" w:hAnsi="仿宋" w:eastAsia="仿宋" w:cs="仿宋"/>
          <w:sz w:val="28"/>
          <w:szCs w:val="28"/>
          <w:highlight w:val="none"/>
        </w:rPr>
        <w:t>进行排序，提出书面评标报告，</w:t>
      </w:r>
      <w:r>
        <w:rPr>
          <w:rFonts w:hint="eastAsia" w:ascii="仿宋" w:hAnsi="仿宋" w:eastAsia="仿宋" w:cs="仿宋"/>
          <w:sz w:val="28"/>
          <w:szCs w:val="28"/>
          <w:highlight w:val="none"/>
        </w:rPr>
        <w:t>确定中标人</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27.3使用综合评分法的采购项目，提供相同品牌产品且通过资格审查、符合性审查的不同投标人参加同一合同项下投标的，按一家投标人计算，评审后得分最高的同品牌投标人获得中标人推荐资格；评审得分相同的，评标委员会依次按照报价得分高、技术条款响应性得分高、售后服务得分高、紧急故障处理预案得分高的顺序进行排序，确定排名在前的一个投标人获得中标人推荐资格，其他同品牌投标人不作为中标候选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7</w:t>
      </w:r>
      <w:r>
        <w:rPr>
          <w:rFonts w:ascii="仿宋" w:hAnsi="仿宋" w:eastAsia="仿宋" w:cs="仿宋"/>
          <w:sz w:val="28"/>
          <w:szCs w:val="28"/>
          <w:highlight w:val="none"/>
        </w:rPr>
        <w:t>.4如本项目采购内容包括多种产品，即非单一产品采购项目，应在招标采购清单中标注核心产品，多家供应商提供的核心产品品牌相同的，按前款规定处理。如未标注核心产品的，按产品价格权重高的确认。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27.5</w:t>
      </w:r>
      <w:r>
        <w:rPr>
          <w:rFonts w:ascii="仿宋" w:hAnsi="仿宋" w:eastAsia="仿宋" w:cs="仿宋"/>
          <w:sz w:val="28"/>
          <w:szCs w:val="28"/>
          <w:highlight w:val="none"/>
        </w:rPr>
        <w:t>评标结果汇总完成后，除下列情形外，任何人不得修改评标结果：</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）分值汇总计算错误的；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）分项评分超出评分标准范围的；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）评标委员会成员对客观评审因素评分不一致的；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4</w:t>
      </w:r>
      <w:r>
        <w:rPr>
          <w:rFonts w:ascii="仿宋" w:hAnsi="仿宋" w:eastAsia="仿宋" w:cs="仿宋"/>
          <w:sz w:val="28"/>
          <w:szCs w:val="28"/>
          <w:highlight w:val="none"/>
        </w:rPr>
        <w:t>）经评标委员会认定评分畸高、畸低的。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28.</w:t>
      </w:r>
      <w:r>
        <w:rPr>
          <w:rFonts w:ascii="楷体" w:hAnsi="楷体" w:eastAsia="楷体" w:cs="楷体"/>
          <w:b/>
          <w:bCs/>
          <w:sz w:val="32"/>
          <w:szCs w:val="32"/>
          <w:highlight w:val="none"/>
        </w:rPr>
        <w:t>政府采购政策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28.1中小企业优惠办法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28.1.1根据《财政部工业和信息化部关于印发&lt;政府采购促进中小企业发展管理办法&gt;的通知》(财库〔2020〕46号)</w:t>
      </w:r>
      <w:r>
        <w:rPr>
          <w:rFonts w:hint="eastAsia" w:ascii="仿宋" w:hAnsi="仿宋" w:eastAsia="仿宋" w:cs="仿宋"/>
          <w:sz w:val="28"/>
          <w:szCs w:val="28"/>
          <w:highlight w:val="none"/>
          <w:lang w:eastAsia="zh-CN"/>
        </w:rPr>
        <w:t>、《国务院关于印发扎实稳住经济一揽子政策措施的通知》（国发〔2022〕12号）</w:t>
      </w:r>
      <w:r>
        <w:rPr>
          <w:rFonts w:ascii="仿宋" w:hAnsi="仿宋" w:eastAsia="仿宋" w:cs="仿宋"/>
          <w:sz w:val="28"/>
          <w:szCs w:val="28"/>
          <w:highlight w:val="none"/>
        </w:rPr>
        <w:t>文件的规定，对符合本办法规定的小微企业报价给予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%的扣除，用扣除后的价格参加评审。具体扣除比例见招标文件评标办法。</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28.1.3</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提供的货物、工程或者服务符合下列情形，享受上述小微企业价格扣除的优惠政策：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1</w:t>
      </w:r>
      <w:r>
        <w:rPr>
          <w:rFonts w:ascii="仿宋" w:hAnsi="仿宋" w:eastAsia="仿宋" w:cs="仿宋"/>
          <w:sz w:val="28"/>
          <w:szCs w:val="28"/>
          <w:highlight w:val="none"/>
        </w:rPr>
        <w:t>）在货物采购项目中，货物由小微企业制造，即货物由小微企业生产且使用该小微企业商号或者注册商标；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2</w:t>
      </w:r>
      <w:r>
        <w:rPr>
          <w:rFonts w:ascii="仿宋" w:hAnsi="仿宋" w:eastAsia="仿宋" w:cs="仿宋"/>
          <w:sz w:val="28"/>
          <w:szCs w:val="28"/>
          <w:highlight w:val="none"/>
        </w:rPr>
        <w:t>）在工程采购项目中，工程由小微企业承建，即工程施工单位为小微企业；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r>
        <w:rPr>
          <w:rFonts w:hint="eastAsia" w:ascii="仿宋" w:hAnsi="仿宋" w:eastAsia="仿宋" w:cs="仿宋"/>
          <w:sz w:val="28"/>
          <w:szCs w:val="28"/>
          <w:highlight w:val="none"/>
        </w:rPr>
        <w:t>3</w:t>
      </w:r>
      <w:r>
        <w:rPr>
          <w:rFonts w:ascii="仿宋" w:hAnsi="仿宋" w:eastAsia="仿宋" w:cs="仿宋"/>
          <w:sz w:val="28"/>
          <w:szCs w:val="28"/>
          <w:highlight w:val="none"/>
        </w:rPr>
        <w:t>）在服务采购项目中，服务由小微企业承接，即提供服务的人员为小微企业依照《中华人民共和国劳动合同法》订立劳动合同的从业人员。</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28.1.4依据《财政部工业和信息化部关于印发&lt;政府采购促进中小企业发展管理办法&gt;的通知》(财库〔2020〕46号)规定，中型、小型和微型企业投标的须提供《中小企业声明函》（格式见附件）并对声明函的真实性负责；如果联合体各方均为小型、微型企业的，联合体视同为小型、微型企业，但联合体各方均应按招标文件要求提供《中小企业声明函》。</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28.1.5在货物采购项目中，</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提供的货物既有小微企业制造货物，也有大中型企业制造的，不享受本办法规定的小微企业价格优惠政策。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28.1.7中标、成交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享受本办法规定的中小企业扶持政策的，采购人、采购代理机构应当随中标、成交结果公开中标、成交</w:t>
      </w:r>
      <w:r>
        <w:rPr>
          <w:rFonts w:hint="eastAsia" w:ascii="仿宋" w:hAnsi="仿宋" w:eastAsia="仿宋" w:cs="仿宋"/>
          <w:sz w:val="28"/>
          <w:szCs w:val="28"/>
          <w:highlight w:val="none"/>
        </w:rPr>
        <w:t>供应商</w:t>
      </w:r>
      <w:r>
        <w:rPr>
          <w:rFonts w:ascii="仿宋" w:hAnsi="仿宋" w:eastAsia="仿宋" w:cs="仿宋"/>
          <w:sz w:val="28"/>
          <w:szCs w:val="28"/>
          <w:highlight w:val="none"/>
        </w:rPr>
        <w:t>的《中小企业声明函》。</w:t>
      </w:r>
      <w:r>
        <w:rPr>
          <w:rFonts w:hint="eastAsia" w:ascii="仿宋" w:hAnsi="仿宋" w:eastAsia="仿宋" w:cs="仿宋"/>
          <w:sz w:val="28"/>
          <w:szCs w:val="28"/>
          <w:highlight w:val="none"/>
        </w:rPr>
        <w:t>供应商</w:t>
      </w:r>
      <w:r>
        <w:rPr>
          <w:rFonts w:ascii="仿宋" w:hAnsi="仿宋" w:eastAsia="仿宋" w:cs="仿宋"/>
          <w:sz w:val="28"/>
          <w:szCs w:val="28"/>
          <w:highlight w:val="none"/>
        </w:rPr>
        <w:t>提供声明函内容不实的，属于提供虚假材料谋取中标、成交，依照《中华人民共和国政府采购法》等国家有关规定追究相应责任。</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default" w:ascii="仿宋" w:hAnsi="仿宋" w:eastAsia="仿宋" w:cs="仿宋"/>
          <w:spacing w:val="0"/>
          <w:kern w:val="2"/>
          <w:sz w:val="28"/>
          <w:szCs w:val="28"/>
          <w:highlight w:val="none"/>
          <w:lang w:val="en-US" w:eastAsia="zh-CN" w:bidi="ar-SA"/>
        </w:rPr>
      </w:pPr>
      <w:r>
        <w:rPr>
          <w:rFonts w:hint="default" w:ascii="仿宋" w:hAnsi="仿宋" w:eastAsia="仿宋" w:cs="仿宋"/>
          <w:spacing w:val="0"/>
          <w:kern w:val="2"/>
          <w:sz w:val="28"/>
          <w:szCs w:val="28"/>
          <w:highlight w:val="none"/>
          <w:lang w:val="en-US" w:eastAsia="zh-CN" w:bidi="ar-SA"/>
        </w:rPr>
        <w:t xml:space="preserve">28.1.8 </w:t>
      </w:r>
      <w:r>
        <w:rPr>
          <w:rFonts w:hint="eastAsia" w:ascii="仿宋" w:hAnsi="仿宋" w:eastAsia="仿宋" w:cs="仿宋"/>
          <w:spacing w:val="0"/>
          <w:kern w:val="2"/>
          <w:sz w:val="28"/>
          <w:szCs w:val="28"/>
          <w:highlight w:val="none"/>
          <w:lang w:val="en-US" w:eastAsia="zh-CN" w:bidi="ar-SA"/>
        </w:rPr>
        <w:t>本项目按照工信部联企业[2011]300号文《关于印发中小企业划型标准规定的通知》的划分标准，行业为工业当中的制造业；</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28.2政府采购支持监狱企业发展的政策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1）根据《财政部司法部&lt;关于政府采购支持监狱企业发展有关问题的通知》（财库[2017]141号）文件规定，对监狱企业生产的产品价格或提供服务的价格给予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%的价格扣除，用扣除后的价格参与评审；监狱企业属于小型、微型企业的，不重复享受政策。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2）参加政府采购活动的监狱企业应当在投标文件中提供监狱企业证明复印件，否则不予认定。监狱企业证明须由省级或以上监狱管理局、戒毒管理局（含新疆生产建设兵团）出具。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28.3促进残疾人就业政府采购政策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1）依据《三部门联合发布关于促进残疾人就业政府采购政策的通知》(财库〔2017〕141号)文件规定，残疾人福利性单位视同小型、微型企业，对残疾人福利性单位的报价给予</w:t>
      </w:r>
      <w:r>
        <w:rPr>
          <w:rFonts w:hint="eastAsia" w:ascii="仿宋" w:hAnsi="仿宋" w:eastAsia="仿宋" w:cs="仿宋"/>
          <w:sz w:val="28"/>
          <w:szCs w:val="28"/>
          <w:highlight w:val="none"/>
          <w:lang w:val="en-US" w:eastAsia="zh-CN"/>
        </w:rPr>
        <w:t>10</w:t>
      </w:r>
      <w:r>
        <w:rPr>
          <w:rFonts w:ascii="仿宋" w:hAnsi="仿宋" w:eastAsia="仿宋" w:cs="仿宋"/>
          <w:sz w:val="28"/>
          <w:szCs w:val="28"/>
          <w:highlight w:val="none"/>
        </w:rPr>
        <w:t>%的扣除，用扣除后的评标价格参与价格得分的计算及评审，具体扣除比例见招标文件评标办法；残疾人福利性单位属于小型、微型企业的，不重复享受政策。</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2)残疾人福利性单位评标价格的计算：残疾人福利性单位的评标价格=投标报价×（1—扣除比例）；</w:t>
      </w:r>
      <w:r>
        <w:rPr>
          <w:rFonts w:hint="eastAsia" w:ascii="仿宋" w:hAnsi="仿宋" w:eastAsia="仿宋" w:cs="仿宋"/>
          <w:sz w:val="28"/>
          <w:szCs w:val="28"/>
          <w:highlight w:val="none"/>
        </w:rPr>
        <w:t>供应商</w:t>
      </w:r>
      <w:r>
        <w:rPr>
          <w:rFonts w:ascii="仿宋" w:hAnsi="仿宋" w:eastAsia="仿宋" w:cs="仿宋"/>
          <w:sz w:val="28"/>
          <w:szCs w:val="28"/>
          <w:highlight w:val="none"/>
        </w:rPr>
        <w:t>属于享受政府采购支持政策的“残疾人福利性单位”的，只需提供《残疾人福利性单位声明函》，并对声明的真实性负责。</w:t>
      </w:r>
      <w:r>
        <w:rPr>
          <w:rFonts w:hint="eastAsia" w:ascii="仿宋" w:hAnsi="仿宋" w:eastAsia="仿宋" w:cs="仿宋"/>
          <w:sz w:val="28"/>
          <w:szCs w:val="28"/>
          <w:highlight w:val="none"/>
        </w:rPr>
        <w:t>中标人</w:t>
      </w:r>
      <w:r>
        <w:rPr>
          <w:rFonts w:ascii="仿宋" w:hAnsi="仿宋" w:eastAsia="仿宋" w:cs="仿宋"/>
          <w:sz w:val="28"/>
          <w:szCs w:val="28"/>
          <w:highlight w:val="none"/>
        </w:rPr>
        <w:t>为残疾人福利性单位的，采购代理机构将随成交结果同时公告其《残疾人福利性单位声明函》，接受社会监督。</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w:t>
      </w:r>
      <w:r>
        <w:rPr>
          <w:rFonts w:hint="eastAsia" w:ascii="仿宋" w:hAnsi="仿宋" w:eastAsia="仿宋" w:cs="仿宋"/>
          <w:sz w:val="28"/>
          <w:szCs w:val="28"/>
          <w:highlight w:val="none"/>
        </w:rPr>
        <w:t>供应商</w:t>
      </w:r>
      <w:r>
        <w:rPr>
          <w:rFonts w:ascii="仿宋" w:hAnsi="仿宋" w:eastAsia="仿宋" w:cs="仿宋"/>
          <w:sz w:val="28"/>
          <w:szCs w:val="28"/>
          <w:highlight w:val="none"/>
        </w:rPr>
        <w:t>提供的《残疾人福利性单位声明函》与事实不符的，依照《政府采购法》第七十七条第一款的规定追究法律责任。</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ascii="仿宋" w:hAnsi="仿宋" w:eastAsia="仿宋" w:cs="仿宋"/>
          <w:sz w:val="28"/>
          <w:szCs w:val="28"/>
          <w:highlight w:val="none"/>
        </w:rPr>
        <w:t>28.4</w:t>
      </w:r>
      <w:r>
        <w:rPr>
          <w:rFonts w:hint="eastAsia" w:ascii="仿宋" w:hAnsi="仿宋" w:eastAsia="仿宋" w:cs="仿宋"/>
          <w:spacing w:val="0"/>
          <w:kern w:val="2"/>
          <w:sz w:val="28"/>
          <w:szCs w:val="28"/>
          <w:highlight w:val="none"/>
          <w:lang w:val="en-US" w:eastAsia="zh-CN" w:bidi="ar-SA"/>
        </w:rPr>
        <w:t>优采、强采、节能、环境标志产品：</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（1）</w:t>
      </w:r>
      <w:r>
        <w:rPr>
          <w:rFonts w:hint="eastAsia" w:ascii="仿宋" w:hAnsi="仿宋" w:eastAsia="仿宋" w:cs="仿宋"/>
          <w:spacing w:val="0"/>
          <w:kern w:val="2"/>
          <w:sz w:val="28"/>
          <w:szCs w:val="28"/>
          <w:highlight w:val="none"/>
          <w:lang w:val="en-US" w:eastAsia="zh-CN" w:bidi="ar-SA"/>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（2）</w:t>
      </w:r>
      <w:r>
        <w:rPr>
          <w:rFonts w:hint="eastAsia" w:ascii="仿宋" w:hAnsi="仿宋" w:eastAsia="仿宋" w:cs="仿宋"/>
          <w:spacing w:val="0"/>
          <w:kern w:val="2"/>
          <w:sz w:val="28"/>
          <w:szCs w:val="28"/>
          <w:highlight w:val="none"/>
          <w:lang w:val="en-US" w:eastAsia="zh-CN" w:bidi="ar-SA"/>
        </w:rPr>
        <w:t>投标人在投标文件中对所投产品为节能、环境标志品目清单中的产品时，在报价时必须对此类产品单独分项报价（格式详见附件，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符合政府采购优惠政策产品明细及报价表的，不给予鼓励优惠政策。节能、环境标志品目清单中的产品仅是构成报价产品的部件、组件或零件的，若未在品目清单中明确需执行优惠政策的，则该报价产品不享受鼓励优惠政策。★其中，所报产品为政府强制采购产品的（《节能产品政府采购品目清单》中以“★”标注的产品品目）而未提供国家节能产品认证证书的，按无效报价处理。</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（3）</w:t>
      </w: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shd w:val="clear"/>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cs="仿宋"/>
          <w:spacing w:val="0"/>
          <w:kern w:val="2"/>
          <w:sz w:val="28"/>
          <w:szCs w:val="28"/>
          <w:highlight w:val="none"/>
          <w:lang w:val="en-US" w:eastAsia="zh-CN" w:bidi="ar-SA"/>
        </w:rPr>
        <w:t>（4）</w:t>
      </w: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shd w:val="clear"/>
        <w:ind w:firstLine="560" w:firstLineChars="200"/>
        <w:rPr>
          <w:rFonts w:ascii="仿宋" w:hAnsi="仿宋" w:eastAsia="仿宋" w:cs="仿宋"/>
          <w:b/>
          <w:bCs/>
          <w:sz w:val="28"/>
          <w:szCs w:val="28"/>
          <w:highlight w:val="none"/>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r>
        <w:rPr>
          <w:rFonts w:ascii="仿宋" w:hAnsi="仿宋" w:eastAsia="仿宋" w:cs="仿宋"/>
          <w:b/>
          <w:bCs/>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28.5执行政府采购政策对投标报价进行扣除后的评标价格仅用于评标过程的报价得分计算或评标价格的比较，不作为最终的中标价格。</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29.</w:t>
      </w:r>
      <w:r>
        <w:rPr>
          <w:rFonts w:ascii="楷体" w:hAnsi="楷体" w:eastAsia="楷体" w:cs="楷体"/>
          <w:b/>
          <w:bCs/>
          <w:sz w:val="32"/>
          <w:szCs w:val="32"/>
          <w:highlight w:val="none"/>
        </w:rPr>
        <w:t>违法情形</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应予以赔偿。</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30.</w:t>
      </w:r>
      <w:r>
        <w:rPr>
          <w:rFonts w:ascii="楷体" w:hAnsi="楷体" w:eastAsia="楷体" w:cs="楷体"/>
          <w:b/>
          <w:bCs/>
          <w:sz w:val="32"/>
          <w:szCs w:val="32"/>
          <w:highlight w:val="none"/>
        </w:rPr>
        <w:t>特殊情况处置程序</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在评标过程中，评标委员会发生分歧或者评审结论有异议需表决的，按照少数服从多数的原则，由评标委员会全体成员以记名投票方式表决。</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31.</w:t>
      </w:r>
      <w:r>
        <w:rPr>
          <w:rFonts w:ascii="楷体" w:hAnsi="楷体" w:eastAsia="楷体" w:cs="楷体"/>
          <w:b/>
          <w:bCs/>
          <w:sz w:val="32"/>
          <w:szCs w:val="32"/>
          <w:highlight w:val="none"/>
        </w:rPr>
        <w:t>废标</w:t>
      </w:r>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有下列情形之一，本项目将予以废标：</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1）在投标截止时间结束后参加投标的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2）符合招标文件规定条件的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不足3家或者对招标文件作实质性响应的</w:t>
      </w:r>
      <w:r>
        <w:rPr>
          <w:rFonts w:hint="eastAsia" w:ascii="仿宋" w:hAnsi="仿宋" w:eastAsia="仿宋" w:cs="仿宋"/>
          <w:sz w:val="28"/>
          <w:szCs w:val="28"/>
          <w:highlight w:val="none"/>
        </w:rPr>
        <w:t>供应商</w:t>
      </w:r>
      <w:r>
        <w:rPr>
          <w:rFonts w:ascii="仿宋" w:hAnsi="仿宋" w:eastAsia="仿宋" w:cs="仿宋"/>
          <w:sz w:val="28"/>
          <w:szCs w:val="28"/>
          <w:highlight w:val="none"/>
        </w:rPr>
        <w:t>不足3家的；使用综合评分法的采购项目，提供相同品牌产品且通过资格审查、符合性审查的不同</w:t>
      </w:r>
      <w:r>
        <w:rPr>
          <w:rFonts w:hint="eastAsia" w:ascii="仿宋" w:hAnsi="仿宋" w:eastAsia="仿宋" w:cs="仿宋"/>
          <w:sz w:val="28"/>
          <w:szCs w:val="28"/>
          <w:highlight w:val="none"/>
        </w:rPr>
        <w:t>供应商</w:t>
      </w:r>
      <w:r>
        <w:rPr>
          <w:rFonts w:ascii="仿宋" w:hAnsi="仿宋" w:eastAsia="仿宋" w:cs="仿宋"/>
          <w:sz w:val="28"/>
          <w:szCs w:val="28"/>
          <w:highlight w:val="none"/>
        </w:rPr>
        <w:t>参加同一合同项下投标的，按一家</w:t>
      </w:r>
      <w:r>
        <w:rPr>
          <w:rFonts w:hint="eastAsia" w:ascii="仿宋" w:hAnsi="仿宋" w:eastAsia="仿宋" w:cs="仿宋"/>
          <w:sz w:val="28"/>
          <w:szCs w:val="28"/>
          <w:highlight w:val="none"/>
        </w:rPr>
        <w:t>供应商</w:t>
      </w:r>
      <w:r>
        <w:rPr>
          <w:rFonts w:ascii="仿宋" w:hAnsi="仿宋" w:eastAsia="仿宋" w:cs="仿宋"/>
          <w:sz w:val="28"/>
          <w:szCs w:val="28"/>
          <w:highlight w:val="none"/>
        </w:rPr>
        <w:t>计算。</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3）出现影响采购公正的违法违规行为的；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4）</w:t>
      </w:r>
      <w:r>
        <w:rPr>
          <w:rFonts w:hint="eastAsia" w:ascii="仿宋" w:hAnsi="仿宋" w:eastAsia="仿宋" w:cs="仿宋"/>
          <w:sz w:val="28"/>
          <w:szCs w:val="28"/>
          <w:highlight w:val="none"/>
        </w:rPr>
        <w:t>供应商</w:t>
      </w:r>
      <w:r>
        <w:rPr>
          <w:rFonts w:ascii="仿宋" w:hAnsi="仿宋" w:eastAsia="仿宋" w:cs="仿宋"/>
          <w:sz w:val="28"/>
          <w:szCs w:val="28"/>
          <w:highlight w:val="none"/>
        </w:rPr>
        <w:t>的报价均超过采购预算的；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5）因重大变故，采购任务取消的；</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6）法律、法规及招标文件规定的其他情况。</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32.</w:t>
      </w:r>
      <w:r>
        <w:rPr>
          <w:rFonts w:ascii="楷体" w:hAnsi="楷体" w:eastAsia="楷体" w:cs="楷体"/>
          <w:b/>
          <w:bCs/>
          <w:sz w:val="32"/>
          <w:szCs w:val="32"/>
          <w:highlight w:val="none"/>
        </w:rPr>
        <w:t>中标公告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32.1确定</w:t>
      </w:r>
      <w:r>
        <w:rPr>
          <w:rFonts w:hint="eastAsia" w:ascii="仿宋" w:hAnsi="仿宋" w:eastAsia="仿宋" w:cs="仿宋"/>
          <w:sz w:val="28"/>
          <w:szCs w:val="28"/>
          <w:highlight w:val="none"/>
        </w:rPr>
        <w:t>中标人</w:t>
      </w:r>
      <w:r>
        <w:rPr>
          <w:rFonts w:ascii="仿宋" w:hAnsi="仿宋" w:eastAsia="仿宋" w:cs="仿宋"/>
          <w:sz w:val="28"/>
          <w:szCs w:val="28"/>
          <w:highlight w:val="none"/>
        </w:rPr>
        <w:t>后，采购代理机构将在发布招标公告的同一媒体发布中标公告。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32.2中标公告内容包括采购人和采购代理机构的名称、地址、联系方式，项目名称和项目编号，</w:t>
      </w:r>
      <w:r>
        <w:rPr>
          <w:rFonts w:hint="eastAsia" w:ascii="仿宋" w:hAnsi="仿宋" w:eastAsia="仿宋" w:cs="仿宋"/>
          <w:sz w:val="28"/>
          <w:szCs w:val="28"/>
          <w:highlight w:val="none"/>
        </w:rPr>
        <w:t>中标人</w:t>
      </w:r>
      <w:r>
        <w:rPr>
          <w:rFonts w:ascii="仿宋" w:hAnsi="仿宋" w:eastAsia="仿宋" w:cs="仿宋"/>
          <w:sz w:val="28"/>
          <w:szCs w:val="28"/>
          <w:highlight w:val="none"/>
        </w:rPr>
        <w:t>名称、地址和中标金额，主要中标标的的名称、规格型号、数量、单价、服务要求以及评审专家名单。</w:t>
      </w:r>
    </w:p>
    <w:p>
      <w:pPr>
        <w:pStyle w:val="6"/>
        <w:numPr>
          <w:ilvl w:val="0"/>
          <w:numId w:val="11"/>
        </w:numPr>
        <w:shd w:val="clear"/>
        <w:spacing w:beforeLines="50" w:afterLines="50"/>
        <w:ind w:firstLine="0" w:firstLineChars="0"/>
        <w:outlineLvl w:val="1"/>
        <w:rPr>
          <w:rFonts w:ascii="黑体" w:hAnsi="黑体" w:eastAsia="黑体" w:cs="黑体"/>
          <w:b w:val="0"/>
          <w:bCs/>
          <w:sz w:val="36"/>
          <w:szCs w:val="36"/>
          <w:highlight w:val="none"/>
        </w:rPr>
      </w:pPr>
      <w:bookmarkStart w:id="41" w:name="_Toc12568"/>
      <w:bookmarkStart w:id="42" w:name="_Toc23253"/>
      <w:r>
        <w:rPr>
          <w:rFonts w:ascii="黑体" w:hAnsi="黑体" w:eastAsia="黑体" w:cs="黑体"/>
          <w:b w:val="0"/>
          <w:bCs/>
          <w:sz w:val="36"/>
          <w:szCs w:val="36"/>
          <w:highlight w:val="none"/>
        </w:rPr>
        <w:t>询问和质疑</w:t>
      </w:r>
      <w:bookmarkEnd w:id="41"/>
      <w:bookmarkEnd w:id="42"/>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33.</w:t>
      </w:r>
      <w:r>
        <w:rPr>
          <w:rFonts w:ascii="楷体" w:hAnsi="楷体" w:eastAsia="楷体" w:cs="楷体"/>
          <w:b/>
          <w:bCs/>
          <w:sz w:val="32"/>
          <w:szCs w:val="32"/>
          <w:highlight w:val="none"/>
        </w:rPr>
        <w:t>询问</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可向采购代理机构就招标文件的内容依法提出询问，具体按招标公告中载明的联系人、联系方式以电话或书面（电子邮件等）方式与采购代理机构项目负责人联系。采购代理机构将在收到询问后3个工作日内作出答复。</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34.</w:t>
      </w:r>
      <w:r>
        <w:rPr>
          <w:rFonts w:ascii="楷体" w:hAnsi="楷体" w:eastAsia="楷体" w:cs="楷体"/>
          <w:b/>
          <w:bCs/>
          <w:sz w:val="32"/>
          <w:szCs w:val="32"/>
          <w:highlight w:val="none"/>
        </w:rPr>
        <w:t>质疑</w:t>
      </w:r>
    </w:p>
    <w:p>
      <w:pPr>
        <w:shd w:val="clear"/>
        <w:ind w:firstLine="560" w:firstLineChars="200"/>
        <w:rPr>
          <w:rFonts w:ascii="仿宋" w:hAnsi="仿宋" w:eastAsia="仿宋" w:cs="仿宋"/>
          <w:b/>
          <w:bCs/>
          <w:sz w:val="28"/>
          <w:szCs w:val="28"/>
          <w:highlight w:val="none"/>
        </w:rPr>
      </w:pPr>
      <w:r>
        <w:rPr>
          <w:rFonts w:ascii="仿宋" w:hAnsi="仿宋" w:eastAsia="仿宋" w:cs="仿宋"/>
          <w:sz w:val="28"/>
          <w:szCs w:val="28"/>
          <w:highlight w:val="none"/>
        </w:rPr>
        <w:t>34.1</w:t>
      </w:r>
      <w:r>
        <w:rPr>
          <w:rFonts w:hint="eastAsia" w:ascii="仿宋" w:hAnsi="仿宋" w:eastAsia="仿宋" w:cs="仿宋"/>
          <w:sz w:val="28"/>
          <w:szCs w:val="28"/>
          <w:highlight w:val="none"/>
        </w:rPr>
        <w:t>供应商</w:t>
      </w:r>
      <w:r>
        <w:rPr>
          <w:rFonts w:ascii="仿宋" w:hAnsi="仿宋" w:eastAsia="仿宋" w:cs="仿宋"/>
          <w:sz w:val="28"/>
          <w:szCs w:val="28"/>
          <w:highlight w:val="none"/>
        </w:rPr>
        <w:t>认为采购文件、采购过程和中标结果使自己的权益受到损害的，可以在知道或者应知其权益受到损害之日起七个工作日内，以书面形式向采购代理机构提出询问或质疑。</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应在法定质疑期内一次性提出针对同一采购程序环节的质疑。</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应知其权益受到损害之日，是指：</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（1）对可以质疑的采购文件提出质疑的，为收到采购文件之日或者采购文件公告期限届满之日；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（2）对采购过程提出质疑的，为各采购程序环节结束之日；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（3）对中标结果提出质疑的，为中标结果公告期限届满之日。</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34.2采购代理机构应当在收到</w:t>
      </w:r>
      <w:r>
        <w:rPr>
          <w:rFonts w:hint="eastAsia" w:ascii="仿宋" w:hAnsi="仿宋" w:eastAsia="仿宋" w:cs="仿宋"/>
          <w:sz w:val="28"/>
          <w:szCs w:val="28"/>
          <w:highlight w:val="none"/>
        </w:rPr>
        <w:t>供应商</w:t>
      </w:r>
      <w:r>
        <w:rPr>
          <w:rFonts w:ascii="仿宋" w:hAnsi="仿宋" w:eastAsia="仿宋" w:cs="仿宋"/>
          <w:sz w:val="28"/>
          <w:szCs w:val="28"/>
          <w:highlight w:val="none"/>
        </w:rPr>
        <w:t>的书面质疑后七个工作日内作出答复，并以书面形式通知质疑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和其他有关</w:t>
      </w:r>
      <w:r>
        <w:rPr>
          <w:rFonts w:hint="eastAsia" w:ascii="仿宋" w:hAnsi="仿宋" w:eastAsia="仿宋" w:cs="仿宋"/>
          <w:sz w:val="28"/>
          <w:szCs w:val="28"/>
          <w:highlight w:val="none"/>
        </w:rPr>
        <w:t>供应商</w:t>
      </w:r>
      <w:r>
        <w:rPr>
          <w:rFonts w:ascii="仿宋" w:hAnsi="仿宋" w:eastAsia="仿宋" w:cs="仿宋"/>
          <w:sz w:val="28"/>
          <w:szCs w:val="28"/>
          <w:highlight w:val="none"/>
        </w:rPr>
        <w:t>，但答复的内容不得涉及商业秘密。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34.3采购代理机构接收质疑函的联系人、联系电话和通讯地址等信息详见本招标文件“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须知附表”中载明的采购人、采购代理机构联系方式和联系人。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34.4依据《政府采购质疑和投诉办法》（财政部令第94号），</w:t>
      </w:r>
      <w:r>
        <w:rPr>
          <w:rFonts w:hint="eastAsia" w:ascii="仿宋" w:hAnsi="仿宋" w:eastAsia="仿宋" w:cs="仿宋"/>
          <w:sz w:val="28"/>
          <w:szCs w:val="28"/>
          <w:highlight w:val="none"/>
        </w:rPr>
        <w:t>供应商</w:t>
      </w:r>
      <w:r>
        <w:rPr>
          <w:rFonts w:ascii="仿宋" w:hAnsi="仿宋" w:eastAsia="仿宋" w:cs="仿宋"/>
          <w:sz w:val="28"/>
          <w:szCs w:val="28"/>
          <w:highlight w:val="none"/>
        </w:rPr>
        <w:t>可以委托代理人进行质疑和投诉。其授权委托书应当载明代理人的姓名或者名称、代理事项、具体权限、期限和相关事项。</w:t>
      </w: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为法人或者其他组织的，应当由法定代表人、主要负责人签字或者盖章，并加盖公章。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代理人提出质疑和投诉，应当提交</w:t>
      </w:r>
      <w:r>
        <w:rPr>
          <w:rFonts w:hint="eastAsia" w:ascii="仿宋" w:hAnsi="仿宋" w:eastAsia="仿宋" w:cs="仿宋"/>
          <w:sz w:val="28"/>
          <w:szCs w:val="28"/>
          <w:highlight w:val="none"/>
        </w:rPr>
        <w:t>供应商</w:t>
      </w:r>
      <w:r>
        <w:rPr>
          <w:rFonts w:ascii="仿宋" w:hAnsi="仿宋" w:eastAsia="仿宋" w:cs="仿宋"/>
          <w:sz w:val="28"/>
          <w:szCs w:val="28"/>
          <w:highlight w:val="none"/>
        </w:rPr>
        <w:t>签署的授权委托书。</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34.5提出质疑的</w:t>
      </w:r>
      <w:r>
        <w:rPr>
          <w:rFonts w:hint="eastAsia" w:ascii="仿宋" w:hAnsi="仿宋" w:eastAsia="仿宋" w:cs="仿宋"/>
          <w:sz w:val="28"/>
          <w:szCs w:val="28"/>
          <w:highlight w:val="none"/>
        </w:rPr>
        <w:t>供应商</w:t>
      </w:r>
      <w:r>
        <w:rPr>
          <w:rFonts w:ascii="仿宋" w:hAnsi="仿宋" w:eastAsia="仿宋" w:cs="仿宋"/>
          <w:sz w:val="28"/>
          <w:szCs w:val="28"/>
          <w:highlight w:val="none"/>
        </w:rPr>
        <w:t>应当是参与所质疑项目采购活动的</w:t>
      </w:r>
      <w:r>
        <w:rPr>
          <w:rFonts w:hint="eastAsia" w:ascii="仿宋" w:hAnsi="仿宋" w:eastAsia="仿宋" w:cs="仿宋"/>
          <w:sz w:val="28"/>
          <w:szCs w:val="28"/>
          <w:highlight w:val="none"/>
        </w:rPr>
        <w:t>供应商</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34.6潜在</w:t>
      </w:r>
      <w:r>
        <w:rPr>
          <w:rFonts w:hint="eastAsia" w:ascii="仿宋" w:hAnsi="仿宋" w:eastAsia="仿宋" w:cs="仿宋"/>
          <w:sz w:val="28"/>
          <w:szCs w:val="28"/>
          <w:highlight w:val="none"/>
        </w:rPr>
        <w:t>供应商</w:t>
      </w:r>
      <w:r>
        <w:rPr>
          <w:rFonts w:ascii="仿宋" w:hAnsi="仿宋" w:eastAsia="仿宋" w:cs="仿宋"/>
          <w:sz w:val="28"/>
          <w:szCs w:val="28"/>
          <w:highlight w:val="none"/>
        </w:rPr>
        <w:t>已依法获取其可质疑的招标文件的，可以对该文件提出质疑。对招标文件提出质疑的，应当在获取采购文件或者采购文件公告期限届满之日起7个工作日内提出。</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34.7</w:t>
      </w:r>
      <w:r>
        <w:rPr>
          <w:rFonts w:hint="eastAsia" w:ascii="仿宋" w:hAnsi="仿宋" w:eastAsia="仿宋" w:cs="仿宋"/>
          <w:sz w:val="28"/>
          <w:szCs w:val="28"/>
          <w:highlight w:val="none"/>
        </w:rPr>
        <w:t>供应商</w:t>
      </w:r>
      <w:r>
        <w:rPr>
          <w:rFonts w:ascii="仿宋" w:hAnsi="仿宋" w:eastAsia="仿宋" w:cs="仿宋"/>
          <w:sz w:val="28"/>
          <w:szCs w:val="28"/>
          <w:highlight w:val="none"/>
        </w:rPr>
        <w:t>提出质疑应当提交质疑函和必要的证明材料。质疑函应当包括下列内容：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供应商</w:t>
      </w:r>
      <w:r>
        <w:rPr>
          <w:rFonts w:ascii="仿宋" w:hAnsi="仿宋" w:eastAsia="仿宋" w:cs="仿宋"/>
          <w:sz w:val="28"/>
          <w:szCs w:val="28"/>
          <w:highlight w:val="none"/>
        </w:rPr>
        <w:t>的姓名或者名称、地址、邮编、联系人及联系电话；</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（2）质疑项目的名称、编号；</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（3）具体、明确的质疑事项和与质疑事项相关的请求；</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（4）事实依据；</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（5）必要的法律依据；</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（6）提出质疑的日期。</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为自然人的，应当由本人签字；</w:t>
      </w:r>
      <w:r>
        <w:rPr>
          <w:rFonts w:hint="eastAsia" w:ascii="仿宋" w:hAnsi="仿宋" w:eastAsia="仿宋" w:cs="仿宋"/>
          <w:sz w:val="28"/>
          <w:szCs w:val="28"/>
          <w:highlight w:val="none"/>
        </w:rPr>
        <w:t>供应商</w:t>
      </w:r>
      <w:r>
        <w:rPr>
          <w:rFonts w:ascii="仿宋" w:hAnsi="仿宋" w:eastAsia="仿宋" w:cs="仿宋"/>
          <w:sz w:val="28"/>
          <w:szCs w:val="28"/>
          <w:highlight w:val="none"/>
        </w:rPr>
        <w:t>为法人或者其他组织的，应当由法定代表人、主要负责人，或者其授权代表签字或者盖章，并加盖公章。</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34.8采购人、采购代理机构认为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质疑不成立，或者成立但未对中标、成交结果构成影响的，继续开展采购活动；认为</w:t>
      </w:r>
      <w:r>
        <w:rPr>
          <w:rFonts w:hint="eastAsia" w:ascii="仿宋" w:hAnsi="仿宋" w:eastAsia="仿宋" w:cs="仿宋"/>
          <w:sz w:val="28"/>
          <w:szCs w:val="28"/>
          <w:highlight w:val="none"/>
        </w:rPr>
        <w:t>供应商</w:t>
      </w:r>
      <w:r>
        <w:rPr>
          <w:rFonts w:ascii="仿宋" w:hAnsi="仿宋" w:eastAsia="仿宋" w:cs="仿宋"/>
          <w:sz w:val="28"/>
          <w:szCs w:val="28"/>
          <w:highlight w:val="none"/>
        </w:rPr>
        <w:t>质疑成立且影响或者可能影响中标、成交结果的，按照下列情况处理：</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（1）对采购文件提出的质疑，依法通过澄清或者修改可以继续开展采购活动的，澄清或者修改招标文件后继续开展采购活动；否则应当修改招标文件后重新开展采购活动。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（2）对采购过程、中标或者成交结果提出的质疑，合格</w:t>
      </w:r>
      <w:r>
        <w:rPr>
          <w:rFonts w:hint="eastAsia" w:ascii="仿宋" w:hAnsi="仿宋" w:eastAsia="仿宋" w:cs="仿宋"/>
          <w:sz w:val="28"/>
          <w:szCs w:val="28"/>
          <w:highlight w:val="none"/>
        </w:rPr>
        <w:t>供应商</w:t>
      </w:r>
      <w:r>
        <w:rPr>
          <w:rFonts w:ascii="仿宋" w:hAnsi="仿宋" w:eastAsia="仿宋" w:cs="仿宋"/>
          <w:sz w:val="28"/>
          <w:szCs w:val="28"/>
          <w:highlight w:val="none"/>
        </w:rPr>
        <w:t>符合法定数量时，可以从合格的中标候选人中另行确定中标候选人的，应当依法另行确定中标候选人；否则应当重新开展采购活动。</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34.9质疑</w:t>
      </w:r>
      <w:r>
        <w:rPr>
          <w:rFonts w:hint="eastAsia" w:ascii="仿宋" w:hAnsi="仿宋" w:eastAsia="仿宋" w:cs="仿宋"/>
          <w:sz w:val="28"/>
          <w:szCs w:val="28"/>
          <w:highlight w:val="none"/>
        </w:rPr>
        <w:t>供应商</w:t>
      </w:r>
      <w:r>
        <w:rPr>
          <w:rFonts w:ascii="仿宋" w:hAnsi="仿宋" w:eastAsia="仿宋" w:cs="仿宋"/>
          <w:sz w:val="28"/>
          <w:szCs w:val="28"/>
          <w:highlight w:val="none"/>
        </w:rPr>
        <w:t>对采购人、采购代理机构的答复不满意或者采购人、采购代理机构未在规定的时间内作出答复的，可以在答复期满后十五个工作日内向同级政府采购监督管理部门投诉。</w:t>
      </w:r>
    </w:p>
    <w:p>
      <w:pPr>
        <w:pStyle w:val="6"/>
        <w:numPr>
          <w:ilvl w:val="0"/>
          <w:numId w:val="11"/>
        </w:numPr>
        <w:shd w:val="clear"/>
        <w:spacing w:beforeLines="50" w:afterLines="50"/>
        <w:ind w:firstLine="0" w:firstLineChars="0"/>
        <w:outlineLvl w:val="1"/>
        <w:rPr>
          <w:rFonts w:ascii="黑体" w:hAnsi="黑体" w:eastAsia="黑体" w:cs="黑体"/>
          <w:b w:val="0"/>
          <w:bCs/>
          <w:sz w:val="36"/>
          <w:szCs w:val="36"/>
          <w:highlight w:val="none"/>
        </w:rPr>
      </w:pPr>
      <w:bookmarkStart w:id="43" w:name="_Toc14382"/>
      <w:bookmarkStart w:id="44" w:name="_Toc2982"/>
      <w:r>
        <w:rPr>
          <w:rFonts w:ascii="黑体" w:hAnsi="黑体" w:eastAsia="黑体" w:cs="黑体"/>
          <w:b w:val="0"/>
          <w:bCs/>
          <w:sz w:val="36"/>
          <w:szCs w:val="36"/>
          <w:highlight w:val="none"/>
        </w:rPr>
        <w:t>授予合同</w:t>
      </w:r>
      <w:bookmarkEnd w:id="43"/>
      <w:bookmarkEnd w:id="44"/>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35.</w:t>
      </w:r>
      <w:r>
        <w:rPr>
          <w:rFonts w:ascii="楷体" w:hAnsi="楷体" w:eastAsia="楷体" w:cs="楷体"/>
          <w:b/>
          <w:bCs/>
          <w:sz w:val="32"/>
          <w:szCs w:val="32"/>
          <w:highlight w:val="none"/>
        </w:rPr>
        <w:t>中标通知书</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35.1在发布中标结果的同时，采购代理机构向中标人签发《中标通知书》。</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35.2中标通知书是合同的一个组成部分。</w:t>
      </w:r>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36.</w:t>
      </w:r>
      <w:r>
        <w:rPr>
          <w:rFonts w:ascii="楷体" w:hAnsi="楷体" w:eastAsia="楷体" w:cs="楷体"/>
          <w:b/>
          <w:bCs/>
          <w:sz w:val="32"/>
          <w:szCs w:val="32"/>
          <w:highlight w:val="none"/>
        </w:rPr>
        <w:t>签订合同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36.1中标通知书发出之日起30日内，按照招标文件确定的事项签订合同。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36.2中标通知书对采购人和</w:t>
      </w:r>
      <w:r>
        <w:rPr>
          <w:rFonts w:hint="eastAsia" w:ascii="仿宋" w:hAnsi="仿宋" w:eastAsia="仿宋" w:cs="仿宋"/>
          <w:sz w:val="28"/>
          <w:szCs w:val="28"/>
          <w:highlight w:val="none"/>
        </w:rPr>
        <w:t>中标人</w:t>
      </w:r>
      <w:r>
        <w:rPr>
          <w:rFonts w:ascii="仿宋" w:hAnsi="仿宋" w:eastAsia="仿宋" w:cs="仿宋"/>
          <w:sz w:val="28"/>
          <w:szCs w:val="28"/>
          <w:highlight w:val="none"/>
        </w:rPr>
        <w:t>均具有法律效力。中标通知书发出后，采购人违法改变中标结果的，或者</w:t>
      </w:r>
      <w:r>
        <w:rPr>
          <w:rFonts w:hint="eastAsia" w:ascii="仿宋" w:hAnsi="仿宋" w:eastAsia="仿宋" w:cs="仿宋"/>
          <w:sz w:val="28"/>
          <w:szCs w:val="28"/>
          <w:highlight w:val="none"/>
        </w:rPr>
        <w:t>中标人</w:t>
      </w:r>
      <w:r>
        <w:rPr>
          <w:rFonts w:ascii="仿宋" w:hAnsi="仿宋" w:eastAsia="仿宋" w:cs="仿宋"/>
          <w:sz w:val="28"/>
          <w:szCs w:val="28"/>
          <w:highlight w:val="none"/>
        </w:rPr>
        <w:t>无正当理由放弃中标项目的，应当依法承担法律责任。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36.3招标文件、中标人的投标文件以及评标过程中的有关澄清、承诺文件均为合同的组成部分。</w:t>
      </w:r>
    </w:p>
    <w:p>
      <w:pPr>
        <w:pStyle w:val="6"/>
        <w:numPr>
          <w:ilvl w:val="0"/>
          <w:numId w:val="11"/>
        </w:numPr>
        <w:shd w:val="clear"/>
        <w:spacing w:beforeLines="50" w:afterLines="50"/>
        <w:ind w:firstLine="0" w:firstLineChars="0"/>
        <w:outlineLvl w:val="1"/>
        <w:rPr>
          <w:rFonts w:ascii="黑体" w:hAnsi="黑体" w:eastAsia="黑体" w:cs="黑体"/>
          <w:b w:val="0"/>
          <w:bCs/>
          <w:sz w:val="36"/>
          <w:szCs w:val="36"/>
          <w:highlight w:val="none"/>
        </w:rPr>
      </w:pPr>
      <w:bookmarkStart w:id="45" w:name="_Toc24827"/>
      <w:bookmarkStart w:id="46" w:name="_Toc13556"/>
      <w:r>
        <w:rPr>
          <w:rFonts w:ascii="黑体" w:hAnsi="黑体" w:eastAsia="黑体" w:cs="黑体"/>
          <w:b w:val="0"/>
          <w:bCs/>
          <w:sz w:val="36"/>
          <w:szCs w:val="36"/>
          <w:highlight w:val="none"/>
        </w:rPr>
        <w:t>中标服务费</w:t>
      </w:r>
      <w:bookmarkEnd w:id="45"/>
      <w:bookmarkEnd w:id="46"/>
    </w:p>
    <w:p>
      <w:pPr>
        <w:shd w:val="clear"/>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37.</w:t>
      </w:r>
      <w:r>
        <w:rPr>
          <w:rFonts w:ascii="楷体" w:hAnsi="楷体" w:eastAsia="楷体" w:cs="楷体"/>
          <w:b/>
          <w:bCs/>
          <w:sz w:val="32"/>
          <w:szCs w:val="32"/>
          <w:highlight w:val="none"/>
        </w:rPr>
        <w:t>中标服务费</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本项目中标服务费由采购代理机构向</w:t>
      </w:r>
      <w:r>
        <w:rPr>
          <w:rFonts w:hint="eastAsia" w:ascii="仿宋" w:hAnsi="仿宋" w:eastAsia="仿宋" w:cs="仿宋"/>
          <w:sz w:val="28"/>
          <w:szCs w:val="28"/>
          <w:highlight w:val="none"/>
        </w:rPr>
        <w:t>中标人</w:t>
      </w:r>
      <w:r>
        <w:rPr>
          <w:rFonts w:ascii="仿宋" w:hAnsi="仿宋" w:eastAsia="仿宋" w:cs="仿宋"/>
          <w:sz w:val="28"/>
          <w:szCs w:val="28"/>
          <w:highlight w:val="none"/>
        </w:rPr>
        <w:t>收取。中标服务费的计算标准详见招标文件“</w:t>
      </w:r>
      <w:r>
        <w:rPr>
          <w:rFonts w:hint="eastAsia" w:ascii="仿宋" w:hAnsi="仿宋" w:eastAsia="仿宋" w:cs="仿宋"/>
          <w:sz w:val="28"/>
          <w:szCs w:val="28"/>
          <w:highlight w:val="none"/>
        </w:rPr>
        <w:t>供应商</w:t>
      </w:r>
      <w:r>
        <w:rPr>
          <w:rFonts w:ascii="仿宋" w:hAnsi="仿宋" w:eastAsia="仿宋" w:cs="仿宋"/>
          <w:sz w:val="28"/>
          <w:szCs w:val="28"/>
          <w:highlight w:val="none"/>
        </w:rPr>
        <w:t>须知前附表”。</w:t>
      </w:r>
    </w:p>
    <w:p>
      <w:pPr>
        <w:pStyle w:val="6"/>
        <w:numPr>
          <w:ilvl w:val="0"/>
          <w:numId w:val="11"/>
        </w:numPr>
        <w:shd w:val="clear"/>
        <w:spacing w:beforeLines="50" w:afterLines="50"/>
        <w:ind w:firstLine="0" w:firstLineChars="0"/>
        <w:outlineLvl w:val="1"/>
        <w:rPr>
          <w:rFonts w:ascii="黑体" w:hAnsi="黑体" w:eastAsia="黑体" w:cs="黑体"/>
          <w:b w:val="0"/>
          <w:bCs/>
          <w:sz w:val="36"/>
          <w:szCs w:val="36"/>
          <w:highlight w:val="none"/>
        </w:rPr>
      </w:pPr>
      <w:bookmarkStart w:id="47" w:name="_Toc13138"/>
      <w:bookmarkStart w:id="48" w:name="_Toc31801"/>
      <w:r>
        <w:rPr>
          <w:rFonts w:ascii="黑体" w:hAnsi="黑体" w:eastAsia="黑体" w:cs="黑体"/>
          <w:b w:val="0"/>
          <w:bCs/>
          <w:sz w:val="36"/>
          <w:szCs w:val="36"/>
          <w:highlight w:val="none"/>
        </w:rPr>
        <w:t>其他</w:t>
      </w:r>
      <w:bookmarkEnd w:id="47"/>
      <w:bookmarkEnd w:id="48"/>
    </w:p>
    <w:p>
      <w:pPr>
        <w:shd w:val="clear"/>
        <w:ind w:firstLine="562" w:firstLineChars="200"/>
        <w:rPr>
          <w:rFonts w:ascii="仿宋" w:hAnsi="仿宋" w:eastAsia="仿宋" w:cs="仿宋"/>
          <w:b/>
          <w:bCs/>
          <w:sz w:val="28"/>
          <w:szCs w:val="28"/>
          <w:highlight w:val="none"/>
        </w:rPr>
      </w:pPr>
      <w:r>
        <w:rPr>
          <w:rFonts w:ascii="仿宋" w:hAnsi="仿宋" w:eastAsia="仿宋" w:cs="仿宋"/>
          <w:b/>
          <w:bCs/>
          <w:sz w:val="28"/>
          <w:szCs w:val="28"/>
          <w:highlight w:val="none"/>
        </w:rPr>
        <w:t>3</w:t>
      </w:r>
      <w:r>
        <w:rPr>
          <w:rFonts w:hint="eastAsia" w:ascii="仿宋" w:hAnsi="仿宋" w:eastAsia="仿宋" w:cs="仿宋"/>
          <w:b/>
          <w:bCs/>
          <w:sz w:val="28"/>
          <w:szCs w:val="28"/>
          <w:highlight w:val="none"/>
        </w:rPr>
        <w:t>8</w:t>
      </w:r>
      <w:r>
        <w:rPr>
          <w:rFonts w:ascii="仿宋" w:hAnsi="仿宋" w:eastAsia="仿宋" w:cs="仿宋"/>
          <w:b/>
          <w:bCs/>
          <w:sz w:val="28"/>
          <w:szCs w:val="28"/>
          <w:highlight w:val="none"/>
        </w:rPr>
        <w:t>、</w:t>
      </w:r>
      <w:r>
        <w:rPr>
          <w:rFonts w:hint="eastAsia" w:ascii="仿宋" w:hAnsi="仿宋" w:eastAsia="仿宋" w:cs="仿宋"/>
          <w:b/>
          <w:bCs/>
          <w:sz w:val="28"/>
          <w:szCs w:val="28"/>
          <w:highlight w:val="none"/>
        </w:rPr>
        <w:t>供应商</w:t>
      </w:r>
      <w:r>
        <w:rPr>
          <w:rFonts w:ascii="仿宋" w:hAnsi="仿宋" w:eastAsia="仿宋" w:cs="仿宋"/>
          <w:b/>
          <w:bCs/>
          <w:sz w:val="28"/>
          <w:szCs w:val="28"/>
          <w:highlight w:val="none"/>
        </w:rPr>
        <w:t>有下列情形之一的，依照政府采购法第七十七条第一款、第七十九条的规定追究法律责任：</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（1）提供虚假材料谋取中标、成交的；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（2）采取不正当手段诋毁、排挤其他</w:t>
      </w:r>
      <w:r>
        <w:rPr>
          <w:rFonts w:hint="eastAsia" w:ascii="仿宋" w:hAnsi="仿宋" w:eastAsia="仿宋" w:cs="仿宋"/>
          <w:sz w:val="28"/>
          <w:szCs w:val="28"/>
          <w:highlight w:val="none"/>
        </w:rPr>
        <w:t>供应商</w:t>
      </w:r>
      <w:r>
        <w:rPr>
          <w:rFonts w:ascii="仿宋" w:hAnsi="仿宋" w:eastAsia="仿宋" w:cs="仿宋"/>
          <w:sz w:val="28"/>
          <w:szCs w:val="28"/>
          <w:highlight w:val="none"/>
        </w:rPr>
        <w:t>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（3）与采购人、其他</w:t>
      </w:r>
      <w:r>
        <w:rPr>
          <w:rFonts w:hint="eastAsia" w:ascii="仿宋" w:hAnsi="仿宋" w:eastAsia="仿宋" w:cs="仿宋"/>
          <w:sz w:val="28"/>
          <w:szCs w:val="28"/>
          <w:highlight w:val="none"/>
        </w:rPr>
        <w:t>供应商</w:t>
      </w:r>
      <w:r>
        <w:rPr>
          <w:rFonts w:ascii="仿宋" w:hAnsi="仿宋" w:eastAsia="仿宋" w:cs="仿宋"/>
          <w:sz w:val="28"/>
          <w:szCs w:val="28"/>
          <w:highlight w:val="none"/>
        </w:rPr>
        <w:t>或者采购代理机构恶意串通的；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（4）向采购人、采购代理机构行贿或者提供其他不正当利益的；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（5）在招标采购过程中与采购人进行协商谈判的；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（6）拒绝有关部门监督检查或者提供虚假情况的；</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（7）向评标委员会行贿或者提供其他不正当利益；</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（8）中标后无正当理由拒不与采购人签订政府采购合同；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（9）未按照采购文件确定的事项签订政府采购合同；</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（10）将政府采购合同转包；</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（11）提供假冒伪劣产品；</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（12）擅自变更、中止或者终止政府采购合同。</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有前款第（1）至（5）项、第（7）项情形之一的，中标无效。</w:t>
      </w:r>
    </w:p>
    <w:p>
      <w:pPr>
        <w:pStyle w:val="6"/>
        <w:numPr>
          <w:ilvl w:val="0"/>
          <w:numId w:val="11"/>
        </w:numPr>
        <w:shd w:val="clear"/>
        <w:spacing w:beforeLines="50" w:afterLines="50"/>
        <w:ind w:firstLine="0" w:firstLineChars="0"/>
        <w:outlineLvl w:val="1"/>
        <w:rPr>
          <w:rFonts w:ascii="黑体" w:hAnsi="黑体" w:eastAsia="黑体" w:cs="黑体"/>
          <w:b w:val="0"/>
          <w:bCs/>
          <w:sz w:val="36"/>
          <w:szCs w:val="36"/>
          <w:highlight w:val="none"/>
        </w:rPr>
      </w:pPr>
      <w:bookmarkStart w:id="49" w:name="_Toc9927"/>
      <w:bookmarkStart w:id="50" w:name="_Toc8442"/>
      <w:r>
        <w:rPr>
          <w:rFonts w:ascii="黑体" w:hAnsi="黑体" w:eastAsia="黑体" w:cs="黑体"/>
          <w:b w:val="0"/>
          <w:bCs/>
          <w:sz w:val="36"/>
          <w:szCs w:val="36"/>
          <w:highlight w:val="none"/>
        </w:rPr>
        <w:t>解释权</w:t>
      </w:r>
      <w:bookmarkEnd w:id="49"/>
      <w:bookmarkEnd w:id="50"/>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39、</w:t>
      </w:r>
      <w:r>
        <w:rPr>
          <w:rFonts w:ascii="仿宋" w:hAnsi="仿宋" w:eastAsia="仿宋" w:cs="仿宋"/>
          <w:sz w:val="28"/>
          <w:szCs w:val="28"/>
          <w:highlight w:val="none"/>
        </w:rPr>
        <w:t>本招标文件的最终解释权归代理机构，当对一个问题有多种解释时以代理机构的书面解释为准。招标文件未做明示，而又有相关法律、法规规定的，代理机构对此所做解释以相关的法律、法规规定为依据。</w:t>
      </w:r>
    </w:p>
    <w:p>
      <w:pPr>
        <w:shd w:val="clear"/>
        <w:rPr>
          <w:sz w:val="22"/>
          <w:szCs w:val="28"/>
          <w:highlight w:val="none"/>
        </w:rPr>
      </w:pPr>
      <w:r>
        <w:rPr>
          <w:sz w:val="22"/>
          <w:szCs w:val="28"/>
          <w:highlight w:val="none"/>
        </w:rPr>
        <w:br w:type="page"/>
      </w:r>
    </w:p>
    <w:p>
      <w:pPr>
        <w:pStyle w:val="4"/>
        <w:numPr>
          <w:ilvl w:val="0"/>
          <w:numId w:val="6"/>
        </w:numPr>
        <w:shd w:val="clear"/>
        <w:spacing w:after="312"/>
        <w:rPr>
          <w:highlight w:val="none"/>
        </w:rPr>
      </w:pPr>
      <w:bookmarkStart w:id="51" w:name="_Toc26873"/>
      <w:r>
        <w:rPr>
          <w:rFonts w:hint="eastAsia"/>
          <w:highlight w:val="none"/>
        </w:rPr>
        <w:t>评分办法</w:t>
      </w:r>
      <w:bookmarkEnd w:id="51"/>
    </w:p>
    <w:p>
      <w:pPr>
        <w:pStyle w:val="5"/>
        <w:numPr>
          <w:ilvl w:val="0"/>
          <w:numId w:val="14"/>
        </w:numPr>
        <w:shd w:val="clear"/>
        <w:spacing w:before="156" w:after="156"/>
        <w:rPr>
          <w:sz w:val="36"/>
          <w:szCs w:val="28"/>
          <w:highlight w:val="none"/>
        </w:rPr>
      </w:pPr>
      <w:bookmarkStart w:id="52" w:name="_Toc24875"/>
      <w:r>
        <w:rPr>
          <w:sz w:val="36"/>
          <w:szCs w:val="28"/>
          <w:highlight w:val="none"/>
        </w:rPr>
        <w:t>评标方法</w:t>
      </w:r>
      <w:bookmarkEnd w:id="52"/>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1.1本项目评标方法采用综合评分法。评标委员会将依据各供应商投标文件，对其商务、技术、价格、服务等各项因素进行评价并按评分细则进行打分。每一供应商的最终得分为所有评委评分的算术平均值。</w:t>
      </w:r>
    </w:p>
    <w:p>
      <w:pPr>
        <w:shd w:val="clea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评标委员会按各供应商最终得分由高到低顺序排列。得分相同的，按投标报价由低到高顺序排列。得分且投标报价相同的，按技术指标优劣顺序排列，上述得分均相同的，由采购人授权评标委员会以随机方式确定排序。评标委员会确定本项目排名第一的为中标人。</w:t>
      </w:r>
    </w:p>
    <w:p>
      <w:pPr>
        <w:pStyle w:val="5"/>
        <w:numPr>
          <w:ilvl w:val="0"/>
          <w:numId w:val="14"/>
        </w:numPr>
        <w:shd w:val="clear"/>
        <w:spacing w:before="156" w:after="156"/>
        <w:rPr>
          <w:sz w:val="36"/>
          <w:szCs w:val="28"/>
          <w:highlight w:val="none"/>
        </w:rPr>
      </w:pPr>
      <w:bookmarkStart w:id="53" w:name="_Toc28469"/>
      <w:r>
        <w:rPr>
          <w:rFonts w:hint="eastAsia"/>
          <w:sz w:val="36"/>
          <w:szCs w:val="28"/>
          <w:highlight w:val="none"/>
        </w:rPr>
        <w:t>评审细则</w:t>
      </w:r>
      <w:bookmarkEnd w:id="53"/>
    </w:p>
    <w:tbl>
      <w:tblPr>
        <w:tblStyle w:val="1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95"/>
        <w:gridCol w:w="945"/>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9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4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4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4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45" w:type="dxa"/>
            <w:vAlign w:val="center"/>
          </w:tcPr>
          <w:p>
            <w:pPr>
              <w:shd w:val="clea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招标文件要求且投标价格最低的投标报价为评标基准价，其价格分为满分。其他供应商的价格分统一按照下列公式计算：投标报价得分=（评标基准值/投标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hd w:val="clea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45" w:type="dxa"/>
            <w:vAlign w:val="center"/>
          </w:tcPr>
          <w:p>
            <w:pPr>
              <w:shd w:val="clear"/>
              <w:snapToGrid w:val="0"/>
              <w:spacing w:line="300" w:lineRule="auto"/>
              <w:jc w:val="center"/>
              <w:rPr>
                <w:rFonts w:ascii="仿宋" w:hAnsi="仿宋" w:eastAsia="仿宋" w:cs="仿宋"/>
                <w:sz w:val="28"/>
                <w:szCs w:val="28"/>
                <w:highlight w:val="none"/>
              </w:rPr>
            </w:pPr>
            <w:r>
              <w:rPr>
                <w:rFonts w:hint="default" w:ascii="仿宋" w:hAnsi="仿宋" w:eastAsia="仿宋" w:cs="仿宋"/>
                <w:sz w:val="28"/>
                <w:szCs w:val="28"/>
                <w:highlight w:val="none"/>
                <w:lang w:val="en-US" w:eastAsia="zh-CN"/>
              </w:rPr>
              <w:t>12</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技术参数中每出现1条普通技术规格指标未实质性响应或负偏离的，扣</w:t>
            </w:r>
            <w:r>
              <w:rPr>
                <w:rFonts w:hint="default" w:ascii="仿宋" w:hAnsi="仿宋" w:eastAsia="仿宋" w:cs="仿宋"/>
                <w:sz w:val="28"/>
                <w:szCs w:val="28"/>
                <w:highlight w:val="none"/>
                <w:lang w:val="en-US"/>
              </w:rPr>
              <w:t>4</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10</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由评委根据供应商提供的按期交货的保证措施情况及包装、运输方案进行评审，描述清晰、详细、保证措施完善，得</w:t>
            </w:r>
            <w:r>
              <w:rPr>
                <w:rFonts w:hint="default" w:ascii="仿宋" w:hAnsi="仿宋" w:eastAsia="仿宋" w:cs="仿宋"/>
                <w:sz w:val="28"/>
                <w:szCs w:val="28"/>
                <w:highlight w:val="none"/>
                <w:lang w:val="en-US" w:eastAsia="zh-CN"/>
              </w:rPr>
              <w:t>10</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质量保证措施</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16</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根据响应文件中提供的质量保证措施进行评审，从产品的材质、加工工艺、质保期等方面进行评定，内容完整全面、保证措施健全、有针对性，得</w:t>
            </w:r>
            <w:r>
              <w:rPr>
                <w:rFonts w:hint="default" w:ascii="仿宋" w:hAnsi="仿宋" w:eastAsia="仿宋" w:cs="仿宋"/>
                <w:sz w:val="28"/>
                <w:szCs w:val="28"/>
                <w:highlight w:val="none"/>
                <w:lang w:val="en-US"/>
              </w:rPr>
              <w:t>16</w:t>
            </w:r>
            <w:r>
              <w:rPr>
                <w:rFonts w:hint="eastAsia" w:ascii="仿宋" w:hAnsi="仿宋" w:eastAsia="仿宋" w:cs="仿宋"/>
                <w:sz w:val="28"/>
                <w:szCs w:val="28"/>
                <w:highlight w:val="none"/>
              </w:rPr>
              <w:t>分，每出现一处瑕疵或缺欠，扣</w:t>
            </w: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残次品退换方案</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9</w:t>
            </w:r>
            <w:r>
              <w:rPr>
                <w:rFonts w:hint="eastAsia" w:ascii="仿宋" w:hAnsi="仿宋" w:eastAsia="仿宋" w:cs="仿宋"/>
                <w:sz w:val="28"/>
                <w:szCs w:val="28"/>
                <w:highlight w:val="none"/>
                <w:lang w:val="en-US" w:eastAsia="zh-CN"/>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根据响应文件中提供的残次品退换方案进行评审，从</w:t>
            </w:r>
            <w:r>
              <w:rPr>
                <w:rFonts w:hint="eastAsia" w:ascii="仿宋" w:hAnsi="仿宋" w:cs="仿宋"/>
                <w:sz w:val="28"/>
                <w:szCs w:val="28"/>
                <w:highlight w:val="none"/>
                <w:lang w:val="en-US" w:eastAsia="zh-CN"/>
              </w:rPr>
              <w:t>方案</w:t>
            </w:r>
            <w:r>
              <w:rPr>
                <w:rFonts w:hint="eastAsia" w:ascii="仿宋" w:hAnsi="仿宋" w:eastAsia="仿宋" w:cs="仿宋"/>
                <w:sz w:val="28"/>
                <w:szCs w:val="28"/>
                <w:highlight w:val="none"/>
              </w:rPr>
              <w:t>是否完善、服务承诺</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退换条件、退换流程、退换处理响应时间等方面进行评定，内容完整全面，得</w:t>
            </w:r>
            <w:r>
              <w:rPr>
                <w:rFonts w:hint="default" w:ascii="仿宋" w:hAnsi="仿宋" w:cs="仿宋"/>
                <w:sz w:val="28"/>
                <w:szCs w:val="28"/>
                <w:highlight w:val="none"/>
                <w:lang w:val="en-US"/>
              </w:rPr>
              <w:t>9</w:t>
            </w:r>
            <w:r>
              <w:rPr>
                <w:rFonts w:hint="eastAsia" w:ascii="仿宋" w:hAnsi="仿宋" w:eastAsia="仿宋" w:cs="仿宋"/>
                <w:sz w:val="28"/>
                <w:szCs w:val="28"/>
                <w:highlight w:val="none"/>
              </w:rPr>
              <w:t>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应急供货保障措施</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cs="仿宋"/>
                <w:sz w:val="28"/>
                <w:szCs w:val="28"/>
                <w:highlight w:val="none"/>
                <w:lang w:val="en-US" w:eastAsia="zh-CN"/>
              </w:rPr>
              <w:t>9</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根据投标文件中提供的紧急</w:t>
            </w:r>
            <w:r>
              <w:rPr>
                <w:rFonts w:hint="eastAsia" w:ascii="仿宋" w:hAnsi="仿宋" w:eastAsia="仿宋" w:cs="仿宋"/>
                <w:sz w:val="28"/>
                <w:szCs w:val="28"/>
                <w:highlight w:val="none"/>
                <w:lang w:val="en-US" w:eastAsia="zh-CN"/>
              </w:rPr>
              <w:t>供货保障措施</w:t>
            </w:r>
            <w:r>
              <w:rPr>
                <w:rFonts w:hint="eastAsia" w:ascii="仿宋" w:hAnsi="仿宋" w:eastAsia="仿宋" w:cs="仿宋"/>
                <w:sz w:val="28"/>
                <w:szCs w:val="28"/>
                <w:highlight w:val="none"/>
              </w:rPr>
              <w:t>进行评审，综合考虑设备在使用当中可能会出现的各种</w:t>
            </w:r>
            <w:r>
              <w:rPr>
                <w:rFonts w:hint="eastAsia" w:ascii="仿宋" w:hAnsi="仿宋" w:eastAsia="仿宋" w:cs="仿宋"/>
                <w:sz w:val="28"/>
                <w:szCs w:val="28"/>
                <w:highlight w:val="none"/>
                <w:lang w:val="en-US" w:eastAsia="zh-CN"/>
              </w:rPr>
              <w:t>应急</w:t>
            </w:r>
            <w:r>
              <w:rPr>
                <w:rFonts w:hint="eastAsia" w:ascii="仿宋" w:hAnsi="仿宋" w:eastAsia="仿宋" w:cs="仿宋"/>
                <w:sz w:val="28"/>
                <w:szCs w:val="28"/>
                <w:highlight w:val="none"/>
              </w:rPr>
              <w:t>情况及应对措施，内容完整全面、</w:t>
            </w:r>
            <w:r>
              <w:rPr>
                <w:rFonts w:hint="eastAsia" w:ascii="仿宋" w:hAnsi="仿宋" w:eastAsia="仿宋" w:cs="仿宋"/>
                <w:sz w:val="28"/>
                <w:szCs w:val="28"/>
                <w:highlight w:val="none"/>
                <w:lang w:val="en-US" w:eastAsia="zh-CN"/>
              </w:rPr>
              <w:t>应急供货</w:t>
            </w:r>
            <w:r>
              <w:rPr>
                <w:rFonts w:hint="eastAsia" w:ascii="仿宋" w:hAnsi="仿宋" w:eastAsia="仿宋" w:cs="仿宋"/>
                <w:sz w:val="28"/>
                <w:szCs w:val="28"/>
                <w:highlight w:val="none"/>
              </w:rPr>
              <w:t>处理措施健全、有针对性，得</w:t>
            </w:r>
            <w:r>
              <w:rPr>
                <w:rFonts w:hint="default" w:ascii="仿宋" w:hAnsi="仿宋" w:eastAsia="仿宋" w:cs="仿宋"/>
                <w:sz w:val="28"/>
                <w:szCs w:val="28"/>
                <w:highlight w:val="none"/>
                <w:lang w:val="en-US" w:eastAsia="zh-CN"/>
              </w:rPr>
              <w:t>9</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根据投标文件中提供的售后服务方案进行评审，售后服务人员配备合理，有明确的岗位职责划分，符合售后服务的需求，具有对售后响应时间、处理办法及解决问题的服务方案，</w:t>
            </w:r>
            <w:r>
              <w:rPr>
                <w:rFonts w:hint="eastAsia" w:ascii="仿宋" w:hAnsi="仿宋" w:eastAsia="仿宋" w:cs="仿宋"/>
                <w:sz w:val="28"/>
                <w:szCs w:val="28"/>
                <w:highlight w:val="none"/>
                <w:lang w:val="en-US" w:eastAsia="zh-CN"/>
              </w:rPr>
              <w:t>满分</w:t>
            </w:r>
            <w:r>
              <w:rPr>
                <w:rFonts w:hint="eastAsia" w:ascii="仿宋" w:hAnsi="仿宋" w:eastAsia="仿宋" w:cs="仿宋"/>
                <w:sz w:val="28"/>
                <w:szCs w:val="28"/>
                <w:highlight w:val="none"/>
              </w:rPr>
              <w:t>得</w:t>
            </w:r>
            <w:r>
              <w:rPr>
                <w:rFonts w:hint="default"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rPr>
              <w:t>5</w:t>
            </w:r>
            <w:r>
              <w:rPr>
                <w:rFonts w:hint="eastAsia" w:ascii="仿宋" w:hAnsi="仿宋" w:eastAsia="仿宋" w:cs="仿宋"/>
                <w:sz w:val="28"/>
                <w:szCs w:val="28"/>
                <w:highlight w:val="none"/>
              </w:rPr>
              <w:t>分</w:t>
            </w:r>
          </w:p>
        </w:tc>
        <w:tc>
          <w:tcPr>
            <w:tcW w:w="5445" w:type="dxa"/>
            <w:vAlign w:val="center"/>
          </w:tcPr>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w:t>
            </w:r>
            <w:r>
              <w:rPr>
                <w:rFonts w:hint="default" w:ascii="仿宋" w:hAnsi="仿宋" w:eastAsia="仿宋" w:cs="仿宋"/>
                <w:sz w:val="28"/>
                <w:szCs w:val="28"/>
                <w:highlight w:val="none"/>
                <w:lang w:val="en-US"/>
              </w:rPr>
              <w:t>20</w:t>
            </w:r>
            <w:r>
              <w:rPr>
                <w:rFonts w:hint="eastAsia" w:ascii="仿宋" w:hAnsi="仿宋" w:eastAsia="仿宋" w:cs="仿宋"/>
                <w:sz w:val="28"/>
                <w:szCs w:val="28"/>
                <w:highlight w:val="none"/>
              </w:rPr>
              <w:t>年</w:t>
            </w:r>
            <w:r>
              <w:rPr>
                <w:rFonts w:hint="default" w:ascii="仿宋" w:hAnsi="仿宋" w:eastAsia="仿宋" w:cs="仿宋"/>
                <w:sz w:val="28"/>
                <w:szCs w:val="28"/>
                <w:highlight w:val="none"/>
                <w:lang w:val="en-US"/>
              </w:rPr>
              <w:t>1</w:t>
            </w:r>
            <w:r>
              <w:rPr>
                <w:rFonts w:hint="eastAsia" w:ascii="仿宋" w:hAnsi="仿宋" w:eastAsia="仿宋" w:cs="仿宋"/>
                <w:sz w:val="28"/>
                <w:szCs w:val="28"/>
                <w:highlight w:val="none"/>
              </w:rPr>
              <w:t>月1日至今）所投产品的业绩，每个项目得1分，最多得</w:t>
            </w:r>
            <w:r>
              <w:rPr>
                <w:rFonts w:hint="default" w:ascii="仿宋" w:hAnsi="仿宋" w:eastAsia="仿宋" w:cs="仿宋"/>
                <w:sz w:val="28"/>
                <w:szCs w:val="28"/>
                <w:highlight w:val="none"/>
                <w:lang w:val="en-US"/>
              </w:rPr>
              <w:t>5</w:t>
            </w:r>
            <w:r>
              <w:rPr>
                <w:rFonts w:hint="eastAsia" w:ascii="仿宋" w:hAnsi="仿宋" w:eastAsia="仿宋" w:cs="仿宋"/>
                <w:sz w:val="28"/>
                <w:szCs w:val="28"/>
                <w:highlight w:val="none"/>
              </w:rPr>
              <w:t>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hd w:val="clea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注：在投标文件中提供合同复印件,含报价产品明细页、签字或盖章页，未提供或提供不全的不得分。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numPr>
                <w:ilvl w:val="0"/>
                <w:numId w:val="15"/>
              </w:numPr>
              <w:shd w:val="clear"/>
              <w:snapToGrid w:val="0"/>
              <w:spacing w:line="300" w:lineRule="auto"/>
              <w:jc w:val="right"/>
              <w:rPr>
                <w:rFonts w:ascii="仿宋" w:hAnsi="仿宋" w:eastAsia="仿宋" w:cs="仿宋"/>
                <w:sz w:val="28"/>
                <w:szCs w:val="28"/>
                <w:highlight w:val="none"/>
              </w:rPr>
            </w:pPr>
          </w:p>
        </w:tc>
        <w:tc>
          <w:tcPr>
            <w:tcW w:w="139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45" w:type="dxa"/>
            <w:vAlign w:val="center"/>
          </w:tcPr>
          <w:p>
            <w:pPr>
              <w:shd w:val="clear"/>
              <w:snapToGrid w:val="0"/>
              <w:spacing w:line="300" w:lineRule="auto"/>
              <w:jc w:val="center"/>
              <w:rPr>
                <w:rFonts w:hint="eastAsia" w:ascii="仿宋" w:hAnsi="仿宋" w:eastAsia="仿宋" w:cs="仿宋"/>
                <w:sz w:val="28"/>
                <w:szCs w:val="28"/>
                <w:highlight w:val="none"/>
              </w:rPr>
            </w:pP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分</w:t>
            </w:r>
          </w:p>
        </w:tc>
        <w:tc>
          <w:tcPr>
            <w:tcW w:w="5445" w:type="dxa"/>
            <w:vAlign w:val="center"/>
          </w:tcPr>
          <w:p>
            <w:pPr>
              <w:shd w:val="clea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由评标委员会认可的实质性优惠条款，每提供一条得1分，最高得</w:t>
            </w: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分，无不得分。</w:t>
            </w:r>
          </w:p>
        </w:tc>
      </w:tr>
    </w:tbl>
    <w:p>
      <w:pPr>
        <w:pStyle w:val="5"/>
        <w:keepNext w:val="0"/>
        <w:keepLines w:val="0"/>
        <w:pageBreakBefore w:val="0"/>
        <w:widowControl w:val="0"/>
        <w:numPr>
          <w:ilvl w:val="0"/>
          <w:numId w:val="14"/>
        </w:numPr>
        <w:shd w:val="clear"/>
        <w:kinsoku/>
        <w:wordWrap/>
        <w:overflowPunct/>
        <w:topLinePunct w:val="0"/>
        <w:autoSpaceDE/>
        <w:autoSpaceDN/>
        <w:bidi w:val="0"/>
        <w:spacing w:before="156" w:after="156" w:line="520" w:lineRule="exact"/>
        <w:textAlignment w:val="auto"/>
        <w:rPr>
          <w:sz w:val="36"/>
          <w:szCs w:val="28"/>
          <w:highlight w:val="none"/>
        </w:rPr>
      </w:pPr>
      <w:bookmarkStart w:id="54" w:name="_Toc27560"/>
      <w:r>
        <w:rPr>
          <w:sz w:val="36"/>
          <w:szCs w:val="28"/>
          <w:highlight w:val="none"/>
        </w:rPr>
        <w:t>评审执行的政府采购政策</w:t>
      </w:r>
      <w:bookmarkEnd w:id="54"/>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sz w:val="32"/>
          <w:szCs w:val="28"/>
          <w:highlight w:val="none"/>
        </w:rPr>
      </w:pPr>
      <w:bookmarkStart w:id="55" w:name="_Toc7284"/>
      <w:bookmarkStart w:id="56" w:name="_Toc9037"/>
      <w:r>
        <w:rPr>
          <w:sz w:val="32"/>
          <w:szCs w:val="28"/>
          <w:highlight w:val="none"/>
        </w:rPr>
        <w:t>中小微型企业政府采购政策</w:t>
      </w:r>
      <w:bookmarkEnd w:id="55"/>
      <w:bookmarkEnd w:id="56"/>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规定，对符合规定的小型和微型企业的价格给予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标价格可给予联合体</w:t>
      </w:r>
      <w:r>
        <w:rPr>
          <w:rFonts w:hint="eastAsia" w:ascii="仿宋" w:hAnsi="仿宋" w:eastAsia="仿宋" w:cs="仿宋"/>
          <w:sz w:val="28"/>
          <w:szCs w:val="28"/>
          <w:highlight w:val="none"/>
          <w:lang w:val="en-US" w:eastAsia="zh-CN"/>
        </w:rPr>
        <w:t>4</w:t>
      </w:r>
      <w:r>
        <w:rPr>
          <w:rFonts w:ascii="仿宋" w:hAnsi="仿宋" w:eastAsia="仿宋" w:cs="仿宋"/>
          <w:sz w:val="28"/>
          <w:szCs w:val="28"/>
          <w:highlight w:val="none"/>
        </w:rPr>
        <w:t>%</w:t>
      </w:r>
      <w:r>
        <w:rPr>
          <w:rFonts w:hint="eastAsia" w:ascii="仿宋" w:hAnsi="仿宋" w:eastAsia="仿宋" w:cs="仿宋"/>
          <w:sz w:val="28"/>
          <w:szCs w:val="28"/>
          <w:highlight w:val="none"/>
        </w:rPr>
        <w:t>的价格扣除。如果联合体各方均为小型、微型企业的，联合体视同为小型、微型企业，但联合体各方均应按招标文件要求提供中小企业声明函。</w:t>
      </w:r>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3、评审价格的计算：评审价格=投标报价×（1-扣除幅度）。</w:t>
      </w:r>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sz w:val="32"/>
          <w:szCs w:val="28"/>
          <w:highlight w:val="none"/>
        </w:rPr>
      </w:pPr>
      <w:bookmarkStart w:id="57" w:name="_Toc6941"/>
      <w:bookmarkStart w:id="58" w:name="_Toc21330"/>
      <w:r>
        <w:rPr>
          <w:sz w:val="32"/>
          <w:szCs w:val="28"/>
          <w:highlight w:val="none"/>
        </w:rPr>
        <w:t>监狱企业政府采购政策</w:t>
      </w:r>
      <w:bookmarkEnd w:id="57"/>
      <w:bookmarkEnd w:id="58"/>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%×（监狱企业产品合计报价/总报价）]的扣除，用扣除后的价格参与评审；参加政府采购活动的监狱企业应当在投标文件中提供监狱企业证明，否则不予认定。</w:t>
      </w:r>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sz w:val="32"/>
          <w:szCs w:val="28"/>
          <w:highlight w:val="none"/>
        </w:rPr>
      </w:pPr>
      <w:bookmarkStart w:id="59" w:name="_Toc30230"/>
      <w:bookmarkStart w:id="60" w:name="_Toc25750"/>
      <w:r>
        <w:rPr>
          <w:sz w:val="32"/>
          <w:szCs w:val="28"/>
          <w:highlight w:val="none"/>
        </w:rPr>
        <w:t>残疾人福利性单位政府采购政策</w:t>
      </w:r>
      <w:bookmarkEnd w:id="59"/>
      <w:bookmarkEnd w:id="60"/>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对残疾人福利性单位的价格给予[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pStyle w:val="6"/>
        <w:keepNext w:val="0"/>
        <w:keepLines w:val="0"/>
        <w:pageBreakBefore w:val="0"/>
        <w:widowControl w:val="0"/>
        <w:numPr>
          <w:ilvl w:val="0"/>
          <w:numId w:val="16"/>
        </w:numPr>
        <w:shd w:val="clear"/>
        <w:kinsoku/>
        <w:wordWrap/>
        <w:overflowPunct/>
        <w:topLinePunct w:val="0"/>
        <w:autoSpaceDE/>
        <w:autoSpaceDN/>
        <w:bidi w:val="0"/>
        <w:snapToGrid w:val="0"/>
        <w:spacing w:line="520" w:lineRule="exact"/>
        <w:ind w:firstLine="643"/>
        <w:textAlignment w:val="auto"/>
        <w:rPr>
          <w:rFonts w:hint="eastAsia"/>
          <w:sz w:val="32"/>
          <w:szCs w:val="28"/>
          <w:highlight w:val="none"/>
        </w:rPr>
      </w:pPr>
      <w:bookmarkStart w:id="61" w:name="_Toc6718"/>
      <w:r>
        <w:rPr>
          <w:rFonts w:hint="eastAsia"/>
          <w:sz w:val="32"/>
          <w:szCs w:val="28"/>
          <w:highlight w:val="none"/>
        </w:rPr>
        <w:t>优采、强采、节能、环境标志产品</w:t>
      </w:r>
      <w:bookmarkEnd w:id="61"/>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单一产品（每包）采购时，对于节能、环境标志等属于优先采购的产品，根据政府采购的相关规定给予认证产品5%的评审价格扣除；</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非单一产品（每包）采购时，对于节能、环境标准等属于优先采购的产品，根据政府采购的相关规定给予认证产品5%的评审价格扣除，最终价格扣除按认证产品与包中所有产品总报价的权重进行计算：</w:t>
      </w:r>
    </w:p>
    <w:p>
      <w:pPr>
        <w:pStyle w:val="3"/>
        <w:keepNext w:val="0"/>
        <w:keepLines w:val="0"/>
        <w:pageBreakBefore w:val="0"/>
        <w:widowControl w:val="0"/>
        <w:shd w:val="clear"/>
        <w:kinsoku/>
        <w:wordWrap/>
        <w:overflowPunct/>
        <w:topLinePunct w:val="0"/>
        <w:autoSpaceDE/>
        <w:autoSpaceDN/>
        <w:bidi w:val="0"/>
        <w:adjustRightInd/>
        <w:snapToGrid/>
        <w:spacing w:after="0" w:line="520" w:lineRule="exact"/>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价格扣除公式：评审价格=供应商报价×（1-5%×节能、环境标志等属于优先采购的认证产品价格与包中所有产品总报价的权重）</w:t>
      </w:r>
    </w:p>
    <w:p>
      <w:pPr>
        <w:keepNext w:val="0"/>
        <w:keepLines w:val="0"/>
        <w:pageBreakBefore w:val="0"/>
        <w:widowControl w:val="0"/>
        <w:shd w:val="clear"/>
        <w:kinsoku/>
        <w:wordWrap/>
        <w:overflowPunct/>
        <w:topLinePunct w:val="0"/>
        <w:autoSpaceDE/>
        <w:autoSpaceDN/>
        <w:bidi w:val="0"/>
        <w:snapToGrid w:val="0"/>
        <w:spacing w:line="52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w:t>
      </w:r>
    </w:p>
    <w:p>
      <w:pPr>
        <w:shd w:val="clear"/>
        <w:rPr>
          <w:sz w:val="22"/>
          <w:szCs w:val="28"/>
          <w:highlight w:val="none"/>
        </w:rPr>
      </w:pPr>
      <w:r>
        <w:rPr>
          <w:sz w:val="22"/>
          <w:szCs w:val="28"/>
          <w:highlight w:val="none"/>
        </w:rPr>
        <w:br w:type="page"/>
      </w:r>
    </w:p>
    <w:p>
      <w:pPr>
        <w:pStyle w:val="4"/>
        <w:numPr>
          <w:ilvl w:val="0"/>
          <w:numId w:val="6"/>
        </w:numPr>
        <w:shd w:val="clear"/>
        <w:spacing w:after="312"/>
        <w:rPr>
          <w:rFonts w:ascii="仿宋" w:hAnsi="仿宋" w:eastAsia="仿宋" w:cs="仿宋"/>
          <w:highlight w:val="none"/>
        </w:rPr>
      </w:pPr>
      <w:bookmarkStart w:id="62" w:name="_Toc5280"/>
      <w:r>
        <w:rPr>
          <w:rFonts w:hint="eastAsia" w:ascii="仿宋" w:hAnsi="仿宋" w:eastAsia="仿宋" w:cs="仿宋"/>
          <w:highlight w:val="none"/>
        </w:rPr>
        <w:t>采购内容及项目要求</w:t>
      </w:r>
      <w:bookmarkEnd w:id="62"/>
    </w:p>
    <w:p>
      <w:pPr>
        <w:numPr>
          <w:ilvl w:val="0"/>
          <w:numId w:val="0"/>
        </w:numPr>
        <w:shd w:val="clear"/>
        <w:spacing w:line="360" w:lineRule="auto"/>
        <w:ind w:leftChars="0"/>
        <w:outlineLvl w:val="1"/>
        <w:rPr>
          <w:rFonts w:ascii="仿宋" w:hAnsi="仿宋" w:eastAsia="仿宋" w:cs="仿宋"/>
          <w:b/>
          <w:bCs/>
          <w:color w:val="000000"/>
          <w:sz w:val="28"/>
          <w:szCs w:val="28"/>
          <w:highlight w:val="none"/>
        </w:rPr>
      </w:pPr>
      <w:bookmarkStart w:id="63" w:name="_Toc3164"/>
      <w:r>
        <w:rPr>
          <w:rFonts w:hint="eastAsia" w:ascii="仿宋" w:hAnsi="仿宋" w:eastAsia="仿宋" w:cs="仿宋"/>
          <w:b/>
          <w:bCs/>
          <w:color w:val="000000"/>
          <w:sz w:val="28"/>
          <w:szCs w:val="28"/>
          <w:highlight w:val="none"/>
          <w:lang w:val="en-US" w:eastAsia="zh-CN"/>
        </w:rPr>
        <w:t>一、</w:t>
      </w:r>
      <w:r>
        <w:rPr>
          <w:rFonts w:hint="eastAsia" w:ascii="仿宋" w:hAnsi="仿宋" w:eastAsia="仿宋" w:cs="仿宋"/>
          <w:b/>
          <w:bCs/>
          <w:color w:val="000000"/>
          <w:sz w:val="28"/>
          <w:szCs w:val="28"/>
          <w:highlight w:val="none"/>
        </w:rPr>
        <w:t>招标项目内容、数量：</w:t>
      </w:r>
      <w:bookmarkEnd w:id="63"/>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770"/>
        <w:gridCol w:w="1578"/>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3"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1038"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925"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预估</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年用</w:t>
            </w:r>
            <w:r>
              <w:rPr>
                <w:rFonts w:hint="eastAsia" w:ascii="仿宋" w:hAnsi="仿宋" w:eastAsia="仿宋" w:cs="仿宋"/>
                <w:color w:val="000000"/>
                <w:sz w:val="28"/>
                <w:szCs w:val="28"/>
                <w:highlight w:val="none"/>
              </w:rPr>
              <w:t>量</w:t>
            </w:r>
          </w:p>
        </w:tc>
        <w:tc>
          <w:tcPr>
            <w:tcW w:w="2382"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53"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8"/>
                <w:szCs w:val="28"/>
                <w:highlight w:val="none"/>
                <w:lang w:val="en-US"/>
              </w:rPr>
            </w:pPr>
            <w:r>
              <w:rPr>
                <w:rFonts w:hint="default" w:ascii="仿宋" w:hAnsi="仿宋" w:eastAsia="仿宋" w:cs="仿宋"/>
                <w:color w:val="000000"/>
                <w:sz w:val="28"/>
                <w:szCs w:val="28"/>
                <w:highlight w:val="none"/>
                <w:lang w:val="en-US"/>
              </w:rPr>
              <w:t>1</w:t>
            </w:r>
          </w:p>
        </w:tc>
        <w:tc>
          <w:tcPr>
            <w:tcW w:w="1038"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过氧乙酸消毒液</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二元</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采购</w:t>
            </w:r>
          </w:p>
        </w:tc>
        <w:tc>
          <w:tcPr>
            <w:tcW w:w="925"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约6550L</w:t>
            </w:r>
          </w:p>
        </w:tc>
        <w:tc>
          <w:tcPr>
            <w:tcW w:w="2382" w:type="pct"/>
            <w:noWrap/>
            <w:vAlign w:val="center"/>
          </w:tcPr>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消化内镜中心内镜消毒用，主要成分为过氧乙酸，</w:t>
            </w:r>
            <w:r>
              <w:rPr>
                <w:rFonts w:hint="eastAsia" w:ascii="仿宋" w:hAnsi="仿宋" w:eastAsia="仿宋" w:cs="仿宋"/>
                <w:color w:val="000000"/>
                <w:sz w:val="28"/>
                <w:szCs w:val="28"/>
                <w:highlight w:val="none"/>
              </w:rPr>
              <w:br w:type="textWrapping"/>
            </w:r>
            <w:r>
              <w:rPr>
                <w:rFonts w:hint="eastAsia" w:ascii="仿宋" w:hAnsi="仿宋" w:eastAsia="仿宋" w:cs="仿宋"/>
                <w:color w:val="000000"/>
                <w:sz w:val="28"/>
                <w:szCs w:val="28"/>
                <w:highlight w:val="none"/>
              </w:rPr>
              <w:t>（1）包含A剂和B剂，对内镜基本无腐蚀（需提供相关检测报告）</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lang w:val="en-US"/>
              </w:rPr>
              <w:t>2</w:t>
            </w:r>
            <w:r>
              <w:rPr>
                <w:rFonts w:hint="eastAsia" w:ascii="仿宋" w:hAnsi="仿宋" w:eastAsia="仿宋" w:cs="仿宋"/>
                <w:color w:val="000000"/>
                <w:sz w:val="28"/>
                <w:szCs w:val="28"/>
                <w:highlight w:val="none"/>
              </w:rPr>
              <w:t>）使用时混合均匀，过氧乙酸浓度≥1000mg/L，10分钟可达灭菌</w:t>
            </w:r>
          </w:p>
          <w:p>
            <w:pPr>
              <w:pStyle w:val="27"/>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lang w:val="en-US"/>
              </w:rPr>
              <w:t>3</w:t>
            </w:r>
            <w:r>
              <w:rPr>
                <w:rFonts w:hint="eastAsia" w:ascii="仿宋" w:hAnsi="仿宋" w:eastAsia="仿宋" w:cs="仿宋"/>
                <w:color w:val="000000"/>
                <w:sz w:val="28"/>
                <w:szCs w:val="28"/>
                <w:highlight w:val="none"/>
              </w:rPr>
              <w:t>）规格：5-6L。</w:t>
            </w:r>
          </w:p>
        </w:tc>
      </w:tr>
    </w:tbl>
    <w:p>
      <w:pPr>
        <w:shd w:val="clear"/>
        <w:spacing w:line="480" w:lineRule="exact"/>
        <w:ind w:firstLine="420" w:firstLineChars="15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注：表中数量为暂估用量，以</w:t>
      </w:r>
      <w:r>
        <w:rPr>
          <w:rFonts w:hint="eastAsia" w:ascii="仿宋" w:hAnsi="仿宋" w:eastAsia="仿宋" w:cs="仿宋"/>
          <w:color w:val="000000"/>
          <w:sz w:val="28"/>
          <w:szCs w:val="28"/>
          <w:highlight w:val="none"/>
        </w:rPr>
        <w:t>实际发生量据实结算</w:t>
      </w:r>
      <w:r>
        <w:rPr>
          <w:rFonts w:hint="eastAsia" w:ascii="仿宋" w:hAnsi="仿宋" w:eastAsia="仿宋" w:cs="仿宋"/>
          <w:color w:val="000000"/>
          <w:sz w:val="28"/>
          <w:szCs w:val="28"/>
          <w:highlight w:val="none"/>
          <w:lang w:eastAsia="zh-CN"/>
        </w:rPr>
        <w:t>。</w:t>
      </w:r>
    </w:p>
    <w:p>
      <w:pPr>
        <w:numPr>
          <w:ilvl w:val="0"/>
          <w:numId w:val="0"/>
        </w:numPr>
        <w:shd w:val="clear"/>
        <w:spacing w:line="360" w:lineRule="auto"/>
        <w:ind w:leftChars="0"/>
        <w:outlineLvl w:val="1"/>
        <w:rPr>
          <w:rFonts w:hint="eastAsia" w:ascii="仿宋" w:hAnsi="仿宋" w:eastAsia="仿宋" w:cs="仿宋"/>
          <w:b/>
          <w:bCs/>
          <w:color w:val="000000"/>
          <w:sz w:val="28"/>
          <w:szCs w:val="28"/>
          <w:highlight w:val="none"/>
        </w:rPr>
      </w:pPr>
      <w:bookmarkStart w:id="64" w:name="_Toc1453"/>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rPr>
        <w:t>供货期、工期及质量要求</w:t>
      </w:r>
      <w:bookmarkEnd w:id="64"/>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（1）中标企业委托与医院有业务的药品配送企业供货，在接收到医院采购计划后及时供货，指定时间到货率应不低于99%。</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（2）中标企业所配送产品价格应符合国家价格主管部门及山东省药品集中招标采购相关规定，供货价格不得高于山东省内同级别医院供货价格。</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（3）对于因生产线调整以及原料紧缺、价格上涨等问题所致供货紧张，中标企业应至少提前一个月告知医院药品采购人员，并提供加盖生产企业公章的缺货说明。</w:t>
      </w:r>
    </w:p>
    <w:p>
      <w:pPr>
        <w:shd w:val="clear"/>
        <w:outlineLvl w:val="1"/>
        <w:rPr>
          <w:rFonts w:hint="eastAsia" w:ascii="仿宋" w:hAnsi="仿宋" w:eastAsia="仿宋" w:cs="仿宋"/>
          <w:b/>
          <w:bCs/>
          <w:color w:val="0D0D0D"/>
          <w:sz w:val="28"/>
          <w:szCs w:val="28"/>
          <w:highlight w:val="none"/>
          <w:lang w:val="en-US" w:eastAsia="zh-CN"/>
        </w:rPr>
      </w:pPr>
      <w:bookmarkStart w:id="65" w:name="_Toc30875"/>
      <w:r>
        <w:rPr>
          <w:rFonts w:hint="eastAsia" w:ascii="仿宋" w:hAnsi="仿宋" w:eastAsia="仿宋" w:cs="仿宋"/>
          <w:b/>
          <w:bCs/>
          <w:color w:val="0D0D0D"/>
          <w:sz w:val="28"/>
          <w:szCs w:val="28"/>
          <w:highlight w:val="none"/>
        </w:rPr>
        <w:t>三、</w:t>
      </w:r>
      <w:r>
        <w:rPr>
          <w:rFonts w:hint="eastAsia" w:ascii="仿宋" w:hAnsi="仿宋" w:eastAsia="仿宋" w:cs="仿宋"/>
          <w:b/>
          <w:bCs/>
          <w:color w:val="0D0D0D"/>
          <w:sz w:val="28"/>
          <w:szCs w:val="28"/>
          <w:highlight w:val="none"/>
          <w:lang w:val="en-US" w:eastAsia="zh-CN"/>
        </w:rPr>
        <w:t>其他说明</w:t>
      </w:r>
      <w:bookmarkEnd w:id="65"/>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1、投标人所投包中的产品</w:t>
      </w:r>
      <w:r>
        <w:rPr>
          <w:rFonts w:hint="eastAsia" w:ascii="仿宋" w:hAnsi="仿宋" w:eastAsia="仿宋" w:cs="仿宋"/>
          <w:color w:val="000000"/>
          <w:kern w:val="0"/>
          <w:sz w:val="28"/>
          <w:szCs w:val="28"/>
          <w:highlight w:val="none"/>
        </w:rPr>
        <w:t>必须整包响应，不可分拆投标</w:t>
      </w:r>
      <w:r>
        <w:rPr>
          <w:rFonts w:hint="eastAsia" w:ascii="仿宋" w:hAnsi="仿宋" w:eastAsia="仿宋" w:cs="仿宋"/>
          <w:color w:val="000000"/>
          <w:sz w:val="28"/>
          <w:szCs w:val="28"/>
          <w:highlight w:val="none"/>
        </w:rPr>
        <w:t>，若有自己不生产的部分，投标人可以作为代理商代理其它制造商的产品进行投标。</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2、技术规格要求</w:t>
      </w:r>
    </w:p>
    <w:p>
      <w:pPr>
        <w:shd w:val="clear"/>
        <w:spacing w:line="480" w:lineRule="exact"/>
        <w:ind w:firstLine="420" w:firstLineChars="1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2.1投标人应按招标文件中的技术规格及要求进行准确报价。本技术规格所提出的要求是对本次招标预采购产品及伴随服务的基本技术要求，并未涉及所有技术细节，也未充分引述有关标准、规范的全部条款。投标人应保证其提供的产品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采购人提出，以取得采购人的确认，如果投标人没有提出，则在中标后采购人仍有权在合同价格不变的前提下要求中标人按中国国家标准的有关强制性规定执行）。</w:t>
      </w:r>
    </w:p>
    <w:p>
      <w:pPr>
        <w:shd w:val="clear"/>
        <w:spacing w:line="480" w:lineRule="exact"/>
        <w:ind w:firstLine="420" w:firstLineChars="150"/>
        <w:rPr>
          <w:rFonts w:ascii="仿宋_GB2312" w:hAnsi="仿宋" w:eastAsia="仿宋_GB2312" w:cs="仿宋"/>
          <w:bCs/>
          <w:sz w:val="28"/>
          <w:szCs w:val="28"/>
          <w:highlight w:val="none"/>
        </w:rPr>
      </w:pPr>
      <w:r>
        <w:rPr>
          <w:rFonts w:hint="eastAsia" w:ascii="仿宋" w:hAnsi="仿宋" w:eastAsia="仿宋" w:cs="仿宋"/>
          <w:color w:val="000000"/>
          <w:sz w:val="28"/>
          <w:szCs w:val="28"/>
          <w:highlight w:val="none"/>
        </w:rPr>
        <w:t>2.2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pPr>
        <w:shd w:val="clear"/>
        <w:rPr>
          <w:highlight w:val="none"/>
        </w:rPr>
      </w:pPr>
      <w:r>
        <w:rPr>
          <w:rFonts w:hint="eastAsia"/>
          <w:highlight w:val="none"/>
        </w:rPr>
        <w:br w:type="page"/>
      </w:r>
    </w:p>
    <w:p>
      <w:pPr>
        <w:pStyle w:val="4"/>
        <w:numPr>
          <w:ilvl w:val="0"/>
          <w:numId w:val="6"/>
        </w:numPr>
        <w:shd w:val="clear"/>
        <w:spacing w:after="312"/>
        <w:rPr>
          <w:highlight w:val="none"/>
        </w:rPr>
      </w:pPr>
      <w:bookmarkStart w:id="66" w:name="_Toc16864"/>
      <w:r>
        <w:rPr>
          <w:rFonts w:hint="eastAsia"/>
          <w:highlight w:val="none"/>
        </w:rPr>
        <w:t>合同格式</w:t>
      </w:r>
      <w:bookmarkEnd w:id="66"/>
    </w:p>
    <w:p>
      <w:pPr>
        <w:shd w:val="clear"/>
        <w:ind w:right="-92" w:rightChars="-44"/>
        <w:jc w:val="center"/>
        <w:outlineLvl w:val="1"/>
        <w:rPr>
          <w:rFonts w:ascii="华文中宋" w:hAnsi="华文中宋" w:eastAsia="华文中宋" w:cs="华文中宋"/>
          <w:sz w:val="28"/>
          <w:szCs w:val="28"/>
          <w:highlight w:val="none"/>
        </w:rPr>
      </w:pPr>
      <w:bookmarkStart w:id="67" w:name="_Toc977"/>
      <w:r>
        <w:rPr>
          <w:rFonts w:hint="eastAsia" w:ascii="华文中宋" w:hAnsi="华文中宋" w:eastAsia="华文中宋" w:cs="华文中宋"/>
          <w:sz w:val="28"/>
          <w:szCs w:val="28"/>
          <w:highlight w:val="none"/>
        </w:rPr>
        <w:t>合同编号：</w:t>
      </w:r>
      <w:bookmarkEnd w:id="67"/>
    </w:p>
    <w:p>
      <w:pPr>
        <w:shd w:val="clear"/>
        <w:ind w:right="2100" w:rightChars="1000"/>
        <w:jc w:val="right"/>
        <w:rPr>
          <w:rFonts w:ascii="华文中宋" w:hAnsi="华文中宋" w:eastAsia="华文中宋" w:cs="华文中宋"/>
          <w:sz w:val="28"/>
          <w:szCs w:val="28"/>
          <w:highlight w:val="none"/>
        </w:rPr>
      </w:pPr>
    </w:p>
    <w:p>
      <w:pPr>
        <w:shd w:val="clear"/>
        <w:ind w:right="2100" w:rightChars="1000"/>
        <w:jc w:val="right"/>
        <w:rPr>
          <w:rFonts w:ascii="华文中宋" w:hAnsi="华文中宋" w:eastAsia="华文中宋" w:cs="华文中宋"/>
          <w:sz w:val="28"/>
          <w:szCs w:val="28"/>
          <w:highlight w:val="none"/>
        </w:rPr>
      </w:pPr>
    </w:p>
    <w:p>
      <w:pPr>
        <w:shd w:val="clear"/>
        <w:jc w:val="center"/>
        <w:outlineLvl w:val="2"/>
        <w:rPr>
          <w:rFonts w:ascii="华文中宋" w:hAnsi="华文中宋" w:eastAsia="华文中宋" w:cs="华文中宋"/>
          <w:sz w:val="64"/>
          <w:szCs w:val="64"/>
          <w:highlight w:val="none"/>
        </w:rPr>
      </w:pPr>
      <w:bookmarkStart w:id="68" w:name="_Toc6385"/>
      <w:r>
        <w:rPr>
          <w:rFonts w:hint="eastAsia" w:ascii="华文中宋" w:hAnsi="华文中宋" w:eastAsia="华文中宋" w:cs="华文中宋"/>
          <w:spacing w:val="64"/>
          <w:kern w:val="0"/>
          <w:sz w:val="64"/>
          <w:szCs w:val="64"/>
          <w:highlight w:val="none"/>
          <w:fitText w:val="4480" w:id="291841352"/>
        </w:rPr>
        <w:t>政府采购合</w:t>
      </w:r>
      <w:r>
        <w:rPr>
          <w:rFonts w:hint="eastAsia" w:ascii="华文中宋" w:hAnsi="华文中宋" w:eastAsia="华文中宋" w:cs="华文中宋"/>
          <w:spacing w:val="0"/>
          <w:kern w:val="0"/>
          <w:sz w:val="64"/>
          <w:szCs w:val="64"/>
          <w:highlight w:val="none"/>
          <w:fitText w:val="4480" w:id="291841352"/>
        </w:rPr>
        <w:t>同</w:t>
      </w:r>
      <w:bookmarkEnd w:id="68"/>
    </w:p>
    <w:p>
      <w:pPr>
        <w:shd w:val="clear"/>
        <w:ind w:firstLine="560" w:firstLineChars="200"/>
        <w:rPr>
          <w:rFonts w:ascii="华文中宋" w:hAnsi="华文中宋" w:eastAsia="华文中宋" w:cs="华文中宋"/>
          <w:sz w:val="28"/>
          <w:szCs w:val="28"/>
          <w:highlight w:val="none"/>
        </w:rPr>
      </w:pPr>
    </w:p>
    <w:p>
      <w:pPr>
        <w:shd w:val="clear"/>
        <w:ind w:firstLine="560" w:firstLineChars="200"/>
        <w:rPr>
          <w:rFonts w:ascii="华文中宋" w:hAnsi="华文中宋" w:eastAsia="华文中宋" w:cs="华文中宋"/>
          <w:sz w:val="28"/>
          <w:szCs w:val="28"/>
          <w:highlight w:val="none"/>
        </w:rPr>
      </w:pPr>
    </w:p>
    <w:p>
      <w:pPr>
        <w:shd w:val="clear"/>
        <w:ind w:firstLine="560" w:firstLineChars="200"/>
        <w:rPr>
          <w:rFonts w:ascii="华文中宋" w:hAnsi="华文中宋" w:eastAsia="华文中宋" w:cs="华文中宋"/>
          <w:sz w:val="28"/>
          <w:szCs w:val="28"/>
          <w:highlight w:val="none"/>
        </w:rPr>
      </w:pPr>
    </w:p>
    <w:p>
      <w:pPr>
        <w:shd w:val="clear"/>
        <w:ind w:firstLine="600" w:firstLineChars="200"/>
        <w:outlineLvl w:val="2"/>
        <w:rPr>
          <w:rFonts w:ascii="华文中宋" w:hAnsi="华文中宋" w:eastAsia="华文中宋" w:cs="华文中宋"/>
          <w:sz w:val="30"/>
          <w:szCs w:val="30"/>
          <w:highlight w:val="none"/>
        </w:rPr>
      </w:pPr>
      <w:bookmarkStart w:id="69" w:name="_Toc27689"/>
      <w:r>
        <w:rPr>
          <w:rFonts w:hint="eastAsia" w:ascii="华文中宋" w:hAnsi="华文中宋" w:eastAsia="华文中宋" w:cs="华文中宋"/>
          <w:sz w:val="30"/>
          <w:szCs w:val="30"/>
          <w:highlight w:val="none"/>
        </w:rPr>
        <w:t>项目名称：</w:t>
      </w:r>
      <w:bookmarkEnd w:id="69"/>
    </w:p>
    <w:p>
      <w:pPr>
        <w:shd w:val="clear"/>
        <w:ind w:firstLine="600" w:firstLineChars="200"/>
        <w:outlineLvl w:val="2"/>
        <w:rPr>
          <w:rFonts w:ascii="华文中宋" w:hAnsi="华文中宋" w:eastAsia="华文中宋" w:cs="华文中宋"/>
          <w:sz w:val="30"/>
          <w:szCs w:val="30"/>
          <w:highlight w:val="none"/>
        </w:rPr>
      </w:pPr>
      <w:bookmarkStart w:id="70" w:name="_Toc4197"/>
      <w:r>
        <w:rPr>
          <w:rFonts w:hint="eastAsia" w:ascii="华文中宋" w:hAnsi="华文中宋" w:eastAsia="华文中宋" w:cs="华文中宋"/>
          <w:sz w:val="30"/>
          <w:szCs w:val="30"/>
          <w:highlight w:val="none"/>
        </w:rPr>
        <w:t>采购编号：</w:t>
      </w:r>
      <w:bookmarkEnd w:id="70"/>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rPr>
          <w:rFonts w:ascii="华文中宋" w:hAnsi="华文中宋" w:eastAsia="华文中宋" w:cs="华文中宋"/>
          <w:sz w:val="32"/>
          <w:szCs w:val="32"/>
          <w:highlight w:val="none"/>
        </w:rPr>
      </w:pPr>
    </w:p>
    <w:p>
      <w:pPr>
        <w:shd w:val="clear"/>
        <w:ind w:firstLine="640" w:firstLineChars="200"/>
        <w:outlineLvl w:val="2"/>
        <w:rPr>
          <w:rFonts w:ascii="华文中宋" w:hAnsi="华文中宋" w:eastAsia="华文中宋" w:cs="华文中宋"/>
          <w:sz w:val="32"/>
          <w:szCs w:val="32"/>
          <w:highlight w:val="none"/>
        </w:rPr>
      </w:pPr>
      <w:bookmarkStart w:id="71" w:name="_Toc2297"/>
      <w:r>
        <w:rPr>
          <w:rFonts w:hint="eastAsia" w:ascii="华文中宋" w:hAnsi="华文中宋" w:eastAsia="华文中宋" w:cs="华文中宋"/>
          <w:sz w:val="32"/>
          <w:szCs w:val="32"/>
          <w:highlight w:val="none"/>
        </w:rPr>
        <w:t>甲方：</w:t>
      </w:r>
      <w:bookmarkEnd w:id="71"/>
    </w:p>
    <w:p>
      <w:pPr>
        <w:shd w:val="clear"/>
        <w:ind w:firstLine="640" w:firstLineChars="200"/>
        <w:outlineLvl w:val="2"/>
        <w:rPr>
          <w:rFonts w:ascii="华文中宋" w:hAnsi="华文中宋" w:eastAsia="华文中宋" w:cs="华文中宋"/>
          <w:sz w:val="32"/>
          <w:szCs w:val="32"/>
          <w:highlight w:val="none"/>
        </w:rPr>
      </w:pPr>
      <w:bookmarkStart w:id="72" w:name="_Toc29336"/>
      <w:r>
        <w:rPr>
          <w:rFonts w:hint="eastAsia" w:ascii="华文中宋" w:hAnsi="华文中宋" w:eastAsia="华文中宋" w:cs="华文中宋"/>
          <w:sz w:val="32"/>
          <w:szCs w:val="32"/>
          <w:highlight w:val="none"/>
        </w:rPr>
        <w:t>乙方：</w:t>
      </w:r>
      <w:bookmarkEnd w:id="72"/>
    </w:p>
    <w:p>
      <w:pPr>
        <w:shd w:val="clear"/>
        <w:rPr>
          <w:highlight w:val="none"/>
        </w:rPr>
      </w:pPr>
      <w:r>
        <w:rPr>
          <w:highlight w:val="none"/>
        </w:rPr>
        <w:br w:type="page"/>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840" w:firstLineChars="300"/>
        <w:textAlignment w:val="auto"/>
        <w:rPr>
          <w:rFonts w:ascii="仿宋" w:hAnsi="仿宋" w:eastAsia="仿宋" w:cs="仿宋"/>
          <w:sz w:val="28"/>
          <w:szCs w:val="28"/>
          <w:highlight w:val="none"/>
        </w:rPr>
      </w:pPr>
      <w:r>
        <w:rPr>
          <w:rFonts w:hint="eastAsia" w:ascii="微软雅黑" w:hAnsi="微软雅黑" w:eastAsia="微软雅黑" w:cs="微软雅黑"/>
          <w:sz w:val="28"/>
          <w:szCs w:val="28"/>
          <w:highlight w:val="none"/>
        </w:rPr>
        <w:t>____________________</w:t>
      </w:r>
      <w:r>
        <w:rPr>
          <w:rFonts w:hint="eastAsia" w:ascii="仿宋" w:hAnsi="仿宋" w:eastAsia="仿宋" w:cs="仿宋"/>
          <w:sz w:val="28"/>
          <w:szCs w:val="28"/>
          <w:highlight w:val="none"/>
        </w:rPr>
        <w:t>（甲方）所需</w:t>
      </w:r>
      <w:r>
        <w:rPr>
          <w:rFonts w:hint="eastAsia" w:ascii="微软雅黑" w:hAnsi="微软雅黑" w:eastAsia="微软雅黑" w:cs="微软雅黑"/>
          <w:sz w:val="28"/>
          <w:szCs w:val="28"/>
          <w:highlight w:val="none"/>
        </w:rPr>
        <w:t>_______________________</w:t>
      </w:r>
      <w:r>
        <w:rPr>
          <w:rFonts w:hint="eastAsia" w:ascii="仿宋" w:hAnsi="仿宋" w:eastAsia="仿宋" w:cs="仿宋"/>
          <w:sz w:val="28"/>
          <w:szCs w:val="28"/>
          <w:highlight w:val="none"/>
        </w:rPr>
        <w:t>(货物名称)经同诚工程咨询集团股份有限公司以</w:t>
      </w:r>
      <w:r>
        <w:rPr>
          <w:rFonts w:hint="eastAsia" w:ascii="微软雅黑" w:hAnsi="微软雅黑" w:eastAsia="微软雅黑" w:cs="微软雅黑"/>
          <w:sz w:val="28"/>
          <w:szCs w:val="28"/>
          <w:highlight w:val="none"/>
        </w:rPr>
        <w:t>__________________</w:t>
      </w:r>
      <w:r>
        <w:rPr>
          <w:rFonts w:hint="eastAsia" w:ascii="仿宋" w:hAnsi="仿宋" w:eastAsia="仿宋" w:cs="仿宋"/>
          <w:sz w:val="28"/>
          <w:szCs w:val="28"/>
          <w:highlight w:val="none"/>
        </w:rPr>
        <w:t>（采购编号）招标文件在国内以公开招标方式进行采购。经评标委员会确定</w:t>
      </w:r>
      <w:r>
        <w:rPr>
          <w:rFonts w:hint="eastAsia" w:ascii="微软雅黑" w:hAnsi="微软雅黑" w:eastAsia="微软雅黑" w:cs="微软雅黑"/>
          <w:sz w:val="28"/>
          <w:szCs w:val="28"/>
          <w:highlight w:val="none"/>
        </w:rPr>
        <w:t>________________________</w:t>
      </w:r>
      <w:r>
        <w:rPr>
          <w:rFonts w:hint="eastAsia" w:ascii="仿宋" w:hAnsi="仿宋" w:eastAsia="仿宋" w:cs="仿宋"/>
          <w:sz w:val="28"/>
          <w:szCs w:val="28"/>
          <w:highlight w:val="none"/>
        </w:rPr>
        <w:t>（乙方）为中标人。甲、乙双方根据《中华人民共和国政府采购法》、《中华人民共和国民法典》和其他法律、法规的规定，并按照公正、平等、自愿、诚实信用的原则，同意按照以下条款和条件，签署本合同。</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3" w:name="_Toc6202"/>
      <w:bookmarkStart w:id="74" w:name="_Toc29211"/>
      <w:r>
        <w:rPr>
          <w:sz w:val="36"/>
          <w:szCs w:val="28"/>
          <w:highlight w:val="none"/>
        </w:rPr>
        <w:t>一、合同文件</w:t>
      </w:r>
      <w:bookmarkEnd w:id="73"/>
      <w:bookmarkEnd w:id="74"/>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（一）本项目招标文件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（二）中标人投标文件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（四）中标人在评标过程中做出的有关澄清、说明或者补正文件</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（五）中标通知书</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5" w:name="_Toc23332"/>
      <w:bookmarkStart w:id="76" w:name="_Toc22929"/>
      <w:r>
        <w:rPr>
          <w:sz w:val="36"/>
          <w:szCs w:val="28"/>
          <w:highlight w:val="none"/>
        </w:rPr>
        <w:t>二、合同的范围和条件</w:t>
      </w:r>
      <w:bookmarkEnd w:id="75"/>
      <w:bookmarkEnd w:id="76"/>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本合同的范围和条件应与上述合同文件的规定相一致。</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7" w:name="_Toc23763"/>
      <w:bookmarkStart w:id="78" w:name="_Toc21315"/>
      <w:r>
        <w:rPr>
          <w:sz w:val="36"/>
          <w:szCs w:val="28"/>
          <w:highlight w:val="none"/>
        </w:rPr>
        <w:t>三、货物、数量及规格</w:t>
      </w:r>
      <w:bookmarkEnd w:id="77"/>
      <w:bookmarkEnd w:id="78"/>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本合同所提供的货物、数量及规格详见合同货物清单（附件一）（同投标文件中投标报价明细表，下同）。</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79" w:name="_Toc8807"/>
      <w:bookmarkStart w:id="80" w:name="_Toc21348"/>
      <w:r>
        <w:rPr>
          <w:sz w:val="36"/>
          <w:szCs w:val="28"/>
          <w:highlight w:val="none"/>
        </w:rPr>
        <w:t>四、合同金额</w:t>
      </w:r>
      <w:bookmarkEnd w:id="79"/>
      <w:bookmarkEnd w:id="80"/>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根据上述合同文件要求，合同金额为人民币</w:t>
      </w:r>
      <w:r>
        <w:rPr>
          <w:rFonts w:hint="eastAsia" w:ascii="微软雅黑" w:hAnsi="微软雅黑" w:eastAsia="微软雅黑" w:cs="微软雅黑"/>
          <w:sz w:val="28"/>
          <w:szCs w:val="28"/>
          <w:highlight w:val="none"/>
        </w:rPr>
        <w:t>______________</w:t>
      </w:r>
      <w:r>
        <w:rPr>
          <w:rFonts w:ascii="仿宋" w:hAnsi="仿宋" w:eastAsia="仿宋" w:cs="仿宋"/>
          <w:sz w:val="28"/>
          <w:szCs w:val="28"/>
          <w:highlight w:val="none"/>
        </w:rPr>
        <w:t>元，大写：</w:t>
      </w:r>
      <w:r>
        <w:rPr>
          <w:rFonts w:hint="eastAsia" w:ascii="微软雅黑" w:hAnsi="微软雅黑" w:eastAsia="微软雅黑" w:cs="微软雅黑"/>
          <w:sz w:val="28"/>
          <w:szCs w:val="28"/>
          <w:highlight w:val="none"/>
        </w:rPr>
        <w:t>________________________</w:t>
      </w:r>
      <w:r>
        <w:rPr>
          <w:rFonts w:ascii="仿宋" w:hAnsi="仿宋" w:eastAsia="仿宋" w:cs="仿宋"/>
          <w:sz w:val="28"/>
          <w:szCs w:val="28"/>
          <w:highlight w:val="none"/>
        </w:rPr>
        <w:t>。（分项价格详见合同货物清单，详见附件一）。</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乙方开户单位：</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开户银行：</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账</w:t>
      </w:r>
      <w:r>
        <w:rPr>
          <w:rFonts w:ascii="仿宋" w:hAnsi="仿宋" w:eastAsia="仿宋" w:cs="仿宋"/>
          <w:sz w:val="28"/>
          <w:szCs w:val="28"/>
          <w:highlight w:val="none"/>
        </w:rPr>
        <w:t>号：</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81" w:name="_Toc13328"/>
      <w:bookmarkStart w:id="82" w:name="_Toc21234"/>
      <w:r>
        <w:rPr>
          <w:sz w:val="36"/>
          <w:szCs w:val="28"/>
          <w:highlight w:val="none"/>
        </w:rPr>
        <w:t>五、付款途径</w:t>
      </w:r>
      <w:bookmarkEnd w:id="81"/>
      <w:bookmarkEnd w:id="82"/>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□甲方支付（人民币元，大写：）</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□国库（预算内资金：人民币_______元，预算外资金：人民币_______元）与甲方（人民币_______元）共同支付</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83" w:name="_Toc9881"/>
      <w:bookmarkStart w:id="84" w:name="_Toc26661"/>
      <w:r>
        <w:rPr>
          <w:sz w:val="36"/>
          <w:szCs w:val="28"/>
          <w:highlight w:val="none"/>
        </w:rPr>
        <w:t>六、付款方式</w:t>
      </w:r>
      <w:bookmarkEnd w:id="83"/>
      <w:bookmarkEnd w:id="84"/>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rFonts w:hint="eastAsia" w:ascii="仿宋" w:hAnsi="仿宋" w:eastAsia="仿宋" w:cs="仿宋"/>
          <w:sz w:val="28"/>
          <w:szCs w:val="28"/>
          <w:highlight w:val="none"/>
          <w:lang w:val="en-US" w:eastAsia="zh-CN"/>
        </w:rPr>
      </w:pPr>
      <w:bookmarkStart w:id="85" w:name="_Toc29159"/>
      <w:bookmarkStart w:id="86" w:name="_Toc11362"/>
      <w:r>
        <w:rPr>
          <w:rFonts w:hint="eastAsia" w:ascii="仿宋" w:hAnsi="仿宋" w:eastAsia="仿宋" w:cs="仿宋"/>
          <w:sz w:val="28"/>
          <w:szCs w:val="28"/>
          <w:highlight w:val="none"/>
          <w:lang w:val="en-US" w:eastAsia="zh-CN"/>
        </w:rPr>
        <w:t>甲方根据医院实际采购消毒液的情况，与乙方就上月的实际采购情况对账确认无误后，在甲方财务入账后根据医院规定进行付款。</w:t>
      </w:r>
      <w:bookmarkEnd w:id="85"/>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87" w:name="_Toc10688"/>
      <w:r>
        <w:rPr>
          <w:sz w:val="36"/>
          <w:szCs w:val="28"/>
          <w:highlight w:val="none"/>
        </w:rPr>
        <w:t>七、交货日期、地点</w:t>
      </w:r>
      <w:bookmarkEnd w:id="86"/>
      <w:bookmarkEnd w:id="87"/>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1、交货日期：合同生效之日起日内交货。</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88" w:name="_Toc12102"/>
      <w:bookmarkStart w:id="89" w:name="_Toc18187"/>
      <w:r>
        <w:rPr>
          <w:sz w:val="36"/>
          <w:szCs w:val="28"/>
          <w:highlight w:val="none"/>
        </w:rPr>
        <w:t>八、质量标准和验收</w:t>
      </w:r>
      <w:bookmarkEnd w:id="88"/>
      <w:bookmarkEnd w:id="89"/>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1、乙方应保证提供的合同货物是货物生产厂商原造的，全新、未使用过的， 是用一流的工艺和优质材料制造而成的，并完全符合本项目招标文件规定的质量、性能和规格的要求；</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2、乙方提供的合同货物应通过货物制造厂商的出厂检验，并提供质量合格证书</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3、货物到达指定地点后，甲乙双方联合组织验收，必要时可邀请第三方机构或专业人员协助组织。</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90" w:name="_Toc21047"/>
      <w:bookmarkStart w:id="91" w:name="_Toc26222"/>
      <w:r>
        <w:rPr>
          <w:sz w:val="36"/>
          <w:szCs w:val="28"/>
          <w:highlight w:val="none"/>
        </w:rPr>
        <w:t>九、履约保证金</w:t>
      </w:r>
      <w:bookmarkEnd w:id="90"/>
      <w:bookmarkEnd w:id="91"/>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乙方在收到《中标通知书》后，应按照招标文件的规定，向甲方提交履约保证金。</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92" w:name="_Toc24267"/>
      <w:bookmarkStart w:id="93" w:name="_Toc8157"/>
      <w:r>
        <w:rPr>
          <w:sz w:val="36"/>
          <w:szCs w:val="28"/>
          <w:highlight w:val="none"/>
        </w:rPr>
        <w:t>十、违约责任</w:t>
      </w:r>
      <w:bookmarkEnd w:id="92"/>
      <w:bookmarkEnd w:id="93"/>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3、乙方迟延履行合同、不完全履行合同或提供的服务不符合招标文件的要求，除支付违约金外，仍应实际履行合同或重新提供符合要求的服务。</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4、其它未尽事宜，以《中华人民共和国民法典》规定为准。</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94" w:name="_Toc15291"/>
      <w:bookmarkStart w:id="95" w:name="_Toc26891"/>
      <w:r>
        <w:rPr>
          <w:sz w:val="36"/>
          <w:szCs w:val="28"/>
          <w:highlight w:val="none"/>
        </w:rPr>
        <w:t>十一、争议解决</w:t>
      </w:r>
      <w:bookmarkEnd w:id="94"/>
      <w:bookmarkEnd w:id="95"/>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1、向仲裁委员会提起仲裁；</w:t>
      </w:r>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2、向法院提起诉讼。</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96" w:name="_Toc8912"/>
      <w:bookmarkStart w:id="97" w:name="_Toc18883"/>
      <w:r>
        <w:rPr>
          <w:sz w:val="36"/>
          <w:szCs w:val="28"/>
          <w:highlight w:val="none"/>
        </w:rPr>
        <w:t>十二、合同生效</w:t>
      </w:r>
      <w:bookmarkEnd w:id="96"/>
      <w:bookmarkEnd w:id="97"/>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本合同经甲乙双方签字盖章后生效。</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98" w:name="_Toc17395"/>
      <w:bookmarkStart w:id="99" w:name="_Toc15074"/>
      <w:r>
        <w:rPr>
          <w:sz w:val="36"/>
          <w:szCs w:val="28"/>
          <w:highlight w:val="none"/>
        </w:rPr>
        <w:t>十三、其他</w:t>
      </w:r>
      <w:bookmarkEnd w:id="98"/>
      <w:bookmarkEnd w:id="99"/>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pStyle w:val="5"/>
        <w:keepNext w:val="0"/>
        <w:keepLines w:val="0"/>
        <w:pageBreakBefore w:val="0"/>
        <w:widowControl w:val="0"/>
        <w:shd w:val="clear"/>
        <w:kinsoku/>
        <w:wordWrap/>
        <w:overflowPunct/>
        <w:topLinePunct w:val="0"/>
        <w:autoSpaceDE/>
        <w:autoSpaceDN/>
        <w:bidi w:val="0"/>
        <w:adjustRightInd/>
        <w:snapToGrid w:val="0"/>
        <w:spacing w:before="156" w:after="156" w:line="480" w:lineRule="exact"/>
        <w:textAlignment w:val="auto"/>
        <w:rPr>
          <w:sz w:val="36"/>
          <w:szCs w:val="28"/>
          <w:highlight w:val="none"/>
        </w:rPr>
      </w:pPr>
      <w:bookmarkStart w:id="100" w:name="_Toc2577"/>
      <w:bookmarkStart w:id="101" w:name="_Toc14500"/>
      <w:r>
        <w:rPr>
          <w:sz w:val="36"/>
          <w:szCs w:val="28"/>
          <w:highlight w:val="none"/>
        </w:rPr>
        <w:t>十四、合同保存</w:t>
      </w:r>
      <w:bookmarkEnd w:id="100"/>
      <w:bookmarkEnd w:id="101"/>
    </w:p>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同诚工程咨询集团股份</w:t>
      </w:r>
      <w:r>
        <w:rPr>
          <w:rFonts w:ascii="仿宋" w:hAnsi="仿宋" w:eastAsia="仿宋" w:cs="仿宋"/>
          <w:sz w:val="28"/>
          <w:szCs w:val="28"/>
          <w:highlight w:val="none"/>
        </w:rPr>
        <w:t>有限公司</w:t>
      </w:r>
      <w:r>
        <w:rPr>
          <w:rFonts w:hint="eastAsia" w:ascii="仿宋" w:hAnsi="仿宋" w:eastAsia="仿宋" w:cs="仿宋"/>
          <w:sz w:val="28"/>
          <w:szCs w:val="28"/>
          <w:highlight w:val="none"/>
          <w:u w:val="single"/>
          <w:lang w:val="en-US" w:eastAsia="zh-CN"/>
        </w:rPr>
        <w:t xml:space="preserve"> </w:t>
      </w:r>
      <w:r>
        <w:rPr>
          <w:rFonts w:ascii="仿宋" w:hAnsi="仿宋" w:eastAsia="仿宋" w:cs="仿宋"/>
          <w:sz w:val="28"/>
          <w:szCs w:val="28"/>
          <w:highlight w:val="none"/>
        </w:rPr>
        <w:t>份</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sz w:val="22"/>
          <w:szCs w:val="28"/>
          <w:highlight w:val="none"/>
        </w:rPr>
      </w:pPr>
    </w:p>
    <w:tbl>
      <w:tblPr>
        <w:tblStyle w:val="1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1226195048"/>
              </w:rPr>
              <w:t>授权代表</w:t>
            </w:r>
            <w:r>
              <w:rPr>
                <w:rFonts w:hint="eastAsia" w:ascii="仿宋" w:hAnsi="仿宋" w:eastAsia="仿宋" w:cs="仿宋"/>
                <w:sz w:val="28"/>
                <w:szCs w:val="28"/>
                <w:highlight w:val="none"/>
              </w:rPr>
              <w:t>（签字或盖章）：</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37888106"/>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tcPr>
          <w:p>
            <w:pPr>
              <w:keepNext w:val="0"/>
              <w:keepLines w:val="0"/>
              <w:pageBreakBefore w:val="0"/>
              <w:widowControl w:val="0"/>
              <w:shd w:val="clear"/>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shd w:val="clear"/>
        <w:kinsoku/>
        <w:wordWrap/>
        <w:overflowPunct/>
        <w:topLinePunct w:val="0"/>
        <w:autoSpaceDE/>
        <w:autoSpaceDN/>
        <w:bidi w:val="0"/>
        <w:adjustRightInd/>
        <w:snapToGrid w:val="0"/>
        <w:spacing w:line="480" w:lineRule="exact"/>
        <w:jc w:val="right"/>
        <w:textAlignment w:val="auto"/>
        <w:rPr>
          <w:rFonts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shd w:val="clea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shd w:val="clear"/>
        <w:rPr>
          <w:highlight w:val="none"/>
        </w:rPr>
      </w:pPr>
      <w:r>
        <w:rPr>
          <w:rFonts w:hint="eastAsia"/>
          <w:highlight w:val="none"/>
        </w:rPr>
        <w:br w:type="page"/>
      </w:r>
    </w:p>
    <w:p>
      <w:pPr>
        <w:pStyle w:val="4"/>
        <w:numPr>
          <w:ilvl w:val="0"/>
          <w:numId w:val="6"/>
        </w:numPr>
        <w:shd w:val="clear"/>
        <w:spacing w:after="312"/>
        <w:rPr>
          <w:highlight w:val="none"/>
        </w:rPr>
      </w:pPr>
      <w:bookmarkStart w:id="102" w:name="_Toc27444"/>
      <w:r>
        <w:rPr>
          <w:rFonts w:hint="eastAsia"/>
          <w:highlight w:val="none"/>
        </w:rPr>
        <w:t>投标文件格式</w:t>
      </w:r>
      <w:bookmarkEnd w:id="102"/>
    </w:p>
    <w:p>
      <w:pPr>
        <w:shd w:val="clear"/>
        <w:rPr>
          <w:rFonts w:ascii="华文中宋" w:hAnsi="华文中宋" w:eastAsia="华文中宋" w:cs="华文中宋"/>
          <w:highlight w:val="none"/>
        </w:rPr>
      </w:pPr>
    </w:p>
    <w:p>
      <w:pPr>
        <w:shd w:val="clear"/>
        <w:jc w:val="right"/>
        <w:outlineLvl w:val="0"/>
        <w:rPr>
          <w:rFonts w:ascii="华文中宋" w:hAnsi="华文中宋" w:eastAsia="华文中宋" w:cs="华文中宋"/>
          <w:sz w:val="32"/>
          <w:szCs w:val="32"/>
          <w:highlight w:val="none"/>
        </w:rPr>
      </w:pPr>
      <w:bookmarkStart w:id="103" w:name="_Toc12914"/>
      <w:r>
        <w:rPr>
          <w:rFonts w:hint="eastAsia" w:ascii="华文中宋" w:hAnsi="华文中宋" w:eastAsia="华文中宋" w:cs="华文中宋"/>
          <w:sz w:val="32"/>
          <w:szCs w:val="32"/>
          <w:highlight w:val="none"/>
        </w:rPr>
        <w:t>正/副本</w:t>
      </w:r>
      <w:bookmarkEnd w:id="103"/>
    </w:p>
    <w:p>
      <w:pPr>
        <w:shd w:val="clear"/>
        <w:rPr>
          <w:rFonts w:ascii="华文中宋" w:hAnsi="华文中宋" w:eastAsia="华文中宋" w:cs="华文中宋"/>
          <w:highlight w:val="none"/>
        </w:rPr>
      </w:pPr>
    </w:p>
    <w:p>
      <w:pPr>
        <w:shd w:val="clear"/>
        <w:jc w:val="center"/>
        <w:outlineLvl w:val="0"/>
        <w:rPr>
          <w:rFonts w:hint="eastAsia" w:ascii="华文中宋" w:hAnsi="华文中宋" w:eastAsia="华文中宋" w:cs="华文中宋"/>
          <w:spacing w:val="11"/>
          <w:sz w:val="48"/>
          <w:szCs w:val="48"/>
          <w:highlight w:val="none"/>
          <w:lang w:eastAsia="zh-CN"/>
        </w:rPr>
      </w:pPr>
      <w:bookmarkStart w:id="104" w:name="_Toc22685"/>
      <w:r>
        <w:rPr>
          <w:rFonts w:hint="eastAsia" w:ascii="华文中宋" w:hAnsi="华文中宋" w:eastAsia="华文中宋" w:cs="华文中宋"/>
          <w:spacing w:val="11"/>
          <w:sz w:val="40"/>
          <w:szCs w:val="40"/>
          <w:highlight w:val="none"/>
          <w:lang w:eastAsia="zh-CN"/>
        </w:rPr>
        <w:t>山东大学第二医院消化内镜中心内镜消毒用过氧乙酸消毒液（二元）招标采购</w:t>
      </w:r>
      <w:bookmarkEnd w:id="104"/>
    </w:p>
    <w:p>
      <w:pPr>
        <w:shd w:val="clear"/>
        <w:jc w:val="center"/>
        <w:rPr>
          <w:rFonts w:ascii="华文中宋" w:hAnsi="华文中宋" w:eastAsia="华文中宋" w:cs="华文中宋"/>
          <w:sz w:val="52"/>
          <w:szCs w:val="52"/>
          <w:highlight w:val="none"/>
        </w:rPr>
      </w:pPr>
    </w:p>
    <w:p>
      <w:pPr>
        <w:shd w:val="clear"/>
        <w:jc w:val="center"/>
        <w:rPr>
          <w:rFonts w:ascii="华文中宋" w:hAnsi="华文中宋" w:eastAsia="华文中宋" w:cs="华文中宋"/>
          <w:sz w:val="72"/>
          <w:szCs w:val="72"/>
          <w:highlight w:val="none"/>
        </w:rPr>
      </w:pPr>
      <w:r>
        <w:rPr>
          <w:rFonts w:hint="eastAsia" w:ascii="华文中宋" w:hAnsi="华文中宋" w:eastAsia="华文中宋" w:cs="华文中宋"/>
          <w:sz w:val="72"/>
          <w:szCs w:val="72"/>
          <w:highlight w:val="none"/>
        </w:rPr>
        <w:t>投 标 文 件</w:t>
      </w:r>
    </w:p>
    <w:p>
      <w:pPr>
        <w:shd w:val="clear"/>
        <w:jc w:val="center"/>
        <w:rPr>
          <w:rFonts w:hint="eastAsia" w:ascii="华文中宋" w:hAnsi="华文中宋" w:eastAsia="华文中宋" w:cs="华文中宋"/>
          <w:sz w:val="28"/>
          <w:szCs w:val="28"/>
          <w:highlight w:val="none"/>
          <w:lang w:eastAsia="zh-CN"/>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eastAsia="zh-CN"/>
        </w:rPr>
        <w:t>TCZX-HW-2022-048</w:t>
      </w: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28"/>
          <w:szCs w:val="28"/>
          <w:highlight w:val="none"/>
        </w:rPr>
      </w:pPr>
    </w:p>
    <w:p>
      <w:pPr>
        <w:shd w:val="clear"/>
        <w:jc w:val="cente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rPr>
          <w:rFonts w:ascii="华文中宋" w:hAnsi="华文中宋" w:eastAsia="华文中宋" w:cs="华文中宋"/>
          <w:sz w:val="32"/>
          <w:szCs w:val="32"/>
          <w:highlight w:val="none"/>
        </w:rPr>
      </w:pPr>
    </w:p>
    <w:p>
      <w:pPr>
        <w:shd w:val="clear"/>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kern w:val="0"/>
          <w:sz w:val="32"/>
          <w:szCs w:val="32"/>
          <w:highlight w:val="none"/>
        </w:rPr>
        <w:t>供应商（盖章）</w:t>
      </w:r>
      <w:r>
        <w:rPr>
          <w:rFonts w:hint="eastAsia" w:ascii="华文中宋" w:hAnsi="华文中宋" w:eastAsia="华文中宋" w:cs="华文中宋"/>
          <w:spacing w:val="11"/>
          <w:sz w:val="32"/>
          <w:szCs w:val="32"/>
          <w:highlight w:val="none"/>
        </w:rPr>
        <w:t>：</w:t>
      </w:r>
    </w:p>
    <w:p>
      <w:pPr>
        <w:shd w:val="clear"/>
        <w:spacing w:beforeLines="50" w:afterLines="50"/>
        <w:ind w:left="420" w:leftChars="200"/>
        <w:rPr>
          <w:rFonts w:ascii="华文中宋" w:hAnsi="华文中宋" w:eastAsia="华文中宋" w:cs="华文中宋"/>
          <w:spacing w:val="11"/>
          <w:sz w:val="32"/>
          <w:szCs w:val="32"/>
          <w:highlight w:val="none"/>
          <w:u w:val="single"/>
        </w:rPr>
      </w:pPr>
      <w:r>
        <w:rPr>
          <w:rFonts w:hint="eastAsia" w:ascii="华文中宋" w:hAnsi="华文中宋" w:eastAsia="华文中宋" w:cs="华文中宋"/>
          <w:spacing w:val="11"/>
          <w:sz w:val="32"/>
          <w:szCs w:val="32"/>
          <w:highlight w:val="none"/>
        </w:rPr>
        <w:t>法定代表人或授权代表（签字）：</w:t>
      </w:r>
    </w:p>
    <w:p>
      <w:pPr>
        <w:shd w:val="clear"/>
        <w:ind w:left="420" w:leftChars="200"/>
        <w:rPr>
          <w:rFonts w:ascii="华文中宋" w:hAnsi="华文中宋" w:eastAsia="华文中宋" w:cs="华文中宋"/>
          <w:spacing w:val="11"/>
          <w:sz w:val="32"/>
          <w:szCs w:val="32"/>
          <w:highlight w:val="none"/>
        </w:rPr>
      </w:pPr>
      <w:r>
        <w:rPr>
          <w:rFonts w:hint="eastAsia" w:ascii="华文中宋" w:hAnsi="华文中宋" w:eastAsia="华文中宋" w:cs="华文中宋"/>
          <w:spacing w:val="11"/>
          <w:sz w:val="32"/>
          <w:szCs w:val="32"/>
          <w:highlight w:val="none"/>
        </w:rPr>
        <w:t>日期：</w:t>
      </w:r>
      <w:r>
        <w:rPr>
          <w:rFonts w:hint="eastAsia" w:ascii="华文中宋" w:hAnsi="华文中宋" w:eastAsia="华文中宋" w:cs="华文中宋"/>
          <w:spacing w:val="11"/>
          <w:sz w:val="32"/>
          <w:szCs w:val="32"/>
          <w:highlight w:val="none"/>
          <w:u w:val="single"/>
        </w:rPr>
        <w:t>202</w:t>
      </w:r>
      <w:r>
        <w:rPr>
          <w:rFonts w:hint="default" w:ascii="华文中宋" w:hAnsi="华文中宋" w:eastAsia="华文中宋" w:cs="华文中宋"/>
          <w:spacing w:val="11"/>
          <w:sz w:val="32"/>
          <w:szCs w:val="32"/>
          <w:highlight w:val="none"/>
          <w:u w:val="single"/>
          <w:lang w:val="en-US"/>
        </w:rPr>
        <w:t>3</w:t>
      </w:r>
      <w:r>
        <w:rPr>
          <w:rFonts w:hint="eastAsia" w:ascii="华文中宋" w:hAnsi="华文中宋" w:eastAsia="华文中宋" w:cs="华文中宋"/>
          <w:spacing w:val="11"/>
          <w:sz w:val="32"/>
          <w:szCs w:val="32"/>
          <w:highlight w:val="none"/>
        </w:rPr>
        <w:t>年</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月</w:t>
      </w:r>
      <w:r>
        <w:rPr>
          <w:rFonts w:hint="eastAsia" w:ascii="华文中宋" w:hAnsi="华文中宋" w:eastAsia="华文中宋" w:cs="华文中宋"/>
          <w:spacing w:val="11"/>
          <w:sz w:val="32"/>
          <w:szCs w:val="32"/>
          <w:highlight w:val="none"/>
          <w:lang w:val="en-US" w:eastAsia="zh-CN"/>
        </w:rPr>
        <w:t xml:space="preserve">  </w:t>
      </w:r>
      <w:r>
        <w:rPr>
          <w:rFonts w:hint="eastAsia" w:ascii="华文中宋" w:hAnsi="华文中宋" w:eastAsia="华文中宋" w:cs="华文中宋"/>
          <w:spacing w:val="11"/>
          <w:sz w:val="32"/>
          <w:szCs w:val="32"/>
          <w:highlight w:val="none"/>
        </w:rPr>
        <w:t>日</w:t>
      </w:r>
    </w:p>
    <w:p>
      <w:pPr>
        <w:shd w:val="clear"/>
        <w:rPr>
          <w:highlight w:val="none"/>
        </w:rPr>
      </w:pPr>
      <w:r>
        <w:rPr>
          <w:highlight w:val="none"/>
        </w:rPr>
        <w:br w:type="page"/>
      </w:r>
    </w:p>
    <w:p>
      <w:pPr>
        <w:pStyle w:val="5"/>
        <w:shd w:val="clear"/>
        <w:spacing w:before="156" w:after="156" w:line="348" w:lineRule="auto"/>
        <w:rPr>
          <w:sz w:val="36"/>
          <w:szCs w:val="28"/>
          <w:highlight w:val="none"/>
        </w:rPr>
      </w:pPr>
      <w:bookmarkStart w:id="105" w:name="_Toc26717"/>
      <w:r>
        <w:rPr>
          <w:rFonts w:hint="eastAsia"/>
          <w:sz w:val="36"/>
          <w:szCs w:val="28"/>
          <w:highlight w:val="none"/>
        </w:rPr>
        <w:t>附件一：投标函</w:t>
      </w:r>
      <w:bookmarkEnd w:id="105"/>
    </w:p>
    <w:p>
      <w:pPr>
        <w:shd w:val="clear"/>
        <w:snapToGrid w:val="0"/>
        <w:spacing w:line="348" w:lineRule="auto"/>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经研究，我方决定参加项目编号为的____________________采购（项目名称）项目（包）</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投标活动并提交投标文件。为此，我方郑重声明以下几点，并负法律责任：</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1、我方提交的投标文件，正本</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份，副本</w:t>
      </w:r>
      <w:r>
        <w:rPr>
          <w:rFonts w:hint="eastAsia" w:ascii="仿宋" w:hAnsi="仿宋" w:eastAsia="仿宋" w:cs="仿宋"/>
          <w:sz w:val="28"/>
          <w:szCs w:val="28"/>
          <w:highlight w:val="none"/>
          <w:u w:val="single"/>
        </w:rPr>
        <w:t xml:space="preserve"> 3 </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u w:val="single"/>
        </w:rPr>
        <w:t xml:space="preserve"> 1 </w:t>
      </w:r>
      <w:r>
        <w:rPr>
          <w:rFonts w:hint="eastAsia" w:ascii="仿宋" w:hAnsi="仿宋" w:eastAsia="仿宋" w:cs="仿宋"/>
          <w:sz w:val="28"/>
          <w:szCs w:val="28"/>
          <w:highlight w:val="none"/>
        </w:rPr>
        <w:t>份。</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2、如果我方的投标文件被接受，我方将履行招标文件中规定的每一项要求，并按我方投标文件中的承诺按期、保质、保量提供货物。</w:t>
      </w:r>
    </w:p>
    <w:p>
      <w:pPr>
        <w:shd w:val="clea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3、我方已详细阅读了招标文件及其补充、修改和澄清（若有），完全理解并同意放弃对这方面有不明及误解的权力。</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我方理解，最低报价不是中标的唯一条件，你们有选择中标人的权利。</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、我方愿按《中华人民共和国民法典》履行自己的全部责任。</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、我方同意按招标文件规定交纳投标保证金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中标服务费</w:t>
      </w:r>
      <w:r>
        <w:rPr>
          <w:rFonts w:hint="eastAsia" w:ascii="仿宋" w:hAnsi="仿宋" w:eastAsia="仿宋" w:cs="仿宋"/>
          <w:sz w:val="28"/>
          <w:szCs w:val="28"/>
          <w:highlight w:val="none"/>
        </w:rPr>
        <w:t>，遵守贵机构有关招标的各项规定。</w:t>
      </w:r>
    </w:p>
    <w:p>
      <w:pPr>
        <w:shd w:val="clear"/>
        <w:snapToGrid w:val="0"/>
        <w:spacing w:line="34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7、方的投标文件自提交投标文件截止之日起有效期为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shd w:val="clear"/>
        <w:snapToGrid w:val="0"/>
        <w:spacing w:line="348"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与本投标有关的一切正式往来通讯请寄：</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供应商代表姓名、职务（印刷体）：</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开户银行名称：</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开户银行账号：</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开户银行地址：</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hd w:val="clear"/>
        <w:snapToGrid w:val="0"/>
        <w:spacing w:line="348" w:lineRule="auto"/>
        <w:ind w:firstLine="840" w:firstLineChars="300"/>
        <w:rPr>
          <w:rFonts w:ascii="仿宋" w:hAnsi="仿宋" w:eastAsia="仿宋" w:cs="仿宋"/>
          <w:sz w:val="28"/>
          <w:szCs w:val="28"/>
          <w:highlight w:val="none"/>
        </w:rPr>
      </w:pPr>
      <w:r>
        <w:rPr>
          <w:rFonts w:hint="eastAsia" w:ascii="仿宋" w:hAnsi="仿宋" w:eastAsia="仿宋" w:cs="仿宋"/>
          <w:sz w:val="28"/>
          <w:szCs w:val="28"/>
          <w:highlight w:val="none"/>
        </w:rPr>
        <w:t>电话：</w:t>
      </w:r>
    </w:p>
    <w:p>
      <w:pPr>
        <w:shd w:val="clear"/>
        <w:snapToGrid w:val="0"/>
        <w:spacing w:line="348" w:lineRule="auto"/>
        <w:jc w:val="right"/>
        <w:rPr>
          <w:rFonts w:ascii="仿宋" w:hAnsi="仿宋" w:eastAsia="仿宋" w:cs="仿宋"/>
          <w:sz w:val="28"/>
          <w:szCs w:val="28"/>
          <w:highlight w:val="none"/>
        </w:rPr>
      </w:pPr>
      <w:r>
        <w:rPr>
          <w:rFonts w:hint="eastAsia" w:ascii="仿宋" w:hAnsi="仿宋" w:eastAsia="仿宋" w:cs="仿宋"/>
          <w:sz w:val="28"/>
          <w:szCs w:val="28"/>
          <w:highlight w:val="none"/>
        </w:rPr>
        <w:t>年   月   日</w:t>
      </w:r>
    </w:p>
    <w:p>
      <w:pPr>
        <w:shd w:val="clear"/>
        <w:rPr>
          <w:sz w:val="22"/>
          <w:szCs w:val="28"/>
          <w:highlight w:val="none"/>
        </w:rPr>
      </w:pPr>
      <w:r>
        <w:rPr>
          <w:rFonts w:hint="eastAsia"/>
          <w:sz w:val="22"/>
          <w:szCs w:val="28"/>
          <w:highlight w:val="none"/>
        </w:rPr>
        <w:br w:type="page"/>
      </w:r>
    </w:p>
    <w:p>
      <w:pPr>
        <w:pStyle w:val="5"/>
        <w:shd w:val="clear"/>
        <w:spacing w:before="156" w:after="156"/>
        <w:rPr>
          <w:sz w:val="36"/>
          <w:szCs w:val="28"/>
          <w:highlight w:val="none"/>
        </w:rPr>
      </w:pPr>
      <w:bookmarkStart w:id="106" w:name="_Toc4231"/>
      <w:r>
        <w:rPr>
          <w:rFonts w:hint="eastAsia"/>
          <w:sz w:val="36"/>
          <w:szCs w:val="28"/>
          <w:highlight w:val="none"/>
        </w:rPr>
        <w:t>附件二：法定代表人身份证明</w:t>
      </w:r>
      <w:bookmarkEnd w:id="106"/>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rPr>
          <w:sz w:val="22"/>
          <w:szCs w:val="28"/>
          <w:highlight w:val="none"/>
        </w:rPr>
      </w:pPr>
      <w:r>
        <w:rPr>
          <w:sz w:val="22"/>
          <w:szCs w:val="28"/>
          <w:highlight w:val="none"/>
        </w:rPr>
        <w:br w:type="page"/>
      </w:r>
    </w:p>
    <w:p>
      <w:pPr>
        <w:pStyle w:val="5"/>
        <w:shd w:val="clear"/>
        <w:spacing w:before="156" w:after="156"/>
        <w:rPr>
          <w:sz w:val="36"/>
          <w:szCs w:val="28"/>
          <w:highlight w:val="none"/>
        </w:rPr>
      </w:pPr>
      <w:bookmarkStart w:id="107" w:name="_Toc14137"/>
      <w:r>
        <w:rPr>
          <w:rFonts w:hint="eastAsia"/>
          <w:sz w:val="36"/>
          <w:szCs w:val="28"/>
          <w:highlight w:val="none"/>
        </w:rPr>
        <w:t>附件三：法定代表人授权委托书</w:t>
      </w:r>
      <w:bookmarkEnd w:id="107"/>
    </w:p>
    <w:p>
      <w:pPr>
        <w:shd w:val="clear"/>
        <w:rPr>
          <w:rFonts w:ascii="仿宋" w:hAnsi="仿宋" w:eastAsia="仿宋" w:cs="仿宋"/>
          <w:sz w:val="28"/>
          <w:szCs w:val="28"/>
          <w:highlight w:val="none"/>
        </w:rPr>
      </w:pPr>
      <w:r>
        <w:rPr>
          <w:rFonts w:hint="eastAsia" w:ascii="仿宋" w:hAnsi="仿宋" w:eastAsia="仿宋" w:cs="仿宋"/>
          <w:sz w:val="28"/>
          <w:szCs w:val="28"/>
          <w:highlight w:val="none"/>
        </w:rPr>
        <w:t>山东大学第二医院：</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________________（供应商名称）法定代表人_______（姓名）授权_____________（职务或职称）（姓名）为我单位本次投标授权代理人，全权处理此次____________（项目名称）（项目编号：_______）招标活动的一切事宜。授权代理人在投标、开标、评标过程中所签署的一切文件，我均予以承认。</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特此授权。</w:t>
      </w:r>
    </w:p>
    <w:tbl>
      <w:tblPr>
        <w:tblStyle w:val="1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shd w:val="clea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（附法定代表人身份证复印件人像面）</w:t>
            </w:r>
          </w:p>
        </w:tc>
        <w:tc>
          <w:tcPr>
            <w:tcW w:w="4309" w:type="dxa"/>
            <w:vAlign w:val="center"/>
          </w:tcPr>
          <w:p>
            <w:pPr>
              <w:shd w:val="clea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4309" w:type="dxa"/>
            <w:vAlign w:val="center"/>
          </w:tcPr>
          <w:p>
            <w:pPr>
              <w:shd w:val="clear"/>
              <w:jc w:val="center"/>
              <w:rPr>
                <w:rFonts w:ascii="仿宋" w:hAnsi="仿宋" w:eastAsia="仿宋" w:cs="仿宋"/>
                <w:sz w:val="22"/>
                <w:szCs w:val="28"/>
                <w:highlight w:val="none"/>
              </w:rPr>
            </w:pPr>
            <w:r>
              <w:rPr>
                <w:rFonts w:hint="eastAsia" w:ascii="仿宋" w:hAnsi="仿宋" w:eastAsia="仿宋" w:cs="仿宋"/>
                <w:sz w:val="28"/>
                <w:szCs w:val="28"/>
                <w:highlight w:val="none"/>
              </w:rPr>
              <w:t>（附法定代表人身份证复印件国徽面）</w:t>
            </w:r>
          </w:p>
        </w:tc>
        <w:tc>
          <w:tcPr>
            <w:tcW w:w="4309" w:type="dxa"/>
            <w:vAlign w:val="center"/>
          </w:tcPr>
          <w:p>
            <w:pPr>
              <w:shd w:val="clear"/>
              <w:tabs>
                <w:tab w:val="left" w:pos="4581"/>
              </w:tabs>
              <w:spacing w:line="520" w:lineRule="exact"/>
              <w:jc w:val="center"/>
              <w:rPr>
                <w:rFonts w:ascii="仿宋" w:hAnsi="仿宋" w:eastAsia="仿宋" w:cs="仿宋"/>
                <w:sz w:val="22"/>
                <w:szCs w:val="28"/>
                <w:highlight w:val="none"/>
              </w:rPr>
            </w:pPr>
            <w:r>
              <w:rPr>
                <w:rFonts w:hint="eastAsia" w:ascii="仿宋" w:hAnsi="仿宋" w:eastAsia="仿宋" w:cs="仿宋"/>
                <w:sz w:val="28"/>
                <w:szCs w:val="28"/>
                <w:highlight w:val="none"/>
              </w:rPr>
              <w:t>（附授权代表身份证复印件国徽面）</w:t>
            </w:r>
          </w:p>
        </w:tc>
      </w:tr>
    </w:tbl>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pacing w:val="46"/>
          <w:kern w:val="0"/>
          <w:sz w:val="28"/>
          <w:szCs w:val="28"/>
          <w:highlight w:val="none"/>
          <w:fitText w:val="1400" w:id="725709872"/>
        </w:rPr>
        <w:t>授权代</w:t>
      </w:r>
      <w:r>
        <w:rPr>
          <w:rFonts w:hint="eastAsia" w:ascii="仿宋" w:hAnsi="仿宋" w:eastAsia="仿宋" w:cs="仿宋"/>
          <w:spacing w:val="2"/>
          <w:kern w:val="0"/>
          <w:sz w:val="28"/>
          <w:szCs w:val="28"/>
          <w:highlight w:val="none"/>
          <w:fitText w:val="1400" w:id="725709872"/>
        </w:rPr>
        <w:t>表</w:t>
      </w:r>
      <w:r>
        <w:rPr>
          <w:rFonts w:ascii="仿宋" w:hAnsi="仿宋" w:eastAsia="仿宋" w:cs="仿宋"/>
          <w:sz w:val="28"/>
          <w:szCs w:val="28"/>
          <w:highlight w:val="none"/>
        </w:rPr>
        <w:t>（签字或盖章）</w:t>
      </w:r>
      <w:r>
        <w:rPr>
          <w:rFonts w:hint="eastAsia" w:ascii="仿宋" w:hAnsi="仿宋" w:eastAsia="仿宋" w:cs="仿宋"/>
          <w:sz w:val="28"/>
          <w:szCs w:val="28"/>
          <w:highlight w:val="none"/>
        </w:rPr>
        <w:t>：</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sz w:val="22"/>
          <w:szCs w:val="28"/>
          <w:highlight w:val="none"/>
        </w:rPr>
        <w:br w:type="page"/>
      </w:r>
    </w:p>
    <w:p>
      <w:pPr>
        <w:pStyle w:val="5"/>
        <w:shd w:val="clear"/>
        <w:spacing w:before="156" w:after="156"/>
        <w:rPr>
          <w:sz w:val="36"/>
          <w:szCs w:val="28"/>
          <w:highlight w:val="none"/>
        </w:rPr>
      </w:pPr>
      <w:bookmarkStart w:id="108" w:name="_Toc13633"/>
      <w:r>
        <w:rPr>
          <w:rFonts w:hint="eastAsia"/>
          <w:sz w:val="36"/>
          <w:szCs w:val="28"/>
          <w:highlight w:val="none"/>
        </w:rPr>
        <w:t>附件四：开标一览表</w:t>
      </w:r>
      <w:bookmarkEnd w:id="108"/>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1"/>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供应商名称</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品牌、</w:t>
            </w:r>
            <w:r>
              <w:rPr>
                <w:rFonts w:hint="eastAsia" w:ascii="仿宋" w:hAnsi="仿宋" w:eastAsia="仿宋" w:cs="仿宋"/>
                <w:sz w:val="28"/>
                <w:szCs w:val="28"/>
                <w:highlight w:val="none"/>
              </w:rPr>
              <w:t>产地</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品牌</w:t>
            </w:r>
            <w:r>
              <w:rPr>
                <w:rFonts w:hint="eastAsia" w:ascii="仿宋" w:hAnsi="仿宋" w:eastAsia="仿宋" w:cs="仿宋"/>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sz w:val="28"/>
                <w:szCs w:val="28"/>
                <w:highlight w:val="none"/>
                <w:lang w:val="en-US"/>
              </w:rPr>
            </w:pPr>
            <w:r>
              <w:rPr>
                <w:rFonts w:hint="eastAsia" w:ascii="仿宋" w:hAnsi="仿宋" w:eastAsia="仿宋" w:cs="仿宋"/>
                <w:color w:val="000000"/>
                <w:sz w:val="28"/>
                <w:szCs w:val="28"/>
                <w:highlight w:val="none"/>
                <w:lang w:val="en-US" w:eastAsia="zh-CN"/>
              </w:rPr>
              <w:t>规格及单价</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rPr>
              <w:t xml:space="preserve"> </w:t>
            </w:r>
            <w:r>
              <w:rPr>
                <w:rFonts w:hint="eastAsia" w:ascii="仿宋" w:hAnsi="仿宋" w:eastAsia="仿宋" w:cs="仿宋"/>
                <w:sz w:val="28"/>
                <w:szCs w:val="28"/>
                <w:highlight w:val="none"/>
                <w:lang w:val="en-US" w:eastAsia="zh-CN"/>
              </w:rPr>
              <w:t>规格</w:t>
            </w:r>
            <w:r>
              <w:rPr>
                <w:rFonts w:hint="default"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单价：</w:t>
            </w:r>
            <w:r>
              <w:rPr>
                <w:rFonts w:hint="default"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单年度合计报价</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大写</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三年合计</w:t>
            </w:r>
            <w:r>
              <w:rPr>
                <w:rFonts w:hint="eastAsia" w:ascii="仿宋" w:hAnsi="仿宋" w:eastAsia="仿宋" w:cs="仿宋"/>
                <w:sz w:val="28"/>
                <w:szCs w:val="28"/>
                <w:highlight w:val="none"/>
              </w:rPr>
              <w:t>报价</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r>
              <w:rPr>
                <w:rFonts w:hint="eastAsia" w:ascii="仿宋" w:hAnsi="仿宋" w:eastAsia="仿宋" w:cs="仿宋"/>
                <w:sz w:val="28"/>
                <w:szCs w:val="28"/>
                <w:highlight w:val="none"/>
              </w:rPr>
              <w:t>小写：</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大写</w:t>
            </w:r>
            <w:r>
              <w:rPr>
                <w:rFonts w:hint="eastAsia" w:ascii="仿宋" w:hAnsi="仿宋" w:eastAsia="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质保期</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280" w:leftChars="0" w:hanging="280" w:hangingChars="10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所投产品制造商是否为小微企业、监狱企业、残疾人福利性单位</w:t>
            </w:r>
          </w:p>
        </w:tc>
        <w:tc>
          <w:tcPr>
            <w:tcW w:w="5611" w:type="dxa"/>
            <w:vAlign w:val="center"/>
          </w:tcPr>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pPr>
              <w:keepNext w:val="0"/>
              <w:keepLines w:val="0"/>
              <w:pageBreakBefore w:val="0"/>
              <w:widowControl w:val="0"/>
              <w:shd w:val="clear"/>
              <w:tabs>
                <w:tab w:val="left" w:pos="1337"/>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对招标文件的认同程度（是否完全认同）</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9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备注</w:t>
            </w:r>
          </w:p>
        </w:tc>
        <w:tc>
          <w:tcPr>
            <w:tcW w:w="561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textAlignment w:val="auto"/>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注：1、本表除需在投标文件中装订外，还需另外一式三份单独密封，以便于唱标。</w:t>
      </w:r>
    </w:p>
    <w:p>
      <w:pPr>
        <w:shd w:val="clear"/>
        <w:ind w:left="420" w:leftChars="200"/>
        <w:rPr>
          <w:rFonts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5"/>
        <w:shd w:val="clear"/>
        <w:spacing w:before="159" w:after="159"/>
        <w:rPr>
          <w:sz w:val="36"/>
          <w:szCs w:val="28"/>
          <w:highlight w:val="none"/>
        </w:rPr>
      </w:pPr>
      <w:bookmarkStart w:id="109" w:name="_Toc13756"/>
      <w:r>
        <w:rPr>
          <w:rFonts w:hint="eastAsia"/>
          <w:sz w:val="36"/>
          <w:szCs w:val="28"/>
          <w:highlight w:val="none"/>
        </w:rPr>
        <w:t>附件五：报价明细表</w:t>
      </w:r>
      <w:bookmarkEnd w:id="109"/>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rPr>
        <w:tab/>
      </w:r>
      <w:r>
        <w:rPr>
          <w:rFonts w:hint="eastAsia" w:ascii="仿宋" w:hAnsi="仿宋" w:eastAsia="仿宋" w:cs="仿宋"/>
          <w:sz w:val="28"/>
          <w:szCs w:val="28"/>
          <w:highlight w:val="none"/>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534"/>
        <w:gridCol w:w="1216"/>
        <w:gridCol w:w="399"/>
        <w:gridCol w:w="1760"/>
        <w:gridCol w:w="1549"/>
        <w:gridCol w:w="1197"/>
        <w:gridCol w:w="896"/>
        <w:gridCol w:w="1056"/>
        <w:gridCol w:w="1219"/>
        <w:gridCol w:w="1213"/>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1"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3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名称</w:t>
            </w:r>
          </w:p>
        </w:tc>
        <w:tc>
          <w:tcPr>
            <w:tcW w:w="1615" w:type="dxa"/>
            <w:gridSpan w:val="2"/>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760"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规格</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（详细配置）</w:t>
            </w:r>
          </w:p>
        </w:tc>
        <w:tc>
          <w:tcPr>
            <w:tcW w:w="1549"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生产</w:t>
            </w:r>
            <w:r>
              <w:rPr>
                <w:rFonts w:hint="eastAsia" w:ascii="仿宋" w:hAnsi="仿宋" w:eastAsia="仿宋" w:cs="仿宋"/>
                <w:sz w:val="28"/>
                <w:szCs w:val="28"/>
                <w:highlight w:val="none"/>
              </w:rPr>
              <w:t>商及产地</w:t>
            </w:r>
          </w:p>
        </w:tc>
        <w:tc>
          <w:tcPr>
            <w:tcW w:w="119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896"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年度用</w:t>
            </w:r>
            <w:r>
              <w:rPr>
                <w:rFonts w:hint="eastAsia" w:ascii="仿宋" w:hAnsi="仿宋" w:eastAsia="仿宋" w:cs="仿宋"/>
                <w:sz w:val="28"/>
                <w:szCs w:val="28"/>
                <w:highlight w:val="none"/>
              </w:rPr>
              <w:t>量</w:t>
            </w:r>
          </w:p>
        </w:tc>
        <w:tc>
          <w:tcPr>
            <w:tcW w:w="1056"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单年</w:t>
            </w:r>
            <w:r>
              <w:rPr>
                <w:rFonts w:hint="eastAsia" w:ascii="仿宋" w:hAnsi="仿宋" w:eastAsia="仿宋" w:cs="仿宋"/>
                <w:sz w:val="28"/>
                <w:szCs w:val="28"/>
                <w:highlight w:val="none"/>
              </w:rPr>
              <w:t>合价</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1219" w:type="dxa"/>
            <w:vAlign w:val="center"/>
          </w:tcPr>
          <w:p>
            <w:pPr>
              <w:shd w:val="clear"/>
              <w:snapToGrid w:val="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三年合计（元）</w:t>
            </w:r>
          </w:p>
        </w:tc>
        <w:tc>
          <w:tcPr>
            <w:tcW w:w="121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是否属于小微企业生产</w:t>
            </w:r>
          </w:p>
        </w:tc>
        <w:tc>
          <w:tcPr>
            <w:tcW w:w="133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备注（环境标志产品、节能产品应标注）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numPr>
                <w:ilvl w:val="0"/>
                <w:numId w:val="17"/>
              </w:numPr>
              <w:shd w:val="clear"/>
              <w:ind w:left="0" w:firstLine="0"/>
              <w:jc w:val="center"/>
              <w:rPr>
                <w:rFonts w:ascii="仿宋" w:hAnsi="仿宋" w:eastAsia="仿宋" w:cs="仿宋"/>
                <w:sz w:val="28"/>
                <w:szCs w:val="28"/>
                <w:highlight w:val="none"/>
              </w:rPr>
            </w:pPr>
          </w:p>
        </w:tc>
        <w:tc>
          <w:tcPr>
            <w:tcW w:w="1534" w:type="dxa"/>
          </w:tcPr>
          <w:p>
            <w:pPr>
              <w:shd w:val="clear"/>
              <w:jc w:val="center"/>
              <w:rPr>
                <w:rFonts w:ascii="仿宋" w:hAnsi="仿宋" w:eastAsia="仿宋" w:cs="仿宋"/>
                <w:sz w:val="28"/>
                <w:szCs w:val="28"/>
                <w:highlight w:val="none"/>
              </w:rPr>
            </w:pPr>
          </w:p>
        </w:tc>
        <w:tc>
          <w:tcPr>
            <w:tcW w:w="1615" w:type="dxa"/>
            <w:gridSpan w:val="2"/>
          </w:tcPr>
          <w:p>
            <w:pPr>
              <w:shd w:val="clear"/>
              <w:jc w:val="center"/>
              <w:rPr>
                <w:rFonts w:ascii="仿宋" w:hAnsi="仿宋" w:eastAsia="仿宋" w:cs="仿宋"/>
                <w:sz w:val="28"/>
                <w:szCs w:val="28"/>
                <w:highlight w:val="none"/>
              </w:rPr>
            </w:pPr>
          </w:p>
        </w:tc>
        <w:tc>
          <w:tcPr>
            <w:tcW w:w="1760" w:type="dxa"/>
          </w:tcPr>
          <w:p>
            <w:pPr>
              <w:shd w:val="clear"/>
              <w:jc w:val="center"/>
              <w:rPr>
                <w:rFonts w:ascii="仿宋" w:hAnsi="仿宋" w:eastAsia="仿宋" w:cs="仿宋"/>
                <w:sz w:val="28"/>
                <w:szCs w:val="28"/>
                <w:highlight w:val="none"/>
              </w:rPr>
            </w:pPr>
          </w:p>
        </w:tc>
        <w:tc>
          <w:tcPr>
            <w:tcW w:w="1549" w:type="dxa"/>
          </w:tcPr>
          <w:p>
            <w:pPr>
              <w:shd w:val="clear"/>
              <w:jc w:val="center"/>
              <w:rPr>
                <w:rFonts w:ascii="仿宋" w:hAnsi="仿宋" w:eastAsia="仿宋" w:cs="仿宋"/>
                <w:sz w:val="28"/>
                <w:szCs w:val="28"/>
                <w:highlight w:val="none"/>
              </w:rPr>
            </w:pPr>
          </w:p>
        </w:tc>
        <w:tc>
          <w:tcPr>
            <w:tcW w:w="1197" w:type="dxa"/>
          </w:tcPr>
          <w:p>
            <w:pPr>
              <w:shd w:val="clear"/>
              <w:jc w:val="center"/>
              <w:rPr>
                <w:rFonts w:ascii="仿宋" w:hAnsi="仿宋" w:eastAsia="仿宋" w:cs="仿宋"/>
                <w:sz w:val="28"/>
                <w:szCs w:val="28"/>
                <w:highlight w:val="none"/>
              </w:rPr>
            </w:pPr>
          </w:p>
        </w:tc>
        <w:tc>
          <w:tcPr>
            <w:tcW w:w="896" w:type="dxa"/>
          </w:tcPr>
          <w:p>
            <w:pPr>
              <w:shd w:val="clear"/>
              <w:jc w:val="center"/>
              <w:rPr>
                <w:rFonts w:ascii="仿宋" w:hAnsi="仿宋" w:eastAsia="仿宋" w:cs="仿宋"/>
                <w:sz w:val="28"/>
                <w:szCs w:val="28"/>
                <w:highlight w:val="none"/>
              </w:rPr>
            </w:pPr>
          </w:p>
        </w:tc>
        <w:tc>
          <w:tcPr>
            <w:tcW w:w="1056" w:type="dxa"/>
          </w:tcPr>
          <w:p>
            <w:pPr>
              <w:shd w:val="clear"/>
              <w:jc w:val="center"/>
              <w:rPr>
                <w:rFonts w:ascii="仿宋" w:hAnsi="仿宋" w:eastAsia="仿宋" w:cs="仿宋"/>
                <w:sz w:val="28"/>
                <w:szCs w:val="28"/>
                <w:highlight w:val="none"/>
              </w:rPr>
            </w:pPr>
          </w:p>
        </w:tc>
        <w:tc>
          <w:tcPr>
            <w:tcW w:w="1219" w:type="dxa"/>
          </w:tcPr>
          <w:p>
            <w:pPr>
              <w:shd w:val="clear"/>
              <w:jc w:val="center"/>
              <w:rPr>
                <w:rFonts w:ascii="仿宋" w:hAnsi="仿宋" w:eastAsia="仿宋" w:cs="仿宋"/>
                <w:sz w:val="28"/>
                <w:szCs w:val="28"/>
                <w:highlight w:val="none"/>
              </w:rPr>
            </w:pPr>
          </w:p>
        </w:tc>
        <w:tc>
          <w:tcPr>
            <w:tcW w:w="1213" w:type="dxa"/>
          </w:tcPr>
          <w:p>
            <w:pPr>
              <w:shd w:val="clear"/>
              <w:jc w:val="center"/>
              <w:rPr>
                <w:rFonts w:ascii="仿宋" w:hAnsi="仿宋" w:eastAsia="仿宋" w:cs="仿宋"/>
                <w:sz w:val="28"/>
                <w:szCs w:val="28"/>
                <w:highlight w:val="none"/>
              </w:rPr>
            </w:pPr>
          </w:p>
        </w:tc>
        <w:tc>
          <w:tcPr>
            <w:tcW w:w="1334" w:type="dxa"/>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Pr>
          <w:p>
            <w:pPr>
              <w:shd w:val="clear"/>
              <w:jc w:val="center"/>
              <w:rPr>
                <w:rFonts w:ascii="仿宋" w:hAnsi="仿宋" w:eastAsia="仿宋" w:cs="仿宋"/>
                <w:sz w:val="28"/>
                <w:szCs w:val="28"/>
                <w:highlight w:val="none"/>
              </w:rPr>
            </w:pPr>
            <w:r>
              <w:rPr>
                <w:rFonts w:hint="eastAsia" w:ascii="微软雅黑" w:hAnsi="微软雅黑" w:eastAsia="微软雅黑" w:cs="微软雅黑"/>
                <w:sz w:val="28"/>
                <w:szCs w:val="28"/>
                <w:highlight w:val="none"/>
              </w:rPr>
              <w:t>…</w:t>
            </w:r>
          </w:p>
        </w:tc>
        <w:tc>
          <w:tcPr>
            <w:tcW w:w="1534" w:type="dxa"/>
          </w:tcPr>
          <w:p>
            <w:pPr>
              <w:shd w:val="clear"/>
              <w:jc w:val="center"/>
              <w:rPr>
                <w:rFonts w:ascii="仿宋" w:hAnsi="仿宋" w:eastAsia="仿宋" w:cs="仿宋"/>
                <w:sz w:val="28"/>
                <w:szCs w:val="28"/>
                <w:highlight w:val="none"/>
              </w:rPr>
            </w:pPr>
          </w:p>
        </w:tc>
        <w:tc>
          <w:tcPr>
            <w:tcW w:w="1615" w:type="dxa"/>
            <w:gridSpan w:val="2"/>
          </w:tcPr>
          <w:p>
            <w:pPr>
              <w:shd w:val="clear"/>
              <w:jc w:val="center"/>
              <w:rPr>
                <w:rFonts w:ascii="仿宋" w:hAnsi="仿宋" w:eastAsia="仿宋" w:cs="仿宋"/>
                <w:sz w:val="28"/>
                <w:szCs w:val="28"/>
                <w:highlight w:val="none"/>
              </w:rPr>
            </w:pPr>
          </w:p>
        </w:tc>
        <w:tc>
          <w:tcPr>
            <w:tcW w:w="1760" w:type="dxa"/>
          </w:tcPr>
          <w:p>
            <w:pPr>
              <w:shd w:val="clear"/>
              <w:jc w:val="center"/>
              <w:rPr>
                <w:rFonts w:ascii="仿宋" w:hAnsi="仿宋" w:eastAsia="仿宋" w:cs="仿宋"/>
                <w:sz w:val="28"/>
                <w:szCs w:val="28"/>
                <w:highlight w:val="none"/>
              </w:rPr>
            </w:pPr>
          </w:p>
        </w:tc>
        <w:tc>
          <w:tcPr>
            <w:tcW w:w="1549" w:type="dxa"/>
          </w:tcPr>
          <w:p>
            <w:pPr>
              <w:shd w:val="clear"/>
              <w:jc w:val="center"/>
              <w:rPr>
                <w:rFonts w:ascii="仿宋" w:hAnsi="仿宋" w:eastAsia="仿宋" w:cs="仿宋"/>
                <w:sz w:val="28"/>
                <w:szCs w:val="28"/>
                <w:highlight w:val="none"/>
              </w:rPr>
            </w:pPr>
          </w:p>
        </w:tc>
        <w:tc>
          <w:tcPr>
            <w:tcW w:w="1197" w:type="dxa"/>
          </w:tcPr>
          <w:p>
            <w:pPr>
              <w:shd w:val="clear"/>
              <w:jc w:val="center"/>
              <w:rPr>
                <w:rFonts w:ascii="仿宋" w:hAnsi="仿宋" w:eastAsia="仿宋" w:cs="仿宋"/>
                <w:sz w:val="28"/>
                <w:szCs w:val="28"/>
                <w:highlight w:val="none"/>
              </w:rPr>
            </w:pPr>
          </w:p>
        </w:tc>
        <w:tc>
          <w:tcPr>
            <w:tcW w:w="896" w:type="dxa"/>
          </w:tcPr>
          <w:p>
            <w:pPr>
              <w:shd w:val="clear"/>
              <w:jc w:val="center"/>
              <w:rPr>
                <w:rFonts w:ascii="仿宋" w:hAnsi="仿宋" w:eastAsia="仿宋" w:cs="仿宋"/>
                <w:sz w:val="28"/>
                <w:szCs w:val="28"/>
                <w:highlight w:val="none"/>
              </w:rPr>
            </w:pPr>
          </w:p>
        </w:tc>
        <w:tc>
          <w:tcPr>
            <w:tcW w:w="1056" w:type="dxa"/>
          </w:tcPr>
          <w:p>
            <w:pPr>
              <w:shd w:val="clear"/>
              <w:jc w:val="center"/>
              <w:rPr>
                <w:rFonts w:ascii="仿宋" w:hAnsi="仿宋" w:eastAsia="仿宋" w:cs="仿宋"/>
                <w:sz w:val="28"/>
                <w:szCs w:val="28"/>
                <w:highlight w:val="none"/>
              </w:rPr>
            </w:pPr>
          </w:p>
        </w:tc>
        <w:tc>
          <w:tcPr>
            <w:tcW w:w="1219" w:type="dxa"/>
          </w:tcPr>
          <w:p>
            <w:pPr>
              <w:shd w:val="clear"/>
              <w:jc w:val="center"/>
              <w:rPr>
                <w:rFonts w:ascii="仿宋" w:hAnsi="仿宋" w:eastAsia="仿宋" w:cs="仿宋"/>
                <w:sz w:val="28"/>
                <w:szCs w:val="28"/>
                <w:highlight w:val="none"/>
              </w:rPr>
            </w:pPr>
          </w:p>
        </w:tc>
        <w:tc>
          <w:tcPr>
            <w:tcW w:w="1213" w:type="dxa"/>
          </w:tcPr>
          <w:p>
            <w:pPr>
              <w:shd w:val="clear"/>
              <w:jc w:val="center"/>
              <w:rPr>
                <w:rFonts w:ascii="仿宋" w:hAnsi="仿宋" w:eastAsia="仿宋" w:cs="仿宋"/>
                <w:sz w:val="28"/>
                <w:szCs w:val="28"/>
                <w:highlight w:val="none"/>
              </w:rPr>
            </w:pPr>
          </w:p>
        </w:tc>
        <w:tc>
          <w:tcPr>
            <w:tcW w:w="1334" w:type="dxa"/>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gridSpan w:val="2"/>
            <w:vMerge w:val="restart"/>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合计</w:t>
            </w:r>
          </w:p>
        </w:tc>
        <w:tc>
          <w:tcPr>
            <w:tcW w:w="1216" w:type="dxa"/>
          </w:tcPr>
          <w:p>
            <w:pPr>
              <w:shd w:val="clear"/>
              <w:rPr>
                <w:rFonts w:hint="eastAsia" w:ascii="仿宋" w:hAnsi="仿宋" w:eastAsia="仿宋" w:cs="仿宋"/>
                <w:sz w:val="28"/>
                <w:szCs w:val="28"/>
                <w:highlight w:val="none"/>
              </w:rPr>
            </w:pPr>
          </w:p>
        </w:tc>
        <w:tc>
          <w:tcPr>
            <w:tcW w:w="10623" w:type="dxa"/>
            <w:gridSpan w:val="9"/>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gridSpan w:val="2"/>
            <w:vMerge w:val="continue"/>
          </w:tcPr>
          <w:p>
            <w:pPr>
              <w:shd w:val="clear"/>
              <w:jc w:val="center"/>
              <w:rPr>
                <w:rFonts w:ascii="仿宋" w:hAnsi="仿宋" w:eastAsia="仿宋" w:cs="仿宋"/>
                <w:sz w:val="28"/>
                <w:szCs w:val="28"/>
                <w:highlight w:val="none"/>
              </w:rPr>
            </w:pPr>
          </w:p>
        </w:tc>
        <w:tc>
          <w:tcPr>
            <w:tcW w:w="1216" w:type="dxa"/>
          </w:tcPr>
          <w:p>
            <w:pPr>
              <w:shd w:val="clear"/>
              <w:rPr>
                <w:rFonts w:hint="eastAsia" w:ascii="仿宋" w:hAnsi="仿宋" w:eastAsia="仿宋" w:cs="仿宋"/>
                <w:sz w:val="28"/>
                <w:szCs w:val="28"/>
                <w:highlight w:val="none"/>
              </w:rPr>
            </w:pPr>
          </w:p>
        </w:tc>
        <w:tc>
          <w:tcPr>
            <w:tcW w:w="10623" w:type="dxa"/>
            <w:gridSpan w:val="9"/>
          </w:tcPr>
          <w:p>
            <w:pPr>
              <w:shd w:val="clear"/>
              <w:rPr>
                <w:rFonts w:ascii="仿宋" w:hAnsi="仿宋" w:eastAsia="仿宋" w:cs="仿宋"/>
                <w:sz w:val="28"/>
                <w:szCs w:val="28"/>
                <w:highlight w:val="none"/>
              </w:rPr>
            </w:pPr>
            <w:r>
              <w:rPr>
                <w:rFonts w:hint="eastAsia" w:ascii="仿宋" w:hAnsi="仿宋" w:eastAsia="仿宋" w:cs="仿宋"/>
                <w:sz w:val="28"/>
                <w:szCs w:val="28"/>
                <w:highlight w:val="none"/>
              </w:rPr>
              <w:t>大写：</w:t>
            </w:r>
          </w:p>
        </w:tc>
      </w:tr>
    </w:tbl>
    <w:p>
      <w:pPr>
        <w:shd w:val="clear"/>
        <w:rPr>
          <w:rFonts w:ascii="仿宋" w:hAnsi="仿宋" w:eastAsia="仿宋" w:cs="仿宋"/>
          <w:sz w:val="24"/>
          <w:highlight w:val="none"/>
        </w:rPr>
      </w:pPr>
      <w:r>
        <w:rPr>
          <w:rFonts w:hint="eastAsia" w:ascii="仿宋" w:hAnsi="仿宋" w:eastAsia="仿宋" w:cs="仿宋"/>
          <w:sz w:val="24"/>
          <w:highlight w:val="none"/>
        </w:rPr>
        <w:t>注：1、本表可按相同形式扩展，装订在投标文件中。2、投标总价须与开标一览表中投标总价一致。</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110" w:name="_Toc4550"/>
      <w:r>
        <w:rPr>
          <w:rFonts w:hint="eastAsia"/>
          <w:sz w:val="36"/>
          <w:szCs w:val="28"/>
          <w:highlight w:val="none"/>
        </w:rPr>
        <w:t>附件</w:t>
      </w:r>
      <w:r>
        <w:rPr>
          <w:rFonts w:hint="eastAsia"/>
          <w:sz w:val="36"/>
          <w:szCs w:val="28"/>
          <w:highlight w:val="none"/>
          <w:lang w:val="en-US" w:eastAsia="zh-CN"/>
        </w:rPr>
        <w:t>六</w:t>
      </w:r>
      <w:r>
        <w:rPr>
          <w:rFonts w:hint="eastAsia"/>
          <w:sz w:val="36"/>
          <w:szCs w:val="28"/>
          <w:highlight w:val="none"/>
        </w:rPr>
        <w:t>：商务响应一览表/偏离表</w:t>
      </w:r>
      <w:bookmarkEnd w:id="110"/>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w:t>
      </w:r>
      <w:r>
        <w:rPr>
          <w:rFonts w:ascii="仿宋" w:hAnsi="仿宋" w:eastAsia="仿宋" w:cs="仿宋"/>
          <w:sz w:val="28"/>
          <w:szCs w:val="28"/>
          <w:highlight w:val="none"/>
        </w:rPr>
        <w:t>请填写招标文件已列明并要求</w:t>
      </w:r>
      <w:r>
        <w:rPr>
          <w:rFonts w:hint="eastAsia" w:ascii="仿宋" w:hAnsi="仿宋" w:eastAsia="仿宋" w:cs="仿宋"/>
          <w:sz w:val="28"/>
          <w:szCs w:val="28"/>
          <w:highlight w:val="none"/>
        </w:rPr>
        <w:t>供应商</w:t>
      </w:r>
      <w:r>
        <w:rPr>
          <w:rFonts w:ascii="仿宋" w:hAnsi="仿宋" w:eastAsia="仿宋" w:cs="仿宋"/>
          <w:sz w:val="28"/>
          <w:szCs w:val="28"/>
          <w:highlight w:val="none"/>
        </w:rPr>
        <w:t>响应的如付款方式、交货期、质保期、售后服务等商务条款，并逐一作出承诺。</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请</w:t>
      </w:r>
      <w:r>
        <w:rPr>
          <w:rFonts w:hint="eastAsia" w:ascii="仿宋" w:hAnsi="仿宋" w:eastAsia="仿宋" w:cs="仿宋"/>
          <w:sz w:val="28"/>
          <w:szCs w:val="28"/>
          <w:highlight w:val="none"/>
        </w:rPr>
        <w:t>供应商</w:t>
      </w:r>
      <w:r>
        <w:rPr>
          <w:rFonts w:ascii="仿宋" w:hAnsi="仿宋" w:eastAsia="仿宋" w:cs="仿宋"/>
          <w:sz w:val="28"/>
          <w:szCs w:val="28"/>
          <w:highlight w:val="none"/>
        </w:rPr>
        <w:t>在填写本表时，对应招标文件要求如实填写,并必须用具体数字或文字来表述，不能复制招标文件要求或仅填写“（不）偏离”或虚假应标。若</w:t>
      </w:r>
      <w:r>
        <w:rPr>
          <w:rFonts w:hint="eastAsia" w:ascii="仿宋" w:hAnsi="仿宋" w:eastAsia="仿宋" w:cs="仿宋"/>
          <w:sz w:val="28"/>
          <w:szCs w:val="28"/>
          <w:highlight w:val="none"/>
        </w:rPr>
        <w:t>供应商</w:t>
      </w:r>
      <w:r>
        <w:rPr>
          <w:rFonts w:ascii="仿宋" w:hAnsi="仿宋" w:eastAsia="仿宋" w:cs="仿宋"/>
          <w:sz w:val="28"/>
          <w:szCs w:val="28"/>
          <w:highlight w:val="none"/>
        </w:rPr>
        <w:t>自行承诺的售后服务承诺与此表不一致的，则评标委员会有权作出不利于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rPr>
          <w:rFonts w:ascii="仿宋" w:hAnsi="仿宋" w:eastAsia="仿宋" w:cs="仿宋"/>
          <w:sz w:val="28"/>
          <w:szCs w:val="28"/>
          <w:highlight w:val="none"/>
        </w:rPr>
      </w:pP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sz w:val="22"/>
          <w:szCs w:val="28"/>
          <w:highlight w:val="none"/>
        </w:rPr>
        <w:br w:type="page"/>
      </w:r>
    </w:p>
    <w:p>
      <w:pPr>
        <w:pStyle w:val="5"/>
        <w:shd w:val="clear"/>
        <w:spacing w:before="159" w:after="159"/>
        <w:rPr>
          <w:sz w:val="36"/>
          <w:szCs w:val="28"/>
          <w:highlight w:val="none"/>
        </w:rPr>
      </w:pPr>
      <w:bookmarkStart w:id="111" w:name="_Toc15782"/>
      <w:r>
        <w:rPr>
          <w:rFonts w:hint="eastAsia"/>
          <w:sz w:val="36"/>
          <w:szCs w:val="28"/>
          <w:highlight w:val="none"/>
        </w:rPr>
        <w:t>附件</w:t>
      </w:r>
      <w:r>
        <w:rPr>
          <w:rFonts w:hint="eastAsia"/>
          <w:sz w:val="36"/>
          <w:szCs w:val="28"/>
          <w:highlight w:val="none"/>
          <w:lang w:val="en-US" w:eastAsia="zh-CN"/>
        </w:rPr>
        <w:t>七</w:t>
      </w:r>
      <w:r>
        <w:rPr>
          <w:rFonts w:hint="eastAsia"/>
          <w:sz w:val="36"/>
          <w:szCs w:val="28"/>
          <w:highlight w:val="none"/>
        </w:rPr>
        <w:t>：技术响应一览表/偏离表</w:t>
      </w:r>
      <w:bookmarkEnd w:id="111"/>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07"/>
        <w:gridCol w:w="1307"/>
        <w:gridCol w:w="1307"/>
        <w:gridCol w:w="1308"/>
        <w:gridCol w:w="157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招标文件条目号</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招标文件要求</w:t>
            </w:r>
          </w:p>
        </w:tc>
        <w:tc>
          <w:tcPr>
            <w:tcW w:w="130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投标文件实际情况</w:t>
            </w:r>
          </w:p>
        </w:tc>
        <w:tc>
          <w:tcPr>
            <w:tcW w:w="1308" w:type="dxa"/>
            <w:vAlign w:val="center"/>
          </w:tcPr>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投标文件</w:t>
            </w:r>
          </w:p>
          <w:p>
            <w:pPr>
              <w:shd w:val="clear"/>
              <w:snapToGrid w:val="0"/>
              <w:jc w:val="center"/>
              <w:rPr>
                <w:rFonts w:ascii="仿宋" w:hAnsi="仿宋" w:eastAsia="仿宋" w:cs="仿宋"/>
                <w:spacing w:val="-23"/>
                <w:sz w:val="28"/>
                <w:szCs w:val="28"/>
                <w:highlight w:val="none"/>
              </w:rPr>
            </w:pPr>
            <w:r>
              <w:rPr>
                <w:rFonts w:hint="eastAsia" w:ascii="仿宋" w:hAnsi="仿宋" w:eastAsia="仿宋" w:cs="仿宋"/>
                <w:spacing w:val="-23"/>
                <w:sz w:val="28"/>
                <w:szCs w:val="28"/>
                <w:highlight w:val="none"/>
              </w:rPr>
              <w:t>对应的页码</w:t>
            </w:r>
          </w:p>
        </w:tc>
        <w:tc>
          <w:tcPr>
            <w:tcW w:w="1571"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偏差内容</w:t>
            </w:r>
          </w:p>
        </w:tc>
        <w:tc>
          <w:tcPr>
            <w:tcW w:w="863"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7" w:type="dxa"/>
            <w:vAlign w:val="center"/>
          </w:tcPr>
          <w:p>
            <w:pPr>
              <w:shd w:val="clear"/>
              <w:jc w:val="center"/>
              <w:rPr>
                <w:rFonts w:ascii="仿宋" w:hAnsi="仿宋" w:eastAsia="仿宋" w:cs="仿宋"/>
                <w:sz w:val="28"/>
                <w:szCs w:val="28"/>
                <w:highlight w:val="none"/>
              </w:rPr>
            </w:pPr>
          </w:p>
        </w:tc>
        <w:tc>
          <w:tcPr>
            <w:tcW w:w="1308" w:type="dxa"/>
            <w:vAlign w:val="center"/>
          </w:tcPr>
          <w:p>
            <w:pPr>
              <w:shd w:val="clear"/>
              <w:jc w:val="center"/>
              <w:rPr>
                <w:rFonts w:ascii="仿宋" w:hAnsi="仿宋" w:eastAsia="仿宋" w:cs="仿宋"/>
                <w:sz w:val="28"/>
                <w:szCs w:val="28"/>
                <w:highlight w:val="none"/>
              </w:rPr>
            </w:pPr>
          </w:p>
        </w:tc>
        <w:tc>
          <w:tcPr>
            <w:tcW w:w="1571" w:type="dxa"/>
            <w:vAlign w:val="center"/>
          </w:tcPr>
          <w:p>
            <w:pPr>
              <w:shd w:val="clear"/>
              <w:jc w:val="center"/>
              <w:rPr>
                <w:rFonts w:ascii="仿宋" w:hAnsi="仿宋" w:eastAsia="仿宋" w:cs="仿宋"/>
                <w:sz w:val="28"/>
                <w:szCs w:val="28"/>
                <w:highlight w:val="none"/>
              </w:rPr>
            </w:pPr>
          </w:p>
        </w:tc>
        <w:tc>
          <w:tcPr>
            <w:tcW w:w="863"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ascii="仿宋" w:hAnsi="仿宋" w:eastAsia="仿宋" w:cs="仿宋"/>
          <w:sz w:val="28"/>
          <w:szCs w:val="28"/>
          <w:highlight w:val="none"/>
        </w:rPr>
        <w:t>说明：</w:t>
      </w:r>
      <w:r>
        <w:rPr>
          <w:rFonts w:hint="eastAsia" w:ascii="仿宋" w:hAnsi="仿宋" w:eastAsia="仿宋" w:cs="仿宋"/>
          <w:sz w:val="28"/>
          <w:szCs w:val="28"/>
          <w:highlight w:val="none"/>
        </w:rPr>
        <w:t>1、供应商</w:t>
      </w:r>
      <w:r>
        <w:rPr>
          <w:rFonts w:ascii="仿宋" w:hAnsi="仿宋" w:eastAsia="仿宋" w:cs="仿宋"/>
          <w:sz w:val="28"/>
          <w:szCs w:val="28"/>
          <w:highlight w:val="none"/>
        </w:rPr>
        <w:t>请按招标文件中各包的技术要求逐一填写，</w:t>
      </w:r>
      <w:r>
        <w:rPr>
          <w:rFonts w:hint="eastAsia" w:ascii="仿宋" w:hAnsi="仿宋" w:eastAsia="仿宋" w:cs="仿宋"/>
          <w:sz w:val="28"/>
          <w:szCs w:val="28"/>
          <w:highlight w:val="none"/>
        </w:rPr>
        <w:t>供应商</w:t>
      </w:r>
      <w:r>
        <w:rPr>
          <w:rFonts w:ascii="仿宋" w:hAnsi="仿宋" w:eastAsia="仿宋" w:cs="仿宋"/>
          <w:sz w:val="28"/>
          <w:szCs w:val="28"/>
          <w:highlight w:val="none"/>
        </w:rPr>
        <w:t>不得自行增减或删除、修改任何指标，也不能直接复制粘贴招标文件中的要求，必须填写真实数据，否则评标委员会将作出不利于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此表后还须附设备主要技术指标、规格和性能、技术参数值的详细说明，并提供制造商的印刷资料或者检测机构出具的检测报告作为佐证，否则评标委员会将作出不利于</w:t>
      </w:r>
      <w:r>
        <w:rPr>
          <w:rFonts w:hint="eastAsia" w:ascii="仿宋" w:hAnsi="仿宋" w:eastAsia="仿宋" w:cs="仿宋"/>
          <w:sz w:val="28"/>
          <w:szCs w:val="28"/>
          <w:highlight w:val="none"/>
        </w:rPr>
        <w:t>供应商</w:t>
      </w:r>
      <w:r>
        <w:rPr>
          <w:rFonts w:ascii="仿宋" w:hAnsi="仿宋" w:eastAsia="仿宋" w:cs="仿宋"/>
          <w:sz w:val="28"/>
          <w:szCs w:val="28"/>
          <w:highlight w:val="none"/>
        </w:rPr>
        <w:t>的认定。</w:t>
      </w: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112" w:name="_Toc12478"/>
      <w:r>
        <w:rPr>
          <w:rFonts w:hint="eastAsia"/>
          <w:sz w:val="36"/>
          <w:szCs w:val="28"/>
          <w:highlight w:val="none"/>
        </w:rPr>
        <w:t>附件</w:t>
      </w:r>
      <w:r>
        <w:rPr>
          <w:rFonts w:hint="eastAsia"/>
          <w:sz w:val="36"/>
          <w:szCs w:val="28"/>
          <w:highlight w:val="none"/>
          <w:lang w:val="en-US" w:eastAsia="zh-CN"/>
        </w:rPr>
        <w:t>八</w:t>
      </w:r>
      <w:r>
        <w:rPr>
          <w:rFonts w:hint="eastAsia"/>
          <w:sz w:val="36"/>
          <w:szCs w:val="28"/>
          <w:highlight w:val="none"/>
        </w:rPr>
        <w:t>：近年业绩一览表</w:t>
      </w:r>
      <w:bookmarkEnd w:id="112"/>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929"/>
        <w:gridCol w:w="1417"/>
        <w:gridCol w:w="1417"/>
        <w:gridCol w:w="950"/>
        <w:gridCol w:w="1225"/>
        <w:gridCol w:w="1475"/>
        <w:gridCol w:w="201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929"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名称</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型号</w:t>
            </w:r>
          </w:p>
        </w:tc>
        <w:tc>
          <w:tcPr>
            <w:tcW w:w="950"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22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c>
          <w:tcPr>
            <w:tcW w:w="1475"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合同签</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订时间</w:t>
            </w:r>
          </w:p>
        </w:tc>
        <w:tc>
          <w:tcPr>
            <w:tcW w:w="2018"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购买单位</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417" w:type="dxa"/>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numPr>
                <w:ilvl w:val="0"/>
                <w:numId w:val="18"/>
              </w:numPr>
              <w:shd w:val="clear"/>
              <w:ind w:left="0" w:firstLine="0"/>
              <w:jc w:val="center"/>
              <w:rPr>
                <w:rFonts w:ascii="仿宋" w:hAnsi="仿宋" w:eastAsia="仿宋" w:cs="仿宋"/>
                <w:sz w:val="28"/>
                <w:szCs w:val="28"/>
                <w:highlight w:val="none"/>
              </w:rPr>
            </w:pPr>
          </w:p>
        </w:tc>
        <w:tc>
          <w:tcPr>
            <w:tcW w:w="1929"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950" w:type="dxa"/>
            <w:vAlign w:val="center"/>
          </w:tcPr>
          <w:p>
            <w:pPr>
              <w:shd w:val="clear"/>
              <w:jc w:val="center"/>
              <w:rPr>
                <w:rFonts w:ascii="仿宋" w:hAnsi="仿宋" w:eastAsia="仿宋" w:cs="仿宋"/>
                <w:sz w:val="28"/>
                <w:szCs w:val="28"/>
                <w:highlight w:val="none"/>
              </w:rPr>
            </w:pPr>
          </w:p>
        </w:tc>
        <w:tc>
          <w:tcPr>
            <w:tcW w:w="1225" w:type="dxa"/>
            <w:vAlign w:val="center"/>
          </w:tcPr>
          <w:p>
            <w:pPr>
              <w:shd w:val="clear"/>
              <w:jc w:val="center"/>
              <w:rPr>
                <w:rFonts w:ascii="仿宋" w:hAnsi="仿宋" w:eastAsia="仿宋" w:cs="仿宋"/>
                <w:sz w:val="28"/>
                <w:szCs w:val="28"/>
                <w:highlight w:val="none"/>
              </w:rPr>
            </w:pPr>
          </w:p>
        </w:tc>
        <w:tc>
          <w:tcPr>
            <w:tcW w:w="1475" w:type="dxa"/>
            <w:vAlign w:val="center"/>
          </w:tcPr>
          <w:p>
            <w:pPr>
              <w:shd w:val="clear"/>
              <w:jc w:val="center"/>
              <w:rPr>
                <w:rFonts w:ascii="仿宋" w:hAnsi="仿宋" w:eastAsia="仿宋" w:cs="仿宋"/>
                <w:sz w:val="28"/>
                <w:szCs w:val="28"/>
                <w:highlight w:val="none"/>
              </w:rPr>
            </w:pPr>
          </w:p>
        </w:tc>
        <w:tc>
          <w:tcPr>
            <w:tcW w:w="2018"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请在此表后附合同或其他相关证明材料，具体要求详见评标办法，近年年份要求详见供应商须知前附表。</w:t>
      </w:r>
    </w:p>
    <w:p>
      <w:pPr>
        <w:shd w:val="clear"/>
        <w:rPr>
          <w:sz w:val="22"/>
          <w:szCs w:val="28"/>
          <w:highlight w:val="none"/>
        </w:rPr>
      </w:pP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sz w:val="22"/>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p>
    <w:p>
      <w:pPr>
        <w:shd w:val="clear"/>
        <w:rPr>
          <w:sz w:val="22"/>
          <w:szCs w:val="28"/>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113" w:name="_Toc3907"/>
      <w:r>
        <w:rPr>
          <w:rFonts w:hint="eastAsia"/>
          <w:sz w:val="36"/>
          <w:szCs w:val="28"/>
          <w:highlight w:val="none"/>
        </w:rPr>
        <w:t>附件</w:t>
      </w:r>
      <w:r>
        <w:rPr>
          <w:rFonts w:hint="eastAsia"/>
          <w:sz w:val="36"/>
          <w:szCs w:val="28"/>
          <w:highlight w:val="none"/>
          <w:lang w:val="en-US" w:eastAsia="zh-CN"/>
        </w:rPr>
        <w:t>九</w:t>
      </w:r>
      <w:r>
        <w:rPr>
          <w:rFonts w:hint="eastAsia"/>
          <w:sz w:val="36"/>
          <w:szCs w:val="28"/>
          <w:highlight w:val="none"/>
        </w:rPr>
        <w:t>：中小企业声明函（如有）</w:t>
      </w:r>
      <w:bookmarkEnd w:id="113"/>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本公司（联合体）郑重声明，根据《政府采购促进中小企业发展管理办法》（财库﹝2020﹞46号）的规定，本公司（联合体）参加</w:t>
      </w:r>
      <w:r>
        <w:rPr>
          <w:rFonts w:ascii="仿宋" w:hAnsi="仿宋" w:eastAsia="仿宋" w:cs="仿宋"/>
          <w:sz w:val="28"/>
          <w:szCs w:val="28"/>
          <w:highlight w:val="none"/>
          <w:u w:val="single"/>
        </w:rPr>
        <w:t>（单位名称）</w:t>
      </w:r>
      <w:r>
        <w:rPr>
          <w:rFonts w:ascii="仿宋" w:hAnsi="仿宋" w:eastAsia="仿宋" w:cs="仿宋"/>
          <w:sz w:val="28"/>
          <w:szCs w:val="28"/>
          <w:highlight w:val="none"/>
        </w:rPr>
        <w:t>的</w:t>
      </w:r>
      <w:r>
        <w:rPr>
          <w:rFonts w:ascii="仿宋" w:hAnsi="仿宋" w:eastAsia="仿宋" w:cs="仿宋"/>
          <w:sz w:val="28"/>
          <w:szCs w:val="28"/>
          <w:highlight w:val="none"/>
          <w:u w:val="single"/>
        </w:rPr>
        <w:t>（项目名称）</w:t>
      </w:r>
      <w:r>
        <w:rPr>
          <w:rFonts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ascii="仿宋" w:hAnsi="仿宋" w:eastAsia="仿宋" w:cs="仿宋"/>
          <w:sz w:val="28"/>
          <w:szCs w:val="28"/>
          <w:highlight w:val="none"/>
          <w:u w:val="single"/>
        </w:rPr>
        <w:t>（标的名称）</w:t>
      </w:r>
      <w:r>
        <w:rPr>
          <w:rFonts w:ascii="仿宋" w:hAnsi="仿宋" w:eastAsia="仿宋" w:cs="仿宋"/>
          <w:sz w:val="28"/>
          <w:szCs w:val="28"/>
          <w:highlight w:val="none"/>
        </w:rPr>
        <w:t>，属于</w:t>
      </w:r>
      <w:r>
        <w:rPr>
          <w:rFonts w:ascii="仿宋" w:hAnsi="仿宋" w:eastAsia="仿宋" w:cs="仿宋"/>
          <w:sz w:val="28"/>
          <w:szCs w:val="28"/>
          <w:highlight w:val="none"/>
          <w:u w:val="single"/>
        </w:rPr>
        <w:t>（采购文件中明确的所属行业）</w:t>
      </w:r>
      <w:r>
        <w:rPr>
          <w:rFonts w:ascii="仿宋" w:hAnsi="仿宋" w:eastAsia="仿宋" w:cs="仿宋"/>
          <w:sz w:val="28"/>
          <w:szCs w:val="28"/>
          <w:highlight w:val="none"/>
        </w:rPr>
        <w:t>行业；制造商为</w:t>
      </w:r>
      <w:r>
        <w:rPr>
          <w:rFonts w:ascii="仿宋" w:hAnsi="仿宋" w:eastAsia="仿宋" w:cs="仿宋"/>
          <w:sz w:val="28"/>
          <w:szCs w:val="28"/>
          <w:highlight w:val="none"/>
          <w:u w:val="single"/>
        </w:rPr>
        <w:t>（企业名称）</w:t>
      </w:r>
      <w:r>
        <w:rPr>
          <w:rFonts w:ascii="仿宋" w:hAnsi="仿宋" w:eastAsia="仿宋" w:cs="仿宋"/>
          <w:sz w:val="28"/>
          <w:szCs w:val="28"/>
          <w:highlight w:val="none"/>
        </w:rPr>
        <w:t>，从业人员人，营业收入为万元，资产总额为万元，属于</w:t>
      </w:r>
      <w:r>
        <w:rPr>
          <w:rFonts w:ascii="仿宋" w:hAnsi="仿宋" w:eastAsia="仿宋" w:cs="仿宋"/>
          <w:sz w:val="28"/>
          <w:szCs w:val="28"/>
          <w:highlight w:val="none"/>
          <w:u w:val="single"/>
        </w:rPr>
        <w:t>（中型企业、小型企业、微型企业）</w:t>
      </w: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以上企业，不属于大企业的分支机构，不存在控股股东为大企业的情形，也不存在与大企业的负责人为同一人的情形。</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本企业对上述声明内容的真实性负责。如有虚假，</w:t>
      </w:r>
      <w:r>
        <w:rPr>
          <w:rFonts w:ascii="仿宋" w:hAnsi="仿宋" w:eastAsia="仿宋" w:cs="仿宋"/>
          <w:spacing w:val="-11"/>
          <w:sz w:val="28"/>
          <w:szCs w:val="28"/>
          <w:highlight w:val="none"/>
        </w:rPr>
        <w:t>将依法承担相应责任。</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企业名称（盖章）：</w:t>
      </w:r>
    </w:p>
    <w:p>
      <w:pPr>
        <w:shd w:val="clear"/>
        <w:ind w:left="2100" w:leftChars="1000"/>
        <w:rPr>
          <w:rFonts w:ascii="仿宋" w:hAnsi="仿宋" w:eastAsia="仿宋" w:cs="仿宋"/>
          <w:sz w:val="28"/>
          <w:szCs w:val="28"/>
          <w:highlight w:val="none"/>
        </w:rPr>
      </w:pPr>
      <w:r>
        <w:rPr>
          <w:rFonts w:ascii="仿宋" w:hAnsi="仿宋" w:eastAsia="仿宋" w:cs="仿宋"/>
          <w:sz w:val="28"/>
          <w:szCs w:val="28"/>
          <w:highlight w:val="none"/>
        </w:rPr>
        <w:t>日期：</w:t>
      </w:r>
    </w:p>
    <w:p>
      <w:pPr>
        <w:shd w:val="clea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注：</w:t>
      </w:r>
      <w:r>
        <w:rPr>
          <w:rFonts w:hint="eastAsia" w:ascii="仿宋" w:hAnsi="仿宋" w:eastAsia="仿宋" w:cs="仿宋"/>
          <w:sz w:val="24"/>
          <w:highlight w:val="none"/>
        </w:rPr>
        <w:t>（1）</w:t>
      </w:r>
      <w:r>
        <w:rPr>
          <w:rFonts w:ascii="仿宋" w:hAnsi="仿宋" w:eastAsia="仿宋" w:cs="仿宋"/>
          <w:sz w:val="24"/>
          <w:highlight w:val="none"/>
        </w:rPr>
        <w:t>从业人员、营业收入、资产总额填报上一年度数据，无上一年度数据的新成立企业可不填报。</w:t>
      </w:r>
    </w:p>
    <w:p>
      <w:pPr>
        <w:shd w:val="clear"/>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w:t>
      </w:r>
      <w:r>
        <w:rPr>
          <w:rFonts w:ascii="仿宋" w:hAnsi="仿宋" w:eastAsia="仿宋" w:cs="仿宋"/>
          <w:b/>
          <w:bCs/>
          <w:sz w:val="24"/>
          <w:highlight w:val="none"/>
        </w:rPr>
        <w:t>不符合相应条件的</w:t>
      </w:r>
      <w:r>
        <w:rPr>
          <w:rFonts w:hint="eastAsia" w:ascii="仿宋" w:hAnsi="仿宋" w:eastAsia="仿宋" w:cs="仿宋"/>
          <w:b/>
          <w:bCs/>
          <w:sz w:val="24"/>
          <w:highlight w:val="none"/>
        </w:rPr>
        <w:t>供应商</w:t>
      </w:r>
      <w:r>
        <w:rPr>
          <w:rFonts w:ascii="仿宋" w:hAnsi="仿宋" w:eastAsia="仿宋" w:cs="仿宋"/>
          <w:b/>
          <w:bCs/>
          <w:sz w:val="24"/>
          <w:highlight w:val="none"/>
        </w:rPr>
        <w:t>无需提供。</w:t>
      </w:r>
    </w:p>
    <w:p>
      <w:pPr>
        <w:shd w:val="clear"/>
        <w:rPr>
          <w:sz w:val="22"/>
          <w:szCs w:val="28"/>
          <w:highlight w:val="none"/>
        </w:rPr>
      </w:pPr>
      <w:r>
        <w:rPr>
          <w:sz w:val="22"/>
          <w:szCs w:val="28"/>
          <w:highlight w:val="none"/>
        </w:rPr>
        <w:br w:type="page"/>
      </w:r>
    </w:p>
    <w:p>
      <w:pPr>
        <w:pStyle w:val="5"/>
        <w:shd w:val="clear"/>
        <w:spacing w:before="159" w:after="159"/>
        <w:rPr>
          <w:sz w:val="36"/>
          <w:szCs w:val="28"/>
          <w:highlight w:val="none"/>
        </w:rPr>
      </w:pPr>
      <w:bookmarkStart w:id="114" w:name="_Toc14460"/>
      <w:r>
        <w:rPr>
          <w:rFonts w:hint="eastAsia"/>
          <w:sz w:val="36"/>
          <w:szCs w:val="28"/>
          <w:highlight w:val="none"/>
        </w:rPr>
        <w:t>附件十：残疾人福利性单位声明函（如有）</w:t>
      </w:r>
      <w:bookmarkEnd w:id="114"/>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号）的规定，本单位为符合条件的残疾人福利性单位，且本单位参加______单位的______项目采购活动提供本单位提供的服务），或者提供其他残疾人福利性单位提供的服务。</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本单位对上述声明的真实性负责。如有虚假，将依法承担相应责任。</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注：不符合相应条件的供应商无需提供</w:t>
      </w:r>
    </w:p>
    <w:p>
      <w:pPr>
        <w:shd w:val="clear"/>
        <w:rPr>
          <w:sz w:val="22"/>
          <w:szCs w:val="28"/>
          <w:highlight w:val="none"/>
        </w:rPr>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115" w:name="_Toc27112"/>
      <w:r>
        <w:rPr>
          <w:rFonts w:hint="eastAsia"/>
          <w:sz w:val="36"/>
          <w:szCs w:val="28"/>
          <w:highlight w:val="none"/>
        </w:rPr>
        <w:t>附件十</w:t>
      </w:r>
      <w:r>
        <w:rPr>
          <w:rFonts w:hint="eastAsia"/>
          <w:sz w:val="36"/>
          <w:szCs w:val="28"/>
          <w:highlight w:val="none"/>
          <w:lang w:val="en-US" w:eastAsia="zh-CN"/>
        </w:rPr>
        <w:t>一</w:t>
      </w:r>
      <w:r>
        <w:rPr>
          <w:rFonts w:hint="eastAsia"/>
          <w:sz w:val="36"/>
          <w:szCs w:val="28"/>
          <w:highlight w:val="none"/>
        </w:rPr>
        <w:t>：环境标志产品明细表</w:t>
      </w:r>
      <w:bookmarkEnd w:id="115"/>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企业名称</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规格型号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中国环境标志认证证书编号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w:t>
            </w:r>
          </w:p>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有效截止期</w:t>
            </w:r>
          </w:p>
        </w:tc>
        <w:tc>
          <w:tcPr>
            <w:tcW w:w="4130" w:type="dxa"/>
            <w:gridSpan w:val="3"/>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shd w:val="clear"/>
              <w:jc w:val="center"/>
              <w:rPr>
                <w:rFonts w:ascii="仿宋" w:hAnsi="仿宋" w:eastAsia="仿宋" w:cs="仿宋"/>
                <w:sz w:val="28"/>
                <w:szCs w:val="28"/>
                <w:highlight w:val="none"/>
              </w:rPr>
            </w:pPr>
          </w:p>
        </w:tc>
        <w:tc>
          <w:tcPr>
            <w:tcW w:w="2028" w:type="dxa"/>
            <w:vMerge w:val="continue"/>
            <w:vAlign w:val="center"/>
          </w:tcPr>
          <w:p>
            <w:pPr>
              <w:shd w:val="clear"/>
              <w:jc w:val="center"/>
              <w:rPr>
                <w:rFonts w:ascii="仿宋" w:hAnsi="仿宋" w:eastAsia="仿宋" w:cs="仿宋"/>
                <w:sz w:val="28"/>
                <w:szCs w:val="28"/>
                <w:highlight w:val="none"/>
              </w:rPr>
            </w:pPr>
          </w:p>
        </w:tc>
        <w:tc>
          <w:tcPr>
            <w:tcW w:w="1922"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说明：所报产品属于《环境标志产品政府采购品目清单》（财库〔2019〕18 号）内的品目，应附《中国环境标志产品认证证书》；并按规定格式逐项填写，否则评审时不予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如所投产品不是环境标志产品，则不需填写本表。</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r>
        <w:rPr>
          <w:rFonts w:hint="eastAsia"/>
          <w:sz w:val="22"/>
          <w:szCs w:val="28"/>
          <w:highlight w:val="none"/>
        </w:rPr>
        <w:br w:type="page"/>
      </w:r>
    </w:p>
    <w:p>
      <w:pPr>
        <w:pStyle w:val="5"/>
        <w:shd w:val="clear"/>
        <w:spacing w:before="159" w:after="159"/>
        <w:rPr>
          <w:rFonts w:hint="default" w:eastAsia="黑体"/>
          <w:sz w:val="36"/>
          <w:szCs w:val="28"/>
          <w:highlight w:val="none"/>
          <w:lang w:val="en-US" w:eastAsia="zh-CN"/>
        </w:rPr>
      </w:pPr>
      <w:bookmarkStart w:id="116" w:name="_Toc7180"/>
      <w:r>
        <w:rPr>
          <w:rFonts w:hint="eastAsia"/>
          <w:sz w:val="36"/>
          <w:szCs w:val="28"/>
          <w:highlight w:val="none"/>
        </w:rPr>
        <w:t>附件十</w:t>
      </w:r>
      <w:r>
        <w:rPr>
          <w:rFonts w:hint="eastAsia"/>
          <w:sz w:val="36"/>
          <w:szCs w:val="28"/>
          <w:highlight w:val="none"/>
          <w:lang w:val="en-US" w:eastAsia="zh-CN"/>
        </w:rPr>
        <w:t>二</w:t>
      </w:r>
      <w:r>
        <w:rPr>
          <w:rFonts w:hint="eastAsia"/>
          <w:sz w:val="36"/>
          <w:szCs w:val="28"/>
          <w:highlight w:val="none"/>
        </w:rPr>
        <w:t>：节能产品明细表</w:t>
      </w:r>
      <w:r>
        <w:rPr>
          <w:rFonts w:hint="eastAsia"/>
          <w:sz w:val="36"/>
          <w:szCs w:val="28"/>
          <w:highlight w:val="none"/>
          <w:lang w:eastAsia="zh-CN"/>
        </w:rPr>
        <w:t>（</w:t>
      </w:r>
      <w:r>
        <w:rPr>
          <w:rFonts w:hint="eastAsia"/>
          <w:sz w:val="36"/>
          <w:szCs w:val="28"/>
          <w:highlight w:val="none"/>
          <w:lang w:val="en-US" w:eastAsia="zh-CN"/>
        </w:rPr>
        <w:t>非强制节能产品）</w:t>
      </w:r>
      <w:bookmarkEnd w:id="116"/>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28"/>
        <w:gridCol w:w="1922"/>
        <w:gridCol w:w="912"/>
        <w:gridCol w:w="1417"/>
        <w:gridCol w:w="1417"/>
        <w:gridCol w:w="1542"/>
        <w:gridCol w:w="1600"/>
        <w:gridCol w:w="11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202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92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c>
          <w:tcPr>
            <w:tcW w:w="4130" w:type="dxa"/>
            <w:gridSpan w:val="3"/>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vAlign w:val="center"/>
          </w:tcPr>
          <w:p>
            <w:pPr>
              <w:shd w:val="clear"/>
              <w:jc w:val="center"/>
              <w:rPr>
                <w:rFonts w:ascii="仿宋" w:hAnsi="仿宋" w:eastAsia="仿宋" w:cs="仿宋"/>
                <w:sz w:val="28"/>
                <w:szCs w:val="28"/>
                <w:highlight w:val="none"/>
              </w:rPr>
            </w:pPr>
          </w:p>
        </w:tc>
        <w:tc>
          <w:tcPr>
            <w:tcW w:w="2028" w:type="dxa"/>
            <w:vMerge w:val="continue"/>
            <w:vAlign w:val="center"/>
          </w:tcPr>
          <w:p>
            <w:pPr>
              <w:shd w:val="clear"/>
              <w:jc w:val="center"/>
              <w:rPr>
                <w:rFonts w:ascii="仿宋" w:hAnsi="仿宋" w:eastAsia="仿宋" w:cs="仿宋"/>
                <w:sz w:val="28"/>
                <w:szCs w:val="28"/>
                <w:highlight w:val="none"/>
              </w:rPr>
            </w:pPr>
          </w:p>
        </w:tc>
        <w:tc>
          <w:tcPr>
            <w:tcW w:w="1922"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单价（元）</w:t>
            </w:r>
          </w:p>
        </w:tc>
        <w:tc>
          <w:tcPr>
            <w:tcW w:w="1112"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418" w:type="dxa"/>
            <w:vAlign w:val="center"/>
          </w:tcPr>
          <w:p>
            <w:pPr>
              <w:shd w:val="clear"/>
              <w:jc w:val="center"/>
              <w:rPr>
                <w:rFonts w:ascii="仿宋" w:hAnsi="仿宋" w:eastAsia="仿宋" w:cs="仿宋"/>
                <w:sz w:val="28"/>
                <w:szCs w:val="28"/>
                <w:highlight w:val="none"/>
              </w:rPr>
            </w:pPr>
            <w:r>
              <w:rPr>
                <w:rFonts w:hint="eastAsia" w:ascii="仿宋" w:hAnsi="仿宋" w:eastAsia="仿宋" w:cs="仿宋"/>
                <w:sz w:val="28"/>
                <w:szCs w:val="28"/>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shd w:val="clear"/>
              <w:jc w:val="center"/>
              <w:rPr>
                <w:rFonts w:ascii="仿宋" w:hAnsi="仿宋" w:eastAsia="仿宋" w:cs="仿宋"/>
                <w:sz w:val="28"/>
                <w:szCs w:val="28"/>
                <w:highlight w:val="none"/>
              </w:rPr>
            </w:pPr>
          </w:p>
        </w:tc>
        <w:tc>
          <w:tcPr>
            <w:tcW w:w="2028" w:type="dxa"/>
            <w:vAlign w:val="center"/>
          </w:tcPr>
          <w:p>
            <w:pPr>
              <w:shd w:val="clear"/>
              <w:jc w:val="center"/>
              <w:rPr>
                <w:rFonts w:ascii="仿宋" w:hAnsi="仿宋" w:eastAsia="仿宋" w:cs="仿宋"/>
                <w:sz w:val="28"/>
                <w:szCs w:val="28"/>
                <w:highlight w:val="none"/>
              </w:rPr>
            </w:pPr>
          </w:p>
        </w:tc>
        <w:tc>
          <w:tcPr>
            <w:tcW w:w="1922"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c>
          <w:tcPr>
            <w:tcW w:w="1600" w:type="dxa"/>
            <w:vAlign w:val="center"/>
          </w:tcPr>
          <w:p>
            <w:pPr>
              <w:shd w:val="clear"/>
              <w:jc w:val="center"/>
              <w:rPr>
                <w:rFonts w:ascii="仿宋" w:hAnsi="仿宋" w:eastAsia="仿宋" w:cs="仿宋"/>
                <w:sz w:val="28"/>
                <w:szCs w:val="28"/>
                <w:highlight w:val="none"/>
              </w:rPr>
            </w:pPr>
          </w:p>
        </w:tc>
        <w:tc>
          <w:tcPr>
            <w:tcW w:w="1112" w:type="dxa"/>
            <w:vAlign w:val="center"/>
          </w:tcPr>
          <w:p>
            <w:pPr>
              <w:shd w:val="clear"/>
              <w:jc w:val="center"/>
              <w:rPr>
                <w:rFonts w:ascii="仿宋" w:hAnsi="仿宋" w:eastAsia="仿宋" w:cs="仿宋"/>
                <w:sz w:val="28"/>
                <w:szCs w:val="28"/>
                <w:highlight w:val="none"/>
              </w:rPr>
            </w:pPr>
          </w:p>
        </w:tc>
        <w:tc>
          <w:tcPr>
            <w:tcW w:w="1418"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b/>
          <w:bCs/>
          <w:sz w:val="28"/>
          <w:szCs w:val="28"/>
          <w:highlight w:val="none"/>
        </w:rPr>
      </w:pPr>
      <w:r>
        <w:rPr>
          <w:rFonts w:hint="eastAsia" w:ascii="仿宋" w:hAnsi="仿宋" w:eastAsia="仿宋" w:cs="仿宋"/>
          <w:sz w:val="28"/>
          <w:szCs w:val="28"/>
          <w:highlight w:val="none"/>
        </w:rPr>
        <w:t>说明：所报产品属于《节能产品政府采购品目清单》（财库〔2019〕19 号）内的品目，应附《国家节能产品认证证书》，并按规定格式逐项填写，否则评审时不予</w:t>
      </w:r>
      <w:r>
        <w:rPr>
          <w:rFonts w:hint="eastAsia" w:ascii="仿宋" w:hAnsi="仿宋" w:eastAsia="仿宋" w:cs="仿宋"/>
          <w:sz w:val="28"/>
          <w:szCs w:val="28"/>
          <w:highlight w:val="none"/>
          <w:lang w:val="en-US" w:eastAsia="zh-CN"/>
        </w:rPr>
        <w:t>价格扣除</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如所投产品不是节能产品，则不需填写本表。</w:t>
      </w:r>
    </w:p>
    <w:p>
      <w:pPr>
        <w:shd w:val="clear"/>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ascii="仿宋" w:hAnsi="仿宋" w:eastAsia="仿宋" w:cs="仿宋"/>
          <w:sz w:val="28"/>
          <w:szCs w:val="28"/>
          <w:highlight w:val="none"/>
        </w:rPr>
        <w:t>名称（盖章）：法定代表人</w:t>
      </w:r>
      <w:r>
        <w:rPr>
          <w:rFonts w:hint="eastAsia" w:ascii="仿宋" w:hAnsi="仿宋" w:eastAsia="仿宋" w:cs="仿宋"/>
          <w:sz w:val="28"/>
          <w:szCs w:val="28"/>
          <w:highlight w:val="none"/>
        </w:rPr>
        <w:t>或授权代表</w:t>
      </w:r>
      <w:r>
        <w:rPr>
          <w:rFonts w:ascii="仿宋" w:hAnsi="仿宋" w:eastAsia="仿宋" w:cs="仿宋"/>
          <w:sz w:val="28"/>
          <w:szCs w:val="28"/>
          <w:highlight w:val="none"/>
        </w:rPr>
        <w:t>（签字或盖章）：</w:t>
      </w:r>
    </w:p>
    <w:p>
      <w:pPr>
        <w:shd w:val="clear"/>
        <w:jc w:val="right"/>
        <w:rPr>
          <w:rFonts w:ascii="仿宋" w:hAnsi="仿宋" w:eastAsia="仿宋" w:cs="仿宋"/>
          <w:sz w:val="28"/>
          <w:szCs w:val="28"/>
          <w:highlight w:val="none"/>
        </w:rPr>
      </w:pPr>
      <w:r>
        <w:rPr>
          <w:rFonts w:ascii="仿宋" w:hAnsi="仿宋" w:eastAsia="仿宋" w:cs="仿宋"/>
          <w:sz w:val="28"/>
          <w:szCs w:val="28"/>
          <w:highlight w:val="none"/>
        </w:rPr>
        <w:t xml:space="preserve">日期：      年    月    </w:t>
      </w:r>
      <w:r>
        <w:rPr>
          <w:rFonts w:hint="eastAsia" w:ascii="仿宋" w:hAnsi="仿宋" w:eastAsia="仿宋" w:cs="仿宋"/>
          <w:sz w:val="28"/>
          <w:szCs w:val="28"/>
          <w:highlight w:val="none"/>
        </w:rPr>
        <w:t>日</w:t>
      </w:r>
    </w:p>
    <w:p>
      <w:pPr>
        <w:shd w:val="clear"/>
        <w:rPr>
          <w:sz w:val="22"/>
          <w:szCs w:val="28"/>
          <w:highlight w:val="none"/>
        </w:rPr>
      </w:pPr>
    </w:p>
    <w:p>
      <w:pPr>
        <w:shd w:val="clear"/>
        <w:rPr>
          <w:sz w:val="22"/>
          <w:szCs w:val="28"/>
          <w:highlight w:val="none"/>
        </w:rPr>
        <w:sectPr>
          <w:pgSz w:w="16838" w:h="11906" w:orient="landscape"/>
          <w:pgMar w:top="1803" w:right="1440" w:bottom="148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pStyle w:val="5"/>
        <w:shd w:val="clear"/>
        <w:spacing w:before="159" w:after="159"/>
        <w:rPr>
          <w:sz w:val="36"/>
          <w:szCs w:val="28"/>
          <w:highlight w:val="none"/>
        </w:rPr>
      </w:pPr>
      <w:bookmarkStart w:id="117" w:name="_Toc2388"/>
      <w:r>
        <w:rPr>
          <w:rFonts w:hint="eastAsia"/>
          <w:sz w:val="36"/>
          <w:szCs w:val="28"/>
          <w:highlight w:val="none"/>
        </w:rPr>
        <w:t>附件十</w:t>
      </w:r>
      <w:r>
        <w:rPr>
          <w:rFonts w:hint="eastAsia"/>
          <w:sz w:val="36"/>
          <w:szCs w:val="28"/>
          <w:highlight w:val="none"/>
          <w:lang w:val="en-US" w:eastAsia="zh-CN"/>
        </w:rPr>
        <w:t>三</w:t>
      </w:r>
      <w:r>
        <w:rPr>
          <w:rFonts w:hint="eastAsia"/>
          <w:sz w:val="36"/>
          <w:szCs w:val="28"/>
          <w:highlight w:val="none"/>
        </w:rPr>
        <w:t>：政府强制采购节能产品明细表</w:t>
      </w:r>
      <w:bookmarkEnd w:id="117"/>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tabs>
          <w:tab w:val="left" w:pos="12562"/>
        </w:tabs>
        <w:jc w:val="left"/>
        <w:rPr>
          <w:rFonts w:ascii="仿宋" w:hAnsi="仿宋" w:eastAsia="仿宋" w:cs="仿宋"/>
          <w:sz w:val="28"/>
          <w:szCs w:val="28"/>
          <w:highlight w:val="none"/>
        </w:rPr>
      </w:pPr>
      <w:r>
        <w:rPr>
          <w:rFonts w:hint="eastAsia" w:ascii="仿宋" w:hAnsi="仿宋" w:eastAsia="仿宋" w:cs="仿宋"/>
          <w:sz w:val="28"/>
          <w:szCs w:val="28"/>
          <w:highlight w:val="none"/>
        </w:rPr>
        <w:t>项目名称：</w:t>
      </w:r>
    </w:p>
    <w:tbl>
      <w:tblPr>
        <w:tblStyle w:val="19"/>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513"/>
        <w:gridCol w:w="1208"/>
        <w:gridCol w:w="912"/>
        <w:gridCol w:w="1417"/>
        <w:gridCol w:w="141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13"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产品名称</w:t>
            </w:r>
          </w:p>
        </w:tc>
        <w:tc>
          <w:tcPr>
            <w:tcW w:w="1208"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制造商</w:t>
            </w:r>
          </w:p>
        </w:tc>
        <w:tc>
          <w:tcPr>
            <w:tcW w:w="91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品牌</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产品型号</w:t>
            </w:r>
          </w:p>
        </w:tc>
        <w:tc>
          <w:tcPr>
            <w:tcW w:w="1417"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节能标志认证证书编    号</w:t>
            </w:r>
          </w:p>
        </w:tc>
        <w:tc>
          <w:tcPr>
            <w:tcW w:w="1542" w:type="dxa"/>
            <w:vMerge w:val="restart"/>
            <w:vAlign w:val="center"/>
          </w:tcPr>
          <w:p>
            <w:pPr>
              <w:shd w:val="clear"/>
              <w:snapToGrid w:val="0"/>
              <w:jc w:val="center"/>
              <w:rPr>
                <w:rFonts w:ascii="仿宋" w:hAnsi="仿宋" w:eastAsia="仿宋" w:cs="仿宋"/>
                <w:sz w:val="28"/>
                <w:szCs w:val="28"/>
                <w:highlight w:val="none"/>
              </w:rPr>
            </w:pPr>
            <w:r>
              <w:rPr>
                <w:rFonts w:hint="eastAsia" w:ascii="仿宋" w:hAnsi="仿宋" w:eastAsia="仿宋" w:cs="仿宋"/>
                <w:sz w:val="28"/>
                <w:szCs w:val="28"/>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vMerge w:val="continue"/>
            <w:vAlign w:val="center"/>
          </w:tcPr>
          <w:p>
            <w:pPr>
              <w:shd w:val="clear"/>
              <w:jc w:val="center"/>
              <w:rPr>
                <w:rFonts w:ascii="仿宋" w:hAnsi="仿宋" w:eastAsia="仿宋" w:cs="仿宋"/>
                <w:sz w:val="28"/>
                <w:szCs w:val="28"/>
                <w:highlight w:val="none"/>
              </w:rPr>
            </w:pPr>
          </w:p>
        </w:tc>
        <w:tc>
          <w:tcPr>
            <w:tcW w:w="1513" w:type="dxa"/>
            <w:vMerge w:val="continue"/>
            <w:vAlign w:val="center"/>
          </w:tcPr>
          <w:p>
            <w:pPr>
              <w:shd w:val="clear"/>
              <w:jc w:val="center"/>
              <w:rPr>
                <w:rFonts w:ascii="仿宋" w:hAnsi="仿宋" w:eastAsia="仿宋" w:cs="仿宋"/>
                <w:sz w:val="28"/>
                <w:szCs w:val="28"/>
                <w:highlight w:val="none"/>
              </w:rPr>
            </w:pPr>
          </w:p>
        </w:tc>
        <w:tc>
          <w:tcPr>
            <w:tcW w:w="1208" w:type="dxa"/>
            <w:vMerge w:val="continue"/>
            <w:vAlign w:val="center"/>
          </w:tcPr>
          <w:p>
            <w:pPr>
              <w:shd w:val="clear"/>
              <w:jc w:val="center"/>
              <w:rPr>
                <w:rFonts w:ascii="仿宋" w:hAnsi="仿宋" w:eastAsia="仿宋" w:cs="仿宋"/>
                <w:sz w:val="28"/>
                <w:szCs w:val="28"/>
                <w:highlight w:val="none"/>
              </w:rPr>
            </w:pPr>
          </w:p>
        </w:tc>
        <w:tc>
          <w:tcPr>
            <w:tcW w:w="912"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417" w:type="dxa"/>
            <w:vMerge w:val="continue"/>
            <w:vAlign w:val="center"/>
          </w:tcPr>
          <w:p>
            <w:pPr>
              <w:shd w:val="clear"/>
              <w:jc w:val="center"/>
              <w:rPr>
                <w:rFonts w:ascii="仿宋" w:hAnsi="仿宋" w:eastAsia="仿宋" w:cs="仿宋"/>
                <w:sz w:val="28"/>
                <w:szCs w:val="28"/>
                <w:highlight w:val="none"/>
              </w:rPr>
            </w:pPr>
          </w:p>
        </w:tc>
        <w:tc>
          <w:tcPr>
            <w:tcW w:w="1542" w:type="dxa"/>
            <w:vMerge w:val="continue"/>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shd w:val="clear"/>
              <w:jc w:val="center"/>
              <w:rPr>
                <w:rFonts w:ascii="仿宋" w:hAnsi="仿宋" w:eastAsia="仿宋" w:cs="仿宋"/>
                <w:sz w:val="28"/>
                <w:szCs w:val="28"/>
                <w:highlight w:val="none"/>
              </w:rPr>
            </w:pPr>
          </w:p>
        </w:tc>
        <w:tc>
          <w:tcPr>
            <w:tcW w:w="1513" w:type="dxa"/>
            <w:vAlign w:val="center"/>
          </w:tcPr>
          <w:p>
            <w:pPr>
              <w:shd w:val="clear"/>
              <w:jc w:val="center"/>
              <w:rPr>
                <w:rFonts w:ascii="仿宋" w:hAnsi="仿宋" w:eastAsia="仿宋" w:cs="仿宋"/>
                <w:sz w:val="28"/>
                <w:szCs w:val="28"/>
                <w:highlight w:val="none"/>
              </w:rPr>
            </w:pPr>
          </w:p>
        </w:tc>
        <w:tc>
          <w:tcPr>
            <w:tcW w:w="1208" w:type="dxa"/>
            <w:vAlign w:val="center"/>
          </w:tcPr>
          <w:p>
            <w:pPr>
              <w:shd w:val="clear"/>
              <w:jc w:val="center"/>
              <w:rPr>
                <w:rFonts w:ascii="仿宋" w:hAnsi="仿宋" w:eastAsia="仿宋" w:cs="仿宋"/>
                <w:sz w:val="28"/>
                <w:szCs w:val="28"/>
                <w:highlight w:val="none"/>
              </w:rPr>
            </w:pPr>
          </w:p>
        </w:tc>
        <w:tc>
          <w:tcPr>
            <w:tcW w:w="912"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417" w:type="dxa"/>
            <w:vAlign w:val="center"/>
          </w:tcPr>
          <w:p>
            <w:pPr>
              <w:shd w:val="clear"/>
              <w:jc w:val="center"/>
              <w:rPr>
                <w:rFonts w:ascii="仿宋" w:hAnsi="仿宋" w:eastAsia="仿宋" w:cs="仿宋"/>
                <w:sz w:val="28"/>
                <w:szCs w:val="28"/>
                <w:highlight w:val="none"/>
              </w:rPr>
            </w:pPr>
          </w:p>
        </w:tc>
        <w:tc>
          <w:tcPr>
            <w:tcW w:w="1542" w:type="dxa"/>
            <w:vAlign w:val="center"/>
          </w:tcPr>
          <w:p>
            <w:pPr>
              <w:shd w:val="clear"/>
              <w:jc w:val="center"/>
              <w:rPr>
                <w:rFonts w:ascii="仿宋" w:hAnsi="仿宋" w:eastAsia="仿宋" w:cs="仿宋"/>
                <w:sz w:val="28"/>
                <w:szCs w:val="28"/>
                <w:highlight w:val="none"/>
              </w:rPr>
            </w:pPr>
          </w:p>
        </w:tc>
      </w:tr>
    </w:tbl>
    <w:p>
      <w:pPr>
        <w:shd w:val="clear"/>
        <w:rPr>
          <w:rFonts w:ascii="仿宋" w:hAnsi="仿宋" w:eastAsia="仿宋" w:cs="仿宋"/>
          <w:sz w:val="28"/>
          <w:szCs w:val="28"/>
          <w:highlight w:val="none"/>
        </w:rPr>
      </w:pPr>
      <w:r>
        <w:rPr>
          <w:rFonts w:hint="eastAsia" w:ascii="仿宋" w:hAnsi="仿宋" w:eastAsia="仿宋" w:cs="仿宋"/>
          <w:sz w:val="28"/>
          <w:szCs w:val="28"/>
          <w:highlight w:val="none"/>
        </w:rPr>
        <w:t>说明：1、政府采购强制节能产品根据《节能产品政府采购品目清单》（财库〔2019〕19号）内的品目确定。</w:t>
      </w:r>
    </w:p>
    <w:p>
      <w:pPr>
        <w:shd w:val="clea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★2、如所投产品为政府强制采购节能产品，必须按规定格式逐项填写，且提供《国家节能产品认证证书》，否则按无效投标处理。</w:t>
      </w: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6"/>
          <w:szCs w:val="26"/>
          <w:highlight w:val="none"/>
        </w:rPr>
      </w:pPr>
      <w:r>
        <w:rPr>
          <w:rFonts w:hint="eastAsia" w:ascii="仿宋" w:hAnsi="仿宋" w:eastAsia="仿宋" w:cs="仿宋"/>
          <w:sz w:val="28"/>
          <w:szCs w:val="28"/>
          <w:highlight w:val="none"/>
        </w:rPr>
        <w:t>日期：     年   月   日</w:t>
      </w:r>
    </w:p>
    <w:p>
      <w:pPr>
        <w:shd w:val="clear"/>
        <w:rPr>
          <w:b/>
          <w:bCs/>
          <w:highlight w:val="none"/>
        </w:rPr>
      </w:pPr>
      <w:r>
        <w:rPr>
          <w:rFonts w:hint="eastAsia"/>
          <w:b/>
          <w:bCs/>
          <w:highlight w:val="none"/>
        </w:rPr>
        <w:br w:type="page"/>
      </w:r>
    </w:p>
    <w:p>
      <w:pPr>
        <w:shd w:val="clea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附表1：</w:t>
      </w:r>
    </w:p>
    <w:p>
      <w:pPr>
        <w:shd w:val="clear"/>
        <w:autoSpaceDE w:val="0"/>
        <w:autoSpaceDN w:val="0"/>
        <w:spacing w:afterLines="100"/>
        <w:jc w:val="center"/>
        <w:outlineLvl w:val="0"/>
        <w:rPr>
          <w:rFonts w:ascii="仿宋" w:hAnsi="仿宋" w:eastAsia="仿宋" w:cs="仿宋"/>
          <w:sz w:val="40"/>
          <w:szCs w:val="40"/>
          <w:highlight w:val="none"/>
        </w:rPr>
      </w:pPr>
      <w:bookmarkStart w:id="118" w:name="_Toc29070"/>
      <w:r>
        <w:rPr>
          <w:rFonts w:hint="eastAsia" w:ascii="仿宋" w:hAnsi="仿宋" w:eastAsia="仿宋" w:cs="仿宋"/>
          <w:sz w:val="40"/>
          <w:szCs w:val="40"/>
          <w:highlight w:val="none"/>
        </w:rPr>
        <w:t>节能产品政府采购品目清单</w:t>
      </w:r>
      <w:bookmarkEnd w:id="118"/>
    </w:p>
    <w:tbl>
      <w:tblPr>
        <w:tblStyle w:val="18"/>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vAlign w:val="center"/>
          </w:tcPr>
          <w:p>
            <w:pPr>
              <w:pStyle w:val="26"/>
              <w:shd w:val="clear"/>
              <w:spacing w:before="94" w:line="266" w:lineRule="auto"/>
              <w:ind w:left="64" w:right="55"/>
              <w:jc w:val="center"/>
              <w:rPr>
                <w:rFonts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vAlign w:val="center"/>
          </w:tcPr>
          <w:p>
            <w:pPr>
              <w:pStyle w:val="26"/>
              <w:shd w:val="clear"/>
              <w:spacing w:before="1"/>
              <w:ind w:left="2199" w:right="2193"/>
              <w:jc w:val="center"/>
              <w:rPr>
                <w:rFonts w:ascii="仿宋" w:hAnsi="仿宋" w:eastAsia="仿宋" w:cs="仿宋"/>
                <w:b/>
                <w:sz w:val="22"/>
                <w:highlight w:val="none"/>
              </w:rPr>
            </w:pPr>
            <w:r>
              <w:rPr>
                <w:rFonts w:hint="eastAsia" w:ascii="仿宋" w:hAnsi="仿宋" w:eastAsia="仿宋" w:cs="仿宋"/>
                <w:b/>
                <w:sz w:val="22"/>
                <w:highlight w:val="none"/>
              </w:rPr>
              <w:t>名称</w:t>
            </w:r>
          </w:p>
        </w:tc>
        <w:tc>
          <w:tcPr>
            <w:tcW w:w="2967" w:type="dxa"/>
            <w:vAlign w:val="center"/>
          </w:tcPr>
          <w:p>
            <w:pPr>
              <w:pStyle w:val="26"/>
              <w:shd w:val="clear"/>
              <w:autoSpaceDE w:val="0"/>
              <w:autoSpaceDN w:val="0"/>
              <w:jc w:val="center"/>
              <w:rPr>
                <w:rFonts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vAlign w:val="center"/>
          </w:tcPr>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A020101</w:t>
            </w:r>
          </w:p>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vAlign w:val="center"/>
          </w:tcPr>
          <w:p>
            <w:pPr>
              <w:pStyle w:val="26"/>
              <w:shd w:val="clear"/>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★A02010104</w:t>
            </w:r>
          </w:p>
          <w:p>
            <w:pPr>
              <w:pStyle w:val="26"/>
              <w:shd w:val="clear"/>
              <w:spacing w:before="126"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★A02010105</w:t>
            </w:r>
          </w:p>
          <w:p>
            <w:pPr>
              <w:pStyle w:val="26"/>
              <w:shd w:val="clear"/>
              <w:spacing w:before="24" w:line="310" w:lineRule="atLeast"/>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24"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★A02010107</w:t>
            </w:r>
          </w:p>
          <w:p>
            <w:pPr>
              <w:pStyle w:val="26"/>
              <w:shd w:val="clear"/>
              <w:spacing w:before="97"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9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vAlign w:val="center"/>
          </w:tcPr>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6"/>
              <w:shd w:val="clear"/>
              <w:spacing w:before="85"/>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vAlign w:val="center"/>
          </w:tcPr>
          <w:p>
            <w:pPr>
              <w:pStyle w:val="26"/>
              <w:shd w:val="clear"/>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6"/>
              <w:shd w:val="clear"/>
              <w:spacing w:before="102"/>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vAlign w:val="center"/>
          </w:tcPr>
          <w:p>
            <w:pPr>
              <w:pStyle w:val="26"/>
              <w:shd w:val="clear"/>
              <w:spacing w:before="10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39"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vAlign w:val="center"/>
          </w:tcPr>
          <w:p>
            <w:pPr>
              <w:pStyle w:val="26"/>
              <w:shd w:val="clear"/>
              <w:spacing w:before="83"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6"/>
              <w:shd w:val="clear"/>
              <w:spacing w:before="55"/>
              <w:ind w:left="9"/>
              <w:rPr>
                <w:rFonts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vAlign w:val="center"/>
          </w:tcPr>
          <w:p>
            <w:pPr>
              <w:pStyle w:val="26"/>
              <w:shd w:val="clear"/>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A020202</w:t>
            </w:r>
          </w:p>
          <w:p>
            <w:pPr>
              <w:pStyle w:val="26"/>
              <w:shd w:val="clear"/>
              <w:spacing w:before="56"/>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vAlign w:val="center"/>
          </w:tcPr>
          <w:p>
            <w:pPr>
              <w:pStyle w:val="26"/>
              <w:shd w:val="clear"/>
              <w:spacing w:before="10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00"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37"/>
              <w:ind w:left="9"/>
              <w:rPr>
                <w:rFonts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vAlign w:val="center"/>
          </w:tcPr>
          <w:p>
            <w:pPr>
              <w:pStyle w:val="26"/>
              <w:shd w:val="clear"/>
              <w:spacing w:before="135"/>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vAlign w:val="center"/>
          </w:tcPr>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★A02052301</w:t>
            </w:r>
          </w:p>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vAlign w:val="center"/>
          </w:tcPr>
          <w:p>
            <w:pPr>
              <w:pStyle w:val="26"/>
              <w:shd w:val="clear"/>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vAlign w:val="center"/>
          </w:tcPr>
          <w:p>
            <w:pPr>
              <w:pStyle w:val="26"/>
              <w:shd w:val="clear"/>
              <w:spacing w:before="85"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vAlign w:val="center"/>
          </w:tcPr>
          <w:p>
            <w:pPr>
              <w:pStyle w:val="26"/>
              <w:shd w:val="clear"/>
              <w:jc w:val="center"/>
              <w:rPr>
                <w:rFonts w:ascii="仿宋" w:hAnsi="仿宋" w:eastAsia="仿宋" w:cs="仿宋"/>
                <w:szCs w:val="32"/>
                <w:highlight w:val="none"/>
              </w:rPr>
            </w:pPr>
          </w:p>
        </w:tc>
        <w:tc>
          <w:tcPr>
            <w:tcW w:w="1167" w:type="dxa"/>
            <w:vMerge w:val="continue"/>
            <w:tcBorders>
              <w:left w:val="single" w:color="auto" w:sz="4" w:space="0"/>
              <w:right w:val="single" w:color="auto" w:sz="4" w:space="0"/>
            </w:tcBorders>
            <w:vAlign w:val="center"/>
          </w:tcPr>
          <w:p>
            <w:pPr>
              <w:pStyle w:val="26"/>
              <w:shd w:val="clear"/>
              <w:jc w:val="center"/>
              <w:rPr>
                <w:rFonts w:ascii="仿宋" w:hAnsi="仿宋" w:eastAsia="仿宋" w:cs="仿宋"/>
                <w:szCs w:val="32"/>
                <w:highlight w:val="none"/>
              </w:rPr>
            </w:pPr>
          </w:p>
        </w:tc>
        <w:tc>
          <w:tcPr>
            <w:tcW w:w="1801" w:type="dxa"/>
            <w:vMerge w:val="continue"/>
            <w:tcBorders>
              <w:left w:val="single" w:color="auto" w:sz="4" w:space="0"/>
              <w:right w:val="single" w:color="auto" w:sz="4" w:space="0"/>
            </w:tcBorders>
            <w:vAlign w:val="center"/>
          </w:tcPr>
          <w:p>
            <w:pPr>
              <w:pStyle w:val="26"/>
              <w:shd w:val="clear"/>
              <w:jc w:val="center"/>
              <w:rPr>
                <w:rFonts w:ascii="仿宋" w:hAnsi="仿宋" w:eastAsia="仿宋" w:cs="仿宋"/>
                <w:szCs w:val="32"/>
                <w:highlight w:val="none"/>
              </w:rPr>
            </w:pPr>
          </w:p>
        </w:tc>
        <w:tc>
          <w:tcPr>
            <w:tcW w:w="1916" w:type="dxa"/>
            <w:vAlign w:val="center"/>
          </w:tcPr>
          <w:p>
            <w:pPr>
              <w:pStyle w:val="26"/>
              <w:shd w:val="clear"/>
              <w:spacing w:before="126" w:line="292" w:lineRule="auto"/>
              <w:ind w:left="9" w:right="5"/>
              <w:jc w:val="center"/>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vAlign w:val="center"/>
          </w:tcPr>
          <w:p>
            <w:pPr>
              <w:pStyle w:val="26"/>
              <w:shd w:val="clear"/>
              <w:spacing w:before="126"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restart"/>
            <w:vAlign w:val="center"/>
          </w:tcPr>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★A02052305</w:t>
            </w:r>
          </w:p>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vAlign w:val="center"/>
          </w:tcPr>
          <w:p>
            <w:pPr>
              <w:pStyle w:val="26"/>
              <w:shd w:val="clear"/>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vAlign w:val="center"/>
          </w:tcPr>
          <w:p>
            <w:pPr>
              <w:pStyle w:val="26"/>
              <w:shd w:val="clear"/>
              <w:spacing w:before="42"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16" w:line="290"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vAlign w:val="center"/>
          </w:tcPr>
          <w:p>
            <w:pPr>
              <w:pStyle w:val="26"/>
              <w:shd w:val="clear"/>
              <w:spacing w:before="116" w:line="290"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167" w:type="dxa"/>
            <w:vMerge w:val="continue"/>
            <w:tcBorders>
              <w:left w:val="single" w:color="auto" w:sz="4" w:space="0"/>
              <w:right w:val="single" w:color="auto" w:sz="4" w:space="0"/>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Align w:val="center"/>
          </w:tcPr>
          <w:p>
            <w:pPr>
              <w:pStyle w:val="26"/>
              <w:shd w:val="clear"/>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vAlign w:val="center"/>
          </w:tcPr>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vAlign w:val="center"/>
          </w:tcPr>
          <w:p>
            <w:pPr>
              <w:pStyle w:val="26"/>
              <w:shd w:val="clear"/>
              <w:jc w:val="center"/>
              <w:rPr>
                <w:rFonts w:ascii="仿宋" w:hAnsi="仿宋" w:eastAsia="仿宋" w:cs="仿宋"/>
                <w:szCs w:val="32"/>
                <w:highlight w:val="none"/>
              </w:rPr>
            </w:pP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vAlign w:val="center"/>
          </w:tcPr>
          <w:p>
            <w:pPr>
              <w:pStyle w:val="26"/>
              <w:shd w:val="clear"/>
              <w:spacing w:before="1"/>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vAlign w:val="center"/>
          </w:tcPr>
          <w:p>
            <w:pPr>
              <w:pStyle w:val="26"/>
              <w:shd w:val="clear"/>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A020602</w:t>
            </w:r>
          </w:p>
          <w:p>
            <w:pPr>
              <w:pStyle w:val="26"/>
              <w:shd w:val="clear"/>
              <w:spacing w:before="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0" w:line="310" w:lineRule="atLeast"/>
              <w:ind w:left="9" w:right="3"/>
              <w:rPr>
                <w:rFonts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vAlign w:val="center"/>
          </w:tcPr>
          <w:p>
            <w:pPr>
              <w:pStyle w:val="26"/>
              <w:shd w:val="clear"/>
              <w:ind w:left="5"/>
              <w:jc w:val="center"/>
              <w:rPr>
                <w:rFonts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vAlign w:val="center"/>
          </w:tcPr>
          <w:p>
            <w:pPr>
              <w:pStyle w:val="26"/>
              <w:shd w:val="clear"/>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★A020609</w:t>
            </w:r>
          </w:p>
          <w:p>
            <w:pPr>
              <w:pStyle w:val="26"/>
              <w:shd w:val="clear"/>
              <w:spacing w:before="160"/>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60"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vAlign w:val="center"/>
          </w:tcPr>
          <w:p>
            <w:pPr>
              <w:pStyle w:val="26"/>
              <w:shd w:val="clear"/>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vAlign w:val="center"/>
          </w:tcPr>
          <w:p>
            <w:pPr>
              <w:pStyle w:val="26"/>
              <w:shd w:val="clear"/>
              <w:spacing w:before="167"/>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tabs>
                <w:tab w:val="left" w:pos="1410"/>
              </w:tabs>
              <w:spacing w:before="8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restart"/>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vAlign w:val="center"/>
          </w:tcPr>
          <w:p>
            <w:pPr>
              <w:pStyle w:val="26"/>
              <w:shd w:val="clear"/>
              <w:spacing w:before="37" w:line="292" w:lineRule="auto"/>
              <w:ind w:left="9" w:right="2"/>
              <w:rPr>
                <w:rFonts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37"/>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6"/>
              <w:shd w:val="clear"/>
              <w:spacing w:before="56"/>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vAlign w:val="center"/>
          </w:tcPr>
          <w:p>
            <w:pPr>
              <w:pStyle w:val="26"/>
              <w:shd w:val="clear"/>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39"/>
              <w:ind w:left="9"/>
              <w:rPr>
                <w:rFonts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6"/>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pStyle w:val="26"/>
              <w:shd w:val="clear"/>
              <w:jc w:val="center"/>
              <w:rPr>
                <w:rFonts w:ascii="仿宋" w:hAnsi="仿宋" w:eastAsia="仿宋" w:cs="仿宋"/>
                <w:szCs w:val="32"/>
                <w:highlight w:val="none"/>
              </w:rPr>
            </w:pPr>
          </w:p>
        </w:tc>
        <w:tc>
          <w:tcPr>
            <w:tcW w:w="1167" w:type="dxa"/>
            <w:vMerge w:val="continue"/>
            <w:vAlign w:val="center"/>
          </w:tcPr>
          <w:p>
            <w:pPr>
              <w:pStyle w:val="26"/>
              <w:shd w:val="clear"/>
              <w:jc w:val="center"/>
              <w:rPr>
                <w:rFonts w:ascii="仿宋" w:hAnsi="仿宋" w:eastAsia="仿宋" w:cs="仿宋"/>
                <w:szCs w:val="32"/>
                <w:highlight w:val="none"/>
              </w:rPr>
            </w:pPr>
          </w:p>
        </w:tc>
        <w:tc>
          <w:tcPr>
            <w:tcW w:w="1801" w:type="dxa"/>
            <w:vMerge w:val="restart"/>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vAlign w:val="center"/>
          </w:tcPr>
          <w:p>
            <w:pPr>
              <w:pStyle w:val="26"/>
              <w:shd w:val="clear"/>
              <w:tabs>
                <w:tab w:val="left" w:pos="1609"/>
              </w:tabs>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vAlign w:val="center"/>
          </w:tcPr>
          <w:p>
            <w:pPr>
              <w:pStyle w:val="26"/>
              <w:shd w:val="clear"/>
              <w:spacing w:before="3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6"/>
              <w:shd w:val="clear"/>
              <w:spacing w:line="255" w:lineRule="exact"/>
              <w:ind w:left="9"/>
              <w:rPr>
                <w:rFonts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vAlign w:val="center"/>
          </w:tcPr>
          <w:p>
            <w:pPr>
              <w:pStyle w:val="26"/>
              <w:shd w:val="clear"/>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vAlign w:val="center"/>
          </w:tcPr>
          <w:p>
            <w:pPr>
              <w:shd w:val="clear"/>
              <w:jc w:val="center"/>
              <w:rPr>
                <w:rFonts w:ascii="仿宋" w:hAnsi="仿宋" w:eastAsia="仿宋" w:cs="仿宋"/>
                <w:sz w:val="6"/>
                <w:szCs w:val="6"/>
                <w:highlight w:val="none"/>
              </w:rPr>
            </w:pPr>
          </w:p>
        </w:tc>
        <w:tc>
          <w:tcPr>
            <w:tcW w:w="1167" w:type="dxa"/>
            <w:vMerge w:val="continue"/>
            <w:vAlign w:val="center"/>
          </w:tcPr>
          <w:p>
            <w:pPr>
              <w:shd w:val="clear"/>
              <w:jc w:val="center"/>
              <w:rPr>
                <w:rFonts w:ascii="仿宋" w:hAnsi="仿宋" w:eastAsia="仿宋" w:cs="仿宋"/>
                <w:sz w:val="6"/>
                <w:szCs w:val="6"/>
                <w:highlight w:val="none"/>
              </w:rPr>
            </w:pPr>
          </w:p>
        </w:tc>
        <w:tc>
          <w:tcPr>
            <w:tcW w:w="1801" w:type="dxa"/>
            <w:vMerge w:val="continue"/>
            <w:tcBorders>
              <w:top w:val="nil"/>
            </w:tcBorders>
            <w:vAlign w:val="center"/>
          </w:tcPr>
          <w:p>
            <w:pPr>
              <w:shd w:val="clear"/>
              <w:jc w:val="center"/>
              <w:rPr>
                <w:rFonts w:ascii="仿宋" w:hAnsi="仿宋" w:eastAsia="仿宋" w:cs="仿宋"/>
                <w:sz w:val="6"/>
                <w:szCs w:val="6"/>
                <w:highlight w:val="none"/>
              </w:rPr>
            </w:pPr>
          </w:p>
        </w:tc>
        <w:tc>
          <w:tcPr>
            <w:tcW w:w="1916" w:type="dxa"/>
            <w:vAlign w:val="center"/>
          </w:tcPr>
          <w:p>
            <w:pPr>
              <w:pStyle w:val="26"/>
              <w:shd w:val="clear"/>
              <w:spacing w:before="1"/>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vAlign w:val="center"/>
          </w:tcPr>
          <w:p>
            <w:pPr>
              <w:pStyle w:val="26"/>
              <w:shd w:val="clear"/>
              <w:spacing w:before="8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vAlign w:val="center"/>
          </w:tcPr>
          <w:p>
            <w:pPr>
              <w:pStyle w:val="26"/>
              <w:shd w:val="clear"/>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A020619</w:t>
            </w:r>
          </w:p>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vAlign w:val="center"/>
          </w:tcPr>
          <w:p>
            <w:pPr>
              <w:pStyle w:val="26"/>
              <w:shd w:val="clear"/>
              <w:spacing w:before="167"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6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LED道路/</w:t>
            </w:r>
          </w:p>
          <w:p>
            <w:pPr>
              <w:pStyle w:val="26"/>
              <w:shd w:val="clear"/>
              <w:spacing w:before="126" w:line="292" w:lineRule="auto"/>
              <w:ind w:left="10" w:right="1"/>
              <w:jc w:val="center"/>
              <w:rPr>
                <w:rFonts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2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16"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line="292" w:lineRule="auto"/>
              <w:ind w:left="10" w:right="4"/>
              <w:jc w:val="center"/>
              <w:rPr>
                <w:rFonts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line="292" w:lineRule="auto"/>
              <w:ind w:left="9" w:right="5"/>
              <w:rPr>
                <w:rFonts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vAlign w:val="center"/>
          </w:tcPr>
          <w:p>
            <w:pPr>
              <w:pStyle w:val="26"/>
              <w:shd w:val="clear"/>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★A020910</w:t>
            </w:r>
          </w:p>
          <w:p>
            <w:pPr>
              <w:pStyle w:val="26"/>
              <w:shd w:val="clear"/>
              <w:spacing w:before="11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vAlign w:val="center"/>
          </w:tcPr>
          <w:p>
            <w:pPr>
              <w:pStyle w:val="26"/>
              <w:shd w:val="clear"/>
              <w:spacing w:before="114"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1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vAlign w:val="center"/>
          </w:tcPr>
          <w:p>
            <w:pPr>
              <w:pStyle w:val="26"/>
              <w:shd w:val="clear"/>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★A020911</w:t>
            </w:r>
          </w:p>
          <w:p>
            <w:pPr>
              <w:pStyle w:val="26"/>
              <w:shd w:val="clear"/>
              <w:spacing w:before="173"/>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vAlign w:val="center"/>
          </w:tcPr>
          <w:p>
            <w:pPr>
              <w:pStyle w:val="26"/>
              <w:shd w:val="clear"/>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A02091107</w:t>
            </w:r>
          </w:p>
          <w:p>
            <w:pPr>
              <w:pStyle w:val="26"/>
              <w:shd w:val="clear"/>
              <w:spacing w:before="173" w:line="292" w:lineRule="auto"/>
              <w:ind w:left="10" w:right="2"/>
              <w:jc w:val="center"/>
              <w:rPr>
                <w:rFonts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vAlign w:val="center"/>
          </w:tcPr>
          <w:p>
            <w:pPr>
              <w:pStyle w:val="26"/>
              <w:shd w:val="clear"/>
              <w:ind w:left="9"/>
              <w:jc w:val="center"/>
              <w:rPr>
                <w:rFonts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vAlign w:val="center"/>
          </w:tcPr>
          <w:p>
            <w:pPr>
              <w:pStyle w:val="26"/>
              <w:shd w:val="clear"/>
              <w:spacing w:before="6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vAlign w:val="center"/>
          </w:tcPr>
          <w:p>
            <w:pPr>
              <w:pStyle w:val="26"/>
              <w:shd w:val="clear"/>
              <w:spacing w:before="109"/>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vAlign w:val="center"/>
          </w:tcPr>
          <w:p>
            <w:pPr>
              <w:pStyle w:val="26"/>
              <w:shd w:val="clear"/>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09"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vAlign w:val="center"/>
          </w:tcPr>
          <w:p>
            <w:pPr>
              <w:pStyle w:val="26"/>
              <w:shd w:val="clear"/>
              <w:spacing w:before="174"/>
              <w:ind w:left="187"/>
              <w:jc w:val="center"/>
              <w:rPr>
                <w:rFonts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vAlign w:val="center"/>
          </w:tcPr>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★A060805</w:t>
            </w:r>
          </w:p>
          <w:p>
            <w:pPr>
              <w:pStyle w:val="26"/>
              <w:shd w:val="clear"/>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57"/>
              <w:ind w:left="9"/>
              <w:rPr>
                <w:rFonts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6"/>
              <w:shd w:val="clear"/>
              <w:spacing w:before="56"/>
              <w:ind w:left="9"/>
              <w:rPr>
                <w:rFonts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vAlign w:val="center"/>
          </w:tcPr>
          <w:p>
            <w:pPr>
              <w:shd w:val="clear"/>
              <w:jc w:val="center"/>
              <w:rPr>
                <w:rFonts w:ascii="仿宋" w:hAnsi="仿宋" w:eastAsia="仿宋" w:cs="仿宋"/>
                <w:sz w:val="6"/>
                <w:szCs w:val="6"/>
                <w:highlight w:val="none"/>
              </w:rPr>
            </w:pPr>
          </w:p>
        </w:tc>
        <w:tc>
          <w:tcPr>
            <w:tcW w:w="1167" w:type="dxa"/>
            <w:vMerge w:val="continue"/>
            <w:tcBorders>
              <w:top w:val="nil"/>
            </w:tcBorders>
            <w:vAlign w:val="center"/>
          </w:tcPr>
          <w:p>
            <w:pPr>
              <w:shd w:val="clear"/>
              <w:jc w:val="center"/>
              <w:rPr>
                <w:rFonts w:ascii="仿宋" w:hAnsi="仿宋" w:eastAsia="仿宋" w:cs="仿宋"/>
                <w:sz w:val="6"/>
                <w:szCs w:val="6"/>
                <w:highlight w:val="none"/>
              </w:rPr>
            </w:pPr>
          </w:p>
        </w:tc>
        <w:tc>
          <w:tcPr>
            <w:tcW w:w="1801" w:type="dxa"/>
            <w:vAlign w:val="center"/>
          </w:tcPr>
          <w:p>
            <w:pPr>
              <w:pStyle w:val="26"/>
              <w:shd w:val="clear"/>
              <w:spacing w:before="1"/>
              <w:ind w:left="10"/>
              <w:jc w:val="center"/>
              <w:rPr>
                <w:rFonts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vAlign w:val="center"/>
          </w:tcPr>
          <w:p>
            <w:pPr>
              <w:pStyle w:val="26"/>
              <w:shd w:val="clear"/>
              <w:jc w:val="center"/>
              <w:rPr>
                <w:rFonts w:ascii="仿宋" w:hAnsi="仿宋" w:eastAsia="仿宋" w:cs="仿宋"/>
                <w:szCs w:val="32"/>
                <w:highlight w:val="none"/>
              </w:rPr>
            </w:pPr>
          </w:p>
        </w:tc>
        <w:tc>
          <w:tcPr>
            <w:tcW w:w="2967" w:type="dxa"/>
            <w:vAlign w:val="center"/>
          </w:tcPr>
          <w:p>
            <w:pPr>
              <w:pStyle w:val="26"/>
              <w:shd w:val="clear"/>
              <w:spacing w:before="157"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vAlign w:val="center"/>
          </w:tcPr>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★A060806</w:t>
            </w:r>
          </w:p>
          <w:p>
            <w:pPr>
              <w:pStyle w:val="26"/>
              <w:shd w:val="clear"/>
              <w:spacing w:before="1"/>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vAlign w:val="center"/>
          </w:tcPr>
          <w:p>
            <w:pPr>
              <w:pStyle w:val="26"/>
              <w:shd w:val="clear"/>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A060807</w:t>
            </w:r>
          </w:p>
          <w:p>
            <w:pPr>
              <w:pStyle w:val="26"/>
              <w:shd w:val="clear"/>
              <w:spacing w:before="145"/>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45"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Align w:val="center"/>
          </w:tcPr>
          <w:p>
            <w:pPr>
              <w:pStyle w:val="26"/>
              <w:shd w:val="clear"/>
              <w:ind w:left="167" w:right="157"/>
              <w:jc w:val="center"/>
              <w:rPr>
                <w:rFonts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vAlign w:val="center"/>
          </w:tcPr>
          <w:p>
            <w:pPr>
              <w:pStyle w:val="26"/>
              <w:shd w:val="clear"/>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A060810</w:t>
            </w:r>
          </w:p>
          <w:p>
            <w:pPr>
              <w:pStyle w:val="26"/>
              <w:shd w:val="clear"/>
              <w:spacing w:before="164"/>
              <w:ind w:left="11"/>
              <w:jc w:val="center"/>
              <w:rPr>
                <w:rFonts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vAlign w:val="center"/>
          </w:tcPr>
          <w:p>
            <w:pPr>
              <w:pStyle w:val="26"/>
              <w:shd w:val="clear"/>
              <w:jc w:val="center"/>
              <w:rPr>
                <w:rFonts w:ascii="仿宋" w:hAnsi="仿宋" w:eastAsia="仿宋" w:cs="仿宋"/>
                <w:sz w:val="22"/>
                <w:szCs w:val="32"/>
                <w:highlight w:val="none"/>
              </w:rPr>
            </w:pPr>
          </w:p>
        </w:tc>
        <w:tc>
          <w:tcPr>
            <w:tcW w:w="1916" w:type="dxa"/>
            <w:vAlign w:val="center"/>
          </w:tcPr>
          <w:p>
            <w:pPr>
              <w:pStyle w:val="26"/>
              <w:shd w:val="clear"/>
              <w:jc w:val="center"/>
              <w:rPr>
                <w:rFonts w:ascii="仿宋" w:hAnsi="仿宋" w:eastAsia="仿宋" w:cs="仿宋"/>
                <w:sz w:val="22"/>
                <w:szCs w:val="32"/>
                <w:highlight w:val="none"/>
              </w:rPr>
            </w:pPr>
          </w:p>
        </w:tc>
        <w:tc>
          <w:tcPr>
            <w:tcW w:w="2967" w:type="dxa"/>
            <w:vAlign w:val="center"/>
          </w:tcPr>
          <w:p>
            <w:pPr>
              <w:pStyle w:val="26"/>
              <w:shd w:val="clear"/>
              <w:spacing w:before="164" w:line="292" w:lineRule="auto"/>
              <w:ind w:left="9" w:right="3"/>
              <w:rPr>
                <w:rFonts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shd w:val="clear"/>
        <w:autoSpaceDE w:val="0"/>
        <w:autoSpaceDN w:val="0"/>
        <w:rPr>
          <w:rFonts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shd w:val="clea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shd w:val="clear"/>
        <w:autoSpaceDE w:val="0"/>
        <w:autoSpaceDN w:val="0"/>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shd w:val="clear"/>
        <w:rPr>
          <w:rFonts w:ascii="仿宋" w:hAnsi="仿宋" w:eastAsia="仿宋" w:cs="仿宋"/>
          <w:highlight w:val="none"/>
        </w:rPr>
      </w:pPr>
      <w:r>
        <w:rPr>
          <w:rFonts w:hint="eastAsia" w:ascii="仿宋" w:hAnsi="仿宋" w:eastAsia="仿宋" w:cs="仿宋"/>
          <w:highlight w:val="none"/>
        </w:rPr>
        <w:br w:type="page"/>
      </w:r>
    </w:p>
    <w:p>
      <w:pPr>
        <w:shd w:val="clear"/>
        <w:outlineLvl w:val="0"/>
        <w:rPr>
          <w:rFonts w:ascii="仿宋" w:hAnsi="仿宋" w:eastAsia="仿宋" w:cs="仿宋"/>
          <w:sz w:val="28"/>
          <w:szCs w:val="28"/>
          <w:highlight w:val="none"/>
        </w:rPr>
      </w:pPr>
      <w:bookmarkStart w:id="119" w:name="_Toc14110"/>
      <w:r>
        <w:rPr>
          <w:rFonts w:hint="eastAsia" w:ascii="仿宋" w:hAnsi="仿宋" w:eastAsia="仿宋" w:cs="仿宋"/>
          <w:sz w:val="28"/>
          <w:szCs w:val="28"/>
          <w:highlight w:val="none"/>
        </w:rPr>
        <w:t>附表2：</w:t>
      </w:r>
      <w:bookmarkEnd w:id="119"/>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b/>
                <w:bCs/>
                <w:sz w:val="24"/>
                <w:highlight w:val="none"/>
              </w:rPr>
            </w:pPr>
          </w:p>
        </w:tc>
        <w:tc>
          <w:tcPr>
            <w:tcW w:w="1151"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auto"/>
            <w:tcMar>
              <w:left w:w="108" w:type="dxa"/>
              <w:right w:w="108" w:type="dxa"/>
            </w:tcMar>
            <w:vAlign w:val="center"/>
          </w:tcPr>
          <w:p>
            <w:pPr>
              <w:shd w:val="clear"/>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计算机</w:t>
            </w:r>
          </w:p>
          <w:p>
            <w:pPr>
              <w:shd w:val="clear"/>
              <w:jc w:val="center"/>
              <w:rPr>
                <w:rFonts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北京赛西认证有限责任公司</w:t>
            </w:r>
          </w:p>
          <w:p>
            <w:pPr>
              <w:shd w:val="clear"/>
              <w:rPr>
                <w:rFonts w:ascii="仿宋" w:hAnsi="仿宋" w:eastAsia="仿宋" w:cs="仿宋"/>
                <w:sz w:val="24"/>
                <w:highlight w:val="none"/>
              </w:rPr>
            </w:pPr>
            <w:r>
              <w:rPr>
                <w:rFonts w:hint="eastAsia" w:ascii="仿宋" w:hAnsi="仿宋" w:eastAsia="仿宋" w:cs="仿宋"/>
                <w:sz w:val="24"/>
                <w:highlight w:val="none"/>
              </w:rPr>
              <w:t>中国网络安全审查技术与认证中心</w:t>
            </w:r>
          </w:p>
          <w:p>
            <w:pPr>
              <w:shd w:val="clea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便携式</w:t>
            </w:r>
          </w:p>
          <w:p>
            <w:pPr>
              <w:shd w:val="clear"/>
              <w:jc w:val="center"/>
              <w:rPr>
                <w:rFonts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平板式</w:t>
            </w:r>
          </w:p>
          <w:p>
            <w:pPr>
              <w:shd w:val="clear"/>
              <w:jc w:val="center"/>
              <w:rPr>
                <w:rFonts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图形图像</w:t>
            </w:r>
          </w:p>
          <w:p>
            <w:pPr>
              <w:shd w:val="clear"/>
              <w:jc w:val="center"/>
              <w:rPr>
                <w:rFonts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多功能</w:t>
            </w:r>
          </w:p>
          <w:p>
            <w:pPr>
              <w:shd w:val="clear"/>
              <w:jc w:val="center"/>
              <w:rPr>
                <w:rFonts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p>
            <w:pPr>
              <w:shd w:val="clear"/>
              <w:rPr>
                <w:rFonts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专用制冷</w:t>
            </w:r>
          </w:p>
          <w:p>
            <w:pPr>
              <w:shd w:val="clea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其他制冷</w:t>
            </w:r>
          </w:p>
          <w:p>
            <w:pPr>
              <w:shd w:val="clear"/>
              <w:jc w:val="center"/>
              <w:rPr>
                <w:rFonts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电能（北京）认证中心有限公司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shd w:val="clea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生活用</w:t>
            </w:r>
          </w:p>
          <w:p>
            <w:pPr>
              <w:shd w:val="clear"/>
              <w:jc w:val="center"/>
              <w:rPr>
                <w:rFonts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51"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196" w:type="dxa"/>
            <w:vMerge w:val="continue"/>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威凯认证检测有限公司</w:t>
            </w:r>
          </w:p>
          <w:p>
            <w:pPr>
              <w:shd w:val="clear"/>
              <w:rPr>
                <w:rFonts w:ascii="仿宋" w:hAnsi="仿宋" w:eastAsia="仿宋" w:cs="仿宋"/>
                <w:sz w:val="24"/>
                <w:highlight w:val="none"/>
              </w:rPr>
            </w:pPr>
            <w:r>
              <w:rPr>
                <w:rFonts w:hint="eastAsia" w:ascii="仿宋" w:hAnsi="仿宋" w:eastAsia="仿宋" w:cs="仿宋"/>
                <w:sz w:val="24"/>
                <w:highlight w:val="none"/>
              </w:rPr>
              <w:t>中家院（北京）检测认证有限公司</w:t>
            </w:r>
          </w:p>
          <w:p>
            <w:pPr>
              <w:shd w:val="clear"/>
              <w:rPr>
                <w:rFonts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深圳市计量质量检测研究院</w:t>
            </w:r>
          </w:p>
          <w:p>
            <w:pPr>
              <w:shd w:val="clear"/>
              <w:rPr>
                <w:rFonts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北京泰瑞特认证有限责任公司</w:t>
            </w:r>
          </w:p>
          <w:p>
            <w:pPr>
              <w:shd w:val="clear"/>
              <w:rPr>
                <w:rFonts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视频监</w:t>
            </w:r>
          </w:p>
          <w:p>
            <w:pPr>
              <w:shd w:val="clear"/>
              <w:jc w:val="center"/>
              <w:rPr>
                <w:rFonts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饮食炊</w:t>
            </w:r>
          </w:p>
          <w:p>
            <w:pPr>
              <w:shd w:val="clear"/>
              <w:jc w:val="center"/>
              <w:rPr>
                <w:rFonts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北京鉴衡认证中心</w:t>
            </w:r>
          </w:p>
          <w:p>
            <w:pPr>
              <w:shd w:val="clear"/>
              <w:rPr>
                <w:rFonts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restart"/>
            <w:shd w:val="clear" w:color="auto" w:fill="auto"/>
            <w:tcMar>
              <w:left w:w="108" w:type="dxa"/>
              <w:right w:w="108" w:type="dxa"/>
            </w:tcMar>
            <w:vAlign w:val="center"/>
          </w:tcPr>
          <w:p>
            <w:pPr>
              <w:shd w:val="clear"/>
              <w:rPr>
                <w:rFonts w:ascii="仿宋" w:hAnsi="仿宋" w:eastAsia="仿宋" w:cs="仿宋"/>
                <w:sz w:val="24"/>
                <w:highlight w:val="none"/>
              </w:rPr>
            </w:pPr>
            <w:r>
              <w:rPr>
                <w:rFonts w:hint="eastAsia" w:ascii="仿宋" w:hAnsi="仿宋" w:eastAsia="仿宋" w:cs="仿宋"/>
                <w:sz w:val="24"/>
                <w:highlight w:val="none"/>
              </w:rPr>
              <w:t>中国质量认证中心</w:t>
            </w:r>
          </w:p>
          <w:p>
            <w:pPr>
              <w:shd w:val="clear"/>
              <w:rPr>
                <w:rFonts w:ascii="仿宋" w:hAnsi="仿宋" w:eastAsia="仿宋" w:cs="仿宋"/>
                <w:sz w:val="24"/>
                <w:highlight w:val="none"/>
              </w:rPr>
            </w:pPr>
            <w:r>
              <w:rPr>
                <w:rFonts w:hint="eastAsia" w:ascii="仿宋" w:hAnsi="仿宋" w:eastAsia="仿宋" w:cs="仿宋"/>
                <w:sz w:val="24"/>
                <w:highlight w:val="none"/>
              </w:rPr>
              <w:t>北京新华节水产品认证有限公司</w:t>
            </w:r>
          </w:p>
          <w:p>
            <w:pPr>
              <w:shd w:val="clear"/>
              <w:rPr>
                <w:rFonts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便器</w:t>
            </w:r>
          </w:p>
          <w:p>
            <w:pPr>
              <w:shd w:val="clear"/>
              <w:jc w:val="center"/>
              <w:rPr>
                <w:rFonts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1354" w:type="dxa"/>
            <w:shd w:val="clear" w:color="auto" w:fill="auto"/>
            <w:tcMar>
              <w:left w:w="108" w:type="dxa"/>
              <w:right w:w="108" w:type="dxa"/>
            </w:tcMar>
            <w:vAlign w:val="center"/>
          </w:tcPr>
          <w:p>
            <w:pPr>
              <w:shd w:val="clear"/>
              <w:jc w:val="center"/>
              <w:rPr>
                <w:rFonts w:ascii="仿宋" w:hAnsi="仿宋" w:eastAsia="仿宋" w:cs="仿宋"/>
                <w:sz w:val="24"/>
                <w:highlight w:val="none"/>
              </w:rPr>
            </w:pPr>
          </w:p>
        </w:tc>
        <w:tc>
          <w:tcPr>
            <w:tcW w:w="3261" w:type="dxa"/>
            <w:vMerge w:val="continue"/>
            <w:shd w:val="clear" w:color="auto" w:fill="auto"/>
            <w:tcMar>
              <w:left w:w="108" w:type="dxa"/>
              <w:right w:w="108" w:type="dxa"/>
            </w:tcMar>
            <w:vAlign w:val="center"/>
          </w:tcPr>
          <w:p>
            <w:pPr>
              <w:shd w:val="clear"/>
              <w:rPr>
                <w:rFonts w:ascii="仿宋" w:hAnsi="仿宋" w:eastAsia="仿宋" w:cs="仿宋"/>
                <w:sz w:val="24"/>
                <w:highlight w:val="none"/>
              </w:rPr>
            </w:pPr>
          </w:p>
        </w:tc>
      </w:tr>
    </w:tbl>
    <w:p>
      <w:pPr>
        <w:shd w:val="clear"/>
        <w:rPr>
          <w:rFonts w:ascii="仿宋" w:hAnsi="仿宋" w:eastAsia="仿宋" w:cs="仿宋"/>
          <w:highlight w:val="none"/>
        </w:rPr>
      </w:pPr>
      <w:r>
        <w:rPr>
          <w:rFonts w:hint="eastAsia" w:ascii="仿宋" w:hAnsi="仿宋" w:eastAsia="仿宋" w:cs="仿宋"/>
          <w:highlight w:val="none"/>
        </w:rPr>
        <w:br w:type="page"/>
      </w:r>
    </w:p>
    <w:p>
      <w:pPr>
        <w:shd w:val="clear"/>
        <w:outlineLvl w:val="0"/>
        <w:rPr>
          <w:rFonts w:ascii="仿宋" w:hAnsi="仿宋" w:eastAsia="仿宋" w:cs="仿宋"/>
          <w:sz w:val="28"/>
          <w:szCs w:val="28"/>
          <w:highlight w:val="none"/>
        </w:rPr>
      </w:pPr>
      <w:bookmarkStart w:id="120" w:name="_Toc101"/>
      <w:r>
        <w:rPr>
          <w:rFonts w:hint="eastAsia" w:ascii="仿宋" w:hAnsi="仿宋" w:eastAsia="仿宋" w:cs="仿宋"/>
          <w:sz w:val="28"/>
          <w:szCs w:val="28"/>
          <w:highlight w:val="none"/>
        </w:rPr>
        <w:t>附表3</w:t>
      </w:r>
      <w:bookmarkEnd w:id="120"/>
    </w:p>
    <w:p>
      <w:pPr>
        <w:shd w:val="clear"/>
        <w:autoSpaceDE w:val="0"/>
        <w:autoSpaceDN w:val="0"/>
        <w:spacing w:afterLines="100"/>
        <w:jc w:val="center"/>
        <w:rPr>
          <w:rFonts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3"/>
        <w:gridCol w:w="204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66"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auto"/>
            <w:tcMar>
              <w:left w:w="108" w:type="dxa"/>
              <w:right w:w="108" w:type="dxa"/>
            </w:tcMar>
            <w:vAlign w:val="center"/>
          </w:tcPr>
          <w:p>
            <w:pPr>
              <w:shd w:val="clear"/>
              <w:jc w:val="center"/>
              <w:rPr>
                <w:rFonts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auto"/>
            <w:tcMar>
              <w:left w:w="108" w:type="dxa"/>
              <w:right w:w="108" w:type="dxa"/>
            </w:tcMar>
            <w:vAlign w:val="center"/>
          </w:tcPr>
          <w:p>
            <w:pPr>
              <w:shd w:val="clear"/>
              <w:jc w:val="center"/>
              <w:rPr>
                <w:rFonts w:ascii="仿宋" w:hAnsi="仿宋" w:eastAsia="仿宋" w:cs="仿宋"/>
                <w:sz w:val="24"/>
                <w:highlight w:val="none"/>
              </w:rPr>
            </w:pPr>
            <w:r>
              <w:rPr>
                <w:rFonts w:hint="eastAsia" w:ascii="仿宋" w:hAnsi="仿宋" w:eastAsia="仿宋" w:cs="仿宋"/>
                <w:sz w:val="24"/>
                <w:highlight w:val="none"/>
              </w:rPr>
              <w:t>中环联合（北京）认证中心有限公司</w:t>
            </w:r>
          </w:p>
          <w:p>
            <w:pPr>
              <w:shd w:val="clear"/>
              <w:jc w:val="center"/>
              <w:rPr>
                <w:rFonts w:ascii="仿宋" w:hAnsi="仿宋" w:eastAsia="仿宋" w:cs="仿宋"/>
                <w:sz w:val="24"/>
                <w:highlight w:val="none"/>
              </w:rPr>
            </w:pPr>
            <w:r>
              <w:rPr>
                <w:rFonts w:hint="eastAsia" w:ascii="仿宋" w:hAnsi="仿宋" w:eastAsia="仿宋" w:cs="仿宋"/>
                <w:sz w:val="24"/>
                <w:highlight w:val="none"/>
              </w:rPr>
              <w:t>中标合信（北京）认证有限公司</w:t>
            </w:r>
          </w:p>
          <w:p>
            <w:pPr>
              <w:shd w:val="clear"/>
              <w:jc w:val="center"/>
              <w:rPr>
                <w:rFonts w:ascii="仿宋" w:hAnsi="仿宋" w:eastAsia="仿宋" w:cs="仿宋"/>
                <w:sz w:val="24"/>
                <w:highlight w:val="none"/>
              </w:rPr>
            </w:pPr>
            <w:r>
              <w:rPr>
                <w:rFonts w:hint="eastAsia" w:ascii="仿宋" w:hAnsi="仿宋" w:eastAsia="仿宋" w:cs="仿宋"/>
                <w:sz w:val="24"/>
                <w:highlight w:val="none"/>
              </w:rPr>
              <w:t>中环协（北京）认证中心</w:t>
            </w:r>
          </w:p>
          <w:p>
            <w:pPr>
              <w:shd w:val="clear"/>
              <w:jc w:val="center"/>
              <w:rPr>
                <w:rFonts w:ascii="仿宋" w:hAnsi="仿宋" w:eastAsia="仿宋" w:cs="仿宋"/>
                <w:sz w:val="24"/>
                <w:highlight w:val="none"/>
              </w:rPr>
            </w:pPr>
            <w:r>
              <w:rPr>
                <w:rFonts w:hint="eastAsia" w:ascii="仿宋" w:hAnsi="仿宋" w:eastAsia="仿宋" w:cs="仿宋"/>
                <w:sz w:val="24"/>
                <w:highlight w:val="none"/>
              </w:rPr>
              <w:t>天津华诚认证有限公司</w:t>
            </w:r>
          </w:p>
        </w:tc>
      </w:tr>
    </w:tbl>
    <w:p>
      <w:pPr>
        <w:shd w:val="clear"/>
        <w:rPr>
          <w:rFonts w:ascii="仿宋" w:hAnsi="仿宋" w:eastAsia="仿宋" w:cs="仿宋"/>
          <w:b/>
          <w:bCs/>
          <w:highlight w:val="none"/>
        </w:rPr>
      </w:pPr>
      <w:r>
        <w:rPr>
          <w:rFonts w:hint="eastAsia" w:ascii="仿宋" w:hAnsi="仿宋" w:eastAsia="仿宋" w:cs="仿宋"/>
          <w:b/>
          <w:bCs/>
          <w:highlight w:val="none"/>
        </w:rPr>
        <w:br w:type="page"/>
      </w:r>
    </w:p>
    <w:p>
      <w:pPr>
        <w:pStyle w:val="5"/>
        <w:shd w:val="clear"/>
        <w:spacing w:before="159" w:after="159"/>
        <w:outlineLvl w:val="0"/>
        <w:rPr>
          <w:sz w:val="36"/>
          <w:szCs w:val="28"/>
          <w:highlight w:val="none"/>
        </w:rPr>
      </w:pPr>
      <w:bookmarkStart w:id="121" w:name="_Toc22681"/>
      <w:r>
        <w:rPr>
          <w:rFonts w:hint="eastAsia"/>
          <w:sz w:val="36"/>
          <w:szCs w:val="28"/>
          <w:highlight w:val="none"/>
        </w:rPr>
        <w:t>附件十</w:t>
      </w:r>
      <w:r>
        <w:rPr>
          <w:rFonts w:hint="eastAsia"/>
          <w:sz w:val="36"/>
          <w:szCs w:val="28"/>
          <w:highlight w:val="none"/>
          <w:lang w:val="en-US" w:eastAsia="zh-CN"/>
        </w:rPr>
        <w:t>四</w:t>
      </w:r>
      <w:r>
        <w:rPr>
          <w:rFonts w:hint="eastAsia"/>
          <w:sz w:val="36"/>
          <w:szCs w:val="28"/>
          <w:highlight w:val="none"/>
        </w:rPr>
        <w:t>：资格证明材料格式（参考）</w:t>
      </w:r>
      <w:bookmarkEnd w:id="121"/>
    </w:p>
    <w:p>
      <w:pPr>
        <w:shd w:val="clear"/>
        <w:snapToGrid w:val="0"/>
        <w:spacing w:line="360" w:lineRule="auto"/>
        <w:rPr>
          <w:rFonts w:ascii="仿宋" w:hAnsi="仿宋" w:eastAsia="仿宋" w:cs="仿宋"/>
          <w:sz w:val="28"/>
          <w:szCs w:val="28"/>
          <w:highlight w:val="none"/>
        </w:rPr>
      </w:pPr>
      <w:bookmarkStart w:id="122" w:name="_Toc24753"/>
      <w:r>
        <w:rPr>
          <w:rFonts w:hint="eastAsia" w:ascii="仿宋" w:hAnsi="仿宋" w:eastAsia="仿宋" w:cs="仿宋"/>
          <w:sz w:val="28"/>
          <w:szCs w:val="28"/>
          <w:highlight w:val="none"/>
        </w:rPr>
        <w:t>供应商应提供能够证明符合资格条件的下列材料：</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年度财务状况或其基本开户银行出具的提交投标文件截止时间前三个月内的资信证明（若资信证明注明复印件无效，需提交原件）；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供应商是其他组织或自然人的，应提供银行出具的提交投标文件截止时间前三个月内的资信证明（若资信证明注明复印件无效，需提交原件）。</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供应商是法人的，缴纳税收的证明材料，应提供开标前三个月内任意一个月的依法缴税凭据复印件；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供应商是法人的，缴纳社会保障资金的证明材料，应提供开标前三个月内任意一个月的缴纳社会保险的凭据（专用收据或社会保险缴纳清单）复印件；</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供应商是其他组织和自然人的，需要提供开标前三个月内任意一个月的缴纳税收和社会保险的凭据。</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（5）近三年内（本项目投标截止日前）供应商在经营活动中没有重大违法记录，其中：</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hd w:val="clea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采购代理机构对于查询到的供应商失信行为事由、处理机关名称及处理日期、处理有效期间等，以屏幕截图的方式保存，并承诺查询记录仅用于本次采购活动过程中，不用于其他目的。</w:t>
      </w:r>
    </w:p>
    <w:p>
      <w:pPr>
        <w:shd w:val="clea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（7）单位负责人为同一人或者存在直接控股、管理关系的不同供应商，不得参加同一包的投标或者未划分包的同一招标项目的投标，供应商须提供书面声明。</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（8）生产厂家有效的卫生行政部门发放《消毒产品生产企业卫生许可证》复印件，所投产品具有</w:t>
      </w:r>
      <w:r>
        <w:rPr>
          <w:rFonts w:hint="eastAsia" w:ascii="仿宋" w:hAnsi="仿宋" w:eastAsia="仿宋" w:cs="仿宋"/>
          <w:sz w:val="28"/>
          <w:szCs w:val="28"/>
          <w:highlight w:val="none"/>
          <w:lang w:val="en-US" w:eastAsia="zh-CN"/>
        </w:rPr>
        <w:t>合格</w:t>
      </w:r>
      <w:r>
        <w:rPr>
          <w:rFonts w:hint="eastAsia" w:ascii="仿宋" w:hAnsi="仿宋" w:eastAsia="仿宋" w:cs="仿宋"/>
          <w:sz w:val="28"/>
          <w:szCs w:val="28"/>
          <w:highlight w:val="none"/>
        </w:rPr>
        <w:t>的安全评价报告复印件；</w:t>
      </w:r>
    </w:p>
    <w:p>
      <w:pPr>
        <w:shd w:val="clear"/>
        <w:spacing w:line="360" w:lineRule="auto"/>
        <w:rPr>
          <w:sz w:val="32"/>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r>
        <w:rPr>
          <w:rFonts w:hint="eastAsia"/>
          <w:sz w:val="32"/>
          <w:szCs w:val="28"/>
          <w:highlight w:val="none"/>
        </w:rPr>
        <w:br w:type="page"/>
      </w:r>
    </w:p>
    <w:p>
      <w:pPr>
        <w:pStyle w:val="6"/>
        <w:numPr>
          <w:ilvl w:val="0"/>
          <w:numId w:val="19"/>
        </w:numPr>
        <w:shd w:val="clear"/>
        <w:ind w:firstLine="643"/>
        <w:rPr>
          <w:sz w:val="32"/>
          <w:szCs w:val="28"/>
          <w:highlight w:val="none"/>
        </w:rPr>
      </w:pPr>
      <w:bookmarkStart w:id="123" w:name="_Toc28179"/>
      <w:r>
        <w:rPr>
          <w:rFonts w:hint="eastAsia"/>
          <w:sz w:val="32"/>
          <w:szCs w:val="28"/>
          <w:highlight w:val="none"/>
        </w:rPr>
        <w:t>参加政府采购活动前三年内在经营活动中没有重大违法记录的书面声明</w:t>
      </w:r>
      <w:bookmarkEnd w:id="122"/>
      <w:bookmarkEnd w:id="123"/>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我单位郑重声明：自本项目开标之日起向前追溯三年，我单位没有以下重大违法记录：因违法经营受到刑事处罚或者责令停产停业、吊销许可证或者执照、较大数额罚款等行政处罚。</w:t>
      </w:r>
    </w:p>
    <w:p>
      <w:pPr>
        <w:shd w:val="clear"/>
        <w:rPr>
          <w:rFonts w:ascii="仿宋" w:hAnsi="仿宋" w:eastAsia="仿宋" w:cs="仿宋"/>
          <w:sz w:val="28"/>
          <w:szCs w:val="28"/>
          <w:highlight w:val="none"/>
        </w:rPr>
      </w:pPr>
    </w:p>
    <w:p>
      <w:pPr>
        <w:shd w:val="clear"/>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注：1.如不提供本声明函，将作无效投标处理。</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2.投标供应商对其所声明内容的真实性负责。如投标供应商所声明内容不真实，应承担相应的法律责任。</w:t>
      </w:r>
    </w:p>
    <w:p>
      <w:pPr>
        <w:shd w:val="clear"/>
        <w:rPr>
          <w:sz w:val="22"/>
          <w:szCs w:val="28"/>
          <w:highlight w:val="none"/>
        </w:rPr>
      </w:pPr>
      <w:r>
        <w:rPr>
          <w:rFonts w:hint="eastAsia"/>
          <w:sz w:val="22"/>
          <w:szCs w:val="28"/>
          <w:highlight w:val="none"/>
        </w:rPr>
        <w:br w:type="page"/>
      </w:r>
    </w:p>
    <w:p>
      <w:pPr>
        <w:pStyle w:val="6"/>
        <w:numPr>
          <w:ilvl w:val="0"/>
          <w:numId w:val="19"/>
        </w:numPr>
        <w:shd w:val="clear"/>
        <w:ind w:firstLine="643"/>
        <w:rPr>
          <w:sz w:val="32"/>
          <w:szCs w:val="28"/>
          <w:highlight w:val="none"/>
        </w:rPr>
      </w:pPr>
      <w:bookmarkStart w:id="124" w:name="_Toc25813"/>
      <w:bookmarkStart w:id="125" w:name="_Toc23872"/>
      <w:r>
        <w:rPr>
          <w:rFonts w:hint="eastAsia"/>
          <w:sz w:val="32"/>
          <w:szCs w:val="28"/>
          <w:highlight w:val="none"/>
        </w:rPr>
        <w:t>供应商不存在关联关系声明</w:t>
      </w:r>
      <w:bookmarkEnd w:id="124"/>
      <w:bookmarkEnd w:id="125"/>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numPr>
          <w:ilvl w:val="0"/>
          <w:numId w:val="20"/>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numPr>
          <w:ilvl w:val="0"/>
          <w:numId w:val="20"/>
        </w:num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sz w:val="22"/>
          <w:szCs w:val="28"/>
          <w:highlight w:val="none"/>
        </w:rPr>
      </w:pPr>
      <w:r>
        <w:rPr>
          <w:rFonts w:hint="eastAsia"/>
          <w:sz w:val="22"/>
          <w:szCs w:val="28"/>
          <w:highlight w:val="none"/>
        </w:rPr>
        <w:br w:type="page"/>
      </w:r>
    </w:p>
    <w:p>
      <w:pPr>
        <w:pStyle w:val="6"/>
        <w:numPr>
          <w:ilvl w:val="0"/>
          <w:numId w:val="19"/>
        </w:numPr>
        <w:shd w:val="clear"/>
        <w:ind w:firstLine="643"/>
        <w:rPr>
          <w:sz w:val="32"/>
          <w:szCs w:val="28"/>
          <w:highlight w:val="none"/>
        </w:rPr>
      </w:pPr>
      <w:bookmarkStart w:id="126" w:name="_Toc26290"/>
      <w:bookmarkStart w:id="127" w:name="_Toc11401"/>
      <w:r>
        <w:rPr>
          <w:sz w:val="32"/>
          <w:szCs w:val="28"/>
          <w:highlight w:val="none"/>
        </w:rPr>
        <w:t>不存在禁止参加政府采购活动情形的书面声明</w:t>
      </w:r>
      <w:bookmarkEnd w:id="126"/>
      <w:bookmarkEnd w:id="127"/>
    </w:p>
    <w:p>
      <w:pPr>
        <w:shd w:val="clear"/>
        <w:rPr>
          <w:rFonts w:ascii="仿宋" w:hAnsi="仿宋" w:eastAsia="仿宋" w:cs="仿宋"/>
          <w:sz w:val="28"/>
          <w:szCs w:val="28"/>
          <w:highlight w:val="none"/>
        </w:rPr>
      </w:pPr>
      <w:r>
        <w:rPr>
          <w:rFonts w:hint="eastAsia" w:ascii="仿宋" w:hAnsi="仿宋" w:eastAsia="仿宋" w:cs="仿宋"/>
          <w:sz w:val="28"/>
          <w:szCs w:val="28"/>
          <w:highlight w:val="none"/>
        </w:rPr>
        <w:t>（采购人名称）：</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shd w:val="clea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shd w:val="clear"/>
        <w:ind w:firstLine="560" w:firstLineChars="200"/>
        <w:rPr>
          <w:rFonts w:ascii="仿宋" w:hAnsi="仿宋" w:eastAsia="仿宋" w:cs="仿宋"/>
          <w:sz w:val="28"/>
          <w:szCs w:val="28"/>
          <w:highlight w:val="none"/>
        </w:rPr>
      </w:pPr>
    </w:p>
    <w:p>
      <w:pPr>
        <w:shd w:val="clear"/>
        <w:ind w:firstLine="560" w:firstLineChars="200"/>
        <w:rPr>
          <w:rFonts w:ascii="仿宋" w:hAnsi="仿宋" w:eastAsia="仿宋" w:cs="仿宋"/>
          <w:sz w:val="28"/>
          <w:szCs w:val="28"/>
          <w:highlight w:val="none"/>
        </w:rPr>
      </w:pP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highlight w:val="none"/>
        </w:rPr>
      </w:pPr>
      <w:r>
        <w:rPr>
          <w:rFonts w:hint="eastAsia"/>
          <w:highlight w:val="none"/>
        </w:rPr>
        <w:br w:type="page"/>
      </w:r>
    </w:p>
    <w:p>
      <w:pPr>
        <w:pStyle w:val="6"/>
        <w:numPr>
          <w:ilvl w:val="0"/>
          <w:numId w:val="19"/>
        </w:numPr>
        <w:shd w:val="clear"/>
        <w:ind w:firstLine="643"/>
        <w:rPr>
          <w:rFonts w:hint="eastAsia"/>
          <w:sz w:val="32"/>
          <w:szCs w:val="28"/>
          <w:highlight w:val="none"/>
        </w:rPr>
      </w:pPr>
      <w:bookmarkStart w:id="128" w:name="_Toc19363"/>
      <w:r>
        <w:rPr>
          <w:rFonts w:hint="eastAsia"/>
          <w:sz w:val="32"/>
          <w:szCs w:val="28"/>
          <w:highlight w:val="none"/>
        </w:rPr>
        <w:t>具备履行合同所必需的设备和专业技术能力承诺书</w:t>
      </w:r>
      <w:bookmarkEnd w:id="128"/>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本承诺书声明：本公司参与贵方组织的 （项目名称）项目（项目编号、包号： ）作出如下承诺：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本公司完全具备履行本项目合同所必需的设备和专业技术能力，随时接受采查验证。</w:t>
      </w:r>
      <w:r>
        <w:rPr>
          <w:rFonts w:hint="eastAsia" w:ascii="仿宋" w:hAnsi="仿宋" w:eastAsia="仿宋" w:cs="仿宋"/>
          <w:sz w:val="28"/>
          <w:szCs w:val="28"/>
          <w:highlight w:val="none"/>
          <w:lang w:val="en-US" w:eastAsia="zh-CN"/>
        </w:rPr>
        <w:t>如我方中标，我方承诺完全响应招标文件服务要求，根据服务要求及我方投标文件配备履行本合同所需设备及人员，</w:t>
      </w:r>
      <w:r>
        <w:rPr>
          <w:rFonts w:hint="eastAsia" w:ascii="仿宋" w:hAnsi="仿宋" w:eastAsia="仿宋" w:cs="仿宋"/>
          <w:sz w:val="28"/>
          <w:szCs w:val="28"/>
          <w:highlight w:val="none"/>
        </w:rPr>
        <w:t>如违反上述承诺，本公司将按照政府采购法有关规定接受处罚。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其他需要说明的事项（如无可不填报）：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另外，如需，本公司将按照要求的时间和方式提供拟投入本项目的设备购置合同或发票或说明材料，以及拟投入本项目的工作人员用工合同等材料。</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shd w:val="clear"/>
        <w:ind w:left="2100" w:leftChars="1000"/>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shd w:val="clear"/>
        <w:ind w:left="2100" w:leftChars="1000"/>
        <w:rPr>
          <w:rFonts w:ascii="仿宋" w:hAnsi="仿宋" w:eastAsia="仿宋" w:cs="仿宋"/>
          <w:sz w:val="28"/>
          <w:szCs w:val="28"/>
          <w:highlight w:val="none"/>
        </w:rPr>
      </w:pPr>
    </w:p>
    <w:p>
      <w:pPr>
        <w:shd w:val="clear"/>
        <w:rPr>
          <w:rFonts w:ascii="仿宋" w:hAnsi="仿宋" w:eastAsia="仿宋" w:cs="仿宋"/>
          <w:b/>
          <w:bCs/>
          <w:sz w:val="28"/>
          <w:szCs w:val="28"/>
          <w:highlight w:val="none"/>
        </w:rPr>
      </w:pPr>
      <w:r>
        <w:rPr>
          <w:rFonts w:ascii="仿宋" w:hAnsi="仿宋" w:eastAsia="仿宋" w:cs="仿宋"/>
          <w:b/>
          <w:bCs/>
          <w:sz w:val="28"/>
          <w:szCs w:val="28"/>
          <w:highlight w:val="none"/>
        </w:rPr>
        <w:t xml:space="preserve">注：1.如不提供本声明函，将作无效投标处理。 </w:t>
      </w:r>
    </w:p>
    <w:p>
      <w:pPr>
        <w:shd w:val="clear"/>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供应商</w:t>
      </w:r>
      <w:r>
        <w:rPr>
          <w:rFonts w:ascii="仿宋" w:hAnsi="仿宋" w:eastAsia="仿宋" w:cs="仿宋"/>
          <w:sz w:val="28"/>
          <w:szCs w:val="28"/>
          <w:highlight w:val="none"/>
        </w:rPr>
        <w:t>应对其所声明内容的真实性负责。如</w:t>
      </w:r>
      <w:r>
        <w:rPr>
          <w:rFonts w:hint="eastAsia" w:ascii="仿宋" w:hAnsi="仿宋" w:eastAsia="仿宋" w:cs="仿宋"/>
          <w:sz w:val="28"/>
          <w:szCs w:val="28"/>
          <w:highlight w:val="none"/>
        </w:rPr>
        <w:t>供应商</w:t>
      </w:r>
      <w:r>
        <w:rPr>
          <w:rFonts w:ascii="仿宋" w:hAnsi="仿宋" w:eastAsia="仿宋" w:cs="仿宋"/>
          <w:sz w:val="28"/>
          <w:szCs w:val="28"/>
          <w:highlight w:val="none"/>
        </w:rPr>
        <w:t>所声明内容不真实，则应承担相应的法律责任</w:t>
      </w:r>
      <w:r>
        <w:rPr>
          <w:rFonts w:hint="eastAsia" w:ascii="仿宋" w:hAnsi="仿宋" w:eastAsia="仿宋" w:cs="仿宋"/>
          <w:sz w:val="28"/>
          <w:szCs w:val="28"/>
          <w:highlight w:val="none"/>
        </w:rPr>
        <w:t>。</w:t>
      </w:r>
    </w:p>
    <w:p>
      <w:pPr>
        <w:shd w:val="clear"/>
        <w:rPr>
          <w:rFonts w:hint="eastAsia"/>
          <w:sz w:val="36"/>
          <w:szCs w:val="28"/>
          <w:highlight w:val="none"/>
        </w:rPr>
      </w:pPr>
    </w:p>
    <w:p>
      <w:pPr>
        <w:shd w:val="clear"/>
        <w:rPr>
          <w:rFonts w:hint="eastAsia"/>
          <w:sz w:val="36"/>
          <w:szCs w:val="28"/>
          <w:highlight w:val="none"/>
        </w:rPr>
      </w:pPr>
      <w:r>
        <w:rPr>
          <w:rFonts w:hint="eastAsia"/>
          <w:sz w:val="36"/>
          <w:szCs w:val="28"/>
          <w:highlight w:val="none"/>
        </w:rPr>
        <w:br w:type="page"/>
      </w:r>
    </w:p>
    <w:p>
      <w:pPr>
        <w:pStyle w:val="5"/>
        <w:shd w:val="clear"/>
        <w:spacing w:before="159" w:after="159"/>
        <w:rPr>
          <w:rFonts w:hint="eastAsia" w:ascii="仿宋" w:hAnsi="仿宋" w:eastAsia="仿宋" w:cs="仿宋"/>
          <w:sz w:val="36"/>
          <w:szCs w:val="28"/>
          <w:highlight w:val="none"/>
        </w:rPr>
      </w:pPr>
      <w:bookmarkStart w:id="129" w:name="_Toc19550"/>
      <w:bookmarkStart w:id="130" w:name="_Toc18021"/>
      <w:r>
        <w:rPr>
          <w:rFonts w:hint="eastAsia" w:ascii="仿宋" w:hAnsi="仿宋" w:eastAsia="仿宋" w:cs="仿宋"/>
          <w:sz w:val="36"/>
          <w:szCs w:val="28"/>
          <w:highlight w:val="none"/>
        </w:rPr>
        <w:t>附件十</w:t>
      </w:r>
      <w:r>
        <w:rPr>
          <w:rFonts w:hint="eastAsia" w:ascii="仿宋" w:hAnsi="仿宋" w:eastAsia="仿宋" w:cs="仿宋"/>
          <w:sz w:val="36"/>
          <w:szCs w:val="28"/>
          <w:highlight w:val="none"/>
          <w:lang w:val="en-US" w:eastAsia="zh-CN"/>
        </w:rPr>
        <w:t>五</w:t>
      </w:r>
      <w:r>
        <w:rPr>
          <w:rFonts w:hint="eastAsia" w:ascii="仿宋" w:hAnsi="仿宋" w:eastAsia="仿宋" w:cs="仿宋"/>
          <w:sz w:val="36"/>
          <w:szCs w:val="28"/>
          <w:highlight w:val="none"/>
        </w:rPr>
        <w:t>：投标文件密封封套标记格式</w:t>
      </w:r>
      <w:bookmarkEnd w:id="129"/>
      <w:bookmarkEnd w:id="130"/>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tc>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2"/>
                <w:szCs w:val="28"/>
                <w:highlight w:val="none"/>
              </w:rPr>
            </w:pPr>
            <w:r>
              <w:rPr>
                <w:rFonts w:hint="eastAsia" w:ascii="仿宋" w:hAnsi="仿宋" w:eastAsia="仿宋" w:cs="仿宋"/>
                <w:sz w:val="28"/>
                <w:szCs w:val="28"/>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（开标一览表）</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2"/>
                <w:szCs w:val="28"/>
                <w:highlight w:val="none"/>
              </w:rPr>
            </w:pPr>
            <w:r>
              <w:rPr>
                <w:rFonts w:hint="eastAsia" w:ascii="仿宋" w:hAnsi="仿宋" w:eastAsia="仿宋" w:cs="仿宋"/>
                <w:sz w:val="28"/>
                <w:szCs w:val="28"/>
                <w:highlight w:val="none"/>
              </w:rPr>
              <w:t>电话：</w:t>
            </w:r>
          </w:p>
        </w:tc>
        <w:tc>
          <w:tcPr>
            <w:tcW w:w="4258" w:type="dxa"/>
          </w:tcPr>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shd w:val="clea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（电子版）</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包号：</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供应商名称（公章）：</w:t>
            </w:r>
          </w:p>
          <w:p>
            <w:pPr>
              <w:shd w:val="clear"/>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shd w:val="clear"/>
              <w:rPr>
                <w:rFonts w:hint="eastAsia" w:ascii="仿宋" w:hAnsi="仿宋" w:eastAsia="仿宋" w:cs="仿宋"/>
                <w:sz w:val="22"/>
                <w:szCs w:val="28"/>
                <w:highlight w:val="none"/>
              </w:rPr>
            </w:pPr>
            <w:r>
              <w:rPr>
                <w:rFonts w:hint="eastAsia" w:ascii="仿宋" w:hAnsi="仿宋" w:eastAsia="仿宋" w:cs="仿宋"/>
                <w:sz w:val="28"/>
                <w:szCs w:val="28"/>
                <w:highlight w:val="none"/>
              </w:rPr>
              <w:t>电话：</w:t>
            </w:r>
          </w:p>
        </w:tc>
      </w:tr>
    </w:tbl>
    <w:p>
      <w:pPr>
        <w:shd w:val="clear"/>
        <w:rPr>
          <w:rFonts w:hint="eastAsia" w:ascii="仿宋" w:hAnsi="仿宋" w:eastAsia="仿宋" w:cs="仿宋"/>
          <w:sz w:val="32"/>
          <w:szCs w:val="32"/>
          <w:highlight w:val="none"/>
        </w:rPr>
      </w:pPr>
    </w:p>
    <w:p>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t>封条格式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vAlign w:val="center"/>
          </w:tcPr>
          <w:p>
            <w:pPr>
              <w:shd w:val="clear"/>
              <w:jc w:val="center"/>
              <w:rPr>
                <w:rFonts w:hint="eastAsia" w:ascii="仿宋" w:hAnsi="仿宋" w:eastAsia="仿宋" w:cs="仿宋"/>
                <w:sz w:val="24"/>
                <w:highlight w:val="none"/>
              </w:rPr>
            </w:pPr>
            <w:r>
              <w:rPr>
                <w:rFonts w:hint="eastAsia" w:ascii="仿宋" w:hAnsi="仿宋" w:eastAsia="仿宋" w:cs="仿宋"/>
                <w:sz w:val="24"/>
                <w:highlight w:val="none"/>
              </w:rPr>
              <w:t>………于    年   月   日   时   分之前不准启封（公章）………</w:t>
            </w:r>
          </w:p>
        </w:tc>
      </w:tr>
    </w:tbl>
    <w:p>
      <w:pPr>
        <w:shd w:val="clear"/>
        <w:rPr>
          <w:highlight w:val="none"/>
        </w:rPr>
      </w:pPr>
    </w:p>
    <w:p>
      <w:pPr>
        <w:shd w:val="clear"/>
        <w:rPr>
          <w:highlight w:val="none"/>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- 87 -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- 87 -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4473"/>
    <w:multiLevelType w:val="singleLevel"/>
    <w:tmpl w:val="86F74473"/>
    <w:lvl w:ilvl="0" w:tentative="0">
      <w:start w:val="1"/>
      <w:numFmt w:val="decimal"/>
      <w:suff w:val="nothing"/>
      <w:lvlText w:val="%1、"/>
      <w:lvlJc w:val="left"/>
    </w:lvl>
  </w:abstractNum>
  <w:abstractNum w:abstractNumId="1">
    <w:nsid w:val="94FAF84E"/>
    <w:multiLevelType w:val="singleLevel"/>
    <w:tmpl w:val="94FAF84E"/>
    <w:lvl w:ilvl="0" w:tentative="0">
      <w:start w:val="1"/>
      <w:numFmt w:val="decimal"/>
      <w:suff w:val="nothing"/>
      <w:lvlText w:val="（%1）"/>
      <w:lvlJc w:val="left"/>
    </w:lvl>
  </w:abstractNum>
  <w:abstractNum w:abstractNumId="2">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3">
    <w:nsid w:val="C767AEF2"/>
    <w:multiLevelType w:val="singleLevel"/>
    <w:tmpl w:val="C767AEF2"/>
    <w:lvl w:ilvl="0" w:tentative="0">
      <w:start w:val="1"/>
      <w:numFmt w:val="decimal"/>
      <w:suff w:val="nothing"/>
      <w:lvlText w:val="%1"/>
      <w:lvlJc w:val="left"/>
      <w:pPr>
        <w:ind w:left="17" w:firstLine="403"/>
      </w:pPr>
      <w:rPr>
        <w:rFonts w:hint="default"/>
      </w:rPr>
    </w:lvl>
  </w:abstractNum>
  <w:abstractNum w:abstractNumId="4">
    <w:nsid w:val="E99DE957"/>
    <w:multiLevelType w:val="singleLevel"/>
    <w:tmpl w:val="E99DE957"/>
    <w:lvl w:ilvl="0" w:tentative="0">
      <w:start w:val="1"/>
      <w:numFmt w:val="chineseCounting"/>
      <w:suff w:val="nothing"/>
      <w:lvlText w:val="%1、"/>
      <w:lvlJc w:val="left"/>
      <w:rPr>
        <w:rFonts w:hint="eastAsia"/>
      </w:rPr>
    </w:lvl>
  </w:abstractNum>
  <w:abstractNum w:abstractNumId="5">
    <w:nsid w:val="F06F0C77"/>
    <w:multiLevelType w:val="singleLevel"/>
    <w:tmpl w:val="F06F0C77"/>
    <w:lvl w:ilvl="0" w:tentative="0">
      <w:start w:val="1"/>
      <w:numFmt w:val="decimal"/>
      <w:suff w:val="nothing"/>
      <w:lvlText w:val="%1、"/>
      <w:lvlJc w:val="left"/>
    </w:lvl>
  </w:abstractNum>
  <w:abstractNum w:abstractNumId="6">
    <w:nsid w:val="04C278FB"/>
    <w:multiLevelType w:val="singleLevel"/>
    <w:tmpl w:val="04C278FB"/>
    <w:lvl w:ilvl="0" w:tentative="0">
      <w:start w:val="1"/>
      <w:numFmt w:val="decimal"/>
      <w:suff w:val="nothing"/>
      <w:lvlText w:val="%1"/>
      <w:lvlJc w:val="left"/>
      <w:pPr>
        <w:ind w:left="17" w:firstLine="403"/>
      </w:pPr>
      <w:rPr>
        <w:rFonts w:hint="default"/>
      </w:rPr>
    </w:lvl>
  </w:abstractNum>
  <w:abstractNum w:abstractNumId="7">
    <w:nsid w:val="092C0995"/>
    <w:multiLevelType w:val="singleLevel"/>
    <w:tmpl w:val="092C0995"/>
    <w:lvl w:ilvl="0" w:tentative="0">
      <w:start w:val="1"/>
      <w:numFmt w:val="decimal"/>
      <w:suff w:val="nothing"/>
      <w:lvlText w:val="（%1）"/>
      <w:lvlJc w:val="left"/>
    </w:lvl>
  </w:abstractNum>
  <w:abstractNum w:abstractNumId="8">
    <w:nsid w:val="09FD4165"/>
    <w:multiLevelType w:val="singleLevel"/>
    <w:tmpl w:val="09FD4165"/>
    <w:lvl w:ilvl="0" w:tentative="0">
      <w:start w:val="1"/>
      <w:numFmt w:val="decimal"/>
      <w:suff w:val="nothing"/>
      <w:lvlText w:val="（%1）"/>
      <w:lvlJc w:val="left"/>
    </w:lvl>
  </w:abstractNum>
  <w:abstractNum w:abstractNumId="9">
    <w:nsid w:val="1CAE17B4"/>
    <w:multiLevelType w:val="singleLevel"/>
    <w:tmpl w:val="1CAE17B4"/>
    <w:lvl w:ilvl="0" w:tentative="0">
      <w:start w:val="1"/>
      <w:numFmt w:val="decimal"/>
      <w:lvlText w:val="%1."/>
      <w:lvlJc w:val="left"/>
      <w:pPr>
        <w:ind w:left="425" w:hanging="425"/>
      </w:pPr>
      <w:rPr>
        <w:rFonts w:hint="default"/>
      </w:rPr>
    </w:lvl>
  </w:abstractNum>
  <w:abstractNum w:abstractNumId="10">
    <w:nsid w:val="2A74090B"/>
    <w:multiLevelType w:val="singleLevel"/>
    <w:tmpl w:val="2A74090B"/>
    <w:lvl w:ilvl="0" w:tentative="0">
      <w:start w:val="1"/>
      <w:numFmt w:val="decimal"/>
      <w:suff w:val="nothing"/>
      <w:lvlText w:val="（%1）"/>
      <w:lvlJc w:val="left"/>
      <w:pPr>
        <w:tabs>
          <w:tab w:val="left" w:pos="0"/>
        </w:tabs>
      </w:pPr>
      <w:rPr>
        <w:rFonts w:hint="default" w:ascii="宋体" w:hAnsi="宋体" w:eastAsia="宋体" w:cs="宋体"/>
      </w:rPr>
    </w:lvl>
  </w:abstractNum>
  <w:abstractNum w:abstractNumId="11">
    <w:nsid w:val="2E6C82FE"/>
    <w:multiLevelType w:val="singleLevel"/>
    <w:tmpl w:val="2E6C82FE"/>
    <w:lvl w:ilvl="0" w:tentative="0">
      <w:start w:val="1"/>
      <w:numFmt w:val="chineseCounting"/>
      <w:suff w:val="nothing"/>
      <w:lvlText w:val="%1、"/>
      <w:lvlJc w:val="left"/>
      <w:rPr>
        <w:rFonts w:hint="eastAsia"/>
      </w:rPr>
    </w:lvl>
  </w:abstractNum>
  <w:abstractNum w:abstractNumId="12">
    <w:nsid w:val="3E2AC779"/>
    <w:multiLevelType w:val="singleLevel"/>
    <w:tmpl w:val="3E2AC779"/>
    <w:lvl w:ilvl="0" w:tentative="0">
      <w:start w:val="1"/>
      <w:numFmt w:val="decimal"/>
      <w:suff w:val="nothing"/>
      <w:lvlText w:val="（%1）"/>
      <w:lvlJc w:val="left"/>
      <w:pPr>
        <w:ind w:left="70"/>
      </w:pPr>
    </w:lvl>
  </w:abstractNum>
  <w:abstractNum w:abstractNumId="13">
    <w:nsid w:val="3E3D6081"/>
    <w:multiLevelType w:val="singleLevel"/>
    <w:tmpl w:val="3E3D6081"/>
    <w:lvl w:ilvl="0" w:tentative="0">
      <w:start w:val="1"/>
      <w:numFmt w:val="decimal"/>
      <w:suff w:val="nothing"/>
      <w:lvlText w:val="（%1）"/>
      <w:lvlJc w:val="left"/>
    </w:lvl>
  </w:abstractNum>
  <w:abstractNum w:abstractNumId="14">
    <w:nsid w:val="42B27805"/>
    <w:multiLevelType w:val="singleLevel"/>
    <w:tmpl w:val="42B27805"/>
    <w:lvl w:ilvl="0" w:tentative="0">
      <w:start w:val="1"/>
      <w:numFmt w:val="decimal"/>
      <w:suff w:val="nothing"/>
      <w:lvlText w:val="%1、"/>
      <w:lvlJc w:val="left"/>
    </w:lvl>
  </w:abstractNum>
  <w:abstractNum w:abstractNumId="15">
    <w:nsid w:val="48117AEE"/>
    <w:multiLevelType w:val="singleLevel"/>
    <w:tmpl w:val="48117AEE"/>
    <w:lvl w:ilvl="0" w:tentative="0">
      <w:start w:val="1"/>
      <w:numFmt w:val="chineseCounting"/>
      <w:suff w:val="nothing"/>
      <w:lvlText w:val="（%1）"/>
      <w:lvlJc w:val="left"/>
      <w:rPr>
        <w:rFonts w:hint="eastAsia"/>
      </w:rPr>
    </w:lvl>
  </w:abstractNum>
  <w:abstractNum w:abstractNumId="16">
    <w:nsid w:val="535DF3F7"/>
    <w:multiLevelType w:val="singleLevel"/>
    <w:tmpl w:val="535DF3F7"/>
    <w:lvl w:ilvl="0" w:tentative="0">
      <w:start w:val="1"/>
      <w:numFmt w:val="chineseCounting"/>
      <w:suff w:val="nothing"/>
      <w:lvlText w:val="%1、"/>
      <w:lvlJc w:val="left"/>
      <w:rPr>
        <w:rFonts w:hint="eastAsia"/>
      </w:rPr>
    </w:lvl>
  </w:abstractNum>
  <w:abstractNum w:abstractNumId="17">
    <w:nsid w:val="6A22B432"/>
    <w:multiLevelType w:val="singleLevel"/>
    <w:tmpl w:val="6A22B432"/>
    <w:lvl w:ilvl="0" w:tentative="0">
      <w:start w:val="1"/>
      <w:numFmt w:val="decimal"/>
      <w:suff w:val="nothing"/>
      <w:lvlText w:val="%1"/>
      <w:lvlJc w:val="left"/>
      <w:pPr>
        <w:tabs>
          <w:tab w:val="left" w:pos="0"/>
        </w:tabs>
        <w:ind w:left="420"/>
      </w:pPr>
      <w:rPr>
        <w:rFonts w:hint="default" w:ascii="宋体" w:hAnsi="宋体" w:eastAsia="宋体" w:cs="宋体"/>
      </w:rPr>
    </w:lvl>
  </w:abstractNum>
  <w:abstractNum w:abstractNumId="18">
    <w:nsid w:val="6BB823B2"/>
    <w:multiLevelType w:val="singleLevel"/>
    <w:tmpl w:val="6BB823B2"/>
    <w:lvl w:ilvl="0" w:tentative="0">
      <w:start w:val="2"/>
      <w:numFmt w:val="chineseCounting"/>
      <w:suff w:val="space"/>
      <w:lvlText w:val="第%1章"/>
      <w:lvlJc w:val="left"/>
      <w:rPr>
        <w:rFonts w:hint="eastAsia"/>
      </w:rPr>
    </w:lvl>
  </w:abstractNum>
  <w:abstractNum w:abstractNumId="19">
    <w:nsid w:val="74FB255C"/>
    <w:multiLevelType w:val="singleLevel"/>
    <w:tmpl w:val="74FB255C"/>
    <w:lvl w:ilvl="0" w:tentative="0">
      <w:start w:val="1"/>
      <w:numFmt w:val="chineseCounting"/>
      <w:suff w:val="space"/>
      <w:lvlText w:val="第%1部分"/>
      <w:lvlJc w:val="left"/>
      <w:rPr>
        <w:rFonts w:hint="eastAsia"/>
      </w:rPr>
    </w:lvl>
  </w:abstractNum>
  <w:num w:numId="1">
    <w:abstractNumId w:val="19"/>
  </w:num>
  <w:num w:numId="2">
    <w:abstractNumId w:val="4"/>
  </w:num>
  <w:num w:numId="3">
    <w:abstractNumId w:val="0"/>
  </w:num>
  <w:num w:numId="4">
    <w:abstractNumId w:val="10"/>
  </w:num>
  <w:num w:numId="5">
    <w:abstractNumId w:val="5"/>
  </w:num>
  <w:num w:numId="6">
    <w:abstractNumId w:val="18"/>
  </w:num>
  <w:num w:numId="7">
    <w:abstractNumId w:val="17"/>
  </w:num>
  <w:num w:numId="8">
    <w:abstractNumId w:val="9"/>
  </w:num>
  <w:num w:numId="9">
    <w:abstractNumId w:val="13"/>
  </w:num>
  <w:num w:numId="10">
    <w:abstractNumId w:val="1"/>
  </w:num>
  <w:num w:numId="11">
    <w:abstractNumId w:val="16"/>
  </w:num>
  <w:num w:numId="12">
    <w:abstractNumId w:val="12"/>
  </w:num>
  <w:num w:numId="13">
    <w:abstractNumId w:val="7"/>
  </w:num>
  <w:num w:numId="14">
    <w:abstractNumId w:val="11"/>
  </w:num>
  <w:num w:numId="15">
    <w:abstractNumId w:val="2"/>
  </w:num>
  <w:num w:numId="16">
    <w:abstractNumId w:val="15"/>
  </w:num>
  <w:num w:numId="17">
    <w:abstractNumId w:val="3"/>
  </w:num>
  <w:num w:numId="18">
    <w:abstractNumId w:val="6"/>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0F9E6945"/>
    <w:rsid w:val="00042DC2"/>
    <w:rsid w:val="0025161E"/>
    <w:rsid w:val="003F2474"/>
    <w:rsid w:val="006D76F8"/>
    <w:rsid w:val="00793413"/>
    <w:rsid w:val="008F6CDF"/>
    <w:rsid w:val="00B00BCD"/>
    <w:rsid w:val="00B01A4E"/>
    <w:rsid w:val="00B7670A"/>
    <w:rsid w:val="00BC2FD6"/>
    <w:rsid w:val="010B4C70"/>
    <w:rsid w:val="0166176F"/>
    <w:rsid w:val="017316D6"/>
    <w:rsid w:val="017D3C54"/>
    <w:rsid w:val="01856EBB"/>
    <w:rsid w:val="01891A58"/>
    <w:rsid w:val="01914207"/>
    <w:rsid w:val="02045673"/>
    <w:rsid w:val="02423C4A"/>
    <w:rsid w:val="025D557D"/>
    <w:rsid w:val="02677FB9"/>
    <w:rsid w:val="02D45F6D"/>
    <w:rsid w:val="02F563A9"/>
    <w:rsid w:val="030E6D56"/>
    <w:rsid w:val="0367585D"/>
    <w:rsid w:val="03FE05ED"/>
    <w:rsid w:val="042E2631"/>
    <w:rsid w:val="049108AB"/>
    <w:rsid w:val="04E850BB"/>
    <w:rsid w:val="051017B6"/>
    <w:rsid w:val="05760B31"/>
    <w:rsid w:val="057B56AA"/>
    <w:rsid w:val="05A57610"/>
    <w:rsid w:val="05ED39B9"/>
    <w:rsid w:val="05FD59D2"/>
    <w:rsid w:val="066607A8"/>
    <w:rsid w:val="06951A2A"/>
    <w:rsid w:val="06974E45"/>
    <w:rsid w:val="06B6617E"/>
    <w:rsid w:val="06BC2EEB"/>
    <w:rsid w:val="06E76A08"/>
    <w:rsid w:val="07BC5F66"/>
    <w:rsid w:val="07CC1870"/>
    <w:rsid w:val="081656C8"/>
    <w:rsid w:val="08630412"/>
    <w:rsid w:val="086B713A"/>
    <w:rsid w:val="08B649EF"/>
    <w:rsid w:val="08B77900"/>
    <w:rsid w:val="08C55445"/>
    <w:rsid w:val="08F04086"/>
    <w:rsid w:val="09273D9C"/>
    <w:rsid w:val="09331C3C"/>
    <w:rsid w:val="096430D6"/>
    <w:rsid w:val="09684744"/>
    <w:rsid w:val="09746B49"/>
    <w:rsid w:val="09A65519"/>
    <w:rsid w:val="09FF529A"/>
    <w:rsid w:val="0A9A7FC7"/>
    <w:rsid w:val="0AAE008A"/>
    <w:rsid w:val="0AC02960"/>
    <w:rsid w:val="0AEB1055"/>
    <w:rsid w:val="0B166E82"/>
    <w:rsid w:val="0B3227DE"/>
    <w:rsid w:val="0B3A7AAB"/>
    <w:rsid w:val="0B3F244B"/>
    <w:rsid w:val="0B3F2FBC"/>
    <w:rsid w:val="0B44031D"/>
    <w:rsid w:val="0BAF056F"/>
    <w:rsid w:val="0BDF168A"/>
    <w:rsid w:val="0BED19FB"/>
    <w:rsid w:val="0C047F37"/>
    <w:rsid w:val="0C0E1D88"/>
    <w:rsid w:val="0C4256F9"/>
    <w:rsid w:val="0C8676FF"/>
    <w:rsid w:val="0CB16402"/>
    <w:rsid w:val="0CB367E8"/>
    <w:rsid w:val="0D0F50F9"/>
    <w:rsid w:val="0D3222D3"/>
    <w:rsid w:val="0D763E16"/>
    <w:rsid w:val="0E244923"/>
    <w:rsid w:val="0E685AA1"/>
    <w:rsid w:val="0E76548A"/>
    <w:rsid w:val="0E9252B5"/>
    <w:rsid w:val="0E947FED"/>
    <w:rsid w:val="0EA50A23"/>
    <w:rsid w:val="0EC0770C"/>
    <w:rsid w:val="0EC15FF0"/>
    <w:rsid w:val="0EE83BE3"/>
    <w:rsid w:val="0EEC54CF"/>
    <w:rsid w:val="0F0800EA"/>
    <w:rsid w:val="0F846560"/>
    <w:rsid w:val="0F9E6945"/>
    <w:rsid w:val="0FD40AB1"/>
    <w:rsid w:val="0FE76316"/>
    <w:rsid w:val="0FEE2DFD"/>
    <w:rsid w:val="104A629A"/>
    <w:rsid w:val="1053332C"/>
    <w:rsid w:val="105519AE"/>
    <w:rsid w:val="10831630"/>
    <w:rsid w:val="110B56B0"/>
    <w:rsid w:val="11157683"/>
    <w:rsid w:val="114C4C3C"/>
    <w:rsid w:val="1161345D"/>
    <w:rsid w:val="117F547C"/>
    <w:rsid w:val="119637A3"/>
    <w:rsid w:val="11B76268"/>
    <w:rsid w:val="11CF5A3A"/>
    <w:rsid w:val="11EF609C"/>
    <w:rsid w:val="12226661"/>
    <w:rsid w:val="12282CC2"/>
    <w:rsid w:val="124B5A20"/>
    <w:rsid w:val="125508A2"/>
    <w:rsid w:val="125D0F08"/>
    <w:rsid w:val="12AF79F1"/>
    <w:rsid w:val="12E71167"/>
    <w:rsid w:val="136372D4"/>
    <w:rsid w:val="139B365F"/>
    <w:rsid w:val="13AD4BF5"/>
    <w:rsid w:val="13BF2B85"/>
    <w:rsid w:val="13C058EC"/>
    <w:rsid w:val="13E53138"/>
    <w:rsid w:val="14100E11"/>
    <w:rsid w:val="141677D8"/>
    <w:rsid w:val="1436496B"/>
    <w:rsid w:val="14C66AE3"/>
    <w:rsid w:val="14EB372B"/>
    <w:rsid w:val="151C05CE"/>
    <w:rsid w:val="154544A8"/>
    <w:rsid w:val="156E1508"/>
    <w:rsid w:val="157B4AE1"/>
    <w:rsid w:val="157C0937"/>
    <w:rsid w:val="158C6D67"/>
    <w:rsid w:val="159A7B3B"/>
    <w:rsid w:val="15A4508C"/>
    <w:rsid w:val="15A54FB8"/>
    <w:rsid w:val="15B6041C"/>
    <w:rsid w:val="16057A72"/>
    <w:rsid w:val="160D235F"/>
    <w:rsid w:val="1630011F"/>
    <w:rsid w:val="165805A1"/>
    <w:rsid w:val="16645AC9"/>
    <w:rsid w:val="16670C5B"/>
    <w:rsid w:val="1675749B"/>
    <w:rsid w:val="169200D9"/>
    <w:rsid w:val="16B714BA"/>
    <w:rsid w:val="16CB1F9C"/>
    <w:rsid w:val="16E20BE4"/>
    <w:rsid w:val="16E648E1"/>
    <w:rsid w:val="16E95E45"/>
    <w:rsid w:val="16F67BFB"/>
    <w:rsid w:val="170065F8"/>
    <w:rsid w:val="17140135"/>
    <w:rsid w:val="17301980"/>
    <w:rsid w:val="177644E5"/>
    <w:rsid w:val="177E6ED8"/>
    <w:rsid w:val="17816E30"/>
    <w:rsid w:val="179B2189"/>
    <w:rsid w:val="179E0AB2"/>
    <w:rsid w:val="17A54DC9"/>
    <w:rsid w:val="17B324F3"/>
    <w:rsid w:val="17E66FF6"/>
    <w:rsid w:val="17FB5ED1"/>
    <w:rsid w:val="17FC5CDB"/>
    <w:rsid w:val="1812389F"/>
    <w:rsid w:val="185F52BC"/>
    <w:rsid w:val="18CD2D4B"/>
    <w:rsid w:val="190C2310"/>
    <w:rsid w:val="19433B14"/>
    <w:rsid w:val="194633D7"/>
    <w:rsid w:val="195D7FB8"/>
    <w:rsid w:val="199145EF"/>
    <w:rsid w:val="1991782E"/>
    <w:rsid w:val="19EE2763"/>
    <w:rsid w:val="19F743CC"/>
    <w:rsid w:val="1A46749A"/>
    <w:rsid w:val="1A5F2A47"/>
    <w:rsid w:val="1AAB4F58"/>
    <w:rsid w:val="1AC647F9"/>
    <w:rsid w:val="1ACD50FF"/>
    <w:rsid w:val="1AD90757"/>
    <w:rsid w:val="1AE22C33"/>
    <w:rsid w:val="1B001D6F"/>
    <w:rsid w:val="1B063DBD"/>
    <w:rsid w:val="1B1E34D8"/>
    <w:rsid w:val="1B8B17E3"/>
    <w:rsid w:val="1B9F3E3B"/>
    <w:rsid w:val="1C1474DC"/>
    <w:rsid w:val="1C3B1844"/>
    <w:rsid w:val="1C3C7D6D"/>
    <w:rsid w:val="1C9B32BD"/>
    <w:rsid w:val="1CB276FE"/>
    <w:rsid w:val="1CE0353F"/>
    <w:rsid w:val="1D9E20B3"/>
    <w:rsid w:val="1E0F2BF2"/>
    <w:rsid w:val="1E2D20E7"/>
    <w:rsid w:val="1E4E745E"/>
    <w:rsid w:val="1E9F75C1"/>
    <w:rsid w:val="1F046865"/>
    <w:rsid w:val="1F8E15B2"/>
    <w:rsid w:val="1F97498F"/>
    <w:rsid w:val="1F996BEF"/>
    <w:rsid w:val="1FB3612C"/>
    <w:rsid w:val="1FCE7695"/>
    <w:rsid w:val="1FD82C93"/>
    <w:rsid w:val="1FF6054A"/>
    <w:rsid w:val="20222154"/>
    <w:rsid w:val="20403221"/>
    <w:rsid w:val="205E2895"/>
    <w:rsid w:val="20652803"/>
    <w:rsid w:val="207520F5"/>
    <w:rsid w:val="20CD4199"/>
    <w:rsid w:val="218F6E59"/>
    <w:rsid w:val="21F17C02"/>
    <w:rsid w:val="223512D9"/>
    <w:rsid w:val="22891C77"/>
    <w:rsid w:val="22920ECA"/>
    <w:rsid w:val="229932B8"/>
    <w:rsid w:val="229F1624"/>
    <w:rsid w:val="23201F15"/>
    <w:rsid w:val="23307A4C"/>
    <w:rsid w:val="233E2112"/>
    <w:rsid w:val="23632698"/>
    <w:rsid w:val="237164F7"/>
    <w:rsid w:val="23A42F15"/>
    <w:rsid w:val="23E3253C"/>
    <w:rsid w:val="23FE5E62"/>
    <w:rsid w:val="23FF277A"/>
    <w:rsid w:val="2424538D"/>
    <w:rsid w:val="243D64BF"/>
    <w:rsid w:val="245A3471"/>
    <w:rsid w:val="24703714"/>
    <w:rsid w:val="24A63BFF"/>
    <w:rsid w:val="24AC2947"/>
    <w:rsid w:val="24F43D8A"/>
    <w:rsid w:val="2535731C"/>
    <w:rsid w:val="254C2A3F"/>
    <w:rsid w:val="25A972CE"/>
    <w:rsid w:val="25C8703D"/>
    <w:rsid w:val="25F419CB"/>
    <w:rsid w:val="261B0C3D"/>
    <w:rsid w:val="2627274E"/>
    <w:rsid w:val="26592014"/>
    <w:rsid w:val="2692654F"/>
    <w:rsid w:val="27026C4C"/>
    <w:rsid w:val="27631D57"/>
    <w:rsid w:val="27916A6C"/>
    <w:rsid w:val="27A03EB6"/>
    <w:rsid w:val="280D095E"/>
    <w:rsid w:val="280F00F6"/>
    <w:rsid w:val="2820392C"/>
    <w:rsid w:val="283E2D9E"/>
    <w:rsid w:val="28506F1C"/>
    <w:rsid w:val="288323B7"/>
    <w:rsid w:val="28855EB5"/>
    <w:rsid w:val="289219F7"/>
    <w:rsid w:val="2893599D"/>
    <w:rsid w:val="2898607F"/>
    <w:rsid w:val="28A61362"/>
    <w:rsid w:val="28C869E7"/>
    <w:rsid w:val="28DE4089"/>
    <w:rsid w:val="29163F32"/>
    <w:rsid w:val="29187CC6"/>
    <w:rsid w:val="29544950"/>
    <w:rsid w:val="29631B98"/>
    <w:rsid w:val="298D266E"/>
    <w:rsid w:val="29B25700"/>
    <w:rsid w:val="29F560BE"/>
    <w:rsid w:val="2A0665E7"/>
    <w:rsid w:val="2A10391F"/>
    <w:rsid w:val="2A851BED"/>
    <w:rsid w:val="2A931CB6"/>
    <w:rsid w:val="2AC256A3"/>
    <w:rsid w:val="2AD92949"/>
    <w:rsid w:val="2B3B7F4D"/>
    <w:rsid w:val="2B4F2E97"/>
    <w:rsid w:val="2B9E0340"/>
    <w:rsid w:val="2BC80B80"/>
    <w:rsid w:val="2BE52063"/>
    <w:rsid w:val="2BE65951"/>
    <w:rsid w:val="2BF355D4"/>
    <w:rsid w:val="2C7913B7"/>
    <w:rsid w:val="2C8C2213"/>
    <w:rsid w:val="2CA10829"/>
    <w:rsid w:val="2CB93CF9"/>
    <w:rsid w:val="2CC74C46"/>
    <w:rsid w:val="2D0C27BE"/>
    <w:rsid w:val="2D2B79D4"/>
    <w:rsid w:val="2D2D6D36"/>
    <w:rsid w:val="2D4B70D1"/>
    <w:rsid w:val="2DA91EFB"/>
    <w:rsid w:val="2DB23901"/>
    <w:rsid w:val="2DC24EC8"/>
    <w:rsid w:val="2DC62603"/>
    <w:rsid w:val="2DCC5B3D"/>
    <w:rsid w:val="2DD407D2"/>
    <w:rsid w:val="2E263154"/>
    <w:rsid w:val="2E2D4759"/>
    <w:rsid w:val="2E326F91"/>
    <w:rsid w:val="2E3E0F22"/>
    <w:rsid w:val="2E620A42"/>
    <w:rsid w:val="2EC1153B"/>
    <w:rsid w:val="2EC8738C"/>
    <w:rsid w:val="2ECD1469"/>
    <w:rsid w:val="2F4754AB"/>
    <w:rsid w:val="2F6679C6"/>
    <w:rsid w:val="2F84329E"/>
    <w:rsid w:val="2FA92CE0"/>
    <w:rsid w:val="302C0404"/>
    <w:rsid w:val="30391CCE"/>
    <w:rsid w:val="30515F6A"/>
    <w:rsid w:val="308877BC"/>
    <w:rsid w:val="309A7E37"/>
    <w:rsid w:val="30D61BC6"/>
    <w:rsid w:val="310A3B1A"/>
    <w:rsid w:val="312849BA"/>
    <w:rsid w:val="312D608B"/>
    <w:rsid w:val="319A3819"/>
    <w:rsid w:val="31A21C27"/>
    <w:rsid w:val="31C7551E"/>
    <w:rsid w:val="31FA4FCC"/>
    <w:rsid w:val="32147032"/>
    <w:rsid w:val="321E61D3"/>
    <w:rsid w:val="322120F3"/>
    <w:rsid w:val="326C652B"/>
    <w:rsid w:val="32762D7D"/>
    <w:rsid w:val="32C65482"/>
    <w:rsid w:val="32F220E2"/>
    <w:rsid w:val="3377007E"/>
    <w:rsid w:val="33F6127A"/>
    <w:rsid w:val="345B4324"/>
    <w:rsid w:val="34921E72"/>
    <w:rsid w:val="34DC2CBF"/>
    <w:rsid w:val="34E30D92"/>
    <w:rsid w:val="356F7983"/>
    <w:rsid w:val="35B02468"/>
    <w:rsid w:val="35CF6DE4"/>
    <w:rsid w:val="35DE4E4D"/>
    <w:rsid w:val="35EC61BF"/>
    <w:rsid w:val="35F819EA"/>
    <w:rsid w:val="360E4154"/>
    <w:rsid w:val="368603E6"/>
    <w:rsid w:val="37071202"/>
    <w:rsid w:val="3715401D"/>
    <w:rsid w:val="37214A7E"/>
    <w:rsid w:val="37370EE8"/>
    <w:rsid w:val="374F0391"/>
    <w:rsid w:val="374F5875"/>
    <w:rsid w:val="37567086"/>
    <w:rsid w:val="37D14BC7"/>
    <w:rsid w:val="381E5902"/>
    <w:rsid w:val="38442F4B"/>
    <w:rsid w:val="38653669"/>
    <w:rsid w:val="387C4D85"/>
    <w:rsid w:val="389B54ED"/>
    <w:rsid w:val="38A50216"/>
    <w:rsid w:val="38AD4540"/>
    <w:rsid w:val="38F512A1"/>
    <w:rsid w:val="393873DF"/>
    <w:rsid w:val="39BE51FE"/>
    <w:rsid w:val="39CF27FC"/>
    <w:rsid w:val="3A08233C"/>
    <w:rsid w:val="3A4C4FE3"/>
    <w:rsid w:val="3A790434"/>
    <w:rsid w:val="3A7E4D98"/>
    <w:rsid w:val="3A8F4646"/>
    <w:rsid w:val="3A972D83"/>
    <w:rsid w:val="3A9D2A14"/>
    <w:rsid w:val="3B091780"/>
    <w:rsid w:val="3B3B68F0"/>
    <w:rsid w:val="3BD83530"/>
    <w:rsid w:val="3C166CDF"/>
    <w:rsid w:val="3C266127"/>
    <w:rsid w:val="3C4D420E"/>
    <w:rsid w:val="3C6F4010"/>
    <w:rsid w:val="3CD32AA5"/>
    <w:rsid w:val="3CE078AF"/>
    <w:rsid w:val="3CE706BA"/>
    <w:rsid w:val="3D104B94"/>
    <w:rsid w:val="3D13433F"/>
    <w:rsid w:val="3D514F5A"/>
    <w:rsid w:val="3D593086"/>
    <w:rsid w:val="3D80157E"/>
    <w:rsid w:val="3DA428C4"/>
    <w:rsid w:val="3DB34567"/>
    <w:rsid w:val="3DE13CCE"/>
    <w:rsid w:val="3E082A12"/>
    <w:rsid w:val="3E197200"/>
    <w:rsid w:val="3E26373B"/>
    <w:rsid w:val="3E6871A2"/>
    <w:rsid w:val="3E721387"/>
    <w:rsid w:val="3E8F6702"/>
    <w:rsid w:val="3E9F69EA"/>
    <w:rsid w:val="3EC43B0D"/>
    <w:rsid w:val="3ED02254"/>
    <w:rsid w:val="3EE87AD4"/>
    <w:rsid w:val="3F050E0A"/>
    <w:rsid w:val="3F176BBD"/>
    <w:rsid w:val="3F1D6BF0"/>
    <w:rsid w:val="3F475EE9"/>
    <w:rsid w:val="3F5C2A7D"/>
    <w:rsid w:val="3FE4181F"/>
    <w:rsid w:val="3FEB11B9"/>
    <w:rsid w:val="40545437"/>
    <w:rsid w:val="40CA0A76"/>
    <w:rsid w:val="40F17BA1"/>
    <w:rsid w:val="40FC2472"/>
    <w:rsid w:val="41306B05"/>
    <w:rsid w:val="4131700C"/>
    <w:rsid w:val="413A31A8"/>
    <w:rsid w:val="41585D86"/>
    <w:rsid w:val="41803CF6"/>
    <w:rsid w:val="419E520C"/>
    <w:rsid w:val="41B75622"/>
    <w:rsid w:val="41C468CB"/>
    <w:rsid w:val="42165DE4"/>
    <w:rsid w:val="42433574"/>
    <w:rsid w:val="424402BA"/>
    <w:rsid w:val="42AB0289"/>
    <w:rsid w:val="42D65569"/>
    <w:rsid w:val="42E0752E"/>
    <w:rsid w:val="42F35CC9"/>
    <w:rsid w:val="42FD6935"/>
    <w:rsid w:val="430429A8"/>
    <w:rsid w:val="432112A3"/>
    <w:rsid w:val="437754F8"/>
    <w:rsid w:val="43A018F3"/>
    <w:rsid w:val="43AD31CB"/>
    <w:rsid w:val="43BE68B9"/>
    <w:rsid w:val="43CC4485"/>
    <w:rsid w:val="43CF1B67"/>
    <w:rsid w:val="44065C1F"/>
    <w:rsid w:val="4460635E"/>
    <w:rsid w:val="446B4A90"/>
    <w:rsid w:val="44B40598"/>
    <w:rsid w:val="44F96E29"/>
    <w:rsid w:val="4517012B"/>
    <w:rsid w:val="455C526C"/>
    <w:rsid w:val="456C15DB"/>
    <w:rsid w:val="45A66DC4"/>
    <w:rsid w:val="45B86916"/>
    <w:rsid w:val="45F768ED"/>
    <w:rsid w:val="463034FA"/>
    <w:rsid w:val="463F79C3"/>
    <w:rsid w:val="46930B04"/>
    <w:rsid w:val="46A80BBA"/>
    <w:rsid w:val="46DC7B84"/>
    <w:rsid w:val="472F0903"/>
    <w:rsid w:val="476B0845"/>
    <w:rsid w:val="479010AD"/>
    <w:rsid w:val="479877E3"/>
    <w:rsid w:val="47BD4581"/>
    <w:rsid w:val="47FF1DC2"/>
    <w:rsid w:val="4800524E"/>
    <w:rsid w:val="48094F06"/>
    <w:rsid w:val="482374AD"/>
    <w:rsid w:val="483A7FD2"/>
    <w:rsid w:val="48786A4E"/>
    <w:rsid w:val="48895D89"/>
    <w:rsid w:val="4895451F"/>
    <w:rsid w:val="48E20A1A"/>
    <w:rsid w:val="4921695E"/>
    <w:rsid w:val="493B7E22"/>
    <w:rsid w:val="49745FB9"/>
    <w:rsid w:val="497D3218"/>
    <w:rsid w:val="49CF085F"/>
    <w:rsid w:val="49F94A24"/>
    <w:rsid w:val="4A0F2BFE"/>
    <w:rsid w:val="4A35761F"/>
    <w:rsid w:val="4A95657B"/>
    <w:rsid w:val="4AB6578F"/>
    <w:rsid w:val="4ADF512F"/>
    <w:rsid w:val="4AED6205"/>
    <w:rsid w:val="4B186A5A"/>
    <w:rsid w:val="4B675C46"/>
    <w:rsid w:val="4C1D043D"/>
    <w:rsid w:val="4C223033"/>
    <w:rsid w:val="4C3876FA"/>
    <w:rsid w:val="4C8275CE"/>
    <w:rsid w:val="4C8E70BA"/>
    <w:rsid w:val="4C903356"/>
    <w:rsid w:val="4CA941B7"/>
    <w:rsid w:val="4CD26278"/>
    <w:rsid w:val="4CF10C63"/>
    <w:rsid w:val="4CF55F89"/>
    <w:rsid w:val="4D271F40"/>
    <w:rsid w:val="4D56027C"/>
    <w:rsid w:val="4D5A78D7"/>
    <w:rsid w:val="4D94085C"/>
    <w:rsid w:val="4DBB2498"/>
    <w:rsid w:val="4DFB41E6"/>
    <w:rsid w:val="4E8A0DDD"/>
    <w:rsid w:val="4E921F30"/>
    <w:rsid w:val="4EF734D2"/>
    <w:rsid w:val="4F8B176C"/>
    <w:rsid w:val="4FAB01FF"/>
    <w:rsid w:val="50027558"/>
    <w:rsid w:val="502A397A"/>
    <w:rsid w:val="502D50C9"/>
    <w:rsid w:val="50594CB7"/>
    <w:rsid w:val="508C6054"/>
    <w:rsid w:val="509633B2"/>
    <w:rsid w:val="50A1658E"/>
    <w:rsid w:val="50A60AB8"/>
    <w:rsid w:val="50C818C3"/>
    <w:rsid w:val="50EF62BE"/>
    <w:rsid w:val="512E64E4"/>
    <w:rsid w:val="5136609E"/>
    <w:rsid w:val="516C5739"/>
    <w:rsid w:val="51AC0703"/>
    <w:rsid w:val="51B86DAF"/>
    <w:rsid w:val="52021998"/>
    <w:rsid w:val="523C375A"/>
    <w:rsid w:val="5245371A"/>
    <w:rsid w:val="527F7379"/>
    <w:rsid w:val="52C236DB"/>
    <w:rsid w:val="52E910BF"/>
    <w:rsid w:val="531677D2"/>
    <w:rsid w:val="53195734"/>
    <w:rsid w:val="53241BDE"/>
    <w:rsid w:val="534049B3"/>
    <w:rsid w:val="53493E2F"/>
    <w:rsid w:val="5383163E"/>
    <w:rsid w:val="53D67F45"/>
    <w:rsid w:val="54077F0D"/>
    <w:rsid w:val="541018FC"/>
    <w:rsid w:val="547830D6"/>
    <w:rsid w:val="54D43F38"/>
    <w:rsid w:val="54F620B3"/>
    <w:rsid w:val="54FC692E"/>
    <w:rsid w:val="54FE5AAD"/>
    <w:rsid w:val="5546439B"/>
    <w:rsid w:val="55A5355C"/>
    <w:rsid w:val="55F21EC4"/>
    <w:rsid w:val="564065DA"/>
    <w:rsid w:val="564D3B26"/>
    <w:rsid w:val="56614AD1"/>
    <w:rsid w:val="56623AB1"/>
    <w:rsid w:val="56984CA4"/>
    <w:rsid w:val="56B90EC4"/>
    <w:rsid w:val="56C25BA1"/>
    <w:rsid w:val="56D77CC7"/>
    <w:rsid w:val="56D94653"/>
    <w:rsid w:val="56DC75EF"/>
    <w:rsid w:val="573671FF"/>
    <w:rsid w:val="576777AA"/>
    <w:rsid w:val="577A67C6"/>
    <w:rsid w:val="57D90FB8"/>
    <w:rsid w:val="57DB6D9D"/>
    <w:rsid w:val="582E4388"/>
    <w:rsid w:val="584D6874"/>
    <w:rsid w:val="58681E78"/>
    <w:rsid w:val="58785BA8"/>
    <w:rsid w:val="587D7500"/>
    <w:rsid w:val="588777F0"/>
    <w:rsid w:val="588B2C33"/>
    <w:rsid w:val="58F12297"/>
    <w:rsid w:val="591F49AD"/>
    <w:rsid w:val="59454D2A"/>
    <w:rsid w:val="594779C3"/>
    <w:rsid w:val="597F25E7"/>
    <w:rsid w:val="59D35625"/>
    <w:rsid w:val="5A0B3642"/>
    <w:rsid w:val="5A272E2C"/>
    <w:rsid w:val="5A63523E"/>
    <w:rsid w:val="5A7A6C84"/>
    <w:rsid w:val="5A7C3C6C"/>
    <w:rsid w:val="5AE512C5"/>
    <w:rsid w:val="5AF917B7"/>
    <w:rsid w:val="5B244AAC"/>
    <w:rsid w:val="5B337346"/>
    <w:rsid w:val="5B5B003C"/>
    <w:rsid w:val="5B940553"/>
    <w:rsid w:val="5C642FCC"/>
    <w:rsid w:val="5C926652"/>
    <w:rsid w:val="5CC7167C"/>
    <w:rsid w:val="5CD43B52"/>
    <w:rsid w:val="5D14216D"/>
    <w:rsid w:val="5D170973"/>
    <w:rsid w:val="5D1806C8"/>
    <w:rsid w:val="5D50599E"/>
    <w:rsid w:val="5DBA34C6"/>
    <w:rsid w:val="5E0B2794"/>
    <w:rsid w:val="5E1354D4"/>
    <w:rsid w:val="5E18450A"/>
    <w:rsid w:val="5E295F19"/>
    <w:rsid w:val="5E595C4D"/>
    <w:rsid w:val="5E5D506F"/>
    <w:rsid w:val="5EBE3364"/>
    <w:rsid w:val="5EF90010"/>
    <w:rsid w:val="5F021CEA"/>
    <w:rsid w:val="5F117CD6"/>
    <w:rsid w:val="5F3A449C"/>
    <w:rsid w:val="5F8538F8"/>
    <w:rsid w:val="5F9759D4"/>
    <w:rsid w:val="5F9D5279"/>
    <w:rsid w:val="5FA53779"/>
    <w:rsid w:val="60496BD8"/>
    <w:rsid w:val="606D3F8B"/>
    <w:rsid w:val="609F7FC2"/>
    <w:rsid w:val="60AA0313"/>
    <w:rsid w:val="60C9298C"/>
    <w:rsid w:val="60E4627A"/>
    <w:rsid w:val="60E562BE"/>
    <w:rsid w:val="61525BD6"/>
    <w:rsid w:val="616866C1"/>
    <w:rsid w:val="61911A0A"/>
    <w:rsid w:val="61BF7429"/>
    <w:rsid w:val="61E513D9"/>
    <w:rsid w:val="61EE67F0"/>
    <w:rsid w:val="620C7519"/>
    <w:rsid w:val="622334EE"/>
    <w:rsid w:val="62385852"/>
    <w:rsid w:val="62975D9E"/>
    <w:rsid w:val="62B17A23"/>
    <w:rsid w:val="62D4154E"/>
    <w:rsid w:val="62E14496"/>
    <w:rsid w:val="62F8697C"/>
    <w:rsid w:val="631733BB"/>
    <w:rsid w:val="633515D4"/>
    <w:rsid w:val="6342396D"/>
    <w:rsid w:val="63704743"/>
    <w:rsid w:val="638D64C6"/>
    <w:rsid w:val="63934981"/>
    <w:rsid w:val="63E45201"/>
    <w:rsid w:val="63F960DC"/>
    <w:rsid w:val="643928B2"/>
    <w:rsid w:val="64507657"/>
    <w:rsid w:val="645411FD"/>
    <w:rsid w:val="64A47B5E"/>
    <w:rsid w:val="650D4695"/>
    <w:rsid w:val="65DB6668"/>
    <w:rsid w:val="65EC39CF"/>
    <w:rsid w:val="661C405F"/>
    <w:rsid w:val="66687214"/>
    <w:rsid w:val="66853842"/>
    <w:rsid w:val="66A43ECC"/>
    <w:rsid w:val="66AA0C31"/>
    <w:rsid w:val="66C8797B"/>
    <w:rsid w:val="67846636"/>
    <w:rsid w:val="679B2764"/>
    <w:rsid w:val="67C676E7"/>
    <w:rsid w:val="68596B83"/>
    <w:rsid w:val="685B5978"/>
    <w:rsid w:val="685F198D"/>
    <w:rsid w:val="68625513"/>
    <w:rsid w:val="68A95271"/>
    <w:rsid w:val="68D705AC"/>
    <w:rsid w:val="68D95A15"/>
    <w:rsid w:val="69000064"/>
    <w:rsid w:val="69006B8C"/>
    <w:rsid w:val="690B51CD"/>
    <w:rsid w:val="690E5E3F"/>
    <w:rsid w:val="69315102"/>
    <w:rsid w:val="693F44CD"/>
    <w:rsid w:val="69D05549"/>
    <w:rsid w:val="69D3452E"/>
    <w:rsid w:val="69D60274"/>
    <w:rsid w:val="69E54242"/>
    <w:rsid w:val="6A06154D"/>
    <w:rsid w:val="6A086C3E"/>
    <w:rsid w:val="6A5852BE"/>
    <w:rsid w:val="6A732170"/>
    <w:rsid w:val="6A77530C"/>
    <w:rsid w:val="6A7B4D63"/>
    <w:rsid w:val="6AFD409F"/>
    <w:rsid w:val="6B157906"/>
    <w:rsid w:val="6B183BEF"/>
    <w:rsid w:val="6B5E65E7"/>
    <w:rsid w:val="6B9C28BF"/>
    <w:rsid w:val="6BA02456"/>
    <w:rsid w:val="6BD72179"/>
    <w:rsid w:val="6BD83BEC"/>
    <w:rsid w:val="6C4B251C"/>
    <w:rsid w:val="6C6106F3"/>
    <w:rsid w:val="6C6D7E8C"/>
    <w:rsid w:val="6CCC0BBA"/>
    <w:rsid w:val="6D0659AB"/>
    <w:rsid w:val="6D074C05"/>
    <w:rsid w:val="6D0E5548"/>
    <w:rsid w:val="6D611A0A"/>
    <w:rsid w:val="6D7C499B"/>
    <w:rsid w:val="6DA12E2A"/>
    <w:rsid w:val="6DAF3FA6"/>
    <w:rsid w:val="6DC4735B"/>
    <w:rsid w:val="6DC60B4F"/>
    <w:rsid w:val="6DD726D9"/>
    <w:rsid w:val="6DDF162A"/>
    <w:rsid w:val="6E1A18C8"/>
    <w:rsid w:val="6E204662"/>
    <w:rsid w:val="6E2B75B4"/>
    <w:rsid w:val="6E4A45E0"/>
    <w:rsid w:val="6E596BEF"/>
    <w:rsid w:val="6E755580"/>
    <w:rsid w:val="6E7C45EB"/>
    <w:rsid w:val="6E9C3EAA"/>
    <w:rsid w:val="6EA66DDF"/>
    <w:rsid w:val="6EAE259D"/>
    <w:rsid w:val="6EC2773A"/>
    <w:rsid w:val="6ECB5303"/>
    <w:rsid w:val="6EE344F9"/>
    <w:rsid w:val="6F2C3047"/>
    <w:rsid w:val="6FB05E6A"/>
    <w:rsid w:val="6FBB4A72"/>
    <w:rsid w:val="6FC13F83"/>
    <w:rsid w:val="6FCB3DE5"/>
    <w:rsid w:val="6FE734F8"/>
    <w:rsid w:val="6FF70365"/>
    <w:rsid w:val="705636CC"/>
    <w:rsid w:val="705D2F31"/>
    <w:rsid w:val="709E0957"/>
    <w:rsid w:val="713F1FE1"/>
    <w:rsid w:val="715E00BC"/>
    <w:rsid w:val="71796F79"/>
    <w:rsid w:val="718113A7"/>
    <w:rsid w:val="71B104EF"/>
    <w:rsid w:val="71B644CD"/>
    <w:rsid w:val="71C44014"/>
    <w:rsid w:val="72066B83"/>
    <w:rsid w:val="7254121B"/>
    <w:rsid w:val="727E42A8"/>
    <w:rsid w:val="72BC7E71"/>
    <w:rsid w:val="72EC6403"/>
    <w:rsid w:val="72F37B03"/>
    <w:rsid w:val="734F1B35"/>
    <w:rsid w:val="73B00AEB"/>
    <w:rsid w:val="73E27F64"/>
    <w:rsid w:val="74025A20"/>
    <w:rsid w:val="742944BB"/>
    <w:rsid w:val="74C364B4"/>
    <w:rsid w:val="74C91D76"/>
    <w:rsid w:val="74F05765"/>
    <w:rsid w:val="75001F90"/>
    <w:rsid w:val="7519555E"/>
    <w:rsid w:val="7536217A"/>
    <w:rsid w:val="758E75B7"/>
    <w:rsid w:val="75E562F1"/>
    <w:rsid w:val="760218D5"/>
    <w:rsid w:val="7662159A"/>
    <w:rsid w:val="76C24D26"/>
    <w:rsid w:val="76C35112"/>
    <w:rsid w:val="76DB36A6"/>
    <w:rsid w:val="77420B60"/>
    <w:rsid w:val="7765592F"/>
    <w:rsid w:val="77B603D2"/>
    <w:rsid w:val="77E47A01"/>
    <w:rsid w:val="78285449"/>
    <w:rsid w:val="787A6F36"/>
    <w:rsid w:val="788932B3"/>
    <w:rsid w:val="78B33DB1"/>
    <w:rsid w:val="78BC78C1"/>
    <w:rsid w:val="79010C0C"/>
    <w:rsid w:val="798A420C"/>
    <w:rsid w:val="79A13C0A"/>
    <w:rsid w:val="7A2B129F"/>
    <w:rsid w:val="7A505BCA"/>
    <w:rsid w:val="7A5331B4"/>
    <w:rsid w:val="7A874C91"/>
    <w:rsid w:val="7A956CB9"/>
    <w:rsid w:val="7B472A8A"/>
    <w:rsid w:val="7B5D5BA9"/>
    <w:rsid w:val="7B766476"/>
    <w:rsid w:val="7B822347"/>
    <w:rsid w:val="7B970585"/>
    <w:rsid w:val="7BAD35AE"/>
    <w:rsid w:val="7BB42068"/>
    <w:rsid w:val="7BFF6FE3"/>
    <w:rsid w:val="7C135CA8"/>
    <w:rsid w:val="7C170F90"/>
    <w:rsid w:val="7C9912ED"/>
    <w:rsid w:val="7C9B70FC"/>
    <w:rsid w:val="7CC6291D"/>
    <w:rsid w:val="7CF17F48"/>
    <w:rsid w:val="7D1F6763"/>
    <w:rsid w:val="7D6210D3"/>
    <w:rsid w:val="7D747508"/>
    <w:rsid w:val="7D87376F"/>
    <w:rsid w:val="7D924E1F"/>
    <w:rsid w:val="7DBC60D4"/>
    <w:rsid w:val="7DD70A00"/>
    <w:rsid w:val="7DEF1411"/>
    <w:rsid w:val="7E176D34"/>
    <w:rsid w:val="7E28486A"/>
    <w:rsid w:val="7E4049F2"/>
    <w:rsid w:val="7E64708C"/>
    <w:rsid w:val="7E6A0360"/>
    <w:rsid w:val="7E991836"/>
    <w:rsid w:val="7EB82D94"/>
    <w:rsid w:val="7EBB6C3D"/>
    <w:rsid w:val="7EEF42FF"/>
    <w:rsid w:val="7F462789"/>
    <w:rsid w:val="7F8A5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afterLines="100"/>
      <w:jc w:val="center"/>
      <w:outlineLvl w:val="0"/>
    </w:pPr>
    <w:rPr>
      <w:rFonts w:eastAsia="宋体"/>
      <w:b/>
      <w:kern w:val="44"/>
      <w:sz w:val="44"/>
    </w:rPr>
  </w:style>
  <w:style w:type="paragraph" w:styleId="5">
    <w:name w:val="heading 2"/>
    <w:basedOn w:val="1"/>
    <w:next w:val="1"/>
    <w:unhideWhenUsed/>
    <w:qFormat/>
    <w:uiPriority w:val="0"/>
    <w:pPr>
      <w:spacing w:beforeLines="50" w:afterLines="50"/>
      <w:outlineLvl w:val="1"/>
    </w:pPr>
    <w:rPr>
      <w:rFonts w:ascii="Arial" w:hAnsi="Arial" w:eastAsia="黑体"/>
      <w:sz w:val="32"/>
    </w:rPr>
  </w:style>
  <w:style w:type="paragraph" w:styleId="6">
    <w:name w:val="heading 3"/>
    <w:basedOn w:val="1"/>
    <w:next w:val="1"/>
    <w:unhideWhenUsed/>
    <w:qFormat/>
    <w:uiPriority w:val="0"/>
    <w:pPr>
      <w:ind w:firstLine="420" w:firstLineChars="200"/>
      <w:outlineLvl w:val="2"/>
    </w:pPr>
    <w:rPr>
      <w:rFonts w:eastAsia="楷体"/>
      <w:b/>
      <w:sz w:val="28"/>
    </w:rPr>
  </w:style>
  <w:style w:type="paragraph" w:styleId="7">
    <w:name w:val="heading 4"/>
    <w:basedOn w:val="1"/>
    <w:next w:val="1"/>
    <w:semiHidden/>
    <w:unhideWhenUsed/>
    <w:qFormat/>
    <w:uiPriority w:val="0"/>
    <w:pPr>
      <w:ind w:firstLine="420" w:firstLineChars="200"/>
      <w:outlineLvl w:val="3"/>
    </w:pPr>
    <w:rPr>
      <w:rFonts w:ascii="Arial" w:hAnsi="Arial" w:eastAsia="仿宋"/>
      <w:b/>
      <w:sz w:val="28"/>
    </w:rPr>
  </w:style>
  <w:style w:type="character" w:default="1" w:styleId="20">
    <w:name w:val="Default Paragraph Font"/>
    <w:link w:val="21"/>
    <w:semiHidden/>
    <w:unhideWhenUsed/>
    <w:qFormat/>
    <w:uiPriority w:val="1"/>
    <w:rPr>
      <w:rFonts w:ascii="Tahoma" w:hAnsi="Tahoma"/>
      <w:b/>
      <w:sz w:val="24"/>
    </w:rPr>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99"/>
    <w:pPr>
      <w:spacing w:before="25" w:after="25"/>
      <w:jc w:val="left"/>
    </w:pPr>
    <w:rPr>
      <w:bCs/>
      <w:spacing w:val="10"/>
      <w:kern w:val="0"/>
      <w:sz w:val="24"/>
    </w:rPr>
  </w:style>
  <w:style w:type="paragraph" w:styleId="3">
    <w:name w:val="Body Text"/>
    <w:basedOn w:val="1"/>
    <w:next w:val="1"/>
    <w:qFormat/>
    <w:uiPriority w:val="0"/>
    <w:rPr>
      <w:rFonts w:hAnsi="宋体"/>
      <w:sz w:val="32"/>
      <w:szCs w:val="20"/>
    </w:rPr>
  </w:style>
  <w:style w:type="paragraph" w:styleId="8">
    <w:name w:val="List 3"/>
    <w:basedOn w:val="1"/>
    <w:qFormat/>
    <w:uiPriority w:val="99"/>
    <w:pPr>
      <w:ind w:left="100" w:leftChars="400" w:hanging="200" w:hangingChars="200"/>
    </w:p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toc 3"/>
    <w:basedOn w:val="1"/>
    <w:next w:val="1"/>
    <w:qFormat/>
    <w:uiPriority w:val="0"/>
    <w:pPr>
      <w:ind w:left="840" w:leftChars="400"/>
    </w:p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默认段落字体 Para Char Char Char Char Char Char Char Char Char Char Char Char Char Char Char1 Char Char Char Char"/>
    <w:basedOn w:val="9"/>
    <w:link w:val="20"/>
    <w:qFormat/>
    <w:uiPriority w:val="0"/>
    <w:pPr>
      <w:adjustRightInd w:val="0"/>
      <w:spacing w:line="436" w:lineRule="exact"/>
      <w:ind w:left="357"/>
      <w:jc w:val="left"/>
      <w:outlineLvl w:val="3"/>
    </w:pPr>
    <w:rPr>
      <w:rFonts w:ascii="Tahoma" w:hAnsi="Tahoma"/>
      <w:b/>
      <w:sz w:val="24"/>
    </w:rPr>
  </w:style>
  <w:style w:type="character" w:styleId="22">
    <w:name w:val="Strong"/>
    <w:basedOn w:val="20"/>
    <w:qFormat/>
    <w:uiPriority w:val="0"/>
    <w:rPr>
      <w:bCs/>
    </w:rPr>
  </w:style>
  <w:style w:type="character" w:styleId="23">
    <w:name w:val="page number"/>
    <w:qFormat/>
    <w:uiPriority w:val="99"/>
    <w:rPr>
      <w:rFonts w:cs="Times New Roman"/>
    </w:rPr>
  </w:style>
  <w:style w:type="character" w:styleId="24">
    <w:name w:val="Hyperlink"/>
    <w:basedOn w:val="20"/>
    <w:qFormat/>
    <w:uiPriority w:val="0"/>
    <w:rPr>
      <w:color w:val="0000FF"/>
      <w:u w:val="single"/>
    </w:rPr>
  </w:style>
  <w:style w:type="paragraph" w:customStyle="1" w:styleId="25">
    <w:name w:val="_Style 2"/>
    <w:basedOn w:val="1"/>
    <w:qFormat/>
    <w:uiPriority w:val="34"/>
    <w:pPr>
      <w:widowControl/>
      <w:ind w:firstLine="420" w:firstLineChars="200"/>
      <w:jc w:val="left"/>
    </w:pPr>
    <w:rPr>
      <w:kern w:val="0"/>
      <w:sz w:val="24"/>
    </w:rPr>
  </w:style>
  <w:style w:type="paragraph" w:customStyle="1" w:styleId="26">
    <w:name w:val="Table Paragraph"/>
    <w:basedOn w:val="1"/>
    <w:qFormat/>
    <w:uiPriority w:val="1"/>
    <w:rPr>
      <w:rFonts w:ascii="宋体" w:hAnsi="宋体" w:eastAsia="宋体" w:cs="宋体"/>
    </w:rPr>
  </w:style>
  <w:style w:type="paragraph" w:customStyle="1" w:styleId="27">
    <w:name w:val="样式29"/>
    <w:basedOn w:val="28"/>
    <w:qFormat/>
    <w:uiPriority w:val="99"/>
    <w:rPr>
      <w:rFonts w:eastAsia="楷体_GB2312"/>
    </w:rPr>
  </w:style>
  <w:style w:type="paragraph" w:customStyle="1" w:styleId="28">
    <w:name w:val="样式9 Char"/>
    <w:basedOn w:val="1"/>
    <w:qFormat/>
    <w:uiPriority w:val="99"/>
    <w:pPr>
      <w:widowControl/>
      <w:spacing w:line="440" w:lineRule="exact"/>
      <w:ind w:firstLine="200" w:firstLineChars="200"/>
      <w:jc w:val="left"/>
    </w:pPr>
    <w:rPr>
      <w:spacing w:val="6"/>
      <w:sz w:val="24"/>
      <w:szCs w:val="20"/>
    </w:rPr>
  </w:style>
  <w:style w:type="character" w:customStyle="1" w:styleId="29">
    <w:name w:val="批注框文本 Char"/>
    <w:basedOn w:val="20"/>
    <w:link w:val="12"/>
    <w:qFormat/>
    <w:uiPriority w:val="0"/>
    <w:rPr>
      <w:rFonts w:asciiTheme="minorHAnsi" w:hAnsiTheme="minorHAnsi" w:eastAsiaTheme="minorEastAsia" w:cstheme="minorBidi"/>
      <w:kern w:val="2"/>
      <w:sz w:val="18"/>
      <w:szCs w:val="18"/>
    </w:rPr>
  </w:style>
  <w:style w:type="paragraph" w:styleId="3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33008</Words>
  <Characters>35483</Characters>
  <Lines>454</Lines>
  <Paragraphs>127</Paragraphs>
  <TotalTime>1</TotalTime>
  <ScaleCrop>false</ScaleCrop>
  <LinksUpToDate>false</LinksUpToDate>
  <CharactersWithSpaces>38230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2021-08-24T05:58:00Z</dcterms:created>
  <dc:creator>小钊</dc:creator>
  <cp:lastModifiedBy>李本振</cp:lastModifiedBy>
  <dcterms:modified xsi:type="dcterms:W3CDTF">2023-01-03T09:21:41Z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28B60E02CD914036A8E738A2A0DB595F</vt:lpwstr>
  </property>
</Properties>
</file>