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0" w:line="700" w:lineRule="exact"/>
        <w:jc w:val="center"/>
        <w:rPr>
          <w:rFonts w:hint="eastAsia" w:ascii="宋体" w:hAnsi="宋体" w:eastAsia="宋体" w:cs="宋体"/>
          <w:color w:val="000000"/>
          <w:sz w:val="30"/>
          <w:szCs w:val="30"/>
          <w:highlight w:val="none"/>
        </w:rPr>
      </w:pPr>
    </w:p>
    <w:p>
      <w:pPr>
        <w:pStyle w:val="8"/>
        <w:spacing w:before="290" w:beforeLines="100" w:after="0"/>
        <w:jc w:val="center"/>
        <w:rPr>
          <w:rFonts w:hint="eastAsia" w:ascii="宋体" w:hAnsi="宋体" w:eastAsia="宋体" w:cs="宋体"/>
          <w:b/>
          <w:color w:val="000000"/>
          <w:spacing w:val="20"/>
          <w:sz w:val="44"/>
          <w:szCs w:val="44"/>
          <w:highlight w:val="none"/>
        </w:rPr>
      </w:pPr>
    </w:p>
    <w:p>
      <w:pPr>
        <w:pStyle w:val="8"/>
        <w:spacing w:before="290" w:beforeLines="100" w:after="0"/>
        <w:jc w:val="center"/>
        <w:rPr>
          <w:rFonts w:hint="eastAsia" w:ascii="华文中宋" w:hAnsi="华文中宋" w:eastAsia="华文中宋" w:cs="华文中宋"/>
          <w:spacing w:val="11"/>
          <w:kern w:val="2"/>
          <w:sz w:val="40"/>
          <w:szCs w:val="40"/>
          <w:highlight w:val="none"/>
          <w:lang w:val="en-US" w:eastAsia="zh-CN" w:bidi="ar-SA"/>
        </w:rPr>
      </w:pPr>
      <w:r>
        <w:rPr>
          <w:rFonts w:hint="eastAsia" w:ascii="华文中宋" w:hAnsi="华文中宋" w:eastAsia="华文中宋" w:cs="华文中宋"/>
          <w:spacing w:val="11"/>
          <w:kern w:val="2"/>
          <w:sz w:val="40"/>
          <w:szCs w:val="40"/>
          <w:highlight w:val="none"/>
          <w:lang w:val="en-US" w:eastAsia="zh-CN" w:bidi="ar-SA"/>
        </w:rPr>
        <w:t>山东大学第二医院经颅直流电刺激仪采购</w:t>
      </w:r>
    </w:p>
    <w:p>
      <w:pPr>
        <w:pStyle w:val="8"/>
        <w:spacing w:after="0" w:line="700" w:lineRule="exact"/>
        <w:jc w:val="center"/>
        <w:rPr>
          <w:rFonts w:hint="eastAsia" w:ascii="宋体" w:hAnsi="宋体" w:eastAsia="宋体" w:cs="宋体"/>
          <w:color w:val="000000"/>
          <w:sz w:val="30"/>
          <w:szCs w:val="30"/>
          <w:highlight w:val="none"/>
        </w:rPr>
      </w:pPr>
    </w:p>
    <w:p>
      <w:pPr>
        <w:jc w:val="center"/>
        <w:rPr>
          <w:rFonts w:hint="eastAsia" w:ascii="华文中宋" w:hAnsi="华文中宋" w:eastAsia="华文中宋" w:cs="华文中宋"/>
          <w:sz w:val="72"/>
          <w:szCs w:val="72"/>
          <w:highlight w:val="none"/>
          <w:lang w:val="en-US" w:eastAsia="zh-CN"/>
        </w:rPr>
      </w:pPr>
      <w:r>
        <w:rPr>
          <w:rFonts w:hint="eastAsia" w:ascii="华文中宋" w:hAnsi="华文中宋" w:eastAsia="华文中宋" w:cs="华文中宋"/>
          <w:sz w:val="72"/>
          <w:szCs w:val="72"/>
          <w:highlight w:val="none"/>
          <w:lang w:val="en-US" w:eastAsia="zh-CN"/>
        </w:rPr>
        <w:t>竞 争 性 磋 商 文 件</w:t>
      </w:r>
    </w:p>
    <w:p>
      <w:pPr>
        <w:jc w:val="center"/>
        <w:rPr>
          <w:rFonts w:hint="default" w:ascii="华文中宋" w:hAnsi="华文中宋" w:eastAsia="华文中宋" w:cs="华文中宋"/>
          <w:sz w:val="28"/>
          <w:szCs w:val="28"/>
          <w:highlight w:val="none"/>
          <w:lang w:val="en-US"/>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val="en-US" w:eastAsia="zh-CN"/>
        </w:rPr>
        <w:t>TCZX-HW-2023-051</w:t>
      </w:r>
    </w:p>
    <w:p>
      <w:pPr>
        <w:pStyle w:val="8"/>
        <w:rPr>
          <w:rFonts w:hint="eastAsia" w:ascii="宋体" w:hAnsi="宋体" w:eastAsia="宋体" w:cs="宋体"/>
          <w:highlight w:val="none"/>
        </w:rPr>
      </w:pPr>
    </w:p>
    <w:p>
      <w:pPr>
        <w:spacing w:line="360" w:lineRule="auto"/>
        <w:jc w:val="center"/>
        <w:rPr>
          <w:rFonts w:hint="eastAsia" w:ascii="宋体" w:hAnsi="宋体" w:eastAsia="宋体" w:cs="宋体"/>
          <w:b/>
          <w:color w:val="000000"/>
          <w:sz w:val="56"/>
          <w:highlight w:val="none"/>
        </w:rPr>
      </w:pPr>
    </w:p>
    <w:p>
      <w:pPr>
        <w:spacing w:line="360" w:lineRule="auto"/>
        <w:jc w:val="cente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drawing>
          <wp:inline distT="0" distB="0" distL="114300" distR="114300">
            <wp:extent cx="1800225" cy="1800225"/>
            <wp:effectExtent l="0" t="0" r="3175" b="31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0"/>
                    <a:stretch>
                      <a:fillRect/>
                    </a:stretch>
                  </pic:blipFill>
                  <pic:spPr>
                    <a:xfrm>
                      <a:off x="0" y="0"/>
                      <a:ext cx="1800225" cy="1800225"/>
                    </a:xfrm>
                    <a:prstGeom prst="rect">
                      <a:avLst/>
                    </a:prstGeom>
                    <a:noFill/>
                    <a:ln>
                      <a:noFill/>
                    </a:ln>
                  </pic:spPr>
                </pic:pic>
              </a:graphicData>
            </a:graphic>
          </wp:inline>
        </w:drawing>
      </w:r>
    </w:p>
    <w:p>
      <w:pPr>
        <w:pStyle w:val="8"/>
        <w:spacing w:after="0" w:line="700" w:lineRule="exact"/>
        <w:jc w:val="center"/>
        <w:rPr>
          <w:rFonts w:hint="eastAsia" w:ascii="宋体" w:hAnsi="宋体" w:eastAsia="宋体" w:cs="宋体"/>
          <w:color w:val="000000"/>
          <w:sz w:val="30"/>
          <w:szCs w:val="30"/>
          <w:highlight w:val="none"/>
        </w:rPr>
      </w:pPr>
    </w:p>
    <w:p>
      <w:pPr>
        <w:pStyle w:val="8"/>
        <w:spacing w:after="0" w:line="700" w:lineRule="exact"/>
        <w:jc w:val="both"/>
        <w:rPr>
          <w:rFonts w:hint="eastAsia" w:ascii="宋体" w:hAnsi="宋体" w:eastAsia="宋体" w:cs="宋体"/>
          <w:color w:val="000000"/>
          <w:sz w:val="30"/>
          <w:szCs w:val="30"/>
          <w:highlight w:val="none"/>
        </w:rPr>
      </w:pPr>
    </w:p>
    <w:p>
      <w:pPr>
        <w:pStyle w:val="8"/>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 购 人：山东大学第二医院</w:t>
      </w:r>
    </w:p>
    <w:p>
      <w:pPr>
        <w:pStyle w:val="8"/>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采购代理：同诚工程咨询集团股份有限公司</w:t>
      </w:r>
    </w:p>
    <w:p>
      <w:pPr>
        <w:pStyle w:val="8"/>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日    期：20</w:t>
      </w:r>
      <w:r>
        <w:rPr>
          <w:rFonts w:hint="eastAsia" w:ascii="华文中宋" w:hAnsi="华文中宋" w:eastAsia="华文中宋" w:cs="华文中宋"/>
          <w:b w:val="0"/>
          <w:bCs/>
          <w:i w:val="0"/>
          <w:iCs w:val="0"/>
          <w:snapToGrid w:val="0"/>
          <w:spacing w:val="-2"/>
          <w:kern w:val="0"/>
          <w:sz w:val="32"/>
          <w:szCs w:val="32"/>
          <w:highlight w:val="none"/>
          <w:lang w:val="en-US" w:eastAsia="zh-CN"/>
        </w:rPr>
        <w:t>2</w:t>
      </w:r>
      <w:r>
        <w:rPr>
          <w:rFonts w:hint="default" w:ascii="华文中宋" w:hAnsi="华文中宋" w:eastAsia="华文中宋" w:cs="华文中宋"/>
          <w:b w:val="0"/>
          <w:bCs/>
          <w:i w:val="0"/>
          <w:iCs w:val="0"/>
          <w:snapToGrid w:val="0"/>
          <w:spacing w:val="-2"/>
          <w:kern w:val="0"/>
          <w:sz w:val="32"/>
          <w:szCs w:val="32"/>
          <w:highlight w:val="none"/>
          <w:lang w:val="en-US" w:eastAsia="zh-CN"/>
        </w:rPr>
        <w:t>3</w:t>
      </w:r>
      <w:r>
        <w:rPr>
          <w:rFonts w:hint="eastAsia" w:ascii="华文中宋" w:hAnsi="华文中宋" w:eastAsia="华文中宋" w:cs="华文中宋"/>
          <w:b w:val="0"/>
          <w:bCs/>
          <w:i w:val="0"/>
          <w:iCs w:val="0"/>
          <w:snapToGrid w:val="0"/>
          <w:spacing w:val="-2"/>
          <w:kern w:val="0"/>
          <w:sz w:val="32"/>
          <w:szCs w:val="32"/>
          <w:highlight w:val="none"/>
          <w:lang w:eastAsia="zh-CN"/>
        </w:rPr>
        <w:t>年</w:t>
      </w:r>
      <w:r>
        <w:rPr>
          <w:rFonts w:hint="default" w:ascii="华文中宋" w:hAnsi="华文中宋" w:eastAsia="华文中宋" w:cs="华文中宋"/>
          <w:b w:val="0"/>
          <w:bCs/>
          <w:i w:val="0"/>
          <w:iCs w:val="0"/>
          <w:snapToGrid w:val="0"/>
          <w:spacing w:val="-2"/>
          <w:kern w:val="0"/>
          <w:sz w:val="32"/>
          <w:szCs w:val="32"/>
          <w:highlight w:val="none"/>
          <w:lang w:val="en-US" w:eastAsia="zh-CN"/>
        </w:rPr>
        <w:t>7</w:t>
      </w:r>
      <w:r>
        <w:rPr>
          <w:rFonts w:hint="eastAsia" w:ascii="华文中宋" w:hAnsi="华文中宋" w:eastAsia="华文中宋" w:cs="华文中宋"/>
          <w:b w:val="0"/>
          <w:bCs/>
          <w:i w:val="0"/>
          <w:iCs w:val="0"/>
          <w:snapToGrid w:val="0"/>
          <w:spacing w:val="-2"/>
          <w:kern w:val="0"/>
          <w:sz w:val="32"/>
          <w:szCs w:val="32"/>
          <w:highlight w:val="none"/>
          <w:lang w:eastAsia="zh-CN"/>
        </w:rPr>
        <w:t>月</w:t>
      </w:r>
    </w:p>
    <w:p>
      <w:pPr>
        <w:pStyle w:val="8"/>
        <w:spacing w:after="0" w:line="360" w:lineRule="auto"/>
        <w:jc w:val="both"/>
        <w:rPr>
          <w:rFonts w:hint="eastAsia" w:ascii="华文中宋" w:hAnsi="华文中宋" w:eastAsia="华文中宋" w:cs="华文中宋"/>
          <w:b w:val="0"/>
          <w:bCs/>
          <w:i w:val="0"/>
          <w:iCs w:val="0"/>
          <w:color w:val="000000"/>
          <w:sz w:val="32"/>
          <w:szCs w:val="32"/>
          <w:highlight w:val="none"/>
        </w:rPr>
        <w:sectPr>
          <w:headerReference r:id="rId3" w:type="first"/>
          <w:footerReference r:id="rId6" w:type="first"/>
          <w:footerReference r:id="rId4" w:type="default"/>
          <w:footerReference r:id="rId5" w:type="even"/>
          <w:pgSz w:w="11907" w:h="16840"/>
          <w:pgMar w:top="1304" w:right="1213" w:bottom="1157" w:left="1418" w:header="851" w:footer="851" w:gutter="0"/>
          <w:pgNumType w:fmt="numberInDash" w:start="0"/>
          <w:cols w:space="720" w:num="1"/>
          <w:titlePg/>
          <w:docGrid w:type="lines" w:linePitch="290" w:charSpace="-3931"/>
        </w:sectPr>
      </w:pPr>
    </w:p>
    <w:p>
      <w:pPr>
        <w:pStyle w:val="8"/>
        <w:spacing w:after="0" w:line="360" w:lineRule="auto"/>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目 录</w:t>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TOC \o "1-3" \h \z \u </w:instrText>
      </w:r>
      <w:r>
        <w:rPr>
          <w:rFonts w:hint="eastAsia" w:ascii="仿宋" w:hAnsi="仿宋" w:eastAsia="仿宋" w:cs="仿宋"/>
          <w:sz w:val="28"/>
          <w:szCs w:val="28"/>
          <w:highlight w:val="none"/>
        </w:rPr>
        <w:fldChar w:fldCharType="separate"/>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_Toc661 </w:instrText>
      </w:r>
      <w:r>
        <w:rPr>
          <w:rFonts w:hint="eastAsia" w:ascii="仿宋" w:hAnsi="仿宋" w:eastAsia="仿宋" w:cs="仿宋"/>
          <w:szCs w:val="28"/>
          <w:highlight w:val="none"/>
        </w:rPr>
        <w:fldChar w:fldCharType="separate"/>
      </w:r>
      <w:r>
        <w:rPr>
          <w:rFonts w:hint="eastAsia" w:ascii="仿宋" w:hAnsi="仿宋" w:eastAsia="仿宋" w:cs="仿宋"/>
          <w:szCs w:val="36"/>
          <w:highlight w:val="none"/>
        </w:rPr>
        <w:t>第一章  竞争性磋商公告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_Toc661 \h </w:instrText>
      </w:r>
      <w:r>
        <w:rPr>
          <w:rFonts w:hint="eastAsia" w:ascii="仿宋" w:hAnsi="仿宋" w:eastAsia="仿宋" w:cs="仿宋"/>
          <w:highlight w:val="none"/>
        </w:rPr>
        <w:fldChar w:fldCharType="separate"/>
      </w:r>
      <w:r>
        <w:rPr>
          <w:rFonts w:hint="eastAsia" w:ascii="仿宋" w:hAnsi="仿宋" w:eastAsia="仿宋" w:cs="仿宋"/>
          <w:highlight w:val="none"/>
        </w:rPr>
        <w:t>- 2 -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_Toc4256 </w:instrText>
      </w:r>
      <w:r>
        <w:rPr>
          <w:rFonts w:hint="eastAsia" w:ascii="仿宋" w:hAnsi="仿宋" w:eastAsia="仿宋" w:cs="仿宋"/>
          <w:szCs w:val="28"/>
          <w:highlight w:val="none"/>
        </w:rPr>
        <w:fldChar w:fldCharType="separate"/>
      </w:r>
      <w:r>
        <w:rPr>
          <w:rFonts w:hint="eastAsia" w:ascii="仿宋" w:hAnsi="仿宋" w:eastAsia="仿宋" w:cs="仿宋"/>
          <w:kern w:val="44"/>
          <w:szCs w:val="24"/>
          <w:highlight w:val="none"/>
          <w:lang w:val="en-US" w:eastAsia="zh-CN" w:bidi="ar-SA"/>
        </w:rPr>
        <w:t xml:space="preserve">第二章  </w:t>
      </w:r>
      <w:r>
        <w:rPr>
          <w:rFonts w:hint="eastAsia" w:ascii="仿宋" w:hAnsi="仿宋" w:cs="仿宋"/>
          <w:highlight w:val="none"/>
          <w:lang w:val="en-US" w:eastAsia="zh-CN"/>
        </w:rPr>
        <w:t>供应商</w:t>
      </w:r>
      <w:r>
        <w:rPr>
          <w:rFonts w:hint="eastAsia" w:ascii="仿宋" w:hAnsi="仿宋" w:eastAsia="仿宋" w:cs="仿宋"/>
          <w:highlight w:val="none"/>
        </w:rPr>
        <w:t>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_Toc4256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_Toc4028 </w:instrText>
      </w:r>
      <w:r>
        <w:rPr>
          <w:rFonts w:hint="eastAsia" w:ascii="仿宋" w:hAnsi="仿宋" w:eastAsia="仿宋" w:cs="仿宋"/>
          <w:szCs w:val="28"/>
          <w:highlight w:val="none"/>
        </w:rPr>
        <w:fldChar w:fldCharType="separate"/>
      </w:r>
      <w:r>
        <w:rPr>
          <w:rFonts w:hint="eastAsia" w:ascii="仿宋" w:hAnsi="仿宋" w:eastAsia="仿宋" w:cs="仿宋"/>
          <w:bCs/>
          <w:szCs w:val="44"/>
          <w:highlight w:val="none"/>
        </w:rPr>
        <w:t>供应商须知前附表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_Toc4028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_Toc16336 </w:instrText>
      </w:r>
      <w:r>
        <w:rPr>
          <w:rFonts w:hint="eastAsia" w:ascii="仿宋" w:hAnsi="仿宋" w:eastAsia="仿宋" w:cs="仿宋"/>
          <w:szCs w:val="28"/>
          <w:highlight w:val="none"/>
        </w:rPr>
        <w:fldChar w:fldCharType="separate"/>
      </w:r>
      <w:r>
        <w:rPr>
          <w:rFonts w:hint="eastAsia" w:ascii="仿宋" w:hAnsi="仿宋" w:eastAsia="仿宋" w:cs="仿宋"/>
          <w:kern w:val="2"/>
          <w:szCs w:val="44"/>
          <w:highlight w:val="none"/>
          <w:lang w:val="en-US" w:eastAsia="zh-CN"/>
        </w:rPr>
        <w:t>供应商须知正文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_Toc16336 \h </w:instrText>
      </w:r>
      <w:r>
        <w:rPr>
          <w:rFonts w:hint="eastAsia" w:ascii="仿宋" w:hAnsi="仿宋" w:eastAsia="仿宋" w:cs="仿宋"/>
          <w:highlight w:val="none"/>
        </w:rPr>
        <w:fldChar w:fldCharType="separate"/>
      </w:r>
      <w:r>
        <w:rPr>
          <w:rFonts w:hint="eastAsia" w:ascii="仿宋" w:hAnsi="仿宋" w:eastAsia="仿宋" w:cs="仿宋"/>
          <w:highlight w:val="none"/>
        </w:rPr>
        <w:t>- 15 -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_Toc9692 </w:instrText>
      </w:r>
      <w:r>
        <w:rPr>
          <w:rFonts w:hint="eastAsia" w:ascii="仿宋" w:hAnsi="仿宋" w:eastAsia="仿宋" w:cs="仿宋"/>
          <w:szCs w:val="28"/>
          <w:highlight w:val="none"/>
        </w:rPr>
        <w:fldChar w:fldCharType="separate"/>
      </w:r>
      <w:r>
        <w:rPr>
          <w:rFonts w:hint="eastAsia" w:ascii="仿宋" w:hAnsi="仿宋" w:eastAsia="仿宋" w:cs="仿宋"/>
          <w:szCs w:val="44"/>
          <w:highlight w:val="none"/>
          <w:lang w:val="en-US" w:eastAsia="zh-CN"/>
        </w:rPr>
        <w:t xml:space="preserve">第三章 </w:t>
      </w:r>
      <w:r>
        <w:rPr>
          <w:rFonts w:hint="eastAsia" w:ascii="仿宋" w:hAnsi="仿宋" w:eastAsia="仿宋" w:cs="仿宋"/>
          <w:szCs w:val="44"/>
          <w:highlight w:val="none"/>
          <w:lang w:val="en-US" w:eastAsia="zh-CN"/>
        </w:rPr>
        <w:t>评分办法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_Toc9692 \h </w:instrText>
      </w:r>
      <w:r>
        <w:rPr>
          <w:rFonts w:hint="eastAsia" w:ascii="仿宋" w:hAnsi="仿宋" w:eastAsia="仿宋" w:cs="仿宋"/>
          <w:highlight w:val="none"/>
        </w:rPr>
        <w:fldChar w:fldCharType="separate"/>
      </w:r>
      <w:r>
        <w:rPr>
          <w:rFonts w:hint="eastAsia" w:ascii="仿宋" w:hAnsi="仿宋" w:eastAsia="仿宋" w:cs="仿宋"/>
          <w:highlight w:val="none"/>
        </w:rPr>
        <w:t>- 42 -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_Toc26963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 xml:space="preserve">一、 </w:t>
      </w:r>
      <w:r>
        <w:rPr>
          <w:rFonts w:hint="eastAsia" w:ascii="仿宋" w:hAnsi="仿宋" w:eastAsia="仿宋" w:cs="仿宋"/>
          <w:kern w:val="2"/>
          <w:szCs w:val="28"/>
          <w:highlight w:val="none"/>
          <w:lang w:val="en-US" w:eastAsia="zh-CN"/>
        </w:rPr>
        <w:t>评审方法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_Toc26963 \h </w:instrText>
      </w:r>
      <w:r>
        <w:rPr>
          <w:rFonts w:hint="eastAsia" w:ascii="仿宋" w:hAnsi="仿宋" w:eastAsia="仿宋" w:cs="仿宋"/>
          <w:highlight w:val="none"/>
        </w:rPr>
        <w:fldChar w:fldCharType="separate"/>
      </w:r>
      <w:r>
        <w:rPr>
          <w:rFonts w:hint="eastAsia" w:ascii="仿宋" w:hAnsi="仿宋" w:eastAsia="仿宋" w:cs="仿宋"/>
          <w:highlight w:val="none"/>
        </w:rPr>
        <w:t>- 42 -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_Toc1750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 xml:space="preserve">二、 </w:t>
      </w:r>
      <w:r>
        <w:rPr>
          <w:rFonts w:hint="eastAsia" w:ascii="仿宋" w:hAnsi="仿宋" w:eastAsia="仿宋" w:cs="仿宋"/>
          <w:kern w:val="2"/>
          <w:szCs w:val="28"/>
          <w:highlight w:val="none"/>
          <w:lang w:val="en-US" w:eastAsia="zh-CN"/>
        </w:rPr>
        <w:t>评审细则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_Toc1750 \h </w:instrText>
      </w:r>
      <w:r>
        <w:rPr>
          <w:rFonts w:hint="eastAsia" w:ascii="仿宋" w:hAnsi="仿宋" w:eastAsia="仿宋" w:cs="仿宋"/>
          <w:highlight w:val="none"/>
        </w:rPr>
        <w:fldChar w:fldCharType="separate"/>
      </w:r>
      <w:r>
        <w:rPr>
          <w:rFonts w:hint="eastAsia" w:ascii="仿宋" w:hAnsi="仿宋" w:eastAsia="仿宋" w:cs="仿宋"/>
          <w:highlight w:val="none"/>
        </w:rPr>
        <w:t>- 42 -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_Toc3782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 xml:space="preserve">三、 </w:t>
      </w:r>
      <w:r>
        <w:rPr>
          <w:rFonts w:hint="eastAsia" w:ascii="仿宋" w:hAnsi="仿宋" w:eastAsia="仿宋" w:cs="仿宋"/>
          <w:kern w:val="2"/>
          <w:szCs w:val="28"/>
          <w:highlight w:val="none"/>
          <w:lang w:val="en-US" w:eastAsia="zh-CN"/>
        </w:rPr>
        <w:t>评审执行的政府采购政策</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_Toc3782 \h </w:instrText>
      </w:r>
      <w:r>
        <w:rPr>
          <w:rFonts w:hint="eastAsia" w:ascii="仿宋" w:hAnsi="仿宋" w:eastAsia="仿宋" w:cs="仿宋"/>
          <w:highlight w:val="none"/>
        </w:rPr>
        <w:fldChar w:fldCharType="separate"/>
      </w:r>
      <w:r>
        <w:rPr>
          <w:rFonts w:hint="eastAsia" w:ascii="仿宋" w:hAnsi="仿宋" w:eastAsia="仿宋" w:cs="仿宋"/>
          <w:highlight w:val="none"/>
        </w:rPr>
        <w:t>- 43 -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_Toc19711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四</w:t>
      </w:r>
      <w:r>
        <w:rPr>
          <w:rFonts w:hint="eastAsia" w:ascii="仿宋" w:hAnsi="仿宋" w:eastAsia="仿宋" w:cs="仿宋"/>
          <w:szCs w:val="24"/>
          <w:highlight w:val="none"/>
        </w:rPr>
        <w:t>章  采购要求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_Toc19711 \h </w:instrText>
      </w:r>
      <w:r>
        <w:rPr>
          <w:rFonts w:hint="eastAsia" w:ascii="仿宋" w:hAnsi="仿宋" w:eastAsia="仿宋" w:cs="仿宋"/>
          <w:highlight w:val="none"/>
        </w:rPr>
        <w:fldChar w:fldCharType="separate"/>
      </w:r>
      <w:r>
        <w:rPr>
          <w:rFonts w:hint="eastAsia" w:ascii="仿宋" w:hAnsi="仿宋" w:eastAsia="仿宋" w:cs="仿宋"/>
          <w:highlight w:val="none"/>
        </w:rPr>
        <w:t>- 46 -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_Toc27110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rPr>
        <w:t>章  合同格式</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_Toc27110 \h </w:instrText>
      </w:r>
      <w:r>
        <w:rPr>
          <w:rFonts w:hint="eastAsia" w:ascii="仿宋" w:hAnsi="仿宋" w:eastAsia="仿宋" w:cs="仿宋"/>
          <w:highlight w:val="none"/>
        </w:rPr>
        <w:fldChar w:fldCharType="separate"/>
      </w:r>
      <w:r>
        <w:rPr>
          <w:rFonts w:hint="eastAsia" w:ascii="仿宋" w:hAnsi="仿宋" w:eastAsia="仿宋" w:cs="仿宋"/>
          <w:highlight w:val="none"/>
        </w:rPr>
        <w:t>- 51 -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_Toc16241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章  附件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_Toc16241 \h </w:instrText>
      </w:r>
      <w:r>
        <w:rPr>
          <w:rFonts w:hint="eastAsia" w:ascii="仿宋" w:hAnsi="仿宋" w:eastAsia="仿宋" w:cs="仿宋"/>
          <w:highlight w:val="none"/>
        </w:rPr>
        <w:fldChar w:fldCharType="separate"/>
      </w:r>
      <w:r>
        <w:rPr>
          <w:rFonts w:hint="eastAsia" w:ascii="仿宋" w:hAnsi="仿宋" w:eastAsia="仿宋" w:cs="仿宋"/>
          <w:highlight w:val="none"/>
        </w:rPr>
        <w:t>- 55 -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rPr>
        <w:t>附件一：报价函</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_Toc24896 \h </w:instrText>
      </w:r>
      <w:r>
        <w:rPr>
          <w:rFonts w:hint="eastAsia" w:ascii="仿宋" w:hAnsi="仿宋" w:eastAsia="仿宋" w:cs="仿宋"/>
          <w:highlight w:val="none"/>
        </w:rPr>
        <w:fldChar w:fldCharType="separate"/>
      </w:r>
      <w:r>
        <w:rPr>
          <w:rFonts w:hint="eastAsia" w:ascii="仿宋" w:hAnsi="仿宋" w:eastAsia="仿宋" w:cs="仿宋"/>
          <w:highlight w:val="none"/>
        </w:rPr>
        <w:t>- 55 -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_Toc24306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rPr>
        <w:t>附件二：法定代表人身份证明</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_Toc24306 \h </w:instrText>
      </w:r>
      <w:r>
        <w:rPr>
          <w:rFonts w:hint="eastAsia" w:ascii="仿宋" w:hAnsi="仿宋" w:eastAsia="仿宋" w:cs="仿宋"/>
          <w:highlight w:val="none"/>
        </w:rPr>
        <w:fldChar w:fldCharType="separate"/>
      </w:r>
      <w:r>
        <w:rPr>
          <w:rFonts w:hint="eastAsia" w:ascii="仿宋" w:hAnsi="仿宋" w:eastAsia="仿宋" w:cs="仿宋"/>
          <w:highlight w:val="none"/>
        </w:rPr>
        <w:t>- 56 -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_Toc7468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附件三：授权委托书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_Toc7468 \h </w:instrText>
      </w:r>
      <w:r>
        <w:rPr>
          <w:rFonts w:hint="eastAsia" w:ascii="仿宋" w:hAnsi="仿宋" w:eastAsia="仿宋" w:cs="仿宋"/>
          <w:highlight w:val="none"/>
        </w:rPr>
        <w:fldChar w:fldCharType="separate"/>
      </w:r>
      <w:r>
        <w:rPr>
          <w:rFonts w:hint="eastAsia" w:ascii="仿宋" w:hAnsi="仿宋" w:eastAsia="仿宋" w:cs="仿宋"/>
          <w:highlight w:val="none"/>
        </w:rPr>
        <w:t>- 57 -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_Toc23170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附件四：报价一览表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_Toc23170 \h </w:instrText>
      </w:r>
      <w:r>
        <w:rPr>
          <w:rFonts w:hint="eastAsia" w:ascii="仿宋" w:hAnsi="仿宋" w:eastAsia="仿宋" w:cs="仿宋"/>
          <w:highlight w:val="none"/>
        </w:rPr>
        <w:fldChar w:fldCharType="separate"/>
      </w:r>
      <w:r>
        <w:rPr>
          <w:rFonts w:hint="eastAsia" w:ascii="仿宋" w:hAnsi="仿宋" w:eastAsia="仿宋" w:cs="仿宋"/>
          <w:highlight w:val="none"/>
        </w:rPr>
        <w:t>- 58 -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_Toc8355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附件五：报价明细表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_Toc8355 \h </w:instrText>
      </w:r>
      <w:r>
        <w:rPr>
          <w:rFonts w:hint="eastAsia" w:ascii="仿宋" w:hAnsi="仿宋" w:eastAsia="仿宋" w:cs="仿宋"/>
          <w:highlight w:val="none"/>
        </w:rPr>
        <w:fldChar w:fldCharType="separate"/>
      </w:r>
      <w:r>
        <w:rPr>
          <w:rFonts w:hint="eastAsia" w:ascii="仿宋" w:hAnsi="仿宋" w:eastAsia="仿宋" w:cs="仿宋"/>
          <w:highlight w:val="none"/>
        </w:rPr>
        <w:t>- 59 -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附件六：技术规格响应/偏离表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_Toc24899 \h </w:instrText>
      </w:r>
      <w:r>
        <w:rPr>
          <w:rFonts w:hint="eastAsia" w:ascii="仿宋" w:hAnsi="仿宋" w:eastAsia="仿宋" w:cs="仿宋"/>
          <w:highlight w:val="none"/>
        </w:rPr>
        <w:fldChar w:fldCharType="separate"/>
      </w:r>
      <w:r>
        <w:rPr>
          <w:rFonts w:hint="eastAsia" w:ascii="仿宋" w:hAnsi="仿宋" w:eastAsia="仿宋" w:cs="仿宋"/>
          <w:highlight w:val="none"/>
        </w:rPr>
        <w:t>- 60 -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_Toc32268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附件七:商务条款响应/偏离表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_Toc32268 \h </w:instrText>
      </w:r>
      <w:r>
        <w:rPr>
          <w:rFonts w:hint="eastAsia" w:ascii="仿宋" w:hAnsi="仿宋" w:eastAsia="仿宋" w:cs="仿宋"/>
          <w:highlight w:val="none"/>
        </w:rPr>
        <w:fldChar w:fldCharType="separate"/>
      </w:r>
      <w:r>
        <w:rPr>
          <w:rFonts w:hint="eastAsia" w:ascii="仿宋" w:hAnsi="仿宋" w:eastAsia="仿宋" w:cs="仿宋"/>
          <w:highlight w:val="none"/>
        </w:rPr>
        <w:t>- 61 -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_Toc1189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附件八：产品性能描述一览表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_Toc1189 \h </w:instrText>
      </w:r>
      <w:r>
        <w:rPr>
          <w:rFonts w:hint="eastAsia" w:ascii="仿宋" w:hAnsi="仿宋" w:eastAsia="仿宋" w:cs="仿宋"/>
          <w:highlight w:val="none"/>
        </w:rPr>
        <w:fldChar w:fldCharType="separate"/>
      </w:r>
      <w:r>
        <w:rPr>
          <w:rFonts w:hint="eastAsia" w:ascii="仿宋" w:hAnsi="仿宋" w:eastAsia="仿宋" w:cs="仿宋"/>
          <w:highlight w:val="none"/>
        </w:rPr>
        <w:t>- 62 -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_Toc12078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附件九：质保期外备品备件、易损件、专用工具报价表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_Toc12078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_Toc13571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_Toc13571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_Toc4580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附件十：与所报设备配套耗材、试剂的</w:t>
      </w:r>
      <w:bookmarkStart w:id="99" w:name="_GoBack"/>
      <w:bookmarkEnd w:id="99"/>
      <w:r>
        <w:rPr>
          <w:rFonts w:hint="eastAsia" w:ascii="仿宋" w:hAnsi="仿宋" w:eastAsia="仿宋" w:cs="仿宋"/>
          <w:kern w:val="2"/>
          <w:szCs w:val="32"/>
          <w:highlight w:val="none"/>
          <w:lang w:val="en-US" w:eastAsia="zh-CN" w:bidi="ar-SA"/>
        </w:rPr>
        <w:t>价格表（如果有）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_Toc4580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_Toc29714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_Toc29714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_Toc22346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附件十一：维保方案及维保费用报价表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_Toc22346 \h </w:instrText>
      </w:r>
      <w:r>
        <w:rPr>
          <w:rFonts w:hint="eastAsia" w:ascii="仿宋" w:hAnsi="仿宋" w:eastAsia="仿宋" w:cs="仿宋"/>
          <w:highlight w:val="none"/>
        </w:rPr>
        <w:fldChar w:fldCharType="separate"/>
      </w:r>
      <w:r>
        <w:rPr>
          <w:rFonts w:hint="eastAsia" w:ascii="仿宋" w:hAnsi="仿宋" w:eastAsia="仿宋" w:cs="仿宋"/>
          <w:highlight w:val="none"/>
        </w:rPr>
        <w:t>- 64 -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_Toc29643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附件十二：证明文件格式（参考）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_Toc29643 \h </w:instrText>
      </w:r>
      <w:r>
        <w:rPr>
          <w:rFonts w:hint="eastAsia" w:ascii="仿宋" w:hAnsi="仿宋" w:eastAsia="仿宋" w:cs="仿宋"/>
          <w:highlight w:val="none"/>
        </w:rPr>
        <w:fldChar w:fldCharType="separate"/>
      </w:r>
      <w:r>
        <w:rPr>
          <w:rFonts w:hint="eastAsia" w:ascii="仿宋" w:hAnsi="仿宋" w:eastAsia="仿宋" w:cs="仿宋"/>
          <w:highlight w:val="none"/>
        </w:rPr>
        <w:t>- 65 -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_Toc24955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附件十三：符合政府采购优惠政策产品明细及报价表（如果有）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_Toc24955 \h </w:instrText>
      </w:r>
      <w:r>
        <w:rPr>
          <w:rFonts w:hint="eastAsia" w:ascii="仿宋" w:hAnsi="仿宋" w:eastAsia="仿宋" w:cs="仿宋"/>
          <w:highlight w:val="none"/>
        </w:rPr>
        <w:fldChar w:fldCharType="separate"/>
      </w:r>
      <w:r>
        <w:rPr>
          <w:rFonts w:hint="eastAsia" w:ascii="仿宋" w:hAnsi="仿宋" w:eastAsia="仿宋" w:cs="仿宋"/>
          <w:highlight w:val="none"/>
        </w:rPr>
        <w:t>- 74 -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_Toc19905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附件十四：密封袋封面格式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_Toc19905 \h </w:instrText>
      </w:r>
      <w:r>
        <w:rPr>
          <w:rFonts w:hint="eastAsia" w:ascii="仿宋" w:hAnsi="仿宋" w:eastAsia="仿宋" w:cs="仿宋"/>
          <w:highlight w:val="none"/>
        </w:rPr>
        <w:fldChar w:fldCharType="separate"/>
      </w:r>
      <w:r>
        <w:rPr>
          <w:rFonts w:hint="eastAsia" w:ascii="仿宋" w:hAnsi="仿宋" w:eastAsia="仿宋" w:cs="仿宋"/>
          <w:highlight w:val="none"/>
        </w:rPr>
        <w:t>- 78 -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66"/>
        </w:tabs>
        <w:kinsoku/>
        <w:wordWrap/>
        <w:overflowPunct/>
        <w:topLinePunct w:val="0"/>
        <w:autoSpaceDE/>
        <w:autoSpaceDN/>
        <w:bidi w:val="0"/>
        <w:adjustRightInd/>
        <w:snapToGrid/>
        <w:spacing w:line="480" w:lineRule="exact"/>
        <w:textAlignment w:val="auto"/>
        <w:rPr>
          <w:rFonts w:hint="eastAsia" w:ascii="宋体" w:hAnsi="宋体" w:eastAsia="宋体" w:cs="宋体"/>
          <w:highlight w:val="none"/>
        </w:rPr>
      </w:pPr>
      <w:r>
        <w:rPr>
          <w:rFonts w:hint="eastAsia" w:ascii="仿宋" w:hAnsi="仿宋" w:eastAsia="仿宋" w:cs="仿宋"/>
          <w:szCs w:val="28"/>
          <w:highlight w:val="none"/>
        </w:rPr>
        <w:fldChar w:fldCharType="end"/>
      </w:r>
    </w:p>
    <w:p>
      <w:pPr>
        <w:pStyle w:val="3"/>
        <w:spacing w:before="0" w:after="0" w:line="580" w:lineRule="exact"/>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bookmarkStart w:id="0" w:name="_Toc459225415"/>
    </w:p>
    <w:p>
      <w:pPr>
        <w:pStyle w:val="3"/>
        <w:spacing w:before="0" w:after="0" w:line="580" w:lineRule="exact"/>
        <w:jc w:val="center"/>
        <w:rPr>
          <w:rFonts w:hint="eastAsia" w:ascii="宋体" w:hAnsi="宋体" w:eastAsia="宋体" w:cs="宋体"/>
          <w:sz w:val="36"/>
          <w:szCs w:val="36"/>
          <w:highlight w:val="none"/>
        </w:rPr>
      </w:pPr>
      <w:bookmarkStart w:id="1" w:name="_Toc661"/>
      <w:r>
        <w:rPr>
          <w:rFonts w:hint="eastAsia" w:ascii="宋体" w:hAnsi="宋体" w:eastAsia="宋体" w:cs="宋体"/>
          <w:sz w:val="36"/>
          <w:szCs w:val="36"/>
          <w:highlight w:val="none"/>
        </w:rPr>
        <w:t>第一章  竞争性磋商公告</w:t>
      </w:r>
      <w:bookmarkEnd w:id="0"/>
      <w:bookmarkEnd w:id="1"/>
    </w:p>
    <w:p>
      <w:pPr>
        <w:pStyle w:val="9"/>
        <w:keepNext w:val="0"/>
        <w:keepLines w:val="0"/>
        <w:pageBreakBefore w:val="0"/>
        <w:widowControl w:val="0"/>
        <w:tabs>
          <w:tab w:val="left" w:pos="0"/>
        </w:tabs>
        <w:kinsoku/>
        <w:wordWrap/>
        <w:overflowPunct/>
        <w:topLinePunct w:val="0"/>
        <w:autoSpaceDE/>
        <w:autoSpaceDN/>
        <w:bidi w:val="0"/>
        <w:adjustRightInd w:val="0"/>
        <w:snapToGrid w:val="0"/>
        <w:spacing w:before="291" w:beforeLines="100"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en-US" w:eastAsia="zh-CN"/>
        </w:rPr>
        <w:t>山东大学第二医院经颅直流电刺激仪采购</w:t>
      </w:r>
      <w:r>
        <w:rPr>
          <w:rFonts w:hint="eastAsia" w:ascii="宋体" w:hAnsi="宋体" w:eastAsia="宋体" w:cs="宋体"/>
          <w:b/>
          <w:color w:val="000000"/>
          <w:sz w:val="24"/>
          <w:szCs w:val="24"/>
          <w:highlight w:val="none"/>
        </w:rPr>
        <w:t>竞争性磋商公告</w:t>
      </w:r>
    </w:p>
    <w:p>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560" w:firstLineChars="200"/>
        <w:rPr>
          <w:rFonts w:hint="eastAsia" w:ascii="仿宋" w:hAnsi="仿宋" w:eastAsia="仿宋" w:cs="仿宋"/>
          <w:sz w:val="28"/>
          <w:szCs w:val="28"/>
          <w:highlight w:val="none"/>
        </w:rPr>
      </w:pPr>
      <w:r>
        <w:rPr>
          <w:rFonts w:hint="eastAsia" w:ascii="仿宋" w:hAnsi="仿宋" w:cs="仿宋"/>
          <w:sz w:val="28"/>
          <w:szCs w:val="28"/>
          <w:highlight w:val="none"/>
          <w:u w:val="single"/>
          <w:lang w:eastAsia="zh-CN"/>
        </w:rPr>
        <w:t>山东大学第二医院经颅直流电刺激仪采购</w:t>
      </w:r>
      <w:r>
        <w:rPr>
          <w:rFonts w:hint="eastAsia" w:ascii="仿宋" w:hAnsi="仿宋" w:eastAsia="仿宋" w:cs="仿宋"/>
          <w:sz w:val="28"/>
          <w:szCs w:val="28"/>
          <w:highlight w:val="none"/>
        </w:rPr>
        <w:t>项目的潜在供应商应在</w:t>
      </w:r>
      <w:r>
        <w:rPr>
          <w:rFonts w:hint="eastAsia" w:ascii="仿宋" w:hAnsi="仿宋" w:eastAsia="仿宋" w:cs="仿宋"/>
          <w:sz w:val="28"/>
          <w:szCs w:val="28"/>
          <w:highlight w:val="none"/>
          <w:u w:val="single"/>
          <w:lang w:val="en-US" w:eastAsia="zh-CN"/>
        </w:rPr>
        <w:t>同诚工程咨询集团股份有限公司会议室（济南市历城区万科海右府8-102）/线上（电子邮件）</w:t>
      </w:r>
      <w:r>
        <w:rPr>
          <w:rFonts w:hint="eastAsia" w:ascii="仿宋" w:hAnsi="仿宋" w:eastAsia="仿宋" w:cs="仿宋"/>
          <w:sz w:val="28"/>
          <w:szCs w:val="28"/>
          <w:highlight w:val="none"/>
        </w:rPr>
        <w:t>获取磋商文件，并于</w:t>
      </w:r>
      <w:r>
        <w:rPr>
          <w:rFonts w:hint="eastAsia" w:ascii="仿宋" w:hAnsi="仿宋" w:eastAsia="仿宋" w:cs="仿宋"/>
          <w:sz w:val="28"/>
          <w:szCs w:val="28"/>
          <w:highlight w:val="none"/>
          <w:u w:val="single"/>
        </w:rPr>
        <w:t xml:space="preserve"> </w:t>
      </w:r>
      <w:r>
        <w:rPr>
          <w:rFonts w:hint="eastAsia" w:ascii="仿宋" w:hAnsi="仿宋" w:eastAsia="仿宋" w:cs="仿宋"/>
          <w:kern w:val="0"/>
          <w:sz w:val="28"/>
          <w:szCs w:val="28"/>
          <w:highlight w:val="none"/>
          <w:u w:val="single"/>
        </w:rPr>
        <w:t>202</w:t>
      </w:r>
      <w:r>
        <w:rPr>
          <w:rFonts w:hint="default" w:ascii="仿宋" w:hAnsi="仿宋" w:cs="仿宋"/>
          <w:kern w:val="0"/>
          <w:sz w:val="28"/>
          <w:szCs w:val="28"/>
          <w:highlight w:val="none"/>
          <w:u w:val="single"/>
          <w:lang w:val="en-US" w:eastAsia="zh-CN"/>
        </w:rPr>
        <w:t>3</w:t>
      </w:r>
      <w:r>
        <w:rPr>
          <w:rFonts w:hint="eastAsia" w:ascii="仿宋" w:hAnsi="仿宋" w:eastAsia="仿宋" w:cs="仿宋"/>
          <w:bCs/>
          <w:sz w:val="28"/>
          <w:szCs w:val="28"/>
          <w:highlight w:val="none"/>
          <w:u w:val="single"/>
        </w:rPr>
        <w:t>年</w:t>
      </w:r>
      <w:r>
        <w:rPr>
          <w:rFonts w:hint="default" w:ascii="仿宋" w:hAnsi="仿宋" w:cs="仿宋"/>
          <w:bCs/>
          <w:sz w:val="28"/>
          <w:szCs w:val="28"/>
          <w:highlight w:val="none"/>
          <w:u w:val="single"/>
          <w:lang w:val="en-US" w:eastAsia="zh-CN"/>
        </w:rPr>
        <w:t>07</w:t>
      </w:r>
      <w:r>
        <w:rPr>
          <w:rFonts w:hint="eastAsia" w:ascii="仿宋" w:hAnsi="仿宋" w:eastAsia="仿宋" w:cs="仿宋"/>
          <w:bCs/>
          <w:sz w:val="28"/>
          <w:szCs w:val="28"/>
          <w:highlight w:val="none"/>
          <w:u w:val="single"/>
          <w:lang w:val="en-US" w:eastAsia="zh-CN"/>
        </w:rPr>
        <w:t>月</w:t>
      </w:r>
      <w:r>
        <w:rPr>
          <w:rFonts w:hint="default" w:ascii="仿宋" w:hAnsi="仿宋" w:cs="仿宋"/>
          <w:bCs/>
          <w:sz w:val="28"/>
          <w:szCs w:val="28"/>
          <w:highlight w:val="none"/>
          <w:u w:val="single"/>
          <w:lang w:val="en-US" w:eastAsia="zh-CN"/>
        </w:rPr>
        <w:t>25</w:t>
      </w:r>
      <w:r>
        <w:rPr>
          <w:rFonts w:hint="eastAsia" w:ascii="仿宋" w:hAnsi="仿宋" w:eastAsia="仿宋" w:cs="仿宋"/>
          <w:bCs/>
          <w:sz w:val="28"/>
          <w:szCs w:val="28"/>
          <w:highlight w:val="none"/>
          <w:u w:val="single"/>
          <w:lang w:val="en-US" w:eastAsia="zh-CN"/>
        </w:rPr>
        <w:t>日</w:t>
      </w:r>
      <w:r>
        <w:rPr>
          <w:rFonts w:hint="eastAsia" w:ascii="仿宋" w:hAnsi="仿宋" w:eastAsia="仿宋" w:cs="仿宋"/>
          <w:bCs/>
          <w:sz w:val="28"/>
          <w:szCs w:val="28"/>
          <w:highlight w:val="none"/>
          <w:u w:val="single"/>
        </w:rPr>
        <w:t xml:space="preserve"> </w:t>
      </w:r>
      <w:r>
        <w:rPr>
          <w:rFonts w:hint="eastAsia" w:ascii="仿宋" w:hAnsi="仿宋" w:eastAsia="仿宋" w:cs="仿宋"/>
          <w:kern w:val="0"/>
          <w:sz w:val="28"/>
          <w:szCs w:val="28"/>
          <w:highlight w:val="none"/>
          <w:u w:val="single"/>
          <w:lang w:val="en-US" w:eastAsia="zh-CN"/>
        </w:rPr>
        <w:t>09</w:t>
      </w:r>
      <w:r>
        <w:rPr>
          <w:rFonts w:hint="eastAsia" w:ascii="仿宋" w:hAnsi="仿宋" w:eastAsia="仿宋" w:cs="仿宋"/>
          <w:kern w:val="0"/>
          <w:sz w:val="28"/>
          <w:szCs w:val="28"/>
          <w:highlight w:val="none"/>
          <w:u w:val="single"/>
        </w:rPr>
        <w:t xml:space="preserve"> </w:t>
      </w:r>
      <w:r>
        <w:rPr>
          <w:rFonts w:hint="eastAsia" w:ascii="仿宋" w:hAnsi="仿宋" w:eastAsia="仿宋" w:cs="仿宋"/>
          <w:bCs/>
          <w:sz w:val="28"/>
          <w:szCs w:val="28"/>
          <w:highlight w:val="none"/>
          <w:u w:val="single"/>
        </w:rPr>
        <w:t xml:space="preserve">点 </w:t>
      </w:r>
      <w:r>
        <w:rPr>
          <w:rFonts w:hint="eastAsia" w:ascii="仿宋" w:hAnsi="仿宋" w:eastAsia="仿宋" w:cs="仿宋"/>
          <w:kern w:val="0"/>
          <w:sz w:val="28"/>
          <w:szCs w:val="28"/>
          <w:highlight w:val="none"/>
          <w:u w:val="single"/>
        </w:rPr>
        <w:t>00</w:t>
      </w:r>
      <w:r>
        <w:rPr>
          <w:rFonts w:hint="eastAsia" w:ascii="仿宋" w:hAnsi="仿宋" w:eastAsia="仿宋" w:cs="仿宋"/>
          <w:bCs/>
          <w:sz w:val="28"/>
          <w:szCs w:val="28"/>
          <w:highlight w:val="none"/>
          <w:u w:val="single"/>
        </w:rPr>
        <w:t xml:space="preserve"> 分</w:t>
      </w:r>
      <w:r>
        <w:rPr>
          <w:rFonts w:hint="eastAsia" w:ascii="仿宋" w:hAnsi="仿宋" w:eastAsia="仿宋" w:cs="仿宋"/>
          <w:bCs/>
          <w:sz w:val="28"/>
          <w:szCs w:val="28"/>
          <w:highlight w:val="none"/>
        </w:rPr>
        <w:t>（北京时间）前提</w:t>
      </w:r>
      <w:r>
        <w:rPr>
          <w:rFonts w:hint="eastAsia" w:ascii="仿宋" w:hAnsi="仿宋" w:eastAsia="仿宋" w:cs="仿宋"/>
          <w:bCs/>
          <w:sz w:val="28"/>
          <w:szCs w:val="28"/>
          <w:highlight w:val="none"/>
        </w:rPr>
        <w:t>交首次响应文件</w:t>
      </w:r>
      <w:r>
        <w:rPr>
          <w:rFonts w:hint="eastAsia" w:ascii="仿宋" w:hAnsi="仿宋" w:eastAsia="仿宋" w:cs="仿宋"/>
          <w:sz w:val="28"/>
          <w:szCs w:val="28"/>
          <w:highlight w:val="none"/>
        </w:rPr>
        <w:t>。</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2" w:name="_Toc800"/>
      <w:r>
        <w:rPr>
          <w:rFonts w:hint="eastAsia" w:ascii="Arial" w:hAnsi="Arial" w:eastAsia="黑体" w:cs="Times New Roman"/>
          <w:b w:val="0"/>
          <w:kern w:val="2"/>
          <w:sz w:val="36"/>
          <w:szCs w:val="28"/>
          <w:highlight w:val="none"/>
        </w:rPr>
        <w:t>一、项目基本情况：</w:t>
      </w:r>
      <w:bookmarkEnd w:id="2"/>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r>
        <w:rPr>
          <w:rFonts w:hint="eastAsia" w:ascii="仿宋" w:hAnsi="仿宋" w:cs="仿宋"/>
          <w:sz w:val="28"/>
          <w:szCs w:val="28"/>
          <w:highlight w:val="none"/>
          <w:lang w:val="en-US" w:eastAsia="zh-CN"/>
        </w:rPr>
        <w:t>TCZX-HW-2023-051</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r>
        <w:rPr>
          <w:rFonts w:hint="eastAsia" w:ascii="仿宋" w:hAnsi="仿宋" w:cs="仿宋"/>
          <w:sz w:val="28"/>
          <w:szCs w:val="28"/>
          <w:highlight w:val="none"/>
          <w:lang w:val="en-US" w:eastAsia="zh-CN"/>
        </w:rPr>
        <w:t>山东大学第二医院经颅直流电刺激仪采购</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采购方式：竞争性磋商</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预算金额：</w:t>
      </w:r>
      <w:r>
        <w:rPr>
          <w:rFonts w:hint="default" w:ascii="仿宋" w:hAnsi="仿宋" w:cs="仿宋"/>
          <w:sz w:val="28"/>
          <w:szCs w:val="28"/>
          <w:highlight w:val="none"/>
          <w:lang w:val="en-US" w:eastAsia="zh-CN"/>
        </w:rPr>
        <w:t>3</w:t>
      </w:r>
      <w:r>
        <w:rPr>
          <w:rFonts w:hint="eastAsia" w:ascii="仿宋" w:hAnsi="仿宋" w:cs="仿宋"/>
          <w:sz w:val="28"/>
          <w:szCs w:val="28"/>
          <w:highlight w:val="none"/>
          <w:lang w:val="en-US" w:eastAsia="zh-CN"/>
        </w:rPr>
        <w:t>0</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最高限价：</w:t>
      </w:r>
      <w:r>
        <w:rPr>
          <w:rFonts w:hint="default" w:ascii="仿宋" w:hAnsi="仿宋" w:cs="仿宋"/>
          <w:sz w:val="28"/>
          <w:szCs w:val="28"/>
          <w:highlight w:val="none"/>
          <w:lang w:val="en-US" w:eastAsia="zh-CN"/>
        </w:rPr>
        <w:t>3</w:t>
      </w:r>
      <w:r>
        <w:rPr>
          <w:rFonts w:hint="eastAsia" w:ascii="仿宋" w:hAnsi="仿宋" w:cs="仿宋"/>
          <w:sz w:val="28"/>
          <w:szCs w:val="28"/>
          <w:highlight w:val="none"/>
          <w:lang w:val="en-US" w:eastAsia="zh-CN"/>
        </w:rPr>
        <w:t>0</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采购需求：山东大学第二医院根据需要需采购经颅直流电刺激仪</w:t>
      </w:r>
      <w:r>
        <w:rPr>
          <w:rFonts w:hint="eastAsia" w:ascii="仿宋" w:hAnsi="仿宋" w:cs="仿宋"/>
          <w:sz w:val="28"/>
          <w:szCs w:val="28"/>
          <w:highlight w:val="none"/>
          <w:lang w:val="en-US" w:eastAsia="zh-CN"/>
        </w:rPr>
        <w:t>一套，</w:t>
      </w:r>
      <w:r>
        <w:rPr>
          <w:rFonts w:hint="eastAsia" w:ascii="仿宋" w:hAnsi="仿宋" w:eastAsia="仿宋" w:cs="仿宋"/>
          <w:sz w:val="28"/>
          <w:szCs w:val="28"/>
          <w:highlight w:val="none"/>
          <w:lang w:val="en-US" w:eastAsia="zh-CN"/>
        </w:rPr>
        <w:t>使用科室</w:t>
      </w:r>
      <w:r>
        <w:rPr>
          <w:rFonts w:hint="eastAsia" w:ascii="仿宋" w:hAnsi="仿宋" w:cs="仿宋"/>
          <w:sz w:val="28"/>
          <w:szCs w:val="28"/>
          <w:highlight w:val="none"/>
          <w:lang w:val="en-US" w:eastAsia="zh-CN"/>
        </w:rPr>
        <w:t>康复</w:t>
      </w:r>
      <w:r>
        <w:rPr>
          <w:rFonts w:hint="eastAsia" w:ascii="仿宋" w:hAnsi="仿宋" w:eastAsia="仿宋" w:cs="仿宋"/>
          <w:sz w:val="28"/>
          <w:szCs w:val="28"/>
          <w:highlight w:val="none"/>
          <w:lang w:val="en-US" w:eastAsia="zh-CN"/>
        </w:rPr>
        <w:t>科，具体详见采购要求。</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标包划分：1个包</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合同履行期限（质保期）：≥</w:t>
      </w:r>
      <w:r>
        <w:rPr>
          <w:rFonts w:hint="eastAsia" w:ascii="仿宋" w:hAnsi="仿宋" w:cs="仿宋"/>
          <w:sz w:val="28"/>
          <w:szCs w:val="28"/>
          <w:highlight w:val="none"/>
          <w:lang w:val="en-US" w:eastAsia="zh-CN"/>
        </w:rPr>
        <w:t>3</w:t>
      </w:r>
      <w:r>
        <w:rPr>
          <w:rFonts w:hint="eastAsia" w:ascii="仿宋" w:hAnsi="仿宋" w:eastAsia="仿宋" w:cs="仿宋"/>
          <w:sz w:val="28"/>
          <w:szCs w:val="28"/>
          <w:highlight w:val="none"/>
          <w:lang w:val="en-US" w:eastAsia="zh-CN"/>
        </w:rPr>
        <w:t>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本项目不接受联合体报价。</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3" w:name="_Toc18476"/>
      <w:r>
        <w:rPr>
          <w:rFonts w:hint="eastAsia" w:ascii="Arial" w:hAnsi="Arial" w:eastAsia="黑体" w:cs="Times New Roman"/>
          <w:b w:val="0"/>
          <w:kern w:val="2"/>
          <w:sz w:val="36"/>
          <w:szCs w:val="28"/>
          <w:highlight w:val="none"/>
        </w:rPr>
        <w:t>二、申请人的资格要求：</w:t>
      </w:r>
      <w:bookmarkEnd w:id="3"/>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1、满足《中华人民共和国政府采购法》第二十二条规定；</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2、落实政府采购政策需满足的资格要求：本项目不属于专门面向中小企业、监狱企业、残疾人福利性单位采购的项目；</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3、本项目的特定资格要求：</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在“信用中国”（www.creditchina.gov.cn）、中国政府采购网（www.ccgp.gov.cn）等网站中被列入失信被执行人、重大税收违法案件当事人名单、政府采购严重违法失信行为记录名单的供应商，不得参加本次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（2）单位负责人为同一人或者存在直接控股、管理关系的不同供应商，不得参加同一合同项下（同一包号）的政府采购活动；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有有效的医疗器械经营许可证（其中从事第二类医疗器械经营的提供相关备案凭证）或医疗器械生产许可证，所投产品具有有效的医疗器械注册证或医疗器械备案凭证（其中一类医疗器械提供相关备案证明）；</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4" w:name="_Toc17076"/>
      <w:r>
        <w:rPr>
          <w:rFonts w:hint="eastAsia" w:ascii="Arial" w:hAnsi="Arial" w:eastAsia="黑体" w:cs="Times New Roman"/>
          <w:b w:val="0"/>
          <w:kern w:val="2"/>
          <w:sz w:val="36"/>
          <w:szCs w:val="28"/>
          <w:highlight w:val="none"/>
        </w:rPr>
        <w:t>三、获取磋商文件：</w:t>
      </w:r>
      <w:bookmarkEnd w:id="4"/>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w:t>
      </w:r>
      <w:r>
        <w:rPr>
          <w:rFonts w:hint="default" w:ascii="仿宋" w:hAnsi="仿宋" w:cs="仿宋"/>
          <w:sz w:val="28"/>
          <w:szCs w:val="28"/>
          <w:highlight w:val="none"/>
          <w:lang w:val="en-US" w:eastAsia="zh-CN"/>
        </w:rPr>
        <w:t>3</w:t>
      </w:r>
      <w:r>
        <w:rPr>
          <w:rFonts w:hint="eastAsia" w:ascii="仿宋" w:hAnsi="仿宋" w:eastAsia="仿宋" w:cs="仿宋"/>
          <w:sz w:val="28"/>
          <w:szCs w:val="28"/>
          <w:highlight w:val="none"/>
          <w:lang w:val="en-US" w:eastAsia="zh-CN"/>
        </w:rPr>
        <w:t>年0</w:t>
      </w:r>
      <w:r>
        <w:rPr>
          <w:rFonts w:hint="default" w:ascii="仿宋" w:hAnsi="仿宋" w:cs="仿宋"/>
          <w:sz w:val="28"/>
          <w:szCs w:val="28"/>
          <w:highlight w:val="none"/>
          <w:lang w:val="en-US" w:eastAsia="zh-CN"/>
        </w:rPr>
        <w:t>7</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11</w:t>
      </w:r>
      <w:r>
        <w:rPr>
          <w:rFonts w:hint="eastAsia" w:ascii="仿宋" w:hAnsi="仿宋" w:eastAsia="仿宋" w:cs="仿宋"/>
          <w:sz w:val="28"/>
          <w:szCs w:val="28"/>
          <w:highlight w:val="none"/>
          <w:lang w:val="en-US" w:eastAsia="zh-CN"/>
        </w:rPr>
        <w:t>日至202</w:t>
      </w:r>
      <w:r>
        <w:rPr>
          <w:rFonts w:hint="default" w:ascii="仿宋" w:hAnsi="仿宋" w:cs="仿宋"/>
          <w:sz w:val="28"/>
          <w:szCs w:val="28"/>
          <w:highlight w:val="none"/>
          <w:lang w:val="en-US" w:eastAsia="zh-CN"/>
        </w:rPr>
        <w:t>3</w:t>
      </w:r>
      <w:r>
        <w:rPr>
          <w:rFonts w:hint="eastAsia" w:ascii="仿宋" w:hAnsi="仿宋" w:eastAsia="仿宋" w:cs="仿宋"/>
          <w:sz w:val="28"/>
          <w:szCs w:val="28"/>
          <w:highlight w:val="none"/>
          <w:lang w:val="en-US" w:eastAsia="zh-CN"/>
        </w:rPr>
        <w:t>年0</w:t>
      </w:r>
      <w:r>
        <w:rPr>
          <w:rFonts w:hint="default" w:ascii="仿宋" w:hAnsi="仿宋" w:cs="仿宋"/>
          <w:sz w:val="28"/>
          <w:szCs w:val="28"/>
          <w:highlight w:val="none"/>
          <w:lang w:val="en-US" w:eastAsia="zh-CN"/>
        </w:rPr>
        <w:t>7</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18</w:t>
      </w:r>
      <w:r>
        <w:rPr>
          <w:rFonts w:hint="eastAsia" w:ascii="仿宋" w:hAnsi="仿宋" w:eastAsia="仿宋" w:cs="仿宋"/>
          <w:sz w:val="28"/>
          <w:szCs w:val="28"/>
          <w:highlight w:val="none"/>
          <w:lang w:val="en-US" w:eastAsia="zh-CN"/>
        </w:rPr>
        <w:t>日，每天上午9:00至12:00，下午1</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:00至17:00（北京时间，法定节假日除外）；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地点：同诚工程咨询集团股份有限公司（济南市历城区万科海右府8号102），</w:t>
      </w:r>
      <w:r>
        <w:rPr>
          <w:rFonts w:hint="eastAsia" w:ascii="仿宋" w:hAnsi="仿宋" w:cs="仿宋"/>
          <w:szCs w:val="28"/>
          <w:highlight w:val="none"/>
        </w:rPr>
        <w:t>磋商文件采用邮</w:t>
      </w:r>
      <w:r>
        <w:rPr>
          <w:rFonts w:hint="eastAsia" w:ascii="仿宋" w:hAnsi="仿宋" w:cs="仿宋"/>
          <w:szCs w:val="28"/>
          <w:highlight w:val="none"/>
          <w:lang w:val="en-US" w:eastAsia="zh-CN"/>
        </w:rPr>
        <w:t>件</w:t>
      </w:r>
      <w:r>
        <w:rPr>
          <w:rFonts w:hint="eastAsia" w:ascii="仿宋" w:hAnsi="仿宋" w:cs="仿宋"/>
          <w:szCs w:val="28"/>
          <w:highlight w:val="none"/>
        </w:rPr>
        <w:t>方式</w:t>
      </w:r>
      <w:r>
        <w:rPr>
          <w:rFonts w:hint="eastAsia" w:ascii="仿宋" w:hAnsi="仿宋" w:cs="仿宋"/>
          <w:szCs w:val="28"/>
          <w:highlight w:val="none"/>
          <w:lang w:val="en-US" w:eastAsia="zh-CN"/>
        </w:rPr>
        <w:t>发售</w:t>
      </w:r>
      <w:r>
        <w:rPr>
          <w:rFonts w:hint="eastAsia" w:ascii="仿宋" w:hAnsi="仿宋" w:eastAsia="仿宋" w:cs="仿宋"/>
          <w:sz w:val="28"/>
          <w:szCs w:val="28"/>
          <w:highlight w:val="none"/>
          <w:lang w:val="en-US" w:eastAsia="zh-CN"/>
        </w:rPr>
        <w:t>，不需现场领取。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方式：凡有意参加本次采购的供应商须在获取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文件的期限内联系代理机构（联系人：邵经理0531-88933166/18954549093）明确所投项目名称及项目确认，供应商项目确认后请访问中国政府采购网下载电子版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将以下材料发送至sdthgczx2022@163.com（邮件主题格式：项目名称+供应商名称）：（1）企业法人营业执照副本扫描件；（2）法定代表人证明或法定代表人授权委托书及相应本人身份证扫描件；（3）与本项目相关事宜联系人、联系电话；（4）</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文件费汇款凭证。</w:t>
      </w:r>
    </w:p>
    <w:p>
      <w:pPr>
        <w:ind w:firstLine="560" w:firstLineChars="2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文件售价：300元/本，邮寄另付邮费50元（售后不退）。缴纳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本项目实行资格后审，获取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文件成功不代表资格后审的通过。</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注：本采购项目的变更、修改、澄清、补遗内容及对项目的暂停、延期通知等情况均在“中国政府采购网”发布。潜在供应商自行查阅网站信息，未按要求查阅者自行承担相应后果。</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5" w:name="_Toc23812"/>
      <w:r>
        <w:rPr>
          <w:rFonts w:hint="eastAsia" w:ascii="Arial" w:hAnsi="Arial" w:eastAsia="黑体" w:cs="Times New Roman"/>
          <w:b w:val="0"/>
          <w:kern w:val="2"/>
          <w:sz w:val="36"/>
          <w:szCs w:val="28"/>
          <w:highlight w:val="none"/>
        </w:rPr>
        <w:t>四、提交首次响应文件截止时间、报价时间和地点：</w:t>
      </w:r>
      <w:bookmarkEnd w:id="5"/>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 年0</w:t>
      </w:r>
      <w:r>
        <w:rPr>
          <w:rFonts w:hint="default" w:ascii="仿宋" w:hAnsi="仿宋" w:cs="仿宋"/>
          <w:sz w:val="28"/>
          <w:szCs w:val="28"/>
          <w:highlight w:val="none"/>
          <w:lang w:val="en-US" w:eastAsia="zh-CN"/>
        </w:rPr>
        <w:t>7</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25</w:t>
      </w:r>
      <w:r>
        <w:rPr>
          <w:rFonts w:hint="eastAsia" w:ascii="仿宋" w:hAnsi="仿宋" w:eastAsia="仿宋" w:cs="仿宋"/>
          <w:sz w:val="28"/>
          <w:szCs w:val="28"/>
          <w:highlight w:val="none"/>
          <w:lang w:val="en-US" w:eastAsia="zh-CN"/>
        </w:rPr>
        <w:t>日09:00（北京时间）；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地点：山东大学第二医院文会学堂一楼会议室（地址：济南市天桥区北园大街247号）；</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逾期送达的或者未送达指定地点的响应文件，采购人不予受理。</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6" w:name="_Toc31626"/>
      <w:r>
        <w:rPr>
          <w:rFonts w:hint="eastAsia" w:ascii="Arial" w:hAnsi="Arial" w:eastAsia="黑体" w:cs="Times New Roman"/>
          <w:b w:val="0"/>
          <w:kern w:val="2"/>
          <w:sz w:val="36"/>
          <w:szCs w:val="28"/>
          <w:highlight w:val="none"/>
        </w:rPr>
        <w:t>五、公告期限：</w:t>
      </w:r>
      <w:bookmarkEnd w:id="6"/>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ind w:firstLine="560" w:firstLineChars="200"/>
        <w:textAlignment w:val="auto"/>
        <w:rPr>
          <w:rFonts w:hint="eastAsia" w:ascii="仿宋" w:hAnsi="仿宋" w:eastAsia="仿宋" w:cs="仿宋"/>
          <w:b w:val="0"/>
          <w:kern w:val="2"/>
          <w:sz w:val="28"/>
          <w:szCs w:val="28"/>
          <w:highlight w:val="none"/>
          <w:lang w:val="en-US" w:eastAsia="zh-CN" w:bidi="ar-SA"/>
        </w:rPr>
      </w:pPr>
      <w:bookmarkStart w:id="7" w:name="_Toc30218"/>
      <w:r>
        <w:rPr>
          <w:rFonts w:hint="eastAsia" w:ascii="仿宋" w:hAnsi="仿宋" w:eastAsia="仿宋" w:cs="仿宋"/>
          <w:b w:val="0"/>
          <w:kern w:val="2"/>
          <w:sz w:val="28"/>
          <w:szCs w:val="28"/>
          <w:highlight w:val="none"/>
          <w:lang w:val="en-US" w:eastAsia="zh-CN" w:bidi="ar-SA"/>
        </w:rPr>
        <w:t>自本公告发布之日起3个工作日。</w:t>
      </w:r>
      <w:bookmarkEnd w:id="7"/>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8" w:name="_Toc26884"/>
      <w:r>
        <w:rPr>
          <w:rFonts w:hint="eastAsia" w:ascii="Arial" w:hAnsi="Arial" w:eastAsia="黑体" w:cs="Times New Roman"/>
          <w:b w:val="0"/>
          <w:kern w:val="2"/>
          <w:sz w:val="36"/>
          <w:szCs w:val="28"/>
          <w:highlight w:val="none"/>
        </w:rPr>
        <w:t>六、其他补充事宜：</w:t>
      </w:r>
      <w:bookmarkEnd w:id="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1、采购项目需要落实的政府采购政策：中小微型企业政府采购政策；监狱企业政府采购政策；促进残疾人就业政府采购政策；节能、环保产品政府采购政策，详见</w:t>
      </w:r>
      <w:r>
        <w:rPr>
          <w:rFonts w:hint="eastAsia" w:ascii="仿宋" w:hAnsi="仿宋" w:cs="仿宋"/>
          <w:sz w:val="28"/>
          <w:szCs w:val="28"/>
          <w:highlight w:val="none"/>
          <w:lang w:val="en-US" w:eastAsia="zh-CN"/>
        </w:rPr>
        <w:t>磋商</w:t>
      </w:r>
      <w:r>
        <w:rPr>
          <w:rFonts w:hint="eastAsia" w:ascii="仿宋" w:hAnsi="仿宋" w:eastAsia="仿宋" w:cs="仿宋"/>
          <w:b w:val="0"/>
          <w:kern w:val="2"/>
          <w:sz w:val="28"/>
          <w:szCs w:val="28"/>
          <w:highlight w:val="none"/>
          <w:lang w:val="en-US" w:eastAsia="zh-CN" w:bidi="ar-SA"/>
        </w:rPr>
        <w:t>文件。</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2、供应商必须整包，不可分拆报价。</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9" w:name="_Toc31379"/>
      <w:r>
        <w:rPr>
          <w:rFonts w:hint="eastAsia" w:ascii="Arial" w:hAnsi="Arial" w:eastAsia="黑体" w:cs="Times New Roman"/>
          <w:b w:val="0"/>
          <w:kern w:val="2"/>
          <w:sz w:val="36"/>
          <w:szCs w:val="28"/>
          <w:highlight w:val="none"/>
          <w:lang w:val="en-US" w:eastAsia="zh-CN"/>
        </w:rPr>
        <w:t>七、对本次采购提出询问，请按以下方式联系：</w:t>
      </w:r>
      <w:bookmarkEnd w:id="9"/>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1、采购人信息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 称：山东大学第二医院</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地址：济南市天桥区北园大街247号</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联系方式：0531-85875076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2、采购代理机构信息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名称：同诚工程咨询集团股份有限公司</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地址：济南市历城区万科海右府8-102</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联系方式：0531-88933166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3.项目联系方式</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联系人：邵经理</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电  话：0531-88933166</w:t>
      </w:r>
    </w:p>
    <w:p>
      <w:pPr>
        <w:pStyle w:val="3"/>
        <w:numPr>
          <w:ilvl w:val="0"/>
          <w:numId w:val="0"/>
        </w:numPr>
        <w:spacing w:after="312"/>
        <w:jc w:val="center"/>
        <w:rPr>
          <w:rFonts w:hint="eastAsia" w:ascii="宋体" w:hAnsi="宋体" w:eastAsia="宋体" w:cs="宋体"/>
          <w:highlight w:val="none"/>
        </w:rPr>
      </w:pPr>
      <w:r>
        <w:rPr>
          <w:rFonts w:hint="eastAsia" w:ascii="宋体" w:hAnsi="宋体" w:eastAsia="宋体" w:cs="宋体"/>
          <w:highlight w:val="none"/>
        </w:rPr>
        <w:br w:type="page"/>
      </w:r>
      <w:bookmarkStart w:id="10" w:name="_Toc4256"/>
      <w:r>
        <w:rPr>
          <w:rFonts w:hint="eastAsia" w:ascii="Calibri" w:hAnsi="Calibri" w:eastAsia="宋体" w:cs="Times New Roman"/>
          <w:b/>
          <w:kern w:val="44"/>
          <w:sz w:val="44"/>
          <w:szCs w:val="24"/>
          <w:highlight w:val="none"/>
          <w:lang w:val="en-US" w:eastAsia="zh-CN" w:bidi="ar-SA"/>
        </w:rPr>
        <w:t xml:space="preserve">第二章  </w:t>
      </w:r>
      <w:bookmarkStart w:id="11" w:name="_Toc23894"/>
      <w:r>
        <w:rPr>
          <w:rFonts w:hint="eastAsia" w:ascii="宋体" w:hAnsi="宋体" w:eastAsia="宋体" w:cs="宋体"/>
          <w:highlight w:val="none"/>
          <w:lang w:val="en-US" w:eastAsia="zh-CN"/>
        </w:rPr>
        <w:t>供应商</w:t>
      </w:r>
      <w:r>
        <w:rPr>
          <w:rFonts w:hint="eastAsia" w:ascii="宋体" w:hAnsi="宋体" w:eastAsia="宋体" w:cs="宋体"/>
          <w:highlight w:val="none"/>
        </w:rPr>
        <w:t>须知</w:t>
      </w:r>
      <w:bookmarkEnd w:id="10"/>
      <w:bookmarkEnd w:id="11"/>
    </w:p>
    <w:p>
      <w:pPr>
        <w:pStyle w:val="4"/>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宋体" w:cs="宋体"/>
          <w:b/>
          <w:bCs/>
          <w:sz w:val="44"/>
          <w:szCs w:val="44"/>
          <w:highlight w:val="none"/>
        </w:rPr>
      </w:pPr>
      <w:bookmarkStart w:id="12" w:name="_Toc4028"/>
      <w:bookmarkStart w:id="13" w:name="_Toc30943"/>
      <w:r>
        <w:rPr>
          <w:rFonts w:hint="eastAsia" w:ascii="宋体" w:hAnsi="宋体" w:eastAsia="宋体" w:cs="宋体"/>
          <w:b/>
          <w:bCs/>
          <w:sz w:val="44"/>
          <w:szCs w:val="44"/>
          <w:highlight w:val="none"/>
        </w:rPr>
        <w:t>供应商须知前附表</w:t>
      </w:r>
      <w:bookmarkEnd w:id="12"/>
      <w:bookmarkEnd w:id="1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842"/>
        <w:gridCol w:w="6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0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cs="仿宋"/>
                <w:sz w:val="28"/>
                <w:szCs w:val="28"/>
                <w:highlight w:val="none"/>
                <w:lang w:eastAsia="zh-CN"/>
              </w:rPr>
              <w:t>TCZX-HW-2023-051</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cs="仿宋"/>
                <w:sz w:val="28"/>
                <w:szCs w:val="28"/>
                <w:highlight w:val="none"/>
                <w:lang w:eastAsia="zh-CN"/>
              </w:rPr>
              <w:t>山东大学第二医院经颅直流电刺激仪采购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资金来源：自筹资金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default" w:ascii="仿宋" w:hAnsi="仿宋" w:cs="仿宋"/>
                <w:sz w:val="28"/>
                <w:szCs w:val="28"/>
                <w:highlight w:val="none"/>
                <w:lang w:val="en-US" w:eastAsia="zh-CN"/>
              </w:rPr>
              <w:t>3</w:t>
            </w:r>
            <w:r>
              <w:rPr>
                <w:rFonts w:hint="eastAsia" w:ascii="仿宋" w:hAnsi="仿宋" w:cs="仿宋"/>
                <w:sz w:val="28"/>
                <w:szCs w:val="28"/>
                <w:highlight w:val="none"/>
                <w:lang w:val="en-US" w:eastAsia="zh-CN"/>
              </w:rPr>
              <w:t>0</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最高限价：</w:t>
            </w:r>
            <w:r>
              <w:rPr>
                <w:rFonts w:hint="default" w:ascii="仿宋" w:hAnsi="仿宋" w:cs="仿宋"/>
                <w:sz w:val="28"/>
                <w:szCs w:val="28"/>
                <w:highlight w:val="none"/>
                <w:lang w:val="en-US" w:eastAsia="zh-CN"/>
              </w:rPr>
              <w:t>3</w:t>
            </w:r>
            <w:r>
              <w:rPr>
                <w:rFonts w:hint="eastAsia" w:ascii="仿宋" w:hAnsi="仿宋" w:cs="仿宋"/>
                <w:sz w:val="28"/>
                <w:szCs w:val="28"/>
                <w:highlight w:val="none"/>
                <w:lang w:val="en-US" w:eastAsia="zh-CN"/>
              </w:rPr>
              <w:t>0</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磋商</w:t>
            </w:r>
            <w:r>
              <w:rPr>
                <w:rFonts w:hint="eastAsia" w:ascii="仿宋" w:hAnsi="仿宋" w:eastAsia="仿宋" w:cs="仿宋"/>
                <w:b/>
                <w:bCs/>
                <w:sz w:val="28"/>
                <w:szCs w:val="28"/>
                <w:highlight w:val="none"/>
              </w:rPr>
              <w:t>报价超过预算金额或最高限价的，按无效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供应商应提供的资格证明材料</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供应商资格要求：详见第一章</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default" w:ascii="仿宋" w:hAnsi="仿宋" w:cs="仿宋"/>
                <w:sz w:val="28"/>
                <w:szCs w:val="28"/>
                <w:highlight w:val="none"/>
                <w:lang w:val="en-US" w:eastAsia="zh-CN"/>
              </w:rPr>
              <w:t>2</w:t>
            </w:r>
            <w:r>
              <w:rPr>
                <w:rFonts w:hint="eastAsia" w:ascii="仿宋" w:hAnsi="仿宋" w:eastAsia="仿宋" w:cs="仿宋"/>
                <w:sz w:val="28"/>
                <w:szCs w:val="28"/>
                <w:highlight w:val="none"/>
              </w:rPr>
              <w:t>年度财务状况或其基本开户银行出具的提交响应文件截止时间前三个月内的资信证明（若资信证明注明复印件无效，需提交原件）；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供应商是其他组织或自然人的，应提供银行出具的提交响应文件截止时间前三个月内的资信证明（若资信证明注明复印件无效，需提交原件）。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截止日前）供应商在经营活动中没有重大违法记录，其中：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（7）单位负责人为同一人或者存在直接控股、管理关系的不同供应商，不得参加同一包的报价或者未划分包的同一采购项目的报价，供应商须提供书面声明。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cs="仿宋"/>
                <w:sz w:val="28"/>
                <w:szCs w:val="28"/>
                <w:highlight w:val="none"/>
                <w:lang w:val="en-US" w:eastAsia="zh-CN"/>
              </w:rPr>
              <w:t>9</w:t>
            </w:r>
            <w:r>
              <w:rPr>
                <w:rFonts w:hint="eastAsia" w:ascii="仿宋" w:hAnsi="仿宋" w:eastAsia="仿宋" w:cs="仿宋"/>
                <w:sz w:val="28"/>
                <w:szCs w:val="28"/>
                <w:highlight w:val="none"/>
              </w:rPr>
              <w:t>）供应商符合法律、行政法规规定的其它要求。</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本项目实行资格后审，资格审查未通过，不进入下一步评审。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宋体" w:hAnsi="宋体" w:eastAsia="宋体" w:cs="宋体"/>
                <w:sz w:val="24"/>
                <w:szCs w:val="24"/>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对</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文件的疑问</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提交疑问时间：截止时间202</w:t>
            </w:r>
            <w:r>
              <w:rPr>
                <w:rFonts w:hint="default" w:ascii="仿宋" w:hAnsi="仿宋" w:cs="仿宋"/>
                <w:sz w:val="28"/>
                <w:szCs w:val="28"/>
                <w:highlight w:val="none"/>
                <w:lang w:val="en-US"/>
              </w:rPr>
              <w:t>3</w:t>
            </w:r>
            <w:r>
              <w:rPr>
                <w:rFonts w:hint="eastAsia" w:ascii="仿宋" w:hAnsi="仿宋" w:eastAsia="仿宋" w:cs="仿宋"/>
                <w:sz w:val="28"/>
                <w:szCs w:val="28"/>
                <w:highlight w:val="none"/>
              </w:rPr>
              <w:t>年</w:t>
            </w:r>
            <w:r>
              <w:rPr>
                <w:rFonts w:hint="default" w:ascii="仿宋" w:hAnsi="仿宋" w:cs="仿宋"/>
                <w:sz w:val="28"/>
                <w:szCs w:val="28"/>
                <w:highlight w:val="none"/>
                <w:lang w:val="en-US" w:eastAsia="zh-CN"/>
              </w:rPr>
              <w:t>07</w:t>
            </w:r>
            <w:r>
              <w:rPr>
                <w:rFonts w:hint="eastAsia" w:ascii="仿宋" w:hAnsi="仿宋" w:eastAsia="仿宋" w:cs="仿宋"/>
                <w:sz w:val="28"/>
                <w:szCs w:val="28"/>
                <w:highlight w:val="none"/>
              </w:rPr>
              <w:t>月</w:t>
            </w:r>
            <w:r>
              <w:rPr>
                <w:rFonts w:hint="default" w:ascii="仿宋" w:hAnsi="仿宋" w:cs="仿宋"/>
                <w:sz w:val="28"/>
                <w:szCs w:val="28"/>
                <w:highlight w:val="none"/>
                <w:lang w:val="en-US" w:eastAsia="zh-CN"/>
              </w:rPr>
              <w:t>19</w:t>
            </w:r>
            <w:r>
              <w:rPr>
                <w:rFonts w:hint="eastAsia" w:ascii="仿宋" w:hAnsi="仿宋" w:eastAsia="仿宋" w:cs="仿宋"/>
                <w:sz w:val="28"/>
                <w:szCs w:val="28"/>
                <w:highlight w:val="none"/>
              </w:rPr>
              <w:t>日上午11:00前。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文件澄清</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澄清和修改文件发送时间（如有）</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截止时间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天前；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文件份数</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份，其中正本1份和副本</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文件1份（U盘，可编辑word版本和PDF版本各一份）；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电子版内容应包含</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文件的全部商务、报价、技术内容及技术资料，其中有英文资料的还应提供中、英文对照文本。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一览表一式3份单独密封。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装订方式：纸质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文件应正反双面打印，每册采用胶装方式装订，装订应牢固、不易拆散和换页，不得采用活页装订；每册厚度不得超过4.5cm,如超过需分册装订；在封装背脊处打印项目名称；为节约成本，</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文件密封和标记</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供应商应将</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文件正本、副本、电子版及</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一览表密封，并在封套明显处注明以下内容：</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正本或副本或电子版或</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文件的签署</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一览表以及</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default" w:ascii="仿宋" w:hAnsi="仿宋" w:cs="仿宋"/>
                <w:sz w:val="28"/>
                <w:szCs w:val="28"/>
                <w:highlight w:val="none"/>
                <w:lang w:val="en-US" w:eastAsia="zh-CN"/>
              </w:rPr>
              <w:t>5</w:t>
            </w:r>
            <w:r>
              <w:rPr>
                <w:rFonts w:hint="eastAsia" w:ascii="仿宋" w:hAnsi="仿宋" w:eastAsia="仿宋" w:cs="仿宋"/>
                <w:sz w:val="28"/>
                <w:szCs w:val="28"/>
                <w:highlight w:val="none"/>
              </w:rPr>
              <w:t>000.00元整(大写：</w:t>
            </w:r>
            <w:r>
              <w:rPr>
                <w:rFonts w:hint="eastAsia" w:ascii="仿宋" w:hAnsi="仿宋" w:cs="仿宋"/>
                <w:sz w:val="28"/>
                <w:szCs w:val="28"/>
                <w:highlight w:val="none"/>
                <w:lang w:val="en-US" w:eastAsia="zh-CN"/>
              </w:rPr>
              <w:t>伍仟</w:t>
            </w:r>
            <w:r>
              <w:rPr>
                <w:rFonts w:hint="eastAsia" w:ascii="仿宋" w:hAnsi="仿宋" w:eastAsia="仿宋" w:cs="仿宋"/>
                <w:sz w:val="28"/>
                <w:szCs w:val="28"/>
                <w:highlight w:val="none"/>
              </w:rPr>
              <w:t>元整）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保证金缴纳形式：网银转账或电汇，银行保函或第三方担保。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开户名：同诚工程咨询集团股份有限公司济南分公司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开户行：威海市商业银行股份有限公司济南燕山支行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行  号：313451000125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保证金以电汇或网银形式提交的必须从供应商的账户转出，并在提交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文件截止时间前到达指定账户。其他形式提交的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保证金须在提交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文件截止时间前到达指定账户，供应商应充分考虑银行信息交换时间，由此带来的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保证金不能按时到帐的按无效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有效期</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自</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地点</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3520" w:type="pct"/>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注：上述证件复印件必须附在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近三年：</w:t>
            </w:r>
            <w:r>
              <w:rPr>
                <w:rFonts w:hint="default" w:ascii="仿宋" w:hAnsi="仿宋" w:cs="仿宋"/>
                <w:sz w:val="28"/>
                <w:szCs w:val="28"/>
                <w:highlight w:val="none"/>
                <w:lang w:val="en-US"/>
              </w:rPr>
              <w:t>2020</w:t>
            </w:r>
            <w:r>
              <w:rPr>
                <w:rFonts w:hint="eastAsia" w:ascii="仿宋" w:hAnsi="仿宋" w:eastAsia="仿宋" w:cs="仿宋"/>
                <w:sz w:val="28"/>
                <w:szCs w:val="28"/>
                <w:highlight w:val="none"/>
              </w:rPr>
              <w:t>年</w:t>
            </w:r>
            <w:r>
              <w:rPr>
                <w:rFonts w:hint="default" w:ascii="仿宋" w:hAnsi="仿宋" w:cs="仿宋"/>
                <w:sz w:val="28"/>
                <w:szCs w:val="28"/>
                <w:highlight w:val="none"/>
                <w:lang w:val="en-US"/>
              </w:rPr>
              <w:t>7</w:t>
            </w:r>
            <w:r>
              <w:rPr>
                <w:rFonts w:hint="eastAsia" w:ascii="仿宋" w:hAnsi="仿宋" w:eastAsia="仿宋" w:cs="仿宋"/>
                <w:sz w:val="28"/>
                <w:szCs w:val="28"/>
                <w:highlight w:val="none"/>
              </w:rPr>
              <w:t>月</w:t>
            </w:r>
            <w:r>
              <w:rPr>
                <w:rFonts w:hint="default" w:ascii="仿宋" w:hAnsi="仿宋" w:cs="仿宋"/>
                <w:sz w:val="28"/>
                <w:szCs w:val="28"/>
                <w:highlight w:val="none"/>
                <w:lang w:val="en-US"/>
              </w:rPr>
              <w:t>1</w:t>
            </w:r>
            <w:r>
              <w:rPr>
                <w:rFonts w:hint="eastAsia" w:ascii="仿宋" w:hAnsi="仿宋" w:eastAsia="仿宋" w:cs="仿宋"/>
                <w:sz w:val="28"/>
                <w:szCs w:val="28"/>
                <w:highlight w:val="none"/>
              </w:rPr>
              <w:t>日至今；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本项目核心产品为：</w:t>
            </w:r>
            <w:r>
              <w:rPr>
                <w:rFonts w:hint="default" w:ascii="仿宋" w:hAnsi="仿宋" w:cs="仿宋"/>
                <w:sz w:val="28"/>
                <w:szCs w:val="28"/>
                <w:highlight w:val="none"/>
                <w:lang w:val="en-US"/>
              </w:rPr>
              <w:t>/</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供货（安装）期</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cs="仿宋"/>
                <w:sz w:val="28"/>
                <w:szCs w:val="28"/>
                <w:highlight w:val="none"/>
                <w:lang w:val="en-US" w:eastAsia="zh-CN"/>
              </w:rPr>
              <w:t>供应商</w:t>
            </w:r>
            <w:r>
              <w:rPr>
                <w:rFonts w:hint="default" w:ascii="仿宋" w:hAnsi="仿宋" w:cs="仿宋"/>
                <w:sz w:val="28"/>
                <w:szCs w:val="28"/>
                <w:highlight w:val="none"/>
                <w:lang w:val="en-US"/>
              </w:rPr>
              <w:t>自报</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default" w:ascii="仿宋" w:hAnsi="仿宋" w:cs="仿宋"/>
                <w:sz w:val="28"/>
                <w:szCs w:val="28"/>
                <w:highlight w:val="none"/>
                <w:lang w:val="en-US"/>
              </w:rPr>
              <w:t>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default" w:ascii="仿宋" w:hAnsi="仿宋" w:cs="仿宋"/>
                <w:sz w:val="28"/>
                <w:szCs w:val="28"/>
                <w:highlight w:val="none"/>
                <w:lang w:val="en-US"/>
              </w:rPr>
              <w:t>货物经双方验收合格签字确认交付后，甲方收到发票入库三个月内，支付合同总金额90%，余款作为质量保证金，自验收入库之日起满12个月后，无质量问题，付总金额的10%。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组成</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根据本项目的特点组</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，其成员由有关评审专家和采购人代表等</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方法</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cs="仿宋"/>
                <w:szCs w:val="28"/>
                <w:highlight w:val="none"/>
              </w:rPr>
              <w:t>本次评审采用综合评分法，磋商小组成员根据第三章“评分办法”进行打分，按照得分由高到低顺序对各供应商进行排序，提出书面评审报告，推荐成交候选供应商。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是否授权</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确定成交供应商</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cs="仿宋"/>
                <w:szCs w:val="28"/>
                <w:highlight w:val="none"/>
                <w:lang w:val="en-US" w:eastAsia="zh-CN"/>
              </w:rPr>
              <w:t>否，</w:t>
            </w:r>
            <w:r>
              <w:rPr>
                <w:rFonts w:hint="eastAsia" w:ascii="仿宋" w:hAnsi="仿宋" w:cs="仿宋"/>
                <w:szCs w:val="28"/>
                <w:highlight w:val="none"/>
              </w:rPr>
              <w:t>磋商小组推荐3名成交候选供应商，由采购人依法确定成交供应商</w:t>
            </w:r>
            <w:r>
              <w:rPr>
                <w:rFonts w:hint="eastAsia" w:ascii="仿宋" w:hAnsi="仿宋" w:cs="仿宋"/>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服务费按国家发展改革委员会办公厅发改办[2003]857号文、国家发展计划委员会计价格[2002]1980号文件规定的“货物类”收费标准下浮40%计取，</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服务费由成交供应商支付，不足 3000 元按 3000 元收取</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进口产品</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cs="仿宋"/>
                <w:sz w:val="28"/>
                <w:szCs w:val="28"/>
                <w:highlight w:val="none"/>
                <w:lang w:val="en-US" w:eastAsia="zh-CN"/>
              </w:rPr>
              <w:t>无</w:t>
            </w:r>
            <w:r>
              <w:rPr>
                <w:rFonts w:hint="eastAsia" w:ascii="仿宋" w:hAnsi="仿宋" w:eastAsia="仿宋" w:cs="仿宋"/>
                <w:sz w:val="28"/>
                <w:szCs w:val="28"/>
                <w:highlight w:val="none"/>
              </w:rPr>
              <w:t>，详见第四章产品清单。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3520"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金额的__%</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c>
          <w:tcPr>
            <w:tcW w:w="3520" w:type="pct"/>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文件标有“★”号条款要求的内容是实质性要求，不允许有负偏离，否则，该</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文件有可能因未响应</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文件规定的实质性要求而被否决；</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文件标有“*”号条款要求的内容是关键技术参数,不允许有负偏离，否则，做</w:t>
            </w:r>
            <w:r>
              <w:rPr>
                <w:rFonts w:hint="eastAsia" w:ascii="仿宋" w:hAnsi="仿宋" w:eastAsia="仿宋" w:cs="仿宋"/>
                <w:sz w:val="28"/>
                <w:szCs w:val="28"/>
                <w:highlight w:val="none"/>
                <w:lang w:val="en-US" w:eastAsia="zh-CN"/>
              </w:rPr>
              <w:t>无效报价</w:t>
            </w:r>
            <w:r>
              <w:rPr>
                <w:rFonts w:hint="eastAsia" w:ascii="仿宋" w:hAnsi="仿宋" w:eastAsia="仿宋" w:cs="仿宋"/>
                <w:sz w:val="28"/>
                <w:szCs w:val="28"/>
                <w:highlight w:val="none"/>
              </w:rPr>
              <w:t>处理；</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文件标有“#”号条款要求的内容是重要技术参数,不做</w:t>
            </w:r>
            <w:r>
              <w:rPr>
                <w:rFonts w:hint="eastAsia" w:ascii="仿宋" w:hAnsi="仿宋" w:eastAsia="仿宋" w:cs="仿宋"/>
                <w:sz w:val="28"/>
                <w:szCs w:val="28"/>
                <w:highlight w:val="none"/>
                <w:lang w:val="en-US" w:eastAsia="zh-CN"/>
              </w:rPr>
              <w:t>无效报价处理</w:t>
            </w:r>
            <w:r>
              <w:rPr>
                <w:rFonts w:hint="eastAsia" w:ascii="仿宋" w:hAnsi="仿宋" w:eastAsia="仿宋" w:cs="仿宋"/>
                <w:sz w:val="28"/>
                <w:szCs w:val="28"/>
                <w:highlight w:val="none"/>
              </w:rPr>
              <w:t>；</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文件各章节中，有加粗的文字，表示是重要的内容，应引起供应商的注意。</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本文件中涉及的“单位公章”、“单位章”、“公章”“盖章”处均指与供应商名称全称相一致的标准公章，不得使用其他形式（如带有“专用章”、“合同章”、“财务章”、“业务章”等字样）的印章； 如供应商为自然人，上述关于印章的约定均指参与项目的该自然人签名。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8" w:type="pct"/>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4491"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供应商应派熟知本项目的人员出席磋商会议，在评审过程中磋商小组可能会要求供应商代表进行澄清、说明或补正。</w:t>
            </w:r>
          </w:p>
        </w:tc>
      </w:tr>
    </w:tbl>
    <w:p>
      <w:pPr>
        <w:pStyle w:val="10"/>
        <w:spacing w:line="480" w:lineRule="exact"/>
        <w:ind w:left="0" w:leftChars="0" w:firstLine="0" w:firstLineChars="0"/>
        <w:jc w:val="both"/>
        <w:outlineLvl w:val="9"/>
        <w:rPr>
          <w:rFonts w:hint="eastAsia" w:ascii="仿宋" w:hAnsi="仿宋" w:eastAsia="仿宋" w:cs="仿宋"/>
          <w:color w:val="000000"/>
          <w:sz w:val="28"/>
          <w:szCs w:val="28"/>
          <w:highlight w:val="none"/>
        </w:rPr>
      </w:pPr>
    </w:p>
    <w:p>
      <w:pPr>
        <w:pStyle w:val="4"/>
        <w:spacing w:before="156" w:after="156"/>
        <w:jc w:val="center"/>
        <w:rPr>
          <w:rFonts w:hint="eastAsia" w:ascii="宋体" w:hAnsi="宋体" w:eastAsia="宋体" w:cs="宋体"/>
          <w:b w:val="0"/>
          <w:color w:val="000000"/>
          <w:spacing w:val="6"/>
          <w:kern w:val="0"/>
          <w:sz w:val="32"/>
          <w:szCs w:val="20"/>
          <w:highlight w:val="none"/>
          <w:lang w:val="en-US" w:eastAsia="zh-CN" w:bidi="ar-SA"/>
        </w:rPr>
      </w:pPr>
      <w:bookmarkStart w:id="14" w:name="_Toc491931128"/>
      <w:r>
        <w:rPr>
          <w:rFonts w:hint="eastAsia" w:ascii="宋体" w:hAnsi="宋体" w:eastAsia="宋体" w:cs="宋体"/>
          <w:sz w:val="28"/>
          <w:szCs w:val="28"/>
          <w:highlight w:val="none"/>
        </w:rPr>
        <w:br w:type="page"/>
      </w:r>
      <w:bookmarkStart w:id="15" w:name="_Toc17782"/>
      <w:bookmarkStart w:id="16" w:name="_Toc16336"/>
      <w:r>
        <w:rPr>
          <w:rFonts w:hint="eastAsia" w:ascii="宋体" w:hAnsi="宋体" w:eastAsia="宋体" w:cs="宋体"/>
          <w:b w:val="0"/>
          <w:kern w:val="2"/>
          <w:sz w:val="44"/>
          <w:szCs w:val="44"/>
          <w:highlight w:val="none"/>
          <w:lang w:val="en-US" w:eastAsia="zh-CN"/>
        </w:rPr>
        <w:t>供应商须知正文</w:t>
      </w:r>
      <w:bookmarkEnd w:id="15"/>
      <w:bookmarkEnd w:id="16"/>
    </w:p>
    <w:p>
      <w:pPr>
        <w:pStyle w:val="5"/>
        <w:keepNext w:val="0"/>
        <w:keepLines w:val="0"/>
        <w:numPr>
          <w:ilvl w:val="0"/>
          <w:numId w:val="0"/>
        </w:numPr>
        <w:spacing w:before="0" w:beforeLines="50" w:after="0" w:afterLines="50" w:line="240" w:lineRule="auto"/>
        <w:rPr>
          <w:rFonts w:hint="eastAsia" w:ascii="楷体" w:hAnsi="楷体" w:eastAsia="楷体" w:cs="楷体"/>
          <w:b/>
          <w:bCs/>
          <w:kern w:val="2"/>
          <w:sz w:val="32"/>
          <w:szCs w:val="32"/>
          <w:highlight w:val="none"/>
          <w:lang w:val="en-US" w:eastAsia="zh-CN" w:bidi="ar-SA"/>
        </w:rPr>
      </w:pPr>
      <w:bookmarkStart w:id="17" w:name="_Toc2250"/>
      <w:bookmarkStart w:id="18" w:name="_Toc9323"/>
      <w:r>
        <w:rPr>
          <w:rFonts w:hint="eastAsia" w:ascii="楷体" w:hAnsi="楷体" w:eastAsia="楷体" w:cs="楷体"/>
          <w:b/>
          <w:bCs/>
          <w:kern w:val="2"/>
          <w:sz w:val="32"/>
          <w:szCs w:val="32"/>
          <w:highlight w:val="none"/>
          <w:lang w:val="en-US" w:eastAsia="zh-CN" w:bidi="ar-SA"/>
        </w:rPr>
        <w:t>一、说明</w:t>
      </w:r>
      <w:bookmarkEnd w:id="14"/>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1.  采购人</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spacing w:val="0"/>
          <w:kern w:val="2"/>
          <w:sz w:val="28"/>
          <w:szCs w:val="28"/>
          <w:highlight w:val="none"/>
          <w:lang w:val="en-US" w:eastAsia="zh-CN" w:bidi="ar-SA"/>
        </w:rPr>
        <w:t>系指山东大学第二医院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  采购代理</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系指同诚工程咨询集团股份有限公司</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3.  合格供应商</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3.1具备本竞争性磋商公告规定的供应商资格要求；</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3.1.1具有独立承担民事责任的能力；</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3.1.2具有良好的商业信誉和健全的财务会计制度；</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3.1.3具有履行合同所必需的设备和专业技术能力；</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3.1.4有依法缴纳税收和社会保障资金的良好纪录；</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3.1.5参加本次采购活动前三年内，未列入失信被执行人、重大税收违法案件当事人名单、政府采购严重违法失信行为记录名单及没有重大违法记录；</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3.1.6单位负责人为同一人或者存在直接控股、管理关系的不同供应商，不得参加同一合同项下的采购活动；</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3.1.7为采购项目提供整体设计、规范编制或者项目管理、监理、检测等服务的供应商，不得再参加该采购项目的其他采购活动（单一来源采购项目除外）；</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3.1.8法律、行政法规规定的其他条件。</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3.2提供的资格资质证明文件均真实有效；</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3.3向采购代理进行项目确认；</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3.4在以往的采购活动中没有违法、违规、违纪、违约行为；</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3.5遵守《中华人民共和国政府采购法》及实施条例、《政府采购竞争性磋商采购方式管理暂行办法》、其他有关的中国法律、法规和规定；</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 本项目不接受联合体报价。</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4.  货物定义</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4.1 “采购货物”指本磋商文件中所述产品及相关服务。</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4.2  进口产品是指通过中国海关报关验放进入中国境内且产自关境外的产品。若磋商文件中写明允许采购进口产品的，供应商所报产品为进口产品的应保证所报产品可履行合法报通关手续进入中国关境内；若磋商文件中未写明允许采购进口产品的，如供应商所报产品为进口产品</w:t>
      </w:r>
      <w:r>
        <w:rPr>
          <w:rFonts w:hint="eastAsia" w:ascii="仿宋" w:hAnsi="仿宋" w:eastAsia="仿宋" w:cs="仿宋"/>
          <w:b w:val="0"/>
          <w:bCs w:val="0"/>
          <w:spacing w:val="0"/>
          <w:kern w:val="2"/>
          <w:sz w:val="28"/>
          <w:szCs w:val="28"/>
          <w:highlight w:val="none"/>
          <w:lang w:val="en-US" w:eastAsia="zh-CN" w:bidi="ar-SA"/>
        </w:rPr>
        <w:t>，其报价将被认定为报价无效。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5.  报价费用</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5.1无论报价过程的实施或结果如何，供应商均应承担与响应文件制作和报价相关的所有费用。采购人和采购代理在任何情况下都不担负这些费用。</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5.2代理服务费：采购人与成交供应商签订合同后5日内，由成交供应商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代理服务费</w:t>
      </w:r>
      <w:r>
        <w:rPr>
          <w:rFonts w:hint="eastAsia" w:ascii="仿宋" w:hAnsi="仿宋" w:cs="仿宋"/>
          <w:spacing w:val="0"/>
          <w:kern w:val="2"/>
          <w:sz w:val="28"/>
          <w:szCs w:val="28"/>
          <w:highlight w:val="none"/>
          <w:lang w:val="en-US" w:eastAsia="zh-CN" w:bidi="ar-SA"/>
        </w:rPr>
        <w:t>，不足 3000 元按 3000 元收取</w:t>
      </w:r>
      <w:r>
        <w:rPr>
          <w:rFonts w:hint="eastAsia" w:ascii="仿宋" w:hAnsi="仿宋" w:eastAsia="仿宋" w:cs="仿宋"/>
          <w:spacing w:val="0"/>
          <w:kern w:val="2"/>
          <w:sz w:val="28"/>
          <w:szCs w:val="28"/>
          <w:highlight w:val="none"/>
          <w:lang w:val="en-US" w:eastAsia="zh-CN" w:bidi="ar-SA"/>
        </w:rPr>
        <w:t>。</w:t>
      </w:r>
    </w:p>
    <w:p>
      <w:pPr>
        <w:pStyle w:val="5"/>
        <w:keepNext w:val="0"/>
        <w:keepLines w:val="0"/>
        <w:numPr>
          <w:ilvl w:val="0"/>
          <w:numId w:val="0"/>
        </w:numPr>
        <w:spacing w:before="0" w:beforeLines="50" w:after="0" w:afterLines="50" w:line="240" w:lineRule="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二、磋商文件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6.  磋商文件构成</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本磋商文件共分六部分，内容如下：</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第一章  竞争性磋商公告</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第二章  供应商须知</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default"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第三章  评分办法</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第四章  采购要求</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第五章  合同条款及格式</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第六章  </w:t>
      </w:r>
      <w:r>
        <w:rPr>
          <w:rFonts w:hint="eastAsia" w:ascii="仿宋" w:hAnsi="仿宋" w:eastAsia="仿宋" w:cs="仿宋"/>
          <w:kern w:val="2"/>
          <w:sz w:val="28"/>
          <w:szCs w:val="28"/>
          <w:highlight w:val="none"/>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7.  磋商文件澄清和修改</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7.1任何已依法获取磋商文件（进行项目确认是依法获取磋商文件的必要环节）的潜在供应商，认为磋商文件存在歧视性条款或不合理要求等需要澄清的问题，均可要求对磋商文件进行澄清。要求澄清的潜在供应商，按前附表规定的时间、地点以书面形式（包括信函或传真）一次性全部提出，并通知到采购代理。采购代理在认为必要时，将不标明查询来源的书面答复按前附表规定的方式发布。补充文件将作为磋商文件的组成部分，对所有供应商均具有约束力。</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7.2 在报价截止时间5日前任何时候，采购代理无论出于何种原因，均可用补充文件的形式对磋商文件进行澄清和修改。该澄清和修改作为磋商文件的组成部分对所有供应商具有约束力，该补充文件将在“中国政府采购网”发布，潜在供应商自行查阅网站信息，未按要求查阅者自行承担相应后果。</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7.3 潜在供应商未在前附表规定时间内提出质疑的，视为无需要澄清的问题，逾期任何问题不作答复。</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7.4  如果澄清、补遗文件发出的时间距报价截止时间不足5日，且澄清、补遗的内容可能影响响应文件的制作，相应延长提交首次响应文件的截止时间和日期，并将此变更发布在“中国政府采购网”。在这种情况下，采购代理和供应商受报价截止期制约的所有权利和义务均相应延长至新的截止日期。</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bCs/>
          <w:color w:val="000000"/>
          <w:sz w:val="28"/>
          <w:szCs w:val="28"/>
          <w:highlight w:val="none"/>
        </w:rPr>
      </w:pPr>
      <w:r>
        <w:rPr>
          <w:rFonts w:hint="eastAsia" w:ascii="仿宋" w:hAnsi="仿宋" w:eastAsia="仿宋" w:cs="仿宋"/>
          <w:spacing w:val="0"/>
          <w:kern w:val="2"/>
          <w:sz w:val="28"/>
          <w:szCs w:val="28"/>
          <w:highlight w:val="none"/>
          <w:lang w:val="en-US" w:eastAsia="zh-CN" w:bidi="ar-SA"/>
        </w:rPr>
        <w:t>7.5澄清、补遗一经发布即生效，无需回复，未按要求查阅者自行承担相应后果。采购代理不因此承担任何责任，有关的采购活动可以继续有效地进行。</w:t>
      </w:r>
    </w:p>
    <w:p>
      <w:pPr>
        <w:pStyle w:val="5"/>
        <w:keepNext w:val="0"/>
        <w:keepLines w:val="0"/>
        <w:numPr>
          <w:ilvl w:val="0"/>
          <w:numId w:val="0"/>
        </w:numPr>
        <w:spacing w:before="0" w:beforeLines="50" w:after="0" w:afterLines="50" w:line="240" w:lineRule="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三、响应文件编制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8.  报价语言及计量单位</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8.1 供应商提交的响应文件以及供应商与采购代理就有关报价的所有来往函电均应使用中文简体字。</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8.2 供应商所提供的技术文件和资料，包括图纸中的说明，应使用中文简体字。</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8.3 原版为外文的证书类文件，以及由外国人做出的本人签名、外国公司的名称或外国印章等可以是外文，但采购代理可以要求供应商提供翻译文件，必要时可以要求提供附有公证书的翻译文件。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8.4 除磋商文件的技术规格中另有规定外，响应文件中所使用的计量单位应使用中华人民共和国法定计量单位。</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8.5 对违反上述规定情形的，磋商小组有权要求其限期提供加盖公章的翻译文件或取消其报价资格。</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9.  响应文件构成</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color w:val="000000"/>
          <w:highlight w:val="none"/>
        </w:rPr>
        <w:t>响应文件由商务文件、技术文件、资格证明文件三部分组成。</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供应商应按磋商文件的要求编写响应文件，提交证明其有资格进行报价和有能力履行合同的文件。响应文件包括以下内容，并按下列顺序编制，以方便评审。</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9.1商务文件：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（1）报价函；</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（2）法定代表人身份证明；</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（3）法定代表人授权委托书；</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（4）报价一览表；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（6）报价明细表；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（7）符合政府采购优惠政策产品明细及报价表；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（8）售后服务；</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  对货物负责维修、维护，定期回访；</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  提供及时、迅速、优质服务的承诺，迅速快捷地提供货物的备品备件，保证采购人能够及时买到货物所需的备品备件和易损件；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  提供成交货物齐全的资料（必须包括中文的使用说明、安装手册、维修手册、专用工具和相应质检手续证明文件）；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  设备出现故障后，在接到用户通知后，多长时间响应，多长时间到达现场，多长时间排除故障；</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  供应商对提供的所有货物，明确质量保证期。质量保证期内，除人为因素损坏外，全部免费维修；</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f  质量保证期内、外的维修、维护内容及服务方式、范围和收费等情况（附件十）。</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（9）质保期外备品备件、易损件、专用工具报价表；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（10）与所报设备配套耗材、试剂的价格表；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（11）商务条款响应/偏离表；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（12）其他。</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9.2技术文件：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（1）货物主要技术指标和性能的详细说明，包括技术白皮书、技术支持资料等无法在线提供的资料（供应商修改、遮掩、涂改原始证明材料或提供虚假翻译本谋取成交的，采购人可上报主管部门）；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（2）货物配置明细表；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（3）产品性能描述一览表；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安装调试方案（包括但不限于：对安装有特殊要求的设备，应以书面形式提出安装场地环境要求，例如：设备对安装场地的要求、电源、地线、温度、湿度、静电、防尘、防辐射等，将设备安装并调试好，达到说明书技术指标的要求，根据现场实际情况合理安排工期进度等内容）；</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（5）服务质量保证措施；</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（6）培训方案（列出详细培训计划，培训时间与地点、培训人数、培训费用（包括差旅费）、培训内容、培训次数，及时提供相关领域新技术与新信息，终生提供相关技术咨询等）；</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（7）紧急故障处理预案；</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（8）拟投入的售中及售后服务人员表；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（9）技术规格响应/偏离表（附件五）。</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（10）供应商认为需说明的其他内容。</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综合认定。磋商文件中未提供格式，供应商可自拟格式。</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9.3资格、资质证明部分：</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9.3.1资格证明文件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按《政府采购法实施条例》第十七条的规定，应提供的基本资格条件证明材料，详见供应商须知前附表第5条。</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9.3.2符合政府采购政策的证明文件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1）所投产品制造商为符合政策要求的小型和微型企业的，须提供《中小企业声明函》。允许联合体参与或允许大中型企业向一家或者多家小微企业分包的，须提供《中小企业声明函》及产品明细表；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所投产品制造商为符合政策要求的为监狱企业的，须提供省级以上监狱管理局、戒毒管理局（含新疆生产建设兵团）出具的属于监狱企业的证明文件。允许联合体参与或允许供应商向一家或者多家监狱企业分包的，须提供省级以上监狱管理局、戒毒管理局（含新疆生产建设兵团）出具的属于监狱企业的证明文件及产品明细表（如果有）；</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参与或允许供应商向一家或者多家残疾人福利性单位分包的，需提供“残疾人福利性单位声明函及产品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4）节能、环境标志产品证明文件复印件（如果有）；</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5）政府强制采购节能产品明细表。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9.3.3其它证明文件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1）近三年所投产品的业绩一览表及合同复印件；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2）评分细则中加分项的复印件；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3）有关的质量体系、安全等认证证书（如果有）；</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4）供应商认为需要提交的其他文件。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备注：9.3.2-9.3.3项内容请供应商认真填写，如无请填写无。</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9.3.4供应商认为需要提交的其他相关证明文件。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9.4响应文件应按上述目录顺序、内容逐一列出，如内容不全，由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文件中未提供格式，供应商可自拟格式。</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供应商可将上述三个部分按上述顺序胶装装订在一起，并在首页编制连续页码。因未按上述顺序装订或响应文件未胶装散页导致无法评审等，由此造成的评审问题由供应商自行承担责任。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10.  报价</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Cs/>
          <w:color w:val="000000"/>
          <w:sz w:val="28"/>
          <w:szCs w:val="28"/>
          <w:highlight w:val="none"/>
        </w:rPr>
        <w:t>10.1</w:t>
      </w:r>
      <w:r>
        <w:rPr>
          <w:rFonts w:hint="eastAsia" w:ascii="仿宋" w:hAnsi="仿宋" w:eastAsia="仿宋" w:cs="仿宋"/>
          <w:b/>
          <w:bCs/>
          <w:spacing w:val="0"/>
          <w:kern w:val="2"/>
          <w:sz w:val="28"/>
          <w:szCs w:val="28"/>
          <w:highlight w:val="none"/>
          <w:lang w:val="en-US" w:eastAsia="zh-CN" w:bidi="ar-SA"/>
        </w:rPr>
        <w:t>本次报价采用多轮报价，币种为人民币。</w:t>
      </w:r>
      <w:r>
        <w:rPr>
          <w:rFonts w:hint="eastAsia" w:ascii="仿宋" w:hAnsi="仿宋" w:eastAsia="仿宋" w:cs="仿宋"/>
          <w:spacing w:val="0"/>
          <w:kern w:val="2"/>
          <w:sz w:val="28"/>
          <w:szCs w:val="28"/>
          <w:highlight w:val="none"/>
          <w:lang w:val="en-US" w:eastAsia="zh-CN" w:bidi="ar-SA"/>
        </w:rPr>
        <w:t>报价应报出运至项目现场并安装调试后价格，含主件(包括软件)、标准附件、备品备件、专用工具、内陆运输费、相关保险费、伴随服务费、装卸费、保管费、外贸相关费用（进口货物提供）、安装调试费、检测费、培训费、售后服务等内容的所有税、费（以上相关费用在报价明细表中单列，包含在本次报价中）。报价应包括达到采购人使用要求的全部费用。供应商应充分考虑采购条件，不得在成交后无故增加任何费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10.2供应商应填写报价一览表及报价明细表。供应商对报价若有说明应在报价一览表备注处注明。</w:t>
      </w:r>
      <w:r>
        <w:rPr>
          <w:rFonts w:hint="eastAsia" w:ascii="仿宋" w:hAnsi="仿宋" w:eastAsia="仿宋" w:cs="仿宋"/>
          <w:b/>
          <w:bCs/>
          <w:spacing w:val="0"/>
          <w:kern w:val="2"/>
          <w:sz w:val="28"/>
          <w:szCs w:val="28"/>
          <w:highlight w:val="none"/>
          <w:lang w:val="en-US" w:eastAsia="zh-CN" w:bidi="ar-SA"/>
        </w:rPr>
        <w:t>采购人不接受可选择的报价方案和价格。任何有选择的或可调整的报价方案和价格将被视为非响应性报价而被拒绝。</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10.3 最终报价（即合同价）在合同执行过程中是固定不变的，不得以任何理由予以变更。</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10.4 供应商应报出所能承受得了的最低的合理价格。</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10.5供应商应保证所报出的最终价格，在排除各种差异因素后，不超出自己的正常国内市场价格，并且保证价格不应高于对其他情况相似购买者的出价。</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10.6供应商在响应文件上详细写明产品的系列、名称和型号、产品性能、各项技术指标、品牌产地、质量等级、供货时间、售后服务、出厂合格证、备案证、出厂检测报告等，以及达不到检测和质量要求应负的责任。</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10.7响应文件应对产品质量、供货时间、售后服务做出明确的承诺，以及达不到承诺的相关条款要求应负的责任和义务。</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10.8对于进口产品，供应商应充分理解采购要求，并确保设备合法进口。本次采购由成交供应商办理相关进关手续并承担相关费用，否则采购人有权取消其成交资格。进口产品在交货时要向采购人出具进口产品报关单、税单、原产地证明、进字号注册证等进口证明材料。</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10.9对原产于美国的产品，进口时在正常的科创免税之外，中国政府加征的特殊关税由成交供应商承担。</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10.10对于进口产品，供应商自行承担在外贸代理业务过程中，因汇率波动导致的费用变化风险。</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10.11供应商的多轮报价均不得高于采购预算，否则其响应文件按无效响应文件处理。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11.  响应文件装订与编写</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11.1供应商必须将响应文件中的有关文件按上述顺序排列装订成册（胶装），在首页编制“响应文件目录”、编写连续页码，并在封装背脊处打印项目名称。</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11.2 供应商应准备三份响应文件，一份正本和二份副本。在每一份响应文件上要注明“正本”或“副本”字样。供应商应保证响应文件正本与副本的内容严格一致，如果正本与副本不一致，以正本为准；响应文件中的报价一览表与响应文件中明细表内容不一致的，以报价一览表为准。</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11.3 响应文件正本和副本用A4幅面的纸张正反双面打印。</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11.4 响应文件应严格按照磋商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11.5供应商须如实响应磋商文件要求，在响应文件中如实提供其技术指标。供应商不得复制粘贴磋商文件中的技术及商务条款响应一览表中的参数及要求作为其响应文件的响应情况，否则，其报价按无效报价处理</w:t>
      </w:r>
      <w:r>
        <w:rPr>
          <w:rFonts w:hint="eastAsia" w:ascii="仿宋" w:hAnsi="仿宋" w:eastAsia="仿宋" w:cs="仿宋"/>
          <w:spacing w:val="0"/>
          <w:kern w:val="2"/>
          <w:sz w:val="28"/>
          <w:szCs w:val="28"/>
          <w:highlight w:val="none"/>
          <w:lang w:val="en-US" w:eastAsia="zh-CN" w:bidi="ar-SA"/>
        </w:rPr>
        <w:t>。</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11.6供应商应在响应文件正本中提供设备主要技术指标、规格和性能、技术参数值的详细说明，并提供技术白皮书或技术支持资料或其他证明材料等无法在线提供的资料作为佐证，副本可采用正本的复印件。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11.7响应文件中所报产品技术参数描述与产品制造商的产品宣传彩页或制造商官方网站公布的资料不一致的或因制造商官方网站更新产品资料滞后造成不一致的，应当在“技术条款响应一览表”备注栏中做出说明，并提供证明材料。</w:t>
      </w:r>
    </w:p>
    <w:p>
      <w:pPr>
        <w:pStyle w:val="6"/>
        <w:keepNext w:val="0"/>
        <w:keepLines w:val="0"/>
        <w:pageBreakBefore w:val="0"/>
        <w:widowControl w:val="0"/>
        <w:tabs>
          <w:tab w:val="left" w:pos="382"/>
        </w:tabs>
        <w:kinsoku/>
        <w:wordWrap/>
        <w:overflowPunct/>
        <w:topLinePunct w:val="0"/>
        <w:autoSpaceDE/>
        <w:autoSpaceDN/>
        <w:bidi w:val="0"/>
        <w:adjustRightInd/>
        <w:snapToGrid/>
        <w:spacing w:line="360" w:lineRule="auto"/>
        <w:ind w:left="64" w:leftChars="23" w:firstLine="560" w:firstLineChars="200"/>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Cs/>
          <w:color w:val="000000"/>
          <w:sz w:val="28"/>
          <w:szCs w:val="28"/>
          <w:highlight w:val="none"/>
        </w:rPr>
        <w:t>11.8</w:t>
      </w:r>
      <w:r>
        <w:rPr>
          <w:rFonts w:hint="eastAsia" w:ascii="仿宋" w:hAnsi="仿宋" w:eastAsia="仿宋" w:cs="仿宋"/>
          <w:b/>
          <w:bCs/>
          <w:spacing w:val="0"/>
          <w:kern w:val="2"/>
          <w:sz w:val="28"/>
          <w:szCs w:val="28"/>
          <w:highlight w:val="none"/>
          <w:lang w:val="en-US" w:eastAsia="zh-CN" w:bidi="ar-SA"/>
        </w:rPr>
        <w:t>关键及重要技术条款（*条款为关键技术条款，</w:t>
      </w:r>
      <w:r>
        <w:rPr>
          <w:rFonts w:hint="default" w:ascii="仿宋" w:hAnsi="仿宋" w:eastAsia="仿宋" w:cs="仿宋"/>
          <w:b/>
          <w:bCs/>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条款为重要技术条款）需提供技术白皮书或技术支持资料或其他证明材料等作为佐证，否则该条款视为“实质不响应”或“负偏离”（在响应文件的技术规格响应/偏离表的说明中写明该资料在响应文件中的页码）。</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11.9为合理节约评审成本，提倡诚实信用的报价行为，特别要求供应商应本着诚信精神，在本次响应文件的“技术规格响应/偏离表”、“商务条款响应/偏离表”中，均以审慎的态度明确、清楚地披露各项响应情况；供应商须对照磋商文件技术规格、参数（或商务条款）与要求，逐条说明报价货物与服务是否做出了实质性响应。</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11.10因响应文件字迹潦草、模糊或表达不清所引起的不利后果由供应商承担。</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12.  响应文件签署</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bCs/>
          <w:spacing w:val="0"/>
          <w:kern w:val="2"/>
          <w:sz w:val="28"/>
          <w:szCs w:val="28"/>
          <w:highlight w:val="none"/>
          <w:lang w:val="en-US" w:eastAsia="zh-CN" w:bidi="ar-SA"/>
        </w:rPr>
        <w:t>12.1法定代表人或授权代理人必须按磋商文件格式的要求在响应文件规定签字、盖章的地方签字、盖供应商单位公章，不得使用其它形式如带有“专用章”等字样的印章，否则报价将被视为无效。如供应商对响应文件进行了修改，则须由供应商的法定代表人或授权代理人在修改处签字或加盖公章。</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12.2 任何行间插字、涂改和增删，必须由供应商的法定代表人或授权代理人签字或盖章或加盖公章后才有效，授权代理人签字或盖章的需在响应文件中提供法人授权委托书，否则签字或盖章无效。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13.  响应文件密封和标记</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13.1 供应商应将响应文件密封送达，并在封面明显处注明以下内容（密封件格式见附件十四）：</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项目编号、项目名称</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供应商名称（加盖公章）、地址、邮编、电话、传真</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13.2 每一密封文件在封口处加盖供应商公章或授权代表签字，并注明“于2022年  月  日  时之前不准启封”字样。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13.3 如果供应商未按上述要求对响应文件密封及加写标记，采购人有权予以拒绝接受。</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14.  磋商保证金</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14.1供应商应提交前附表规定数额的磋商保证金，磋商保证金是响应文件的一个组成部分。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14.2磋商保证金采用的形式按前附表规定的形式缴纳。</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14.3 未按前述各款要求提交磋商保证金的报价被视为无效报价。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14.4 磋商保证金采用电汇方式退还。若交款单位与供应商名称不一致，退款时，磋商保证金退至供应商帐户。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14.5未成交供应商的磋商保证金，在成交通知书发出后5个工作日内退还（因供应商自身原因导致无法及时退还的除外）。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14.6成交供应商的磋商保证金在签订合同后5个工作日内予以退还（因供应商自身原因导致无法及时退还的除外）。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15.  报价有效期</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val="0"/>
          <w:bCs w:val="0"/>
          <w:spacing w:val="0"/>
          <w:kern w:val="2"/>
          <w:sz w:val="28"/>
          <w:szCs w:val="28"/>
          <w:highlight w:val="none"/>
          <w:lang w:val="en-US" w:eastAsia="zh-CN" w:bidi="ar-SA"/>
        </w:rPr>
        <w:t>15.1 自提交首次响应文件截止之日起，报价有效期为90日。响应文件的有效期比本须知规定的有效期短的报价将被拒绝。</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15.2 特殊情况下，在报价有效期满之前，采购代理可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其他内容。</w:t>
      </w:r>
    </w:p>
    <w:p>
      <w:pPr>
        <w:pStyle w:val="5"/>
        <w:keepNext w:val="0"/>
        <w:keepLines w:val="0"/>
        <w:numPr>
          <w:ilvl w:val="0"/>
          <w:numId w:val="0"/>
        </w:numPr>
        <w:spacing w:before="0" w:beforeLines="50" w:after="0" w:afterLines="50" w:line="240" w:lineRule="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16. 响应文件提交时间和地点</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16.1 供应商代表必须在提交首次响应文件截止时间前将响应文件送达指定地点。如因磋商文件的修改推迟提交首次响应文件截止日期的，则按采购代理另行通知规定的时间提交。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16.2 采购代理将拒绝接收提交首次响应文件截止时间后送达的响应文件。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17.  响应文件签收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17.1 采购代理于提交首次响应文件截止时间前接收合格的响应文件，供应商同时签字确认。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17.2 响应文件须采用纸质形式，以电报、传真、电子邮件等形式提交的报价不予接受。</w:t>
      </w:r>
    </w:p>
    <w:p>
      <w:pPr>
        <w:pStyle w:val="6"/>
        <w:tabs>
          <w:tab w:val="left" w:pos="1146"/>
        </w:tabs>
        <w:spacing w:line="480" w:lineRule="exact"/>
        <w:ind w:left="260" w:leftChars="93" w:firstLine="980" w:firstLineChars="350"/>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17.3 对供应商提交的响应文件在报价截止时间后不予退还。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18.  响应文件修改与撤回</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18.1 供应商在磋商文件要求提交首次响应文件的截止时间前，可以补充、修改或者撤回已提交的响应文件，并书面形式通知采购代理。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18.2 供应商对响应文件的补充、修改或撤回通知应按本须知规定编制、密封、标记和提交。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18.3 撤回报价的要求应以书面形式提出，由供应商法定代表人或授权代理人签署，并在提交首次响应文件截止时间前送达采购代理。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18.4 报价有效期内不得撤回响应文件，磋商会议后撤回报价的行为将被记录在案，其磋商保证金不予退还。</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18.5通过给所有供应商发通知，采购代理可以延长提交首次响应文件的截止时间。采购代理与供应商以前在报价截止期方面的全部权利、责任和义务，将适用于延长后新的截止期。</w:t>
      </w:r>
    </w:p>
    <w:p>
      <w:pPr>
        <w:pStyle w:val="5"/>
        <w:keepNext w:val="0"/>
        <w:keepLines w:val="0"/>
        <w:numPr>
          <w:ilvl w:val="0"/>
          <w:numId w:val="0"/>
        </w:numPr>
        <w:spacing w:before="0" w:beforeLines="50" w:after="0" w:afterLines="50" w:line="240" w:lineRule="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五、报价与评审</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19.  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19.1采购人按照磋商文件规定的时间、地点报价。磋商会议由采购代理主持，邀请供应商参加。</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19.2供应商法定代表人或其授权代理人应持法人资格证明及本人身份证或法人授权委托书及本人身份证等证件的原件参加磋商会议，并签名报到，否则视为自动放弃报价资格。</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19.3主持人按下列程序进行报价：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（1）宣读会场纪律；</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（2）公布在提交首次响应文件截止时间前提交响应文件的供应商名称；</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（3）在采购人监督部门的监督下，由供应商或其推选的代表检查响应文件的密封情况并予以签字确认；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（4）磋商会议结束，供应商退场。</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19.4供应商授权代表对磋商会议程序有疑义，以及认为采购人、采购代理相关工作人员有需要回避的情形的，应当场提出询问或者回避申请。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★19.5响应文件有下列情况之一者，采购人不予受理。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响应文件未按规定标志、密封；</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未在密封处加盖供应商公章或法定代表人或授权代表签字或盖章；</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提交首次响应文件截止时间以后送达的响应文件。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20. 组建磋商小组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采购人将根据本项目的特点组建磋商小组，其成员由采购人代表及评审专家3人及以上单数组成，其中评审专家不得少于成员总数的三分之二。磋商小组负责对响应文件进行审查、澄清、</w:t>
      </w:r>
      <w:r>
        <w:rPr>
          <w:rFonts w:hint="eastAsia" w:ascii="仿宋" w:hAnsi="仿宋" w:cs="仿宋"/>
          <w:spacing w:val="0"/>
          <w:kern w:val="2"/>
          <w:sz w:val="28"/>
          <w:szCs w:val="28"/>
          <w:highlight w:val="none"/>
          <w:lang w:val="en-US" w:eastAsia="zh-CN" w:bidi="ar-SA"/>
        </w:rPr>
        <w:t>推荐候选</w:t>
      </w:r>
      <w:r>
        <w:rPr>
          <w:rFonts w:hint="eastAsia" w:ascii="仿宋" w:hAnsi="仿宋" w:eastAsia="仿宋" w:cs="仿宋"/>
          <w:spacing w:val="0"/>
          <w:kern w:val="2"/>
          <w:sz w:val="28"/>
          <w:szCs w:val="28"/>
          <w:highlight w:val="none"/>
          <w:lang w:val="en-US" w:eastAsia="zh-CN" w:bidi="ar-SA"/>
        </w:rPr>
        <w:t>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21. 评审原则</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21.1 客观性原则：磋商小组将严格按照磋商文件的要求，对供应商的响应文件进行认真评审；磋商小组对响应文件的评审仅依据响应文件本身，而不依据响应文件以外的任何因素。</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21.2 统一性原则：磋商小组将按照统一的评审原则和评审方法，用同一标准进行评审。</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21.3 独立性原则：评审工作在磋商小组内部独立进行，不受外界任何因素的干扰和影响。磋商小组成员对出具的意见承担个人责任。</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21.4 保密性原则：采购代理应当采取必要的措施，保证评审在严格保密的情况下进行。</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21.5 综合性原则：磋商小组将综合分析、评审供应商的各项指标，而不以单项指标的优劣评定出成交供应商。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22.  初步评审</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22.1响应文件的初审分为资格审查和符合性检查。资格审查由</w:t>
      </w:r>
      <w:r>
        <w:rPr>
          <w:rFonts w:hint="eastAsia" w:ascii="仿宋" w:hAnsi="仿宋" w:cs="仿宋"/>
          <w:spacing w:val="0"/>
          <w:kern w:val="2"/>
          <w:sz w:val="28"/>
          <w:szCs w:val="28"/>
          <w:highlight w:val="none"/>
          <w:lang w:val="en-US" w:eastAsia="zh-CN" w:bidi="ar-SA"/>
        </w:rPr>
        <w:t>采购</w:t>
      </w:r>
      <w:r>
        <w:rPr>
          <w:rFonts w:hint="eastAsia" w:ascii="仿宋" w:hAnsi="仿宋" w:eastAsia="仿宋" w:cs="仿宋"/>
          <w:spacing w:val="0"/>
          <w:kern w:val="2"/>
          <w:sz w:val="28"/>
          <w:szCs w:val="28"/>
          <w:highlight w:val="none"/>
          <w:lang w:val="en-US" w:eastAsia="zh-CN" w:bidi="ar-SA"/>
        </w:rPr>
        <w:t>人及代理机构在磋商会议后依法对供应商进行审查，依据法律、法规和磋商文件的规定，对响应文件中的资格证明进行审查，以确定供应商是否具备报价资格。符合性检查由磋商小组依据磋商文件的规定，从响应文件的有效性、完整性和对磋商文件的响应程度进行审查，以确定是否对磋商文件的实质性要求作出响应。</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★22.2响应文件出现下列情况之一的，由磋商小组在资格审查后按无效报价处理：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（1）不具备国家或磋商文件中规定资格要求的；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（2）资格证明文件不齐全或无效的。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响应文件出现下列情况之一的，由磋商小组在符合性检查后按无效报价处理：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无单位盖章并无法定代表人或法定代表人授权的委托代理人签字或盖章的；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未按规定格式填写，内容不全或者关键内容字迹模糊，无法辨认的。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供应商提交两份或多份内容不同的响应文件，且未声明哪一个有效，按磋商文件规定提交备选报价方案的除外；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磋商小组认定供应商有围标、串通报价情形。</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★22.3在综合评审之前，磋商小组要审查每份响应文件是否实质上响应了磋商文件的要求。</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（1）实质性响应的报价是指报价符合磋商文件的所有条款、条件和规格且没有重大偏离或保留。</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（2）重大偏离不允许在报价后修正，但磋商小组将允许修正报价中不构成重大偏离的地方，这些修正不会对其他实质上响应磋商文件要求的供应商的竞争地位产生不公正的影响。</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（3）如出现下列情形之一的，视为对磋商文件没有做出实质性响应，按照无效报价处理。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1）在规定的递交首次响应文件截止时间之后递交响应文件的；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2）未按采购文件规定要求签署、盖章的；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3）未按规定交纳磋商保证金的；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4）采购文件未明确说明允许投报进口产品，而投报了进口产品的；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5）所报产品为政府强制采购节能产品的（《节能产品政府采购品目清单》中以“★”标注的产品品目）而未提供国家节能产品认证证书的；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6）在首次响应文件中，未响应标注有“★”的条款；</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7）首轮报价、再次报价、最后报价中的任一轮报价超过采购预算或最高限价的；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8）以他人名义报价或者在响应文件中提供虚假材料的；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9）法律法规和采购文件规定的其他情形。</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磋商小组成员会根据磋商文件规定，详细审阅各供应商提交的响应文件，逐项列出响应文件的全部偏差。偏差分为重大偏差和细微偏差。</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重大偏差包括以下内容：</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B、不满足技术要求中的带*号条款；</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C、不满足采购人的付款方式；</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D、响应文件附有采购人不能接受的条件；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E、不符合磋商文件中规定的其他实质性要求。</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磋商小组将拒绝被确定为非实质性响应的响应文件，供应商不能通过修正或撤销响应文件中的不符之处而使其报价成为实质性响应的报价。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22.4 初步审查中，对明显的文字和计算错误按下述原则处理：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（1）如果正本与副本或电子文档不一致，以正本为准；响应文件中的报价一览表与响应文件中明细表内容不一致的，以报价一览表为准。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（2）如果以文字表示的数据与数字表示的有差别，以文字为准。如果大写金额和小写金额不一致的，以大写金额为准；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（3）单价金额小数点有明显错位的，应以总价为准，并修改单价。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（4）总价金额与按单价汇总金额不一致的，以单价金额计算结果为准。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（5）调整后的数据对供应商具有约束力，供应商不同意以上修正，其报价将被拒绝。</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23. 响应文件的澄清</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23.1为有助于对响应文件进行审查，磋商小组有权向供应商询问。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23.2 供应商对澄清的答复以书面材料为准，但不得对报价内容进行实质性修改。</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23.3 澄清的内容须以书面形式确认，并构成响应文件的组成部分。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23.4 磋商小组不接受供应商主动提出的澄清。</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23.5磋商小组通过上述评审，确定通过初步评审的合格供应商名单，只有通过初步评审的供应商，才能进行最终报价并进入综合评审。合格供应商不足3家的，不继续评审。</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23.6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24.磋商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24.1 磋商小组所有成员集中与通过初步评审的各单一供应商分别进行磋商，并给予所有合格供应商平等的磋商机会。</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24.2 在磋商过程中，磋商小组可以根据磋商文件和磋商情况实质性变动采购需求中的技术、服务要求以及合同草案条款，但不得变动磋商文件中的其他内容。实质性变动的内容，须经采购人代表确认。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24.3 对磋商文件作出的实质性变动是磋商文件的有效组成部分，磋商小组应当及时以书面形式同时通知所有参加磋商的供应商。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24.4 供应商应当按照磋商文件的变动情况和磋商小组的要求重新提交响应文件，并由其法定代表人或授权代表签字。</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24.5 竞争性磋商项目有再次报价的机会。磋商结束后，磋商小组应当要求所有实质性响应的供应商在规定时间内提交最后报价。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24.6 最后报价是供应商响应文件的有效组成部分，最后报价应由供应商法定代表人或其授权代表签字确认。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24.7 已提交响应文件的供应商，在提交最后报价之前，可以根据磋商情况退出磋商。退出磋商应以书面方式提交，并由供应商的法定代表人或其授权代表签字确认。退出磋商的供应商的磋商保证金予以退还。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25.  综合评审</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25.1 磋商小组将根据磋商文件确定的评审标准和方法作进一步的比较和评价。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25.2评审方法：本项目采用综合评分法，磋商小组将对供应商的报价、技术条款响应性、安装调试方案、服务质量保证措施、培训方案、紧急故障处理预案、售后服务、业绩等综合评分，</w:t>
      </w:r>
      <w:r>
        <w:rPr>
          <w:rFonts w:hint="eastAsia" w:ascii="仿宋" w:hAnsi="仿宋" w:cs="仿宋"/>
          <w:sz w:val="28"/>
          <w:szCs w:val="28"/>
          <w:highlight w:val="none"/>
        </w:rPr>
        <w:t>按得分高低</w:t>
      </w:r>
      <w:r>
        <w:rPr>
          <w:rFonts w:hint="eastAsia" w:ascii="仿宋" w:hAnsi="仿宋" w:cs="仿宋"/>
          <w:sz w:val="28"/>
          <w:szCs w:val="28"/>
          <w:highlight w:val="none"/>
          <w:lang w:val="en-US" w:eastAsia="zh-CN"/>
        </w:rPr>
        <w:t>推荐</w:t>
      </w:r>
      <w:r>
        <w:rPr>
          <w:rFonts w:hint="eastAsia" w:ascii="仿宋" w:hAnsi="仿宋" w:cs="仿宋"/>
          <w:sz w:val="28"/>
          <w:szCs w:val="28"/>
          <w:highlight w:val="none"/>
        </w:rPr>
        <w:t>成交</w:t>
      </w:r>
      <w:r>
        <w:rPr>
          <w:rFonts w:hint="eastAsia" w:ascii="仿宋" w:hAnsi="仿宋" w:cs="仿宋"/>
          <w:sz w:val="28"/>
          <w:szCs w:val="28"/>
          <w:highlight w:val="none"/>
          <w:lang w:val="en-US" w:eastAsia="zh-CN"/>
        </w:rPr>
        <w:t>候选</w:t>
      </w:r>
      <w:r>
        <w:rPr>
          <w:rFonts w:hint="eastAsia" w:ascii="仿宋" w:hAnsi="仿宋" w:cs="仿宋"/>
          <w:sz w:val="28"/>
          <w:szCs w:val="28"/>
          <w:highlight w:val="none"/>
        </w:rPr>
        <w:t>供应商。磋商小组推荐3名成交候选供应商，由采购人依法确定成交供应商</w:t>
      </w:r>
      <w:r>
        <w:rPr>
          <w:rFonts w:hint="eastAsia" w:ascii="仿宋" w:hAnsi="仿宋" w:eastAsia="仿宋" w:cs="仿宋"/>
          <w:spacing w:val="0"/>
          <w:kern w:val="2"/>
          <w:sz w:val="28"/>
          <w:szCs w:val="28"/>
          <w:highlight w:val="none"/>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25.3使用综合评分法的采购项目，提供相同品牌产品且通过资格审查、符合性审查的不同供应商参加同一合同项下报价的，按一家供应商计算，评审后得分最高的同品牌供应商获得成交供应商推荐资格；评审得分相同的，磋商小组依次按照报价得分高、技术条款响应性得分高、售后服务得分高进行排序，确定排名在前的一个供应商获得成交供应商推荐资格，其他同品牌供应商不作为成交候选供应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25.4如本项目采购内容包括多种产品，即非单一产品采购项目，应在采购清单中注明核心产品，多家供应商提供的核心产品品牌相同的，按前款规定处理。如未标注核心产品的，按产品价格权重高的确认。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25.5政府采购政策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25.5.1中小企业优惠办法</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25.5.1.1根据《财政部工业和信息化部关于印发&lt;政府采购促进中小企业发展管理办法&gt;的通知》(财库〔2020〕46号)</w:t>
      </w:r>
      <w:r>
        <w:rPr>
          <w:rFonts w:hint="eastAsia" w:ascii="仿宋" w:hAnsi="仿宋" w:cs="仿宋"/>
          <w:spacing w:val="0"/>
          <w:kern w:val="2"/>
          <w:sz w:val="28"/>
          <w:szCs w:val="28"/>
          <w:highlight w:val="none"/>
          <w:lang w:val="en-US" w:eastAsia="zh-CN" w:bidi="ar-SA"/>
        </w:rPr>
        <w:t>、</w:t>
      </w:r>
      <w:r>
        <w:rPr>
          <w:rFonts w:hint="eastAsia" w:ascii="仿宋" w:hAnsi="仿宋" w:eastAsia="仿宋" w:cs="仿宋"/>
          <w:spacing w:val="0"/>
          <w:kern w:val="2"/>
          <w:sz w:val="28"/>
          <w:szCs w:val="28"/>
          <w:highlight w:val="none"/>
          <w:lang w:val="en-US" w:eastAsia="zh-CN" w:bidi="ar-SA"/>
        </w:rPr>
        <w:t>《国务院关于印发扎实稳住经济一揽子政策措施的通知》（国发〔2022〕12号）文件的规定，对符合本办法规定的小微企业报价给予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%的扣除，用扣除后的价格参加评审。具体扣除比例见</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文件评</w:t>
      </w:r>
      <w:r>
        <w:rPr>
          <w:rFonts w:hint="eastAsia" w:ascii="仿宋" w:hAnsi="仿宋" w:cs="仿宋"/>
          <w:spacing w:val="0"/>
          <w:kern w:val="2"/>
          <w:sz w:val="28"/>
          <w:szCs w:val="28"/>
          <w:highlight w:val="none"/>
          <w:lang w:val="en-US" w:eastAsia="zh-CN" w:bidi="ar-SA"/>
        </w:rPr>
        <w:t>审</w:t>
      </w:r>
      <w:r>
        <w:rPr>
          <w:rFonts w:hint="eastAsia" w:ascii="仿宋" w:hAnsi="仿宋" w:eastAsia="仿宋" w:cs="仿宋"/>
          <w:spacing w:val="0"/>
          <w:kern w:val="2"/>
          <w:sz w:val="28"/>
          <w:szCs w:val="28"/>
          <w:highlight w:val="none"/>
          <w:lang w:val="en-US" w:eastAsia="zh-CN" w:bidi="ar-SA"/>
        </w:rPr>
        <w:t>办法。</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25.5.1.3供应商提供的货物、工程或者服务符合下列情形，享受上述小微企业价格扣除的优惠政策：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（1）在货物采购项目中，货物由小微企业制造，即货物由小微企业生产且使用该小微企业商号或者注册商标；</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（2）在工程采购项目中，工程由小微企业承建，即工程施工单位为小微企业；</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（3）在服务采购项目中，服务由小微企业承接，即提供服务的人员为小微企业依照《中华人民共和国劳动合同法》订立劳动合同的从业人员。</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25.5.1.4依据《财政部工业和信息化部关于印发&lt;政府采购促进中小企业发展管理办法&gt;的通知》(财库〔2020〕46号)规定，中型、小型和微型企业响应的须提供《中小企业声明函》（格式见附件）并对声明函的真实性负责；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文件要求提供《中小企业声明函》。</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25.5.1.5在货物采购项目中，供应商提供的货物既有小微企业制造货物，也有大中型企业制造的，不享受本办法规定的小微企业价格优惠政策。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25.5.1.7成交供应商享受本办法规定的中小企业扶持政策的，采购人、采购代理机构应当随成交结果公开成交供应商的《中小企业声明函》。供应商提供声明函内容不实的，属于提供虚假材料谋取成交，依照《中华人民共和国政府采购法》等国家有关规定追究相应责任。</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default" w:ascii="仿宋" w:hAnsi="仿宋" w:eastAsia="仿宋" w:cs="仿宋"/>
          <w:spacing w:val="0"/>
          <w:kern w:val="2"/>
          <w:sz w:val="28"/>
          <w:szCs w:val="28"/>
          <w:highlight w:val="none"/>
          <w:lang w:val="en-US" w:eastAsia="zh-CN" w:bidi="ar-SA"/>
        </w:rPr>
      </w:pPr>
      <w:r>
        <w:rPr>
          <w:rFonts w:hint="default" w:ascii="仿宋" w:hAnsi="仿宋" w:eastAsia="仿宋" w:cs="仿宋"/>
          <w:spacing w:val="0"/>
          <w:kern w:val="2"/>
          <w:sz w:val="28"/>
          <w:szCs w:val="28"/>
          <w:highlight w:val="none"/>
          <w:lang w:val="en-US" w:eastAsia="zh-CN" w:bidi="ar-SA"/>
        </w:rPr>
        <w:t xml:space="preserve">25.5.1.8 </w:t>
      </w:r>
      <w:r>
        <w:rPr>
          <w:rFonts w:hint="eastAsia" w:ascii="仿宋" w:hAnsi="仿宋" w:eastAsia="仿宋" w:cs="仿宋"/>
          <w:spacing w:val="0"/>
          <w:kern w:val="2"/>
          <w:sz w:val="28"/>
          <w:szCs w:val="28"/>
          <w:highlight w:val="none"/>
          <w:lang w:val="en-US" w:eastAsia="zh-CN" w:bidi="ar-SA"/>
        </w:rPr>
        <w:t>本项目按照工信部联企业[2011]300号文《关于印发中小企业划型标准规定的通知》的划分标准，行业为工业当中的制造业；</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25.5.2政府采购支持监狱企业发展的政策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（1）根据《财政部司法部&lt;关于政府采购支持监狱企业发展有关问题的通知》（财库[2017]141号）文件规定，对监狱企业生产的产品价格或提供服务的价格给予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%的价格扣除，用扣除后的价格参与评审；监狱企业属于小型、微型企业的，不重复享受政策。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（2）参加政府采购活动的监狱企业应当在响应文件中提供监狱企业证明复印件，否则不予认定。监狱企业证明须由省级或以上监狱管理局、戒毒管理局（含新疆生产建设兵团）出具。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25.5.3促进残疾人就业政府采购政策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（1）依据《三部门联合发布关于促进残疾人就业政府采购政策的通知》(财库〔2017〕141号)文件规定，残疾人福利性单位视同小型、微型企业，对残疾人福利性单位的报价给予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%的扣除，用扣除后的评审价格参与价格得分的计算及评审，具体扣除比例见磋商文件评审办法；残疾人福利性单位属于小型、微型企业的，不重复享受政策。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残疾人福利性单位评审价格的计算：残疾人福利性单位的评审价格=供应商报价×（1—扣除比例）；供应商属于享受政府采购支持政策的“残疾人福利性单位”的，只需提供《残疾人福利性单位声明函》，并对声明的真实性负责。成交供应商为残疾人福利性单位的，采购代理机构将随成交结果同时公告其《残疾人福利性单位声明函》，接受社会监督。</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（3）供应商提供的《残疾人福利性单位声明函》与事实不符的，依照《政府采购法》第七十七条第一款的规定追究法律责任。</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25.5.4优采、强采、节能、环境标志产品：</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（1）供应商</w:t>
      </w:r>
      <w:r>
        <w:rPr>
          <w:rFonts w:hint="eastAsia" w:ascii="仿宋" w:hAnsi="仿宋" w:eastAsia="仿宋" w:cs="仿宋"/>
          <w:spacing w:val="0"/>
          <w:kern w:val="2"/>
          <w:sz w:val="28"/>
          <w:szCs w:val="28"/>
          <w:highlight w:val="none"/>
          <w:lang w:val="en-US" w:eastAsia="zh-CN" w:bidi="ar-SA"/>
        </w:rPr>
        <w:t>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产品属于强制采购的节能产品，不享受鼓励优惠政策；属于强制采购的节能产品需在</w:t>
      </w:r>
      <w:r>
        <w:rPr>
          <w:rFonts w:hint="eastAsia" w:ascii="仿宋" w:hAnsi="仿宋" w:cs="仿宋"/>
          <w:spacing w:val="0"/>
          <w:kern w:val="2"/>
          <w:sz w:val="28"/>
          <w:szCs w:val="28"/>
          <w:highlight w:val="none"/>
          <w:lang w:val="en-US" w:eastAsia="zh-CN" w:bidi="ar-SA"/>
        </w:rPr>
        <w:t>响应</w:t>
      </w:r>
      <w:r>
        <w:rPr>
          <w:rFonts w:hint="eastAsia" w:ascii="仿宋" w:hAnsi="仿宋" w:eastAsia="仿宋" w:cs="仿宋"/>
          <w:spacing w:val="0"/>
          <w:kern w:val="2"/>
          <w:sz w:val="28"/>
          <w:szCs w:val="28"/>
          <w:highlight w:val="none"/>
          <w:lang w:val="en-US" w:eastAsia="zh-CN" w:bidi="ar-SA"/>
        </w:rPr>
        <w:t>文件中提供国家确定的认证机构出具的、处于有效期之内的所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产品的节能认证证书复印件，未按规定使用强制节能产品的或未提供强制采购节能产品认证证书复印件的，按无效</w:t>
      </w:r>
      <w:r>
        <w:rPr>
          <w:rFonts w:hint="eastAsia" w:ascii="仿宋" w:hAnsi="仿宋" w:cs="仿宋"/>
          <w:spacing w:val="0"/>
          <w:kern w:val="2"/>
          <w:sz w:val="28"/>
          <w:szCs w:val="28"/>
          <w:highlight w:val="none"/>
          <w:lang w:val="en-US" w:eastAsia="zh-CN" w:bidi="ar-SA"/>
        </w:rPr>
        <w:t>报价</w:t>
      </w:r>
      <w:r>
        <w:rPr>
          <w:rFonts w:hint="eastAsia" w:ascii="仿宋" w:hAnsi="仿宋" w:eastAsia="仿宋" w:cs="仿宋"/>
          <w:spacing w:val="0"/>
          <w:kern w:val="2"/>
          <w:sz w:val="28"/>
          <w:szCs w:val="28"/>
          <w:highlight w:val="none"/>
          <w:lang w:val="en-US" w:eastAsia="zh-CN" w:bidi="ar-SA"/>
        </w:rPr>
        <w:t>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（2）供应商</w:t>
      </w:r>
      <w:r>
        <w:rPr>
          <w:rFonts w:hint="eastAsia" w:ascii="仿宋" w:hAnsi="仿宋" w:eastAsia="仿宋" w:cs="仿宋"/>
          <w:spacing w:val="0"/>
          <w:kern w:val="2"/>
          <w:sz w:val="28"/>
          <w:szCs w:val="28"/>
          <w:highlight w:val="none"/>
          <w:lang w:val="en-US" w:eastAsia="zh-CN" w:bidi="ar-SA"/>
        </w:rPr>
        <w:t>在</w:t>
      </w:r>
      <w:r>
        <w:rPr>
          <w:rFonts w:hint="eastAsia" w:ascii="仿宋" w:hAnsi="仿宋" w:cs="仿宋"/>
          <w:spacing w:val="0"/>
          <w:kern w:val="2"/>
          <w:sz w:val="28"/>
          <w:szCs w:val="28"/>
          <w:highlight w:val="none"/>
          <w:lang w:val="en-US" w:eastAsia="zh-CN" w:bidi="ar-SA"/>
        </w:rPr>
        <w:t>响应</w:t>
      </w:r>
      <w:r>
        <w:rPr>
          <w:rFonts w:hint="eastAsia" w:ascii="仿宋" w:hAnsi="仿宋" w:eastAsia="仿宋" w:cs="仿宋"/>
          <w:spacing w:val="0"/>
          <w:kern w:val="2"/>
          <w:sz w:val="28"/>
          <w:szCs w:val="28"/>
          <w:highlight w:val="none"/>
          <w:lang w:val="en-US" w:eastAsia="zh-CN" w:bidi="ar-SA"/>
        </w:rPr>
        <w:t>文件中对所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符合政府采购优惠政策产品明细及报价表的，不给予鼓励优惠政策。节能、环境标志品目清单中的产品仅是构成报价产品的部件、组件或零件的，若未在品目清单中明确需执行优惠政策的，则该报价产品不享受鼓励优惠政策。★其中，所报产品为政府强制采购产品的（《节能产品政府采购品目清单》中以“★”标注的产品品目）而未提供国家节能产品认证证书的，按无效报价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（3）</w:t>
      </w: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25.5.5执行政府采购政策对报价进行扣除后的评审价格仅用于评审过程的报价得分计算或评审价格的比较，不作为最终的成交价格。</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★25.6 无论在评审过程中或其他任何时侯发现下列情形之一的，报价将被拒绝，若成交，则无效。采购代理有权依法追究供应商的法律责任。</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提供虚假材料谋取成交的；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采取不正当手段诋毁、排挤其他供应商的；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恶意串通报价的；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其他任何有企图影响采购结果公正性的活动。</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经初审合格的响应文件，磋商小组将根据磋商文件确定的评审方法做进一步评定。</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26.  评审过程保密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磋商会议之后，直到签订合同止，凡是属于审查、澄清、评价和比较报价的有关资料以及综合排序等情况，均不得向供应商或者其他与评审无关的人员透露。</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27.  供应商瑕疵滞后的处理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27.1 无论基于何种原因，各项本应作拒绝处理的情形即便未被及时发现而使该供应商进入初审、综合评审或其它后续程序，包括已经签订合同的情形，一旦在任何时间被发现存在上述情形，则采购代理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27.2 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pPr>
        <w:pStyle w:val="5"/>
        <w:keepNext w:val="0"/>
        <w:keepLines w:val="0"/>
        <w:numPr>
          <w:ilvl w:val="0"/>
          <w:numId w:val="0"/>
        </w:numPr>
        <w:spacing w:before="0" w:beforeLines="50" w:after="0" w:afterLines="50" w:line="240" w:lineRule="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六、合同签订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28.  成交通知</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28.1成交公告将在发布竞争性磋商公告的网站发布。在公告成交结果的同时，采购人或者采购代理机构应当向成交供应商发出成交通知书；对未通过资格审查的供应商，应当告知其未通过的原因；采用综合评分法评审的，还应当告知未成交供应商本人的评审得分与排序。</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28.2成交通知书是合同的一个组成部分。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28.3成交通知书发出后，采购人改变成交结果，或者成交供应商放弃成交项目的，应当依法承担法律责任。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29.  签订合同</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29.1 成交通知书发出之日起30日内，按照采购确定的事项签订合同。</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29.2 磋商文件、成交供应商的响应文件以及评审过程中的有关澄清、说明或者补正文件均为合同的组成部分。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29.4不按约定签订或履行合同，给对方造成损失的，应承担赔偿责任。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30.  履约保证金(本项目不适用)</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30.1本次采购项目的履约保证金为成交总金额的 %，合同签订后7日内缴纳。</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30.2履约保证金自货物交付验收合格之日15个工作日内退还。</w:t>
      </w:r>
    </w:p>
    <w:p>
      <w:pPr>
        <w:pStyle w:val="5"/>
        <w:keepNext w:val="0"/>
        <w:keepLines w:val="0"/>
        <w:numPr>
          <w:ilvl w:val="0"/>
          <w:numId w:val="0"/>
        </w:numPr>
        <w:spacing w:before="0" w:beforeLines="50" w:after="0" w:afterLines="50" w:line="240" w:lineRule="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七、处罚、质疑</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31.  处罚</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发生下列情况之一，供应商的磋商保证金或履约保证金不予退还，并被列入不良行为记录名单，供应商今后参与同类采购项目的机会可能会受到影响：</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报价后在报价有效期内，供应商撤回其报价；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成交供应商未按本磋商文件规定签订采购合同；</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成交供应商无正当理由拒绝与采购人订立采购合同的；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4)成交供应商与采购人订立背离合同实质性内容的其它协议；</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成交供应商将成交项目转让给他人，或者在响应文件中未说明，且未经采购人同意，将成交项目分包给他人的；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 成交供应商不按要求提交履约保证金的；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7) 成交供应商未按磋商文件规定和合同约定履行义务的行为。</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32.   质疑</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32.1 供应商对采购活动事项有疑问的，可以向采购人或采购代理提出询问，采购人或采购代理将依法作出答复，但答复的内容不涉及商业秘密；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32.2供应商认为磋商文件、磋商过程和成交结果使自己的合法权益受到损害的，可以在《中华人民共和国政府采购法》及实施条例规定的时间内以书面形式向采购代理提出质疑，超过期限不予受理。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32.3质疑文件应包括以下主要内容，并按照“谁主张、谁举证”的原则，附上相关证明材料。否则，采购代理人不予受理：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（1）供应商的姓名或者名称、地址、邮编、联系人及联系电话；</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（2）质疑项目的名称、编号、包号；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（3）具体、明确的质疑事项和与质疑事项相关的请求；</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（4）事实依据；</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（5）必要的法律依据（具体条款）；</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（6）提出质疑的日期。</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32.4供应商不得虚假质疑和恶意质疑，并对质疑内容的真实性承担责任。供应商或者其他利害关系人通过捏造事实、伪造证明材料等方式提出异议或投诉，阻碍采购活动正常进行的，属于严重不良行为，采购代理将提请财政监督部门列入不良行为记录名单，并依法予以处罚。</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32.5 根据中华人民共和国财政部令94号令第十条的规定，供应商需在法定质疑期内一次性提出针对本采购程序环节的质疑。</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32.6以联合体形式参加政府采购活动的，其投诉应当由组成联合体的所有供应商共同提出。</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32.7采购人或采购代理机构在收到供应商的书面质疑后将及时组织调查核实，在7个工作日内作出答复，并以书面或在网站公告形式通知质疑供应商和其他有关供应商，答复的内容不涉及商业秘密。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32.8质疑供应商对采购代理机构的答复不满意，或采购代理机构未在规定的时间内作出答复的，可以在答复期满后15个工作日内向财政监督部门投诉。</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32.9对于成交结果的质疑，以公布成交结果的日期为准，超过期限不予受理。</w:t>
      </w:r>
    </w:p>
    <w:p>
      <w:pPr>
        <w:pStyle w:val="5"/>
        <w:keepNext w:val="0"/>
        <w:keepLines w:val="0"/>
        <w:numPr>
          <w:ilvl w:val="0"/>
          <w:numId w:val="0"/>
        </w:numPr>
        <w:spacing w:before="0" w:beforeLines="50" w:after="0" w:afterLines="50" w:line="240" w:lineRule="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八、保密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33.  保密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33.1供应商对所领取的有关文件及资料负有保密的义务，因供应商原因造成资料泄密，供应商承担相应责任。</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33.2在国家机关调查、审查、审计时以及其他符合国家法律的情形下，采购代理机构无须事先征求供应商同意而可以披露关于采购过程、合同文本、签署情况的资料、供应商名称及地址、响应文件的有关信息以及补充条款等内容。</w:t>
      </w:r>
    </w:p>
    <w:p>
      <w:pPr>
        <w:pStyle w:val="5"/>
        <w:keepNext w:val="0"/>
        <w:keepLines w:val="0"/>
        <w:numPr>
          <w:ilvl w:val="0"/>
          <w:numId w:val="0"/>
        </w:numPr>
        <w:spacing w:before="0" w:beforeLines="50" w:after="0" w:afterLines="50" w:line="240" w:lineRule="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九、专利权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34. 专利权</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提供的所有产品应保证用户免受第三方主张的任何权利的义务。“第三方主张的权利”包括产品的所有权、知识产权、债权、担保物权、用益物权等权利。由此而引起的法律纠纷及费用，供应商须全部承担。</w:t>
      </w:r>
    </w:p>
    <w:p>
      <w:pPr>
        <w:pStyle w:val="5"/>
        <w:keepNext w:val="0"/>
        <w:keepLines w:val="0"/>
        <w:numPr>
          <w:ilvl w:val="0"/>
          <w:numId w:val="0"/>
        </w:numPr>
        <w:spacing w:before="0" w:beforeLines="50" w:after="0" w:afterLines="50" w:line="240" w:lineRule="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十、解释权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35.  解释权</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本磋商文件的最终解释权归采购代理，当对一个问题有多种解释时以采购代理的书面解释为准。磋商文件未做须知明示，而又有相关法律、法规规定的，采购代理对此所做解释以相关的法律、法规规定为依据。</w:t>
      </w:r>
    </w:p>
    <w:p>
      <w:pPr>
        <w:pStyle w:val="5"/>
        <w:keepNext w:val="0"/>
        <w:keepLines w:val="0"/>
        <w:numPr>
          <w:ilvl w:val="0"/>
          <w:numId w:val="0"/>
        </w:numPr>
        <w:spacing w:before="0" w:beforeLines="50" w:after="0" w:afterLines="50" w:line="240" w:lineRule="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十一、其他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36.  其他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36.1供应商所报产品技术参数（或使用功能）必须满足采购人要求。</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36.2 采购人不保证低价成交。</w:t>
      </w:r>
    </w:p>
    <w:p>
      <w:pPr>
        <w:pStyle w:val="9"/>
        <w:tabs>
          <w:tab w:val="left" w:pos="0"/>
        </w:tabs>
        <w:spacing w:line="480" w:lineRule="exact"/>
        <w:ind w:left="0" w:leftChars="0" w:firstLine="0" w:firstLineChars="0"/>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p>
    <w:p>
      <w:pPr>
        <w:pStyle w:val="3"/>
        <w:numPr>
          <w:ilvl w:val="0"/>
          <w:numId w:val="6"/>
        </w:numPr>
        <w:spacing w:before="0" w:after="0" w:line="580" w:lineRule="exact"/>
        <w:jc w:val="center"/>
        <w:rPr>
          <w:rFonts w:hint="eastAsia" w:ascii="宋体" w:hAnsi="宋体" w:eastAsia="宋体" w:cs="宋体"/>
          <w:sz w:val="44"/>
          <w:szCs w:val="44"/>
          <w:highlight w:val="none"/>
          <w:lang w:val="en-US" w:eastAsia="zh-CN"/>
        </w:rPr>
      </w:pPr>
      <w:r>
        <w:rPr>
          <w:sz w:val="44"/>
          <w:highlight w:val="none"/>
        </w:rPr>
        <mc:AlternateContent>
          <mc:Choice Requires="wps">
            <w:drawing>
              <wp:anchor distT="0" distB="0" distL="114300" distR="114300" simplePos="0" relativeHeight="251659264" behindDoc="0" locked="0" layoutInCell="1" hidden="1" allowOverlap="1">
                <wp:simplePos x="0" y="0"/>
                <wp:positionH relativeFrom="column">
                  <wp:posOffset>-1027430</wp:posOffset>
                </wp:positionH>
                <wp:positionV relativeFrom="paragraph">
                  <wp:posOffset>-701040</wp:posOffset>
                </wp:positionV>
                <wp:extent cx="63500" cy="63500"/>
                <wp:effectExtent l="6350" t="6350" r="6350" b="6350"/>
                <wp:wrapNone/>
                <wp:docPr id="4"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80.9pt;margin-top:-55.2pt;height:5pt;width:5pt;visibility:hidden;z-index:251659264;v-text-anchor:middle;mso-width-relative:page;mso-height-relative:page;" fillcolor="#5B9BD5 [3204]" filled="t" stroked="t" coordsize="21600,21600" o:gfxdata="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bmOItwAAAAPAQAADwAAAAAAAAABACAAAAAi&#10;AAAAZHJzL2Rvd25yZXYueG1sUEsBAhQAFAAAAAgAh07iQMX15MqyBAAAwAcAAA4AAAAAAAAAAQAg&#10;AAAAKwEAAGRycy9lMm9Eb2MueG1sUEsFBgAAAAAGAAYAWQEAAE8IAAAAAA==&#10;">
                <v:fill on="t" focussize="0,0"/>
                <v:stroke weight="1pt" color="#41719C [3204]" miterlimit="8" joinstyle="miter"/>
                <v:imagedata o:title=""/>
                <o:lock v:ext="edit" aspectratio="f"/>
              </v:rect>
            </w:pict>
          </mc:Fallback>
        </mc:AlternateContent>
      </w:r>
      <w:r>
        <w:rPr>
          <w:rFonts w:hint="eastAsia" w:ascii="宋体" w:hAnsi="宋体" w:eastAsia="宋体" w:cs="宋体"/>
          <w:sz w:val="44"/>
          <w:szCs w:val="44"/>
          <w:highlight w:val="none"/>
        </w:rPr>
        <w:t xml:space="preserve"> </w:t>
      </w:r>
      <w:bookmarkStart w:id="19" w:name="_Toc9692"/>
      <w:r>
        <w:rPr>
          <w:rFonts w:hint="eastAsia" w:ascii="宋体" w:hAnsi="宋体" w:eastAsia="宋体" w:cs="宋体"/>
          <w:sz w:val="44"/>
          <w:szCs w:val="44"/>
          <w:highlight w:val="none"/>
          <w:lang w:val="en-US" w:eastAsia="zh-CN"/>
        </w:rPr>
        <w:t>评分办法</w:t>
      </w:r>
      <w:bookmarkEnd w:id="19"/>
    </w:p>
    <w:p>
      <w:pPr>
        <w:pStyle w:val="4"/>
        <w:keepNext w:val="0"/>
        <w:keepLines w:val="0"/>
        <w:numPr>
          <w:ilvl w:val="0"/>
          <w:numId w:val="7"/>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0" w:name="_Toc19687"/>
      <w:bookmarkStart w:id="21" w:name="_Toc26963"/>
      <w:r>
        <w:rPr>
          <w:rFonts w:hint="eastAsia" w:ascii="Arial" w:hAnsi="Arial" w:eastAsia="黑体" w:cs="Times New Roman"/>
          <w:b w:val="0"/>
          <w:kern w:val="2"/>
          <w:sz w:val="36"/>
          <w:szCs w:val="28"/>
          <w:highlight w:val="none"/>
          <w:lang w:val="en-US" w:eastAsia="zh-CN"/>
        </w:rPr>
        <w:t>评审方法</w:t>
      </w:r>
      <w:bookmarkEnd w:id="20"/>
      <w:bookmarkEnd w:id="21"/>
    </w:p>
    <w:p>
      <w:pPr>
        <w:pStyle w:val="8"/>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 本项目评审方法采用综合评分法。磋商小组将依据各供应商响应文件，对其商务、技术、价格、服务等各项因素进行评价并按评分细则进行打分。每一供应商的最终得分为所有磋商小组成员评分的算术平均值。</w:t>
      </w:r>
    </w:p>
    <w:p>
      <w:pPr>
        <w:pStyle w:val="8"/>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 磋商小组按各供应商最终得分由高到低顺序排列。得分相同的，按最后报价由低到高顺序排列。得分且最后报价均相同的，按技术指标优劣顺序排列，</w:t>
      </w:r>
      <w:r>
        <w:rPr>
          <w:rFonts w:hint="eastAsia" w:ascii="仿宋" w:hAnsi="仿宋" w:cs="仿宋"/>
          <w:sz w:val="28"/>
          <w:szCs w:val="28"/>
          <w:highlight w:val="none"/>
        </w:rPr>
        <w:t>按采购文件规定的成交候选供应商家数推荐成交候选供应商</w:t>
      </w:r>
      <w:r>
        <w:rPr>
          <w:rFonts w:hint="eastAsia" w:ascii="仿宋" w:hAnsi="仿宋" w:eastAsia="仿宋" w:cs="仿宋"/>
          <w:spacing w:val="0"/>
          <w:kern w:val="2"/>
          <w:sz w:val="28"/>
          <w:szCs w:val="28"/>
          <w:highlight w:val="none"/>
          <w:lang w:val="en-US" w:eastAsia="zh-CN" w:bidi="ar-SA"/>
        </w:rPr>
        <w:t>。</w:t>
      </w:r>
    </w:p>
    <w:p>
      <w:pPr>
        <w:pStyle w:val="4"/>
        <w:keepNext w:val="0"/>
        <w:keepLines w:val="0"/>
        <w:numPr>
          <w:ilvl w:val="0"/>
          <w:numId w:val="7"/>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2" w:name="_Toc1750"/>
      <w:bookmarkStart w:id="23" w:name="_Toc17688"/>
      <w:r>
        <w:rPr>
          <w:rFonts w:hint="eastAsia" w:ascii="Arial" w:hAnsi="Arial" w:eastAsia="黑体" w:cs="Times New Roman"/>
          <w:b w:val="0"/>
          <w:kern w:val="2"/>
          <w:sz w:val="36"/>
          <w:szCs w:val="28"/>
          <w:highlight w:val="none"/>
          <w:lang w:val="en-US" w:eastAsia="zh-CN"/>
        </w:rPr>
        <w:t>评审细则</w:t>
      </w:r>
      <w:bookmarkEnd w:id="22"/>
      <w:bookmarkEnd w:id="23"/>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556"/>
        <w:gridCol w:w="1053"/>
        <w:gridCol w:w="5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92"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3131"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2" w:type="pct"/>
            <w:noWrap w:val="0"/>
            <w:vAlign w:val="center"/>
          </w:tcPr>
          <w:p>
            <w:pPr>
              <w:numPr>
                <w:ilvl w:val="0"/>
                <w:numId w:val="8"/>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3131" w:type="pct"/>
            <w:noWrap w:val="0"/>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文件要求且</w:t>
            </w:r>
            <w:r>
              <w:rPr>
                <w:rFonts w:hint="eastAsia" w:ascii="仿宋" w:hAnsi="仿宋" w:cs="仿宋"/>
                <w:sz w:val="28"/>
                <w:szCs w:val="28"/>
                <w:highlight w:val="none"/>
                <w:lang w:val="en-US" w:eastAsia="zh-CN"/>
              </w:rPr>
              <w:t>报价</w:t>
            </w:r>
            <w:r>
              <w:rPr>
                <w:rFonts w:hint="eastAsia" w:ascii="仿宋" w:hAnsi="仿宋" w:eastAsia="仿宋" w:cs="仿宋"/>
                <w:sz w:val="28"/>
                <w:szCs w:val="28"/>
                <w:highlight w:val="none"/>
              </w:rPr>
              <w:t>最低的</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报价为评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基准价，其价格分为满分。其他供应商的价格分统一按照下列公式计算：报价得分=（评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基准值/</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92" w:type="pct"/>
            <w:noWrap w:val="0"/>
            <w:vAlign w:val="center"/>
          </w:tcPr>
          <w:p>
            <w:pPr>
              <w:numPr>
                <w:ilvl w:val="0"/>
                <w:numId w:val="8"/>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default" w:ascii="仿宋" w:hAnsi="仿宋" w:cs="仿宋"/>
                <w:sz w:val="28"/>
                <w:szCs w:val="28"/>
                <w:highlight w:val="none"/>
                <w:lang w:val="en-US" w:eastAsia="zh-CN"/>
              </w:rPr>
              <w:t>40</w:t>
            </w:r>
            <w:r>
              <w:rPr>
                <w:rFonts w:hint="eastAsia" w:ascii="仿宋" w:hAnsi="仿宋" w:eastAsia="仿宋" w:cs="仿宋"/>
                <w:sz w:val="28"/>
                <w:szCs w:val="28"/>
                <w:highlight w:val="none"/>
              </w:rPr>
              <w:t>分</w:t>
            </w:r>
          </w:p>
        </w:tc>
        <w:tc>
          <w:tcPr>
            <w:tcW w:w="3131" w:type="pct"/>
            <w:noWrap w:val="0"/>
            <w:vAlign w:val="center"/>
          </w:tcPr>
          <w:p>
            <w:pP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对</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文件进行技术条款响应性评审：技术参数中标记“</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为重要技术参数，</w:t>
            </w:r>
            <w:r>
              <w:rPr>
                <w:rFonts w:hint="eastAsia" w:ascii="仿宋" w:hAnsi="仿宋" w:eastAsia="仿宋" w:cs="仿宋"/>
                <w:sz w:val="28"/>
                <w:szCs w:val="28"/>
                <w:highlight w:val="none"/>
              </w:rPr>
              <w:t>每出现1条未实质性响应或负偏离的，扣</w:t>
            </w:r>
            <w:r>
              <w:rPr>
                <w:rFonts w:hint="default" w:ascii="仿宋" w:hAnsi="仿宋" w:cs="仿宋"/>
                <w:sz w:val="28"/>
                <w:szCs w:val="28"/>
                <w:highlight w:val="none"/>
                <w:lang w:val="en-US" w:eastAsia="zh-CN"/>
              </w:rPr>
              <w:t>3</w:t>
            </w:r>
            <w:r>
              <w:rPr>
                <w:rFonts w:hint="eastAsia" w:ascii="仿宋" w:hAnsi="仿宋" w:eastAsia="仿宋" w:cs="仿宋"/>
                <w:sz w:val="28"/>
                <w:szCs w:val="28"/>
                <w:highlight w:val="none"/>
              </w:rPr>
              <w:t>分；技术参数中每出现1条普通技术规格指标未实质性响应或负偏离的，扣</w:t>
            </w:r>
            <w:r>
              <w:rPr>
                <w:rFonts w:hint="default" w:ascii="仿宋" w:hAnsi="仿宋" w:cs="仿宋"/>
                <w:sz w:val="28"/>
                <w:szCs w:val="28"/>
                <w:highlight w:val="none"/>
                <w:lang w:val="en-US"/>
              </w:rPr>
              <w:t>1</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pct"/>
            <w:noWrap w:val="0"/>
            <w:vAlign w:val="center"/>
          </w:tcPr>
          <w:p>
            <w:pPr>
              <w:numPr>
                <w:ilvl w:val="0"/>
                <w:numId w:val="8"/>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安装调试方案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default" w:ascii="仿宋" w:hAnsi="仿宋" w:cs="仿宋"/>
                <w:sz w:val="28"/>
                <w:szCs w:val="28"/>
                <w:highlight w:val="none"/>
                <w:lang w:val="en-US"/>
              </w:rPr>
              <w:t>5</w:t>
            </w:r>
            <w:r>
              <w:rPr>
                <w:rFonts w:hint="eastAsia" w:ascii="仿宋" w:hAnsi="仿宋" w:eastAsia="仿宋" w:cs="仿宋"/>
                <w:sz w:val="28"/>
                <w:szCs w:val="28"/>
                <w:highlight w:val="none"/>
              </w:rPr>
              <w:t>分</w:t>
            </w:r>
          </w:p>
        </w:tc>
        <w:tc>
          <w:tcPr>
            <w:tcW w:w="3131"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文件中提供的安装调试方案进行评审，方案描述清晰、详细、设备到货时间具体、进度计划满足项目要求、保障措施健全、有针对性，得</w:t>
            </w:r>
            <w:r>
              <w:rPr>
                <w:rFonts w:hint="default" w:ascii="仿宋" w:hAnsi="仿宋" w:cs="仿宋"/>
                <w:sz w:val="28"/>
                <w:szCs w:val="28"/>
                <w:highlight w:val="none"/>
                <w:lang w:val="en-US"/>
              </w:rPr>
              <w:t>3</w:t>
            </w:r>
            <w:r>
              <w:rPr>
                <w:rFonts w:hint="eastAsia" w:ascii="仿宋" w:hAnsi="仿宋" w:eastAsia="仿宋" w:cs="仿宋"/>
                <w:sz w:val="28"/>
                <w:szCs w:val="28"/>
                <w:highlight w:val="none"/>
              </w:rPr>
              <w:t>分，每出现一处瑕疵或缺欠，扣</w:t>
            </w:r>
            <w:r>
              <w:rPr>
                <w:rFonts w:hint="default" w:ascii="仿宋" w:hAnsi="仿宋" w:cs="仿宋"/>
                <w:sz w:val="28"/>
                <w:szCs w:val="28"/>
                <w:highlight w:val="none"/>
                <w:lang w:val="en-US"/>
              </w:rPr>
              <w:t>0</w:t>
            </w:r>
            <w:r>
              <w:rPr>
                <w:rFonts w:hint="eastAsia" w:ascii="仿宋" w:hAnsi="仿宋" w:eastAsia="仿宋" w:cs="仿宋"/>
                <w:sz w:val="28"/>
                <w:szCs w:val="28"/>
                <w:highlight w:val="none"/>
              </w:rPr>
              <w:t>.5分，若此条缺项不得分。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2" w:type="pct"/>
            <w:noWrap w:val="0"/>
            <w:vAlign w:val="center"/>
          </w:tcPr>
          <w:p>
            <w:pPr>
              <w:numPr>
                <w:ilvl w:val="0"/>
                <w:numId w:val="8"/>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default" w:ascii="仿宋" w:hAnsi="仿宋" w:cs="仿宋"/>
                <w:sz w:val="28"/>
                <w:szCs w:val="28"/>
                <w:highlight w:val="none"/>
                <w:lang w:val="en-US"/>
              </w:rPr>
              <w:t>3</w:t>
            </w:r>
            <w:r>
              <w:rPr>
                <w:rFonts w:hint="eastAsia" w:ascii="仿宋" w:hAnsi="仿宋" w:eastAsia="仿宋" w:cs="仿宋"/>
                <w:sz w:val="28"/>
                <w:szCs w:val="28"/>
                <w:highlight w:val="none"/>
              </w:rPr>
              <w:t>分</w:t>
            </w:r>
          </w:p>
        </w:tc>
        <w:tc>
          <w:tcPr>
            <w:tcW w:w="3131"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由评委根据供应商提供的按期交货的保证措施情况进行评审，描述清晰、详细、保证措施完善，得</w:t>
            </w:r>
            <w:r>
              <w:rPr>
                <w:rFonts w:hint="default"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每出现一处瑕疵或缺欠，扣</w:t>
            </w:r>
            <w:r>
              <w:rPr>
                <w:rFonts w:hint="default" w:ascii="仿宋" w:hAnsi="仿宋" w:cs="仿宋"/>
                <w:sz w:val="28"/>
                <w:szCs w:val="28"/>
                <w:highlight w:val="none"/>
                <w:lang w:val="en-US"/>
              </w:rPr>
              <w:t>0.5</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2" w:type="pct"/>
            <w:noWrap w:val="0"/>
            <w:vAlign w:val="center"/>
          </w:tcPr>
          <w:p>
            <w:pPr>
              <w:numPr>
                <w:ilvl w:val="0"/>
                <w:numId w:val="8"/>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培训方案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default" w:ascii="仿宋" w:hAnsi="仿宋" w:cs="仿宋"/>
                <w:sz w:val="28"/>
                <w:szCs w:val="28"/>
                <w:highlight w:val="none"/>
                <w:lang w:val="en-US"/>
              </w:rPr>
              <w:t>3</w:t>
            </w:r>
            <w:r>
              <w:rPr>
                <w:rFonts w:hint="eastAsia" w:ascii="仿宋" w:hAnsi="仿宋" w:eastAsia="仿宋" w:cs="仿宋"/>
                <w:sz w:val="28"/>
                <w:szCs w:val="28"/>
                <w:highlight w:val="none"/>
              </w:rPr>
              <w:t>分</w:t>
            </w:r>
          </w:p>
        </w:tc>
        <w:tc>
          <w:tcPr>
            <w:tcW w:w="3131"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文件中提供的培训方案进行评审，培训方案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计划</w:t>
            </w:r>
            <w:r>
              <w:rPr>
                <w:rFonts w:hint="eastAsia" w:ascii="仿宋" w:hAnsi="仿宋" w:eastAsia="仿宋" w:cs="仿宋"/>
                <w:sz w:val="28"/>
                <w:szCs w:val="28"/>
                <w:highlight w:val="none"/>
              </w:rPr>
              <w:t>描述清晰、</w:t>
            </w:r>
            <w:r>
              <w:rPr>
                <w:rFonts w:hint="eastAsia" w:ascii="仿宋" w:hAnsi="仿宋" w:eastAsia="仿宋" w:cs="仿宋"/>
                <w:sz w:val="28"/>
                <w:szCs w:val="28"/>
                <w:highlight w:val="none"/>
                <w:lang w:val="en-US" w:eastAsia="zh-CN"/>
              </w:rPr>
              <w:t>目标明确</w:t>
            </w:r>
            <w:r>
              <w:rPr>
                <w:rFonts w:hint="eastAsia" w:ascii="仿宋" w:hAnsi="仿宋" w:eastAsia="仿宋" w:cs="仿宋"/>
                <w:sz w:val="28"/>
                <w:szCs w:val="28"/>
                <w:highlight w:val="none"/>
              </w:rPr>
              <w:t>、可使操作人员能够独立操作并掌握基本的技能、培训方式多样化、培训内容翔实、完善，得</w:t>
            </w:r>
            <w:r>
              <w:rPr>
                <w:rFonts w:hint="default" w:ascii="仿宋" w:hAnsi="仿宋" w:cs="仿宋"/>
                <w:sz w:val="28"/>
                <w:szCs w:val="28"/>
                <w:highlight w:val="none"/>
                <w:lang w:val="en-US"/>
              </w:rPr>
              <w:t>2</w:t>
            </w:r>
            <w:r>
              <w:rPr>
                <w:rFonts w:hint="eastAsia" w:ascii="仿宋" w:hAnsi="仿宋" w:eastAsia="仿宋" w:cs="仿宋"/>
                <w:sz w:val="28"/>
                <w:szCs w:val="28"/>
                <w:highlight w:val="none"/>
              </w:rPr>
              <w:t>分，每出现一处瑕疵或缺欠，扣</w:t>
            </w:r>
            <w:r>
              <w:rPr>
                <w:rFonts w:hint="default" w:ascii="仿宋" w:hAnsi="仿宋" w:cs="仿宋"/>
                <w:sz w:val="28"/>
                <w:szCs w:val="28"/>
                <w:highlight w:val="none"/>
                <w:lang w:val="en-US"/>
              </w:rPr>
              <w:t>0.5</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2" w:type="pct"/>
            <w:noWrap w:val="0"/>
            <w:vAlign w:val="center"/>
          </w:tcPr>
          <w:p>
            <w:pPr>
              <w:numPr>
                <w:ilvl w:val="0"/>
                <w:numId w:val="8"/>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highlight w:val="none"/>
                <w:lang w:val="en-US"/>
              </w:rPr>
              <w:t>售后服务方案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default" w:ascii="仿宋" w:hAnsi="仿宋" w:cs="仿宋"/>
                <w:szCs w:val="28"/>
                <w:highlight w:val="none"/>
                <w:lang w:val="en-US"/>
              </w:rPr>
              <w:t>4</w:t>
            </w:r>
            <w:r>
              <w:rPr>
                <w:rFonts w:hint="eastAsia" w:ascii="仿宋" w:hAnsi="仿宋" w:cs="仿宋"/>
                <w:szCs w:val="28"/>
                <w:highlight w:val="none"/>
              </w:rPr>
              <w:t>分</w:t>
            </w:r>
          </w:p>
        </w:tc>
        <w:tc>
          <w:tcPr>
            <w:tcW w:w="3131"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highlight w:val="none"/>
                <w:lang w:val="en-US"/>
              </w:rPr>
              <w:t>根据响应文件中提供的售后服务方案进行评审，维修服务人员配备合理，有明确的岗位职责划分，符合售后服务的需求，具有对维修响应时间、处理办法及解决问题的服务方案</w:t>
            </w:r>
            <w:r>
              <w:rPr>
                <w:rFonts w:hint="eastAsia"/>
                <w:highlight w:val="none"/>
                <w:lang w:val="en-US" w:eastAsia="zh-CN"/>
              </w:rPr>
              <w:t>，</w:t>
            </w:r>
            <w:r>
              <w:rPr>
                <w:rFonts w:hint="eastAsia" w:ascii="仿宋" w:hAnsi="仿宋" w:cs="仿宋"/>
                <w:szCs w:val="28"/>
                <w:highlight w:val="none"/>
              </w:rPr>
              <w:t>紧急故障处理措施</w:t>
            </w:r>
            <w:r>
              <w:rPr>
                <w:rFonts w:hint="eastAsia"/>
                <w:highlight w:val="none"/>
                <w:lang w:val="en-US"/>
              </w:rPr>
              <w:t>，保证设备出现故障能够及时响应、快速恢复正常使用，定期回访设置合理，得</w:t>
            </w:r>
            <w:r>
              <w:rPr>
                <w:rFonts w:hint="default"/>
                <w:highlight w:val="none"/>
                <w:lang w:val="en-US"/>
              </w:rPr>
              <w:t>2</w:t>
            </w:r>
            <w:r>
              <w:rPr>
                <w:rFonts w:hint="eastAsia"/>
                <w:highlight w:val="none"/>
                <w:lang w:val="en-US"/>
              </w:rPr>
              <w:t>分，每出现一处瑕疵或缺欠，</w:t>
            </w:r>
            <w:r>
              <w:rPr>
                <w:rFonts w:hint="default"/>
                <w:highlight w:val="none"/>
                <w:lang w:val="en-US"/>
              </w:rPr>
              <w:t>0.5</w:t>
            </w:r>
            <w:r>
              <w:rPr>
                <w:rFonts w:hint="eastAsia"/>
                <w:highlight w:val="none"/>
                <w:lang w:val="en-US"/>
              </w:rPr>
              <w:t>分，若此条缺项不得分</w:t>
            </w: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2" w:type="pct"/>
            <w:noWrap w:val="0"/>
            <w:vAlign w:val="center"/>
          </w:tcPr>
          <w:p>
            <w:pPr>
              <w:numPr>
                <w:ilvl w:val="0"/>
                <w:numId w:val="8"/>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w:t>
            </w:r>
          </w:p>
        </w:tc>
        <w:tc>
          <w:tcPr>
            <w:tcW w:w="555" w:type="pct"/>
            <w:noWrap w:val="0"/>
            <w:vAlign w:val="center"/>
          </w:tcPr>
          <w:p>
            <w:pPr>
              <w:snapToGrid w:val="0"/>
              <w:spacing w:line="300" w:lineRule="auto"/>
              <w:jc w:val="center"/>
              <w:rPr>
                <w:rFonts w:hint="eastAsia" w:ascii="仿宋" w:hAnsi="仿宋" w:eastAsia="仿宋" w:cs="仿宋"/>
                <w:sz w:val="24"/>
                <w:szCs w:val="24"/>
                <w:highlight w:val="none"/>
                <w:lang w:val="en-US" w:eastAsia="zh-CN"/>
              </w:rPr>
            </w:pPr>
            <w:r>
              <w:rPr>
                <w:rFonts w:hint="default" w:ascii="仿宋" w:hAnsi="仿宋" w:cs="仿宋"/>
                <w:szCs w:val="28"/>
                <w:highlight w:val="none"/>
                <w:lang w:val="en-US"/>
              </w:rPr>
              <w:t>6</w:t>
            </w:r>
            <w:r>
              <w:rPr>
                <w:rFonts w:hint="eastAsia" w:ascii="仿宋" w:hAnsi="仿宋" w:cs="仿宋"/>
                <w:szCs w:val="28"/>
                <w:highlight w:val="none"/>
              </w:rPr>
              <w:t>分</w:t>
            </w:r>
          </w:p>
        </w:tc>
        <w:tc>
          <w:tcPr>
            <w:tcW w:w="3131"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质保期在满足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文件最低要求情况下，质保每增加一年的2分，本项最多得</w:t>
            </w:r>
            <w:r>
              <w:rPr>
                <w:rFonts w:hint="default" w:ascii="仿宋" w:hAnsi="仿宋" w:cs="仿宋"/>
                <w:sz w:val="28"/>
                <w:szCs w:val="28"/>
                <w:highlight w:val="none"/>
                <w:lang w:val="en-US" w:eastAsia="zh-CN"/>
              </w:rPr>
              <w:t>6</w:t>
            </w:r>
            <w:r>
              <w:rPr>
                <w:rFonts w:hint="eastAsia" w:ascii="仿宋" w:hAnsi="仿宋" w:eastAsia="仿宋" w:cs="仿宋"/>
                <w:sz w:val="28"/>
                <w:szCs w:val="28"/>
                <w:highlight w:val="none"/>
                <w:lang w:val="en-US" w:eastAsia="zh-CN"/>
              </w:rPr>
              <w:t>分；（提供原厂质保函，否则不得分）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2" w:type="pct"/>
            <w:noWrap w:val="0"/>
            <w:vAlign w:val="center"/>
          </w:tcPr>
          <w:p>
            <w:pPr>
              <w:numPr>
                <w:ilvl w:val="0"/>
                <w:numId w:val="8"/>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3分</w:t>
            </w:r>
          </w:p>
        </w:tc>
        <w:tc>
          <w:tcPr>
            <w:tcW w:w="3131"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w:t>
            </w:r>
            <w:r>
              <w:rPr>
                <w:rFonts w:hint="default" w:ascii="仿宋" w:hAnsi="仿宋" w:cs="仿宋"/>
                <w:sz w:val="28"/>
                <w:szCs w:val="28"/>
                <w:highlight w:val="none"/>
                <w:lang w:val="en-US"/>
              </w:rPr>
              <w:t>20</w:t>
            </w:r>
            <w:r>
              <w:rPr>
                <w:rFonts w:hint="eastAsia" w:ascii="仿宋" w:hAnsi="仿宋" w:eastAsia="仿宋" w:cs="仿宋"/>
                <w:sz w:val="28"/>
                <w:szCs w:val="28"/>
                <w:highlight w:val="none"/>
              </w:rPr>
              <w:t>年</w:t>
            </w:r>
            <w:r>
              <w:rPr>
                <w:rFonts w:hint="default" w:ascii="仿宋" w:hAnsi="仿宋" w:cs="仿宋"/>
                <w:sz w:val="28"/>
                <w:szCs w:val="28"/>
                <w:highlight w:val="none"/>
                <w:lang w:val="en-US"/>
              </w:rPr>
              <w:t>7</w:t>
            </w:r>
            <w:r>
              <w:rPr>
                <w:rFonts w:hint="eastAsia" w:ascii="仿宋" w:hAnsi="仿宋" w:eastAsia="仿宋" w:cs="仿宋"/>
                <w:sz w:val="28"/>
                <w:szCs w:val="28"/>
                <w:highlight w:val="none"/>
              </w:rPr>
              <w:t>月1日至今）</w:t>
            </w:r>
            <w:r>
              <w:rPr>
                <w:rFonts w:hint="eastAsia" w:ascii="仿宋" w:hAnsi="仿宋" w:eastAsia="仿宋" w:cs="仿宋"/>
                <w:sz w:val="28"/>
                <w:szCs w:val="28"/>
                <w:highlight w:val="none"/>
              </w:rPr>
              <w:t>所投产品（多种产品采购以核心产品为准）的业绩，每个项目得1分，最多得3分，没有业绩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文件中提供合同复印件,含报价产品明细页、签字或盖章页，</w:t>
            </w:r>
            <w:r>
              <w:rPr>
                <w:rFonts w:hint="eastAsia" w:ascii="仿宋" w:hAnsi="仿宋" w:eastAsia="仿宋" w:cs="仿宋"/>
                <w:sz w:val="28"/>
                <w:szCs w:val="28"/>
                <w:highlight w:val="none"/>
                <w:lang w:val="en-US" w:eastAsia="zh-CN"/>
              </w:rPr>
              <w:t>未提供或</w:t>
            </w:r>
            <w:r>
              <w:rPr>
                <w:rFonts w:hint="eastAsia" w:ascii="仿宋" w:hAnsi="仿宋" w:eastAsia="仿宋" w:cs="仿宋"/>
                <w:sz w:val="28"/>
                <w:szCs w:val="28"/>
                <w:highlight w:val="none"/>
              </w:rPr>
              <w:t>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2" w:type="pct"/>
            <w:noWrap w:val="0"/>
            <w:vAlign w:val="center"/>
          </w:tcPr>
          <w:p>
            <w:pPr>
              <w:numPr>
                <w:ilvl w:val="0"/>
                <w:numId w:val="8"/>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default" w:ascii="仿宋" w:hAnsi="仿宋" w:cs="仿宋"/>
                <w:sz w:val="28"/>
                <w:szCs w:val="28"/>
                <w:highlight w:val="none"/>
                <w:lang w:val="en-US" w:eastAsia="zh-CN"/>
              </w:rPr>
              <w:t>6</w:t>
            </w:r>
            <w:r>
              <w:rPr>
                <w:rFonts w:hint="eastAsia" w:ascii="仿宋" w:hAnsi="仿宋" w:eastAsia="仿宋" w:cs="仿宋"/>
                <w:sz w:val="28"/>
                <w:szCs w:val="28"/>
                <w:highlight w:val="none"/>
                <w:lang w:val="en-US" w:eastAsia="zh-CN"/>
              </w:rPr>
              <w:t>分</w:t>
            </w:r>
          </w:p>
        </w:tc>
        <w:tc>
          <w:tcPr>
            <w:tcW w:w="3131"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由磋商小组认可的实质性优惠条款，每提供一条得</w:t>
            </w:r>
            <w:r>
              <w:rPr>
                <w:rFonts w:hint="default"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分，最高得</w:t>
            </w:r>
            <w:r>
              <w:rPr>
                <w:rFonts w:hint="default" w:ascii="仿宋" w:hAnsi="仿宋" w:cs="仿宋"/>
                <w:sz w:val="28"/>
                <w:szCs w:val="28"/>
                <w:highlight w:val="none"/>
                <w:lang w:val="en-US" w:eastAsia="zh-CN"/>
              </w:rPr>
              <w:t>6</w:t>
            </w:r>
            <w:r>
              <w:rPr>
                <w:rFonts w:hint="eastAsia" w:ascii="仿宋" w:hAnsi="仿宋" w:eastAsia="仿宋" w:cs="仿宋"/>
                <w:sz w:val="28"/>
                <w:szCs w:val="28"/>
                <w:highlight w:val="none"/>
                <w:lang w:val="en-US" w:eastAsia="zh-CN"/>
              </w:rPr>
              <w:t>分，无不得分。</w:t>
            </w:r>
          </w:p>
        </w:tc>
      </w:tr>
    </w:tbl>
    <w:p>
      <w:pPr>
        <w:pStyle w:val="21"/>
        <w:rPr>
          <w:rFonts w:hint="eastAsia"/>
          <w:highlight w:val="none"/>
          <w:lang w:val="en-US" w:eastAsia="zh-CN"/>
        </w:rPr>
      </w:pPr>
    </w:p>
    <w:p>
      <w:pPr>
        <w:pStyle w:val="4"/>
        <w:keepNext w:val="0"/>
        <w:keepLines w:val="0"/>
        <w:numPr>
          <w:ilvl w:val="0"/>
          <w:numId w:val="7"/>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4" w:name="_Toc3782"/>
      <w:bookmarkStart w:id="25" w:name="_Toc21077"/>
      <w:r>
        <w:rPr>
          <w:rFonts w:hint="eastAsia" w:ascii="Arial" w:hAnsi="Arial" w:eastAsia="黑体" w:cs="Times New Roman"/>
          <w:b w:val="0"/>
          <w:kern w:val="2"/>
          <w:sz w:val="36"/>
          <w:szCs w:val="28"/>
          <w:highlight w:val="none"/>
          <w:lang w:val="en-US" w:eastAsia="zh-CN"/>
        </w:rPr>
        <w:t>评审执行的政府采购政策</w:t>
      </w:r>
      <w:bookmarkEnd w:id="24"/>
      <w:bookmarkEnd w:id="25"/>
    </w:p>
    <w:p>
      <w:pPr>
        <w:keepNext w:val="0"/>
        <w:keepLines w:val="0"/>
        <w:numPr>
          <w:ilvl w:val="0"/>
          <w:numId w:val="9"/>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6" w:name="_Toc855"/>
      <w:bookmarkStart w:id="27" w:name="_Toc7284"/>
      <w:bookmarkStart w:id="28" w:name="_Toc7010"/>
      <w:r>
        <w:rPr>
          <w:rFonts w:hint="eastAsia" w:ascii="Calibri" w:hAnsi="Calibri" w:eastAsia="楷体" w:cs="Times New Roman"/>
          <w:b/>
          <w:kern w:val="2"/>
          <w:sz w:val="32"/>
          <w:szCs w:val="28"/>
          <w:highlight w:val="none"/>
        </w:rPr>
        <w:t>中小微型企业政府采购政策</w:t>
      </w:r>
      <w:bookmarkEnd w:id="26"/>
      <w:bookmarkEnd w:id="27"/>
      <w:bookmarkEnd w:id="2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《国务院关于印发扎实稳住经济一揽子政策措施的通知》（国发〔2022〕12号）文件的规定，对符合规定的小型和微型企业的价格给予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价格可给予联合体</w:t>
      </w:r>
      <w:r>
        <w:rPr>
          <w:rFonts w:hint="eastAsia" w:ascii="仿宋" w:hAnsi="仿宋" w:cs="仿宋"/>
          <w:sz w:val="28"/>
          <w:szCs w:val="28"/>
          <w:highlight w:val="none"/>
          <w:lang w:val="en-US" w:eastAsia="zh-CN"/>
        </w:rPr>
        <w:t>4</w:t>
      </w:r>
      <w:r>
        <w:rPr>
          <w:rFonts w:hint="eastAsia" w:ascii="仿宋" w:hAnsi="仿宋" w:eastAsia="仿宋" w:cs="仿宋"/>
          <w:sz w:val="28"/>
          <w:szCs w:val="28"/>
          <w:highlight w:val="none"/>
        </w:rPr>
        <w:t>%价格扣除。如果联合体各方均为小型、微型企业的，联合体视同为小型、微型企业，但联合体各方均应按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文件要求提供中小企业声明函。</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sz w:val="24"/>
          <w:szCs w:val="24"/>
          <w:highlight w:val="none"/>
        </w:rPr>
      </w:pPr>
      <w:r>
        <w:rPr>
          <w:rFonts w:hint="eastAsia" w:ascii="仿宋" w:hAnsi="仿宋" w:eastAsia="仿宋" w:cs="仿宋"/>
          <w:sz w:val="28"/>
          <w:szCs w:val="28"/>
          <w:highlight w:val="none"/>
        </w:rPr>
        <w:t>3、评审价格的计算：评审价格=</w:t>
      </w:r>
      <w:r>
        <w:rPr>
          <w:rFonts w:hint="eastAsia" w:ascii="仿宋" w:hAnsi="仿宋" w:eastAsia="仿宋" w:cs="仿宋"/>
          <w:sz w:val="28"/>
          <w:szCs w:val="28"/>
          <w:highlight w:val="none"/>
          <w:lang w:val="en-US" w:eastAsia="zh-CN"/>
        </w:rPr>
        <w:t>最终</w:t>
      </w:r>
      <w:r>
        <w:rPr>
          <w:rFonts w:hint="eastAsia" w:ascii="仿宋" w:hAnsi="仿宋" w:eastAsia="仿宋" w:cs="仿宋"/>
          <w:sz w:val="28"/>
          <w:szCs w:val="28"/>
          <w:highlight w:val="none"/>
        </w:rPr>
        <w:t>报价×（1-扣除幅度）。</w:t>
      </w:r>
    </w:p>
    <w:p>
      <w:pPr>
        <w:keepNext w:val="0"/>
        <w:keepLines w:val="0"/>
        <w:numPr>
          <w:ilvl w:val="0"/>
          <w:numId w:val="9"/>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9" w:name="_Toc14175"/>
      <w:bookmarkStart w:id="30" w:name="_Toc6941"/>
      <w:bookmarkStart w:id="31" w:name="_Toc19809"/>
      <w:r>
        <w:rPr>
          <w:rFonts w:hint="eastAsia" w:ascii="Calibri" w:hAnsi="Calibri" w:eastAsia="楷体" w:cs="Times New Roman"/>
          <w:b/>
          <w:kern w:val="2"/>
          <w:sz w:val="32"/>
          <w:szCs w:val="28"/>
          <w:highlight w:val="none"/>
        </w:rPr>
        <w:t>监狱企业政府采购政策</w:t>
      </w:r>
      <w:bookmarkEnd w:id="29"/>
      <w:bookmarkEnd w:id="30"/>
      <w:bookmarkEnd w:id="31"/>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文件中提供监狱企业证明，否则不予认定。</w:t>
      </w:r>
    </w:p>
    <w:p>
      <w:pPr>
        <w:keepNext w:val="0"/>
        <w:keepLines w:val="0"/>
        <w:numPr>
          <w:ilvl w:val="0"/>
          <w:numId w:val="9"/>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32" w:name="_Toc1135"/>
      <w:bookmarkStart w:id="33" w:name="_Toc30230"/>
      <w:bookmarkStart w:id="34" w:name="_Toc25000"/>
      <w:r>
        <w:rPr>
          <w:rFonts w:hint="eastAsia" w:ascii="Calibri" w:hAnsi="Calibri" w:eastAsia="楷体" w:cs="Times New Roman"/>
          <w:b/>
          <w:kern w:val="2"/>
          <w:sz w:val="32"/>
          <w:szCs w:val="28"/>
          <w:highlight w:val="none"/>
        </w:rPr>
        <w:t>残疾人福利性单位政府采购政策</w:t>
      </w:r>
      <w:bookmarkEnd w:id="32"/>
      <w:bookmarkEnd w:id="33"/>
      <w:bookmarkEnd w:id="34"/>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对残疾人福利性单位的价格给予[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keepNext w:val="0"/>
        <w:keepLines w:val="0"/>
        <w:numPr>
          <w:ilvl w:val="0"/>
          <w:numId w:val="9"/>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r>
        <w:rPr>
          <w:rFonts w:hint="eastAsia" w:ascii="Calibri" w:hAnsi="Calibri" w:eastAsia="楷体" w:cs="Times New Roman"/>
          <w:b/>
          <w:kern w:val="2"/>
          <w:sz w:val="32"/>
          <w:szCs w:val="28"/>
          <w:highlight w:val="none"/>
        </w:rPr>
        <w:t>优采、强采、节能、环境标志产品</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hint="eastAsia" w:ascii="仿宋" w:hAnsi="仿宋" w:eastAsia="仿宋" w:cs="仿宋"/>
          <w:sz w:val="28"/>
          <w:szCs w:val="28"/>
          <w:highlight w:val="none"/>
        </w:rPr>
        <w:t>。</w:t>
      </w:r>
    </w:p>
    <w:p>
      <w:pPr>
        <w:pStyle w:val="3"/>
        <w:spacing w:before="0" w:after="0" w:line="58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35" w:name="_Toc19711"/>
      <w:r>
        <w:rPr>
          <w:rFonts w:hint="eastAsia" w:ascii="仿宋" w:hAnsi="仿宋" w:eastAsia="仿宋" w:cs="仿宋"/>
          <w:b/>
          <w:szCs w:val="24"/>
          <w:highlight w:val="none"/>
        </w:rPr>
        <w:t>第</w:t>
      </w:r>
      <w:r>
        <w:rPr>
          <w:rFonts w:hint="eastAsia" w:ascii="仿宋" w:hAnsi="仿宋" w:eastAsia="仿宋" w:cs="仿宋"/>
          <w:b/>
          <w:szCs w:val="24"/>
          <w:highlight w:val="none"/>
          <w:lang w:val="en-US" w:eastAsia="zh-CN"/>
        </w:rPr>
        <w:t>四</w:t>
      </w:r>
      <w:r>
        <w:rPr>
          <w:rFonts w:hint="eastAsia" w:ascii="仿宋" w:hAnsi="仿宋" w:eastAsia="仿宋" w:cs="仿宋"/>
          <w:b/>
          <w:szCs w:val="24"/>
          <w:highlight w:val="none"/>
        </w:rPr>
        <w:t>章  采购要求</w:t>
      </w:r>
      <w:bookmarkEnd w:id="35"/>
    </w:p>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一、</w:t>
      </w:r>
      <w:r>
        <w:rPr>
          <w:rFonts w:hint="eastAsia" w:ascii="仿宋" w:hAnsi="仿宋" w:cs="仿宋"/>
          <w:b/>
          <w:bCs/>
          <w:color w:val="000000"/>
          <w:sz w:val="30"/>
          <w:szCs w:val="30"/>
          <w:highlight w:val="none"/>
          <w:lang w:val="en-US" w:eastAsia="zh-CN"/>
        </w:rPr>
        <w:t>采购</w:t>
      </w:r>
      <w:r>
        <w:rPr>
          <w:rFonts w:hint="eastAsia" w:ascii="仿宋" w:hAnsi="仿宋" w:eastAsia="仿宋" w:cs="仿宋"/>
          <w:b/>
          <w:bCs/>
          <w:color w:val="000000"/>
          <w:sz w:val="30"/>
          <w:szCs w:val="30"/>
          <w:highlight w:val="none"/>
        </w:rPr>
        <w:t>项目内容、数量：</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4625"/>
        <w:gridCol w:w="1263"/>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52" w:type="pct"/>
            <w:noWrap/>
            <w:vAlign w:val="center"/>
          </w:tcPr>
          <w:p>
            <w:pPr>
              <w:pStyle w:val="22"/>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2435" w:type="pct"/>
            <w:noWrap/>
            <w:vAlign w:val="center"/>
          </w:tcPr>
          <w:p>
            <w:pPr>
              <w:pStyle w:val="22"/>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665" w:type="pct"/>
            <w:noWrap/>
            <w:vAlign w:val="center"/>
          </w:tcPr>
          <w:p>
            <w:pPr>
              <w:pStyle w:val="22"/>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1246" w:type="pct"/>
            <w:noWrap/>
            <w:vAlign w:val="center"/>
          </w:tcPr>
          <w:p>
            <w:pPr>
              <w:pStyle w:val="22"/>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52" w:type="pct"/>
            <w:noWrap/>
            <w:vAlign w:val="center"/>
          </w:tcPr>
          <w:p>
            <w:pPr>
              <w:numPr>
                <w:ilvl w:val="0"/>
                <w:numId w:val="10"/>
              </w:numPr>
              <w:spacing w:line="360" w:lineRule="auto"/>
              <w:jc w:val="center"/>
              <w:rPr>
                <w:rFonts w:hint="eastAsia" w:ascii="仿宋" w:hAnsi="仿宋" w:eastAsia="仿宋" w:cs="仿宋"/>
                <w:color w:val="000000"/>
                <w:sz w:val="28"/>
                <w:szCs w:val="28"/>
                <w:highlight w:val="none"/>
              </w:rPr>
            </w:pPr>
          </w:p>
        </w:tc>
        <w:tc>
          <w:tcPr>
            <w:tcW w:w="2435" w:type="pct"/>
            <w:noWrap/>
            <w:vAlign w:val="center"/>
          </w:tcPr>
          <w:p>
            <w:pPr>
              <w:spacing w:line="240" w:lineRule="auto"/>
              <w:jc w:val="left"/>
              <w:rPr>
                <w:rFonts w:hint="eastAsia" w:ascii="仿宋" w:hAnsi="仿宋" w:eastAsia="仿宋" w:cs="仿宋"/>
                <w:sz w:val="28"/>
                <w:szCs w:val="28"/>
                <w:highlight w:val="none"/>
              </w:rPr>
            </w:pPr>
            <w:r>
              <w:rPr>
                <w:rFonts w:hint="eastAsia" w:ascii="仿宋" w:hAnsi="仿宋" w:eastAsia="仿宋" w:cs="仿宋"/>
                <w:b/>
                <w:bCs/>
                <w:spacing w:val="0"/>
                <w:kern w:val="2"/>
                <w:sz w:val="28"/>
                <w:szCs w:val="28"/>
                <w:highlight w:val="none"/>
                <w:lang w:val="en-US" w:eastAsia="zh-CN" w:bidi="ar-SA"/>
              </w:rPr>
              <w:t>经颅直流电刺激仪</w:t>
            </w:r>
          </w:p>
        </w:tc>
        <w:tc>
          <w:tcPr>
            <w:tcW w:w="665" w:type="pct"/>
            <w:noWrap/>
            <w:vAlign w:val="center"/>
          </w:tcPr>
          <w:p>
            <w:pPr>
              <w:spacing w:line="240" w:lineRule="auto"/>
              <w:jc w:val="center"/>
              <w:rPr>
                <w:rFonts w:hint="eastAsia" w:ascii="仿宋" w:hAnsi="仿宋" w:eastAsia="仿宋" w:cs="仿宋"/>
                <w:sz w:val="28"/>
                <w:szCs w:val="28"/>
                <w:highlight w:val="none"/>
                <w:lang w:eastAsia="zh-CN"/>
              </w:rPr>
            </w:pPr>
            <w:r>
              <w:rPr>
                <w:rFonts w:hint="eastAsia" w:ascii="仿宋" w:hAnsi="仿宋" w:eastAsia="仿宋" w:cs="仿宋"/>
                <w:b/>
                <w:bCs/>
                <w:spacing w:val="0"/>
                <w:kern w:val="2"/>
                <w:sz w:val="28"/>
                <w:szCs w:val="28"/>
                <w:highlight w:val="none"/>
                <w:lang w:val="en-US" w:eastAsia="zh-CN" w:bidi="ar-SA"/>
              </w:rPr>
              <w:t>1套</w:t>
            </w:r>
          </w:p>
        </w:tc>
        <w:tc>
          <w:tcPr>
            <w:tcW w:w="1246" w:type="pct"/>
            <w:noWrap/>
            <w:vAlign w:val="center"/>
          </w:tcPr>
          <w:p>
            <w:pPr>
              <w:spacing w:line="240" w:lineRule="auto"/>
              <w:jc w:val="center"/>
              <w:rPr>
                <w:rFonts w:hint="eastAsia" w:ascii="仿宋" w:hAnsi="仿宋" w:eastAsia="仿宋" w:cs="仿宋"/>
                <w:color w:val="000000"/>
                <w:sz w:val="28"/>
                <w:szCs w:val="28"/>
                <w:highlight w:val="none"/>
              </w:rPr>
            </w:pPr>
          </w:p>
        </w:tc>
      </w:tr>
    </w:tbl>
    <w:p>
      <w:pPr>
        <w:spacing w:line="480" w:lineRule="exact"/>
        <w:rPr>
          <w:rFonts w:hint="eastAsia" w:ascii="仿宋" w:hAnsi="仿宋" w:eastAsia="仿宋" w:cs="仿宋"/>
          <w:b/>
          <w:sz w:val="30"/>
          <w:szCs w:val="30"/>
          <w:highlight w:val="none"/>
          <w:lang w:eastAsia="zh-CN"/>
        </w:rPr>
      </w:pPr>
      <w:r>
        <w:rPr>
          <w:rFonts w:hint="eastAsia" w:ascii="仿宋" w:hAnsi="仿宋" w:eastAsia="仿宋" w:cs="仿宋"/>
          <w:b/>
          <w:bCs/>
          <w:color w:val="000000"/>
          <w:sz w:val="30"/>
          <w:szCs w:val="30"/>
          <w:highlight w:val="none"/>
          <w:lang w:val="en-US" w:eastAsia="zh-CN"/>
        </w:rPr>
        <w:t>二、采购设备</w:t>
      </w:r>
      <w:r>
        <w:rPr>
          <w:rFonts w:hint="eastAsia" w:ascii="仿宋" w:hAnsi="仿宋" w:eastAsia="仿宋" w:cs="仿宋"/>
          <w:b/>
          <w:bCs/>
          <w:color w:val="000000"/>
          <w:sz w:val="30"/>
          <w:szCs w:val="30"/>
          <w:highlight w:val="none"/>
        </w:rPr>
        <w:t>技术参数</w:t>
      </w:r>
      <w:r>
        <w:rPr>
          <w:rFonts w:hint="eastAsia" w:ascii="仿宋" w:hAnsi="仿宋" w:eastAsia="仿宋" w:cs="仿宋"/>
          <w:b/>
          <w:bCs/>
          <w:color w:val="0D0D0D"/>
          <w:sz w:val="30"/>
          <w:szCs w:val="30"/>
          <w:highlight w:val="none"/>
        </w:rPr>
        <w:t>要求：</w:t>
      </w:r>
    </w:p>
    <w:p>
      <w:pPr>
        <w:keepNext w:val="0"/>
        <w:keepLines w:val="0"/>
        <w:pageBreakBefore w:val="0"/>
        <w:widowControl/>
        <w:numPr>
          <w:ilvl w:val="0"/>
          <w:numId w:val="11"/>
        </w:numPr>
        <w:kinsoku/>
        <w:wordWrap/>
        <w:overflowPunct/>
        <w:topLinePunct w:val="0"/>
        <w:autoSpaceDE/>
        <w:autoSpaceDN/>
        <w:bidi w:val="0"/>
        <w:adjustRightInd w:val="0"/>
        <w:snapToGrid w:val="0"/>
        <w:spacing w:line="360" w:lineRule="auto"/>
        <w:ind w:left="36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汉语失语症心理语言评价与训练系统总体功能</w:t>
      </w:r>
    </w:p>
    <w:p>
      <w:pPr>
        <w:keepNext w:val="0"/>
        <w:keepLines w:val="0"/>
        <w:pageBreakBefore w:val="0"/>
        <w:kinsoku/>
        <w:wordWrap/>
        <w:overflowPunct/>
        <w:topLinePunct w:val="0"/>
        <w:autoSpaceDE/>
        <w:autoSpaceDN/>
        <w:bidi w:val="0"/>
        <w:adjustRightInd w:val="0"/>
        <w:snapToGrid w:val="0"/>
        <w:spacing w:line="360" w:lineRule="auto"/>
        <w:ind w:left="6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 根据汉语语言加工理论编制，包括汉语失语症心理语言评价、训练两大部分。</w:t>
      </w:r>
    </w:p>
    <w:p>
      <w:pPr>
        <w:keepNext w:val="0"/>
        <w:keepLines w:val="0"/>
        <w:pageBreakBefore w:val="0"/>
        <w:kinsoku/>
        <w:wordWrap/>
        <w:overflowPunct/>
        <w:topLinePunct w:val="0"/>
        <w:autoSpaceDE/>
        <w:autoSpaceDN/>
        <w:bidi w:val="0"/>
        <w:adjustRightInd w:val="0"/>
        <w:snapToGrid w:val="0"/>
        <w:spacing w:line="360" w:lineRule="auto"/>
        <w:ind w:left="6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 采用形象直观的流程图进行导航，便于治疗师快速选择评价与训练方法。</w:t>
      </w:r>
    </w:p>
    <w:p>
      <w:pPr>
        <w:keepNext w:val="0"/>
        <w:keepLines w:val="0"/>
        <w:pageBreakBefore w:val="0"/>
        <w:kinsoku/>
        <w:wordWrap/>
        <w:overflowPunct/>
        <w:topLinePunct w:val="0"/>
        <w:autoSpaceDE/>
        <w:autoSpaceDN/>
        <w:bidi w:val="0"/>
        <w:adjustRightInd w:val="0"/>
        <w:snapToGrid w:val="0"/>
        <w:spacing w:line="360" w:lineRule="auto"/>
        <w:ind w:left="6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 采用模块式设计的评价与训练方法，针对性强、易于扩充、操作简便、人机界面友好。</w:t>
      </w:r>
    </w:p>
    <w:p>
      <w:pPr>
        <w:keepNext w:val="0"/>
        <w:keepLines w:val="0"/>
        <w:pageBreakBefore w:val="0"/>
        <w:kinsoku/>
        <w:wordWrap/>
        <w:overflowPunct/>
        <w:topLinePunct w:val="0"/>
        <w:autoSpaceDE/>
        <w:autoSpaceDN/>
        <w:bidi w:val="0"/>
        <w:adjustRightInd w:val="0"/>
        <w:snapToGrid w:val="0"/>
        <w:spacing w:line="360" w:lineRule="auto"/>
        <w:ind w:left="6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1.4 评价与训练结合紧密：治疗师通过评价系统评估患者的受损情况，确定障碍产生的原因，再通过训练系统进行针对性训练。</w:t>
      </w:r>
    </w:p>
    <w:p>
      <w:pPr>
        <w:keepNext w:val="0"/>
        <w:keepLines w:val="0"/>
        <w:pageBreakBefore w:val="0"/>
        <w:kinsoku/>
        <w:wordWrap/>
        <w:overflowPunct/>
        <w:topLinePunct w:val="0"/>
        <w:autoSpaceDE/>
        <w:autoSpaceDN/>
        <w:bidi w:val="0"/>
        <w:adjustRightInd w:val="0"/>
        <w:snapToGrid w:val="0"/>
        <w:spacing w:line="360" w:lineRule="auto"/>
        <w:ind w:left="6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1.5 评价与训练可全程录音，支持多种统计工具的数据分析。</w:t>
      </w:r>
    </w:p>
    <w:p>
      <w:pPr>
        <w:keepNext w:val="0"/>
        <w:keepLines w:val="0"/>
        <w:pageBreakBefore w:val="0"/>
        <w:kinsoku/>
        <w:wordWrap/>
        <w:overflowPunct/>
        <w:topLinePunct w:val="0"/>
        <w:autoSpaceDE/>
        <w:autoSpaceDN/>
        <w:bidi w:val="0"/>
        <w:adjustRightInd w:val="0"/>
        <w:snapToGrid w:val="0"/>
        <w:spacing w:line="360" w:lineRule="auto"/>
        <w:ind w:left="6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1.6 评价及训练素材内容丰富，近万张图片、数十小时录制的专业播音员语音。</w:t>
      </w:r>
    </w:p>
    <w:p>
      <w:pPr>
        <w:keepNext w:val="0"/>
        <w:keepLines w:val="0"/>
        <w:pageBreakBefore w:val="0"/>
        <w:kinsoku/>
        <w:wordWrap/>
        <w:overflowPunct/>
        <w:topLinePunct w:val="0"/>
        <w:autoSpaceDE/>
        <w:autoSpaceDN/>
        <w:bidi w:val="0"/>
        <w:adjustRightInd w:val="0"/>
        <w:snapToGrid w:val="0"/>
        <w:spacing w:line="360" w:lineRule="auto"/>
        <w:ind w:left="6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1.7 帮助文档内容翔实，操作简便，提供每个测验模块的设计思路。</w:t>
      </w:r>
    </w:p>
    <w:p>
      <w:pPr>
        <w:keepNext w:val="0"/>
        <w:keepLines w:val="0"/>
        <w:pageBreakBefore w:val="0"/>
        <w:kinsoku/>
        <w:wordWrap/>
        <w:overflowPunct/>
        <w:topLinePunct w:val="0"/>
        <w:autoSpaceDE/>
        <w:autoSpaceDN/>
        <w:bidi w:val="0"/>
        <w:adjustRightInd w:val="0"/>
        <w:snapToGrid w:val="0"/>
        <w:spacing w:line="360" w:lineRule="auto"/>
        <w:ind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 汉语失语症心理语言评价功能</w:t>
      </w:r>
    </w:p>
    <w:p>
      <w:pPr>
        <w:keepNext w:val="0"/>
        <w:keepLines w:val="0"/>
        <w:pageBreakBefore w:val="0"/>
        <w:kinsoku/>
        <w:wordWrap/>
        <w:overflowPunct/>
        <w:topLinePunct w:val="0"/>
        <w:autoSpaceDE/>
        <w:autoSpaceDN/>
        <w:bidi w:val="0"/>
        <w:adjustRightInd w:val="0"/>
        <w:snapToGrid w:val="0"/>
        <w:spacing w:line="360" w:lineRule="auto"/>
        <w:ind w:left="6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2.1 独立的评价方法供选择：</w:t>
      </w:r>
    </w:p>
    <w:p>
      <w:pPr>
        <w:keepNext w:val="0"/>
        <w:keepLines w:val="0"/>
        <w:pageBreakBefore w:val="0"/>
        <w:widowControl/>
        <w:numPr>
          <w:ilvl w:val="0"/>
          <w:numId w:val="12"/>
        </w:numPr>
        <w:kinsoku/>
        <w:wordWrap/>
        <w:overflowPunct/>
        <w:topLinePunct w:val="0"/>
        <w:autoSpaceDE/>
        <w:autoSpaceDN/>
        <w:bidi w:val="0"/>
        <w:adjustRightInd w:val="0"/>
        <w:snapToGrid w:val="0"/>
        <w:spacing w:line="360" w:lineRule="auto"/>
        <w:ind w:left="980" w:left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包括名词、动词、句子理解与产生的检查系统；</w:t>
      </w:r>
    </w:p>
    <w:p>
      <w:pPr>
        <w:keepNext w:val="0"/>
        <w:keepLines w:val="0"/>
        <w:pageBreakBefore w:val="0"/>
        <w:widowControl/>
        <w:numPr>
          <w:ilvl w:val="0"/>
          <w:numId w:val="12"/>
        </w:numPr>
        <w:kinsoku/>
        <w:wordWrap/>
        <w:overflowPunct/>
        <w:topLinePunct w:val="0"/>
        <w:autoSpaceDE/>
        <w:autoSpaceDN/>
        <w:bidi w:val="0"/>
        <w:adjustRightInd w:val="0"/>
        <w:snapToGrid w:val="0"/>
        <w:spacing w:line="360" w:lineRule="auto"/>
        <w:ind w:left="980" w:left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包括听理解、看图命名、阅读朗读、复述、书写等多方面的检查；</w:t>
      </w:r>
    </w:p>
    <w:p>
      <w:pPr>
        <w:keepNext w:val="0"/>
        <w:keepLines w:val="0"/>
        <w:pageBreakBefore w:val="0"/>
        <w:widowControl/>
        <w:numPr>
          <w:ilvl w:val="0"/>
          <w:numId w:val="12"/>
        </w:numPr>
        <w:kinsoku/>
        <w:wordWrap/>
        <w:overflowPunct/>
        <w:topLinePunct w:val="0"/>
        <w:autoSpaceDE/>
        <w:autoSpaceDN/>
        <w:bidi w:val="0"/>
        <w:adjustRightInd w:val="0"/>
        <w:snapToGrid w:val="0"/>
        <w:spacing w:line="360" w:lineRule="auto"/>
        <w:ind w:left="980" w:left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包含听理解、阅读理解、命名等动词检查；</w:t>
      </w:r>
    </w:p>
    <w:p>
      <w:pPr>
        <w:keepNext w:val="0"/>
        <w:keepLines w:val="0"/>
        <w:pageBreakBefore w:val="0"/>
        <w:widowControl/>
        <w:numPr>
          <w:ilvl w:val="0"/>
          <w:numId w:val="12"/>
        </w:numPr>
        <w:kinsoku/>
        <w:wordWrap/>
        <w:overflowPunct/>
        <w:topLinePunct w:val="0"/>
        <w:autoSpaceDE/>
        <w:autoSpaceDN/>
        <w:bidi w:val="0"/>
        <w:adjustRightInd w:val="0"/>
        <w:snapToGrid w:val="0"/>
        <w:spacing w:line="360" w:lineRule="auto"/>
        <w:ind w:left="980" w:left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包含功能水平、位置水平、语段产生的整合水平等方面的句子检查。</w:t>
      </w:r>
    </w:p>
    <w:p>
      <w:pPr>
        <w:keepNext w:val="0"/>
        <w:keepLines w:val="0"/>
        <w:pageBreakBefore w:val="0"/>
        <w:kinsoku/>
        <w:wordWrap/>
        <w:overflowPunct/>
        <w:topLinePunct w:val="0"/>
        <w:autoSpaceDE/>
        <w:autoSpaceDN/>
        <w:bidi w:val="0"/>
        <w:adjustRightInd w:val="0"/>
        <w:snapToGrid w:val="0"/>
        <w:spacing w:line="360" w:lineRule="auto"/>
        <w:ind w:left="6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2.2 对患者的言语反应可录音，并计算平均反应时；</w:t>
      </w:r>
    </w:p>
    <w:p>
      <w:pPr>
        <w:keepNext w:val="0"/>
        <w:keepLines w:val="0"/>
        <w:pageBreakBefore w:val="0"/>
        <w:kinsoku/>
        <w:wordWrap/>
        <w:overflowPunct/>
        <w:topLinePunct w:val="0"/>
        <w:autoSpaceDE/>
        <w:autoSpaceDN/>
        <w:bidi w:val="0"/>
        <w:adjustRightInd w:val="0"/>
        <w:snapToGrid w:val="0"/>
        <w:spacing w:line="360" w:lineRule="auto"/>
        <w:ind w:left="6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2.3 统计错语类型，分析反应错误性质；</w:t>
      </w:r>
    </w:p>
    <w:p>
      <w:pPr>
        <w:keepNext w:val="0"/>
        <w:keepLines w:val="0"/>
        <w:pageBreakBefore w:val="0"/>
        <w:kinsoku/>
        <w:wordWrap/>
        <w:overflowPunct/>
        <w:topLinePunct w:val="0"/>
        <w:autoSpaceDE/>
        <w:autoSpaceDN/>
        <w:bidi w:val="0"/>
        <w:adjustRightInd w:val="0"/>
        <w:snapToGrid w:val="0"/>
        <w:spacing w:line="360" w:lineRule="auto"/>
        <w:ind w:left="6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2.4 检查结果用量化方式呈现，方便统计；</w:t>
      </w:r>
    </w:p>
    <w:p>
      <w:pPr>
        <w:keepNext w:val="0"/>
        <w:keepLines w:val="0"/>
        <w:pageBreakBefore w:val="0"/>
        <w:kinsoku/>
        <w:wordWrap/>
        <w:overflowPunct/>
        <w:topLinePunct w:val="0"/>
        <w:autoSpaceDE/>
        <w:autoSpaceDN/>
        <w:bidi w:val="0"/>
        <w:adjustRightInd w:val="0"/>
        <w:snapToGrid w:val="0"/>
        <w:spacing w:line="360" w:lineRule="auto"/>
        <w:ind w:left="6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 与汉语失语症心理语言训练系统紧密结合，可直接进行针对性训练；</w:t>
      </w:r>
    </w:p>
    <w:p>
      <w:pPr>
        <w:keepNext w:val="0"/>
        <w:keepLines w:val="0"/>
        <w:pageBreakBefore w:val="0"/>
        <w:kinsoku/>
        <w:wordWrap/>
        <w:overflowPunct/>
        <w:topLinePunct w:val="0"/>
        <w:autoSpaceDE/>
        <w:autoSpaceDN/>
        <w:bidi w:val="0"/>
        <w:adjustRightInd w:val="0"/>
        <w:snapToGrid w:val="0"/>
        <w:spacing w:line="360" w:lineRule="auto"/>
        <w:ind w:left="36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 汉语失语症心理语言训练功能</w:t>
      </w:r>
    </w:p>
    <w:p>
      <w:pPr>
        <w:keepNext w:val="0"/>
        <w:keepLines w:val="0"/>
        <w:pageBreakBefore w:val="0"/>
        <w:kinsoku/>
        <w:wordWrap/>
        <w:overflowPunct/>
        <w:topLinePunct w:val="0"/>
        <w:autoSpaceDE/>
        <w:autoSpaceDN/>
        <w:bidi w:val="0"/>
        <w:adjustRightInd w:val="0"/>
        <w:snapToGrid w:val="0"/>
        <w:spacing w:line="360" w:lineRule="auto"/>
        <w:ind w:left="6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3.1 独立的训练方法供选择：</w:t>
      </w:r>
    </w:p>
    <w:p>
      <w:pPr>
        <w:keepNext w:val="0"/>
        <w:keepLines w:val="0"/>
        <w:pageBreakBefore w:val="0"/>
        <w:widowControl/>
        <w:numPr>
          <w:ilvl w:val="0"/>
          <w:numId w:val="13"/>
        </w:numPr>
        <w:kinsoku/>
        <w:wordWrap/>
        <w:overflowPunct/>
        <w:topLinePunct w:val="0"/>
        <w:autoSpaceDE/>
        <w:autoSpaceDN/>
        <w:bidi w:val="0"/>
        <w:adjustRightInd w:val="0"/>
        <w:snapToGrid w:val="0"/>
        <w:spacing w:line="360" w:lineRule="auto"/>
        <w:ind w:left="980" w:left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包括名词、动词、句子理解与产生的训练系统；</w:t>
      </w:r>
    </w:p>
    <w:p>
      <w:pPr>
        <w:keepNext w:val="0"/>
        <w:keepLines w:val="0"/>
        <w:pageBreakBefore w:val="0"/>
        <w:widowControl/>
        <w:numPr>
          <w:ilvl w:val="0"/>
          <w:numId w:val="13"/>
        </w:numPr>
        <w:kinsoku/>
        <w:wordWrap/>
        <w:overflowPunct/>
        <w:topLinePunct w:val="0"/>
        <w:autoSpaceDE/>
        <w:autoSpaceDN/>
        <w:bidi w:val="0"/>
        <w:adjustRightInd w:val="0"/>
        <w:snapToGrid w:val="0"/>
        <w:spacing w:line="360" w:lineRule="auto"/>
        <w:ind w:left="980" w:left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包括听、看、读等多方面的训练；</w:t>
      </w:r>
    </w:p>
    <w:p>
      <w:pPr>
        <w:keepNext w:val="0"/>
        <w:keepLines w:val="0"/>
        <w:pageBreakBefore w:val="0"/>
        <w:widowControl/>
        <w:numPr>
          <w:ilvl w:val="0"/>
          <w:numId w:val="13"/>
        </w:numPr>
        <w:kinsoku/>
        <w:wordWrap/>
        <w:overflowPunct/>
        <w:topLinePunct w:val="0"/>
        <w:autoSpaceDE/>
        <w:autoSpaceDN/>
        <w:bidi w:val="0"/>
        <w:adjustRightInd w:val="0"/>
        <w:snapToGrid w:val="0"/>
        <w:spacing w:line="360" w:lineRule="auto"/>
        <w:ind w:left="980" w:left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包含听理解、阅读理解、命名等动词训练；</w:t>
      </w:r>
    </w:p>
    <w:p>
      <w:pPr>
        <w:keepNext w:val="0"/>
        <w:keepLines w:val="0"/>
        <w:pageBreakBefore w:val="0"/>
        <w:widowControl/>
        <w:numPr>
          <w:ilvl w:val="0"/>
          <w:numId w:val="13"/>
        </w:numPr>
        <w:kinsoku/>
        <w:wordWrap/>
        <w:overflowPunct/>
        <w:topLinePunct w:val="0"/>
        <w:autoSpaceDE/>
        <w:autoSpaceDN/>
        <w:bidi w:val="0"/>
        <w:adjustRightInd w:val="0"/>
        <w:snapToGrid w:val="0"/>
        <w:spacing w:line="360" w:lineRule="auto"/>
        <w:ind w:left="980" w:left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包含功能水平、位置水平、语段产生的整合等水平的等方面的句子训练；</w:t>
      </w:r>
    </w:p>
    <w:p>
      <w:pPr>
        <w:keepNext w:val="0"/>
        <w:keepLines w:val="0"/>
        <w:pageBreakBefore w:val="0"/>
        <w:kinsoku/>
        <w:wordWrap/>
        <w:overflowPunct/>
        <w:topLinePunct w:val="0"/>
        <w:autoSpaceDE/>
        <w:autoSpaceDN/>
        <w:bidi w:val="0"/>
        <w:adjustRightInd w:val="0"/>
        <w:snapToGrid w:val="0"/>
        <w:spacing w:line="360" w:lineRule="auto"/>
        <w:ind w:left="6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 对患者的言语反应可录音，并计算、记录每次训练时的平均反应时、正确率等结果；</w:t>
      </w:r>
    </w:p>
    <w:p>
      <w:pPr>
        <w:keepNext w:val="0"/>
        <w:keepLines w:val="0"/>
        <w:pageBreakBefore w:val="0"/>
        <w:kinsoku/>
        <w:wordWrap/>
        <w:overflowPunct/>
        <w:topLinePunct w:val="0"/>
        <w:autoSpaceDE/>
        <w:autoSpaceDN/>
        <w:bidi w:val="0"/>
        <w:adjustRightInd w:val="0"/>
        <w:snapToGrid w:val="0"/>
        <w:spacing w:line="360" w:lineRule="auto"/>
        <w:ind w:left="6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3.3 与汉语失语症心理语言评价系统紧密结合，可直接进行针对性检查；</w:t>
      </w:r>
    </w:p>
    <w:p>
      <w:pPr>
        <w:keepNext w:val="0"/>
        <w:keepLines w:val="0"/>
        <w:pageBreakBefore w:val="0"/>
        <w:kinsoku/>
        <w:wordWrap/>
        <w:overflowPunct/>
        <w:topLinePunct w:val="0"/>
        <w:autoSpaceDE/>
        <w:autoSpaceDN/>
        <w:bidi w:val="0"/>
        <w:adjustRightInd w:val="0"/>
        <w:snapToGrid w:val="0"/>
        <w:spacing w:line="360" w:lineRule="auto"/>
        <w:ind w:left="36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 经颅直流电参数：</w:t>
      </w:r>
    </w:p>
    <w:p>
      <w:pPr>
        <w:keepNext w:val="0"/>
        <w:keepLines w:val="0"/>
        <w:pageBreakBefore w:val="0"/>
        <w:kinsoku/>
        <w:wordWrap/>
        <w:overflowPunct/>
        <w:topLinePunct w:val="0"/>
        <w:autoSpaceDE/>
        <w:autoSpaceDN/>
        <w:bidi w:val="0"/>
        <w:adjustRightInd w:val="0"/>
        <w:snapToGrid w:val="0"/>
        <w:spacing w:line="360" w:lineRule="auto"/>
        <w:ind w:right="499"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4.1采用无线数字传输设置参数，额定最大发射功率1mW（0dBm），连接器与电刺激器之间无物体阻挡情况下的无线传输距离≥3m。</w:t>
      </w:r>
    </w:p>
    <w:p>
      <w:pPr>
        <w:keepNext w:val="0"/>
        <w:keepLines w:val="0"/>
        <w:pageBreakBefore w:val="0"/>
        <w:kinsoku/>
        <w:wordWrap/>
        <w:overflowPunct/>
        <w:topLinePunct w:val="0"/>
        <w:autoSpaceDE/>
        <w:autoSpaceDN/>
        <w:bidi w:val="0"/>
        <w:adjustRightInd w:val="0"/>
        <w:snapToGrid w:val="0"/>
        <w:spacing w:line="360" w:lineRule="auto"/>
        <w:ind w:right="499"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4.2性能指标：</w:t>
      </w:r>
    </w:p>
    <w:p>
      <w:pPr>
        <w:keepNext w:val="0"/>
        <w:keepLines w:val="0"/>
        <w:pageBreakBefore w:val="0"/>
        <w:kinsoku/>
        <w:wordWrap/>
        <w:overflowPunct/>
        <w:topLinePunct w:val="0"/>
        <w:autoSpaceDE/>
        <w:autoSpaceDN/>
        <w:bidi w:val="0"/>
        <w:adjustRightInd w:val="0"/>
        <w:snapToGrid w:val="0"/>
        <w:spacing w:line="360" w:lineRule="auto"/>
        <w:ind w:left="840" w:leftChars="300" w:right="499"/>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4.2.1 直流电刺激输出强度：0～2mA可调，有慢调（每次增或减0.02mA）和快调（每次增或减0.1mA）二种选择；</w:t>
      </w:r>
    </w:p>
    <w:p>
      <w:pPr>
        <w:keepNext w:val="0"/>
        <w:keepLines w:val="0"/>
        <w:pageBreakBefore w:val="0"/>
        <w:kinsoku/>
        <w:wordWrap/>
        <w:overflowPunct/>
        <w:topLinePunct w:val="0"/>
        <w:autoSpaceDE/>
        <w:autoSpaceDN/>
        <w:bidi w:val="0"/>
        <w:adjustRightInd w:val="0"/>
        <w:snapToGrid w:val="0"/>
        <w:spacing w:line="360" w:lineRule="auto"/>
        <w:ind w:left="840" w:leftChars="300" w:right="499"/>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 脉冲电刺激输出强度：0～15mA可调，采用三角波治疗模式，最大频率0.97Hz，最大脉宽2秒，有慢调（每次增或减0.1mA）和快调（每次增或减0.5mA）二种选择；</w:t>
      </w:r>
    </w:p>
    <w:p>
      <w:pPr>
        <w:keepNext w:val="0"/>
        <w:keepLines w:val="0"/>
        <w:pageBreakBefore w:val="0"/>
        <w:kinsoku/>
        <w:wordWrap/>
        <w:overflowPunct/>
        <w:topLinePunct w:val="0"/>
        <w:autoSpaceDE/>
        <w:autoSpaceDN/>
        <w:bidi w:val="0"/>
        <w:adjustRightInd w:val="0"/>
        <w:snapToGrid w:val="0"/>
        <w:spacing w:line="360" w:lineRule="auto"/>
        <w:ind w:right="499"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4.3 电刺激器使用可充电锂离子电池供电，电池充满电后可进行不少于20次的治疗（每次治疗时间为20分钟）。</w:t>
      </w:r>
    </w:p>
    <w:p>
      <w:pPr>
        <w:keepNext w:val="0"/>
        <w:keepLines w:val="0"/>
        <w:pageBreakBefore w:val="0"/>
        <w:kinsoku/>
        <w:wordWrap/>
        <w:overflowPunct/>
        <w:topLinePunct w:val="0"/>
        <w:autoSpaceDE/>
        <w:autoSpaceDN/>
        <w:bidi w:val="0"/>
        <w:adjustRightInd w:val="0"/>
        <w:snapToGrid w:val="0"/>
        <w:spacing w:line="360" w:lineRule="auto"/>
        <w:ind w:right="499"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4.4 功能：</w:t>
      </w:r>
    </w:p>
    <w:p>
      <w:pPr>
        <w:keepNext w:val="0"/>
        <w:keepLines w:val="0"/>
        <w:pageBreakBefore w:val="0"/>
        <w:kinsoku/>
        <w:wordWrap/>
        <w:overflowPunct/>
        <w:topLinePunct w:val="0"/>
        <w:autoSpaceDE/>
        <w:autoSpaceDN/>
        <w:bidi w:val="0"/>
        <w:adjustRightInd w:val="0"/>
        <w:snapToGrid w:val="0"/>
        <w:spacing w:line="360" w:lineRule="auto"/>
        <w:ind w:left="360" w:right="499" w:firstLine="585" w:firstLineChars="209"/>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4.4.1 具有直流电刺激和脉冲电刺激两种预设模式。</w:t>
      </w:r>
    </w:p>
    <w:p>
      <w:pPr>
        <w:keepNext w:val="0"/>
        <w:keepLines w:val="0"/>
        <w:pageBreakBefore w:val="0"/>
        <w:kinsoku/>
        <w:wordWrap/>
        <w:overflowPunct/>
        <w:topLinePunct w:val="0"/>
        <w:autoSpaceDE/>
        <w:autoSpaceDN/>
        <w:bidi w:val="0"/>
        <w:adjustRightInd w:val="0"/>
        <w:snapToGrid w:val="0"/>
        <w:spacing w:line="360" w:lineRule="auto"/>
        <w:ind w:left="360" w:right="499" w:firstLine="585" w:firstLineChars="209"/>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4.4.2 具有两种使用方式：在线模式与便携模式。</w:t>
      </w:r>
    </w:p>
    <w:p>
      <w:pPr>
        <w:keepNext w:val="0"/>
        <w:keepLines w:val="0"/>
        <w:pageBreakBefore w:val="0"/>
        <w:kinsoku/>
        <w:wordWrap/>
        <w:overflowPunct/>
        <w:topLinePunct w:val="0"/>
        <w:autoSpaceDE/>
        <w:autoSpaceDN/>
        <w:bidi w:val="0"/>
        <w:adjustRightInd w:val="0"/>
        <w:snapToGrid w:val="0"/>
        <w:spacing w:line="360" w:lineRule="auto"/>
        <w:ind w:left="360" w:right="499" w:firstLine="52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①在线模式：需在电脑旁边进行操作使用，距离连接器3m内即可；</w:t>
      </w:r>
    </w:p>
    <w:p>
      <w:pPr>
        <w:keepNext w:val="0"/>
        <w:keepLines w:val="0"/>
        <w:pageBreakBefore w:val="0"/>
        <w:kinsoku/>
        <w:wordWrap/>
        <w:overflowPunct/>
        <w:topLinePunct w:val="0"/>
        <w:autoSpaceDE/>
        <w:autoSpaceDN/>
        <w:bidi w:val="0"/>
        <w:adjustRightInd w:val="0"/>
        <w:snapToGrid w:val="0"/>
        <w:spacing w:line="360" w:lineRule="auto"/>
        <w:ind w:left="88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便携模式：在电刺激器开机前，预先插入储存有刺激参数的SD卡，可以将电刺激器拿到床边做治疗，实现便携操作，总治疗次数可设置。可实现同步治疗，治疗的同时可以做PT、OT、ST等康复训练，节省时间、增强疗效、加速患者康复。</w:t>
      </w:r>
    </w:p>
    <w:p>
      <w:pPr>
        <w:keepNext w:val="0"/>
        <w:keepLines w:val="0"/>
        <w:pageBreakBefore w:val="0"/>
        <w:kinsoku/>
        <w:wordWrap/>
        <w:overflowPunct/>
        <w:topLinePunct w:val="0"/>
        <w:autoSpaceDE/>
        <w:autoSpaceDN/>
        <w:bidi w:val="0"/>
        <w:adjustRightInd w:val="0"/>
        <w:snapToGrid w:val="0"/>
        <w:spacing w:line="360" w:lineRule="auto"/>
        <w:ind w:left="360" w:right="499" w:firstLine="585" w:firstLineChars="209"/>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4.4.3 能进行参数设置和存储：</w:t>
      </w:r>
    </w:p>
    <w:p>
      <w:pPr>
        <w:keepNext w:val="0"/>
        <w:keepLines w:val="0"/>
        <w:pageBreakBefore w:val="0"/>
        <w:kinsoku/>
        <w:wordWrap/>
        <w:overflowPunct/>
        <w:topLinePunct w:val="0"/>
        <w:autoSpaceDE/>
        <w:autoSpaceDN/>
        <w:bidi w:val="0"/>
        <w:adjustRightInd w:val="0"/>
        <w:snapToGrid w:val="0"/>
        <w:spacing w:line="360" w:lineRule="auto"/>
        <w:ind w:left="360" w:right="499" w:firstLine="52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①直流电刺激模式能设置和存储治疗时间、输出电流、上升时间；</w:t>
      </w:r>
    </w:p>
    <w:p>
      <w:pPr>
        <w:keepNext w:val="0"/>
        <w:keepLines w:val="0"/>
        <w:pageBreakBefore w:val="0"/>
        <w:kinsoku/>
        <w:wordWrap/>
        <w:overflowPunct/>
        <w:topLinePunct w:val="0"/>
        <w:autoSpaceDE/>
        <w:autoSpaceDN/>
        <w:bidi w:val="0"/>
        <w:adjustRightInd w:val="0"/>
        <w:snapToGrid w:val="0"/>
        <w:spacing w:line="360" w:lineRule="auto"/>
        <w:ind w:left="880" w:right="499"/>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②脉冲电刺激模式能设置和存储治疗时间、输出电流、脉冲宽度、上升宽度、间隔宽度。</w:t>
      </w:r>
    </w:p>
    <w:p>
      <w:pPr>
        <w:keepNext w:val="0"/>
        <w:keepLines w:val="0"/>
        <w:pageBreakBefore w:val="0"/>
        <w:kinsoku/>
        <w:wordWrap/>
        <w:overflowPunct/>
        <w:topLinePunct w:val="0"/>
        <w:autoSpaceDE/>
        <w:autoSpaceDN/>
        <w:bidi w:val="0"/>
        <w:adjustRightInd w:val="0"/>
        <w:snapToGrid w:val="0"/>
        <w:spacing w:line="360" w:lineRule="auto"/>
        <w:ind w:left="360" w:right="499" w:firstLine="585" w:firstLineChars="209"/>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4.4.4能手动调节输出电流（步进式增大或减小）。</w:t>
      </w:r>
    </w:p>
    <w:p>
      <w:pPr>
        <w:keepNext w:val="0"/>
        <w:keepLines w:val="0"/>
        <w:pageBreakBefore w:val="0"/>
        <w:kinsoku/>
        <w:wordWrap/>
        <w:overflowPunct/>
        <w:topLinePunct w:val="0"/>
        <w:autoSpaceDE/>
        <w:autoSpaceDN/>
        <w:bidi w:val="0"/>
        <w:adjustRightInd w:val="0"/>
        <w:snapToGrid w:val="0"/>
        <w:spacing w:line="360" w:lineRule="auto"/>
        <w:ind w:right="499"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4.5 连接1个电刺激器。具有升级功能，升级最多可同时连接4个电刺激器；各电刺激器之间相互独立，能同时进行不同用途的电刺激治疗。</w:t>
      </w:r>
    </w:p>
    <w:p>
      <w:pPr>
        <w:keepNext w:val="0"/>
        <w:keepLines w:val="0"/>
        <w:pageBreakBefore w:val="0"/>
        <w:kinsoku/>
        <w:wordWrap/>
        <w:overflowPunct/>
        <w:topLinePunct w:val="0"/>
        <w:autoSpaceDE/>
        <w:autoSpaceDN/>
        <w:bidi w:val="0"/>
        <w:adjustRightInd w:val="0"/>
        <w:snapToGrid w:val="0"/>
        <w:spacing w:line="360" w:lineRule="auto"/>
        <w:ind w:right="499"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4.6 具有电极阻抗检测功能，可实时显示电极阻抗。</w:t>
      </w:r>
    </w:p>
    <w:p>
      <w:pPr>
        <w:keepNext w:val="0"/>
        <w:keepLines w:val="0"/>
        <w:pageBreakBefore w:val="0"/>
        <w:kinsoku/>
        <w:wordWrap/>
        <w:overflowPunct/>
        <w:topLinePunct w:val="0"/>
        <w:autoSpaceDE/>
        <w:autoSpaceDN/>
        <w:bidi w:val="0"/>
        <w:adjustRightInd w:val="0"/>
        <w:snapToGrid w:val="0"/>
        <w:spacing w:line="360" w:lineRule="auto"/>
        <w:ind w:right="499"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4.7 具有自检功能：输出过程中能监测输出开路或输出阻抗过大等现象，并予以提示和停止输出。</w:t>
      </w:r>
    </w:p>
    <w:p>
      <w:pPr>
        <w:keepNext w:val="0"/>
        <w:keepLines w:val="0"/>
        <w:pageBreakBefore w:val="0"/>
        <w:kinsoku/>
        <w:wordWrap/>
        <w:overflowPunct/>
        <w:topLinePunct w:val="0"/>
        <w:autoSpaceDE/>
        <w:autoSpaceDN/>
        <w:bidi w:val="0"/>
        <w:adjustRightInd w:val="0"/>
        <w:snapToGrid w:val="0"/>
        <w:spacing w:line="360" w:lineRule="auto"/>
        <w:ind w:right="499"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4.8直流电刺激模式下具有假刺激功能，可进行随机双盲对照实验。</w:t>
      </w:r>
    </w:p>
    <w:p>
      <w:pPr>
        <w:keepNext w:val="0"/>
        <w:keepLines w:val="0"/>
        <w:pageBreakBefore w:val="0"/>
        <w:kinsoku/>
        <w:wordWrap/>
        <w:overflowPunct/>
        <w:topLinePunct w:val="0"/>
        <w:autoSpaceDE/>
        <w:autoSpaceDN/>
        <w:bidi w:val="0"/>
        <w:adjustRightInd w:val="0"/>
        <w:snapToGrid w:val="0"/>
        <w:spacing w:line="360" w:lineRule="auto"/>
        <w:ind w:right="499"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4.9 脉冲电刺激模块参数规格：</w:t>
      </w:r>
    </w:p>
    <w:p>
      <w:pPr>
        <w:pStyle w:val="25"/>
        <w:keepNext w:val="0"/>
        <w:keepLines w:val="0"/>
        <w:pageBreakBefore w:val="0"/>
        <w:numPr>
          <w:ilvl w:val="0"/>
          <w:numId w:val="0"/>
        </w:numPr>
        <w:kinsoku/>
        <w:wordWrap/>
        <w:overflowPunct/>
        <w:topLinePunct w:val="0"/>
        <w:autoSpaceDE/>
        <w:autoSpaceDN/>
        <w:bidi w:val="0"/>
        <w:adjustRightInd w:val="0"/>
        <w:snapToGrid w:val="0"/>
        <w:spacing w:line="360" w:lineRule="auto"/>
        <w:ind w:leftChars="19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①可以针对脑损伤部位不同，采取经颅直流电刺激治疗或脉冲电刺激模式，实现吞咽功能障碍的治疗；</w:t>
      </w:r>
    </w:p>
    <w:p>
      <w:pPr>
        <w:pStyle w:val="25"/>
        <w:keepNext w:val="0"/>
        <w:keepLines w:val="0"/>
        <w:pageBreakBefore w:val="0"/>
        <w:numPr>
          <w:ilvl w:val="0"/>
          <w:numId w:val="0"/>
        </w:numPr>
        <w:kinsoku/>
        <w:wordWrap/>
        <w:overflowPunct/>
        <w:topLinePunct w:val="0"/>
        <w:autoSpaceDE/>
        <w:autoSpaceDN/>
        <w:bidi w:val="0"/>
        <w:adjustRightInd w:val="0"/>
        <w:snapToGrid w:val="0"/>
        <w:spacing w:line="360" w:lineRule="auto"/>
        <w:ind w:leftChars="19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②采用便携式设计，方便治疗师到病房进行床旁治疗；</w:t>
      </w:r>
    </w:p>
    <w:p>
      <w:pPr>
        <w:pStyle w:val="25"/>
        <w:keepNext w:val="0"/>
        <w:keepLines w:val="0"/>
        <w:pageBreakBefore w:val="0"/>
        <w:numPr>
          <w:ilvl w:val="0"/>
          <w:numId w:val="0"/>
        </w:numPr>
        <w:kinsoku/>
        <w:wordWrap/>
        <w:overflowPunct/>
        <w:topLinePunct w:val="0"/>
        <w:autoSpaceDE/>
        <w:autoSpaceDN/>
        <w:bidi w:val="0"/>
        <w:adjustRightInd w:val="0"/>
        <w:snapToGrid w:val="0"/>
        <w:spacing w:line="360" w:lineRule="auto"/>
        <w:ind w:leftChars="19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③脉冲输出强度：0～15mA可调，采用三角波治疗模式，有慢调（每次增或减0.1mA）和快调（每次增或减0.5mA）二种选择；</w:t>
      </w:r>
    </w:p>
    <w:p>
      <w:pPr>
        <w:pStyle w:val="25"/>
        <w:keepNext w:val="0"/>
        <w:keepLines w:val="0"/>
        <w:pageBreakBefore w:val="0"/>
        <w:numPr>
          <w:ilvl w:val="0"/>
          <w:numId w:val="0"/>
        </w:numPr>
        <w:kinsoku/>
        <w:wordWrap/>
        <w:overflowPunct/>
        <w:topLinePunct w:val="0"/>
        <w:autoSpaceDE/>
        <w:autoSpaceDN/>
        <w:bidi w:val="0"/>
        <w:adjustRightInd w:val="0"/>
        <w:snapToGrid w:val="0"/>
        <w:spacing w:line="360" w:lineRule="auto"/>
        <w:ind w:leftChars="19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④脉冲宽度：30～2000ms可调；</w:t>
      </w:r>
    </w:p>
    <w:p>
      <w:pPr>
        <w:pStyle w:val="25"/>
        <w:keepNext w:val="0"/>
        <w:keepLines w:val="0"/>
        <w:pageBreakBefore w:val="0"/>
        <w:numPr>
          <w:ilvl w:val="0"/>
          <w:numId w:val="0"/>
        </w:numPr>
        <w:kinsoku/>
        <w:wordWrap/>
        <w:overflowPunct/>
        <w:topLinePunct w:val="0"/>
        <w:autoSpaceDE/>
        <w:autoSpaceDN/>
        <w:bidi w:val="0"/>
        <w:adjustRightInd w:val="0"/>
        <w:snapToGrid w:val="0"/>
        <w:spacing w:line="360" w:lineRule="auto"/>
        <w:ind w:leftChars="193"/>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⑤治疗时间：1-30min可调；</w:t>
      </w:r>
    </w:p>
    <w:p>
      <w:pPr>
        <w:keepNext w:val="0"/>
        <w:keepLines w:val="0"/>
        <w:pageBreakBefore w:val="0"/>
        <w:kinsoku/>
        <w:wordWrap/>
        <w:overflowPunct/>
        <w:topLinePunct w:val="0"/>
        <w:autoSpaceDE/>
        <w:autoSpaceDN/>
        <w:bidi w:val="0"/>
        <w:adjustRightInd w:val="0"/>
        <w:snapToGrid w:val="0"/>
        <w:spacing w:line="360" w:lineRule="auto"/>
        <w:ind w:right="499"/>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.提供产品说明书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彩页，技术白皮书</w:t>
      </w:r>
      <w:r>
        <w:rPr>
          <w:rFonts w:hint="eastAsia" w:ascii="仿宋" w:hAnsi="仿宋" w:eastAsia="仿宋" w:cs="仿宋"/>
          <w:sz w:val="28"/>
          <w:szCs w:val="28"/>
          <w:highlight w:val="none"/>
        </w:rPr>
        <w:t>证明参数真实性</w:t>
      </w:r>
    </w:p>
    <w:p>
      <w:pPr>
        <w:pStyle w:val="2"/>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配置要求（包含但不限于）:</w:t>
      </w:r>
    </w:p>
    <w:p>
      <w:pPr>
        <w:keepNext w:val="0"/>
        <w:keepLines w:val="0"/>
        <w:pageBreakBefore w:val="0"/>
        <w:kinsoku/>
        <w:wordWrap/>
        <w:overflowPunct/>
        <w:topLinePunct w:val="0"/>
        <w:autoSpaceDE/>
        <w:autoSpaceDN/>
        <w:bidi w:val="0"/>
        <w:adjustRightInd w:val="0"/>
        <w:snapToGrid w:val="0"/>
        <w:spacing w:line="360" w:lineRule="auto"/>
        <w:ind w:left="840" w:leftChars="300" w:right="499" w:firstLine="240"/>
        <w:textAlignment w:val="auto"/>
        <w:rPr>
          <w:rFonts w:hint="eastAsia" w:ascii="仿宋" w:hAnsi="仿宋" w:eastAsia="仿宋" w:cs="仿宋"/>
          <w:sz w:val="28"/>
          <w:szCs w:val="28"/>
          <w:highlight w:val="none"/>
          <w:lang w:val="en-US" w:eastAsia="zh-CN"/>
        </w:rPr>
      </w:pPr>
      <w:r>
        <w:rPr>
          <w:rFonts w:hint="default" w:ascii="仿宋" w:hAnsi="仿宋" w:cs="仿宋"/>
          <w:sz w:val="28"/>
          <w:szCs w:val="28"/>
          <w:highlight w:val="none"/>
          <w:lang w:val="en-US"/>
        </w:rPr>
        <w:t>5.</w:t>
      </w:r>
      <w:r>
        <w:rPr>
          <w:rFonts w:hint="eastAsia" w:ascii="仿宋" w:hAnsi="仿宋" w:eastAsia="仿宋" w:cs="仿宋"/>
          <w:sz w:val="28"/>
          <w:szCs w:val="28"/>
          <w:highlight w:val="none"/>
        </w:rPr>
        <w:t>1</w:t>
      </w:r>
      <w:r>
        <w:rPr>
          <w:rFonts w:hint="default" w:ascii="仿宋" w:hAnsi="仿宋" w:cs="仿宋"/>
          <w:sz w:val="28"/>
          <w:szCs w:val="28"/>
          <w:highlight w:val="none"/>
          <w:lang w:val="en-US" w:eastAsia="zh-CN"/>
        </w:rPr>
        <w:t xml:space="preserve"> </w:t>
      </w:r>
      <w:r>
        <w:rPr>
          <w:rFonts w:hint="eastAsia" w:ascii="仿宋" w:hAnsi="仿宋" w:eastAsia="仿宋" w:cs="仿宋"/>
          <w:sz w:val="28"/>
          <w:szCs w:val="28"/>
          <w:highlight w:val="none"/>
        </w:rPr>
        <w:t>连接器</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1</w:t>
      </w:r>
      <w:r>
        <w:rPr>
          <w:rFonts w:hint="eastAsia" w:ascii="仿宋" w:hAnsi="仿宋" w:eastAsia="仿宋" w:cs="仿宋"/>
          <w:sz w:val="28"/>
          <w:szCs w:val="28"/>
          <w:highlight w:val="none"/>
        </w:rPr>
        <w:tab/>
      </w:r>
      <w:r>
        <w:rPr>
          <w:rFonts w:hint="eastAsia" w:ascii="仿宋" w:hAnsi="仿宋" w:eastAsia="仿宋" w:cs="仿宋"/>
          <w:sz w:val="28"/>
          <w:szCs w:val="28"/>
          <w:highlight w:val="none"/>
        </w:rPr>
        <w:t>个</w:t>
      </w:r>
      <w:r>
        <w:rPr>
          <w:rFonts w:hint="eastAsia" w:ascii="仿宋" w:hAnsi="仿宋" w:eastAsia="仿宋" w:cs="仿宋"/>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840" w:leftChars="300" w:right="499" w:firstLine="240"/>
        <w:textAlignment w:val="auto"/>
        <w:rPr>
          <w:rFonts w:hint="eastAsia" w:ascii="仿宋" w:hAnsi="仿宋" w:eastAsia="仿宋" w:cs="仿宋"/>
          <w:sz w:val="28"/>
          <w:szCs w:val="28"/>
          <w:highlight w:val="none"/>
        </w:rPr>
      </w:pPr>
      <w:r>
        <w:rPr>
          <w:rFonts w:hint="default" w:ascii="仿宋" w:hAnsi="仿宋" w:cs="仿宋"/>
          <w:sz w:val="28"/>
          <w:szCs w:val="28"/>
          <w:highlight w:val="none"/>
          <w:lang w:val="en-US" w:eastAsia="zh-CN"/>
        </w:rPr>
        <w:t>5.</w:t>
      </w:r>
      <w:r>
        <w:rPr>
          <w:rFonts w:hint="eastAsia" w:ascii="仿宋" w:hAnsi="仿宋" w:eastAsia="仿宋" w:cs="仿宋"/>
          <w:sz w:val="28"/>
          <w:szCs w:val="28"/>
          <w:highlight w:val="none"/>
        </w:rPr>
        <w:t>2</w:t>
      </w:r>
      <w:r>
        <w:rPr>
          <w:rFonts w:hint="default" w:ascii="仿宋" w:hAnsi="仿宋" w:cs="仿宋"/>
          <w:sz w:val="28"/>
          <w:szCs w:val="28"/>
          <w:highlight w:val="none"/>
          <w:lang w:val="en-US" w:eastAsia="zh-CN"/>
        </w:rPr>
        <w:t xml:space="preserve"> </w:t>
      </w:r>
      <w:r>
        <w:rPr>
          <w:rFonts w:hint="eastAsia" w:ascii="仿宋" w:hAnsi="仿宋" w:eastAsia="仿宋" w:cs="仿宋"/>
          <w:sz w:val="28"/>
          <w:szCs w:val="28"/>
          <w:highlight w:val="none"/>
        </w:rPr>
        <w:t>电刺激器</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2   个</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p>
    <w:p>
      <w:pPr>
        <w:keepNext w:val="0"/>
        <w:keepLines w:val="0"/>
        <w:pageBreakBefore w:val="0"/>
        <w:kinsoku/>
        <w:wordWrap/>
        <w:overflowPunct/>
        <w:topLinePunct w:val="0"/>
        <w:autoSpaceDE/>
        <w:autoSpaceDN/>
        <w:bidi w:val="0"/>
        <w:adjustRightInd w:val="0"/>
        <w:snapToGrid w:val="0"/>
        <w:spacing w:line="360" w:lineRule="auto"/>
        <w:ind w:left="840" w:leftChars="300" w:right="499" w:firstLine="240"/>
        <w:textAlignment w:val="auto"/>
        <w:rPr>
          <w:rFonts w:hint="eastAsia" w:ascii="仿宋" w:hAnsi="仿宋" w:eastAsia="仿宋" w:cs="仿宋"/>
          <w:sz w:val="28"/>
          <w:szCs w:val="28"/>
          <w:highlight w:val="none"/>
          <w:lang w:val="en-US" w:eastAsia="zh-CN"/>
        </w:rPr>
      </w:pPr>
      <w:r>
        <w:rPr>
          <w:rFonts w:hint="default" w:ascii="仿宋" w:hAnsi="仿宋" w:cs="仿宋"/>
          <w:sz w:val="28"/>
          <w:szCs w:val="28"/>
          <w:highlight w:val="none"/>
          <w:lang w:val="en-US"/>
        </w:rPr>
        <w:t>5.</w:t>
      </w:r>
      <w:r>
        <w:rPr>
          <w:rFonts w:hint="eastAsia" w:ascii="仿宋" w:hAnsi="仿宋" w:eastAsia="仿宋" w:cs="仿宋"/>
          <w:sz w:val="28"/>
          <w:szCs w:val="28"/>
          <w:highlight w:val="none"/>
        </w:rPr>
        <w:t>3</w:t>
      </w:r>
      <w:r>
        <w:rPr>
          <w:rFonts w:hint="default" w:ascii="仿宋" w:hAnsi="仿宋" w:cs="仿宋"/>
          <w:sz w:val="28"/>
          <w:szCs w:val="28"/>
          <w:highlight w:val="none"/>
          <w:lang w:val="en-US" w:eastAsia="zh-CN"/>
        </w:rPr>
        <w:t xml:space="preserve"> </w:t>
      </w:r>
      <w:r>
        <w:rPr>
          <w:rFonts w:hint="eastAsia" w:ascii="仿宋" w:hAnsi="仿宋" w:eastAsia="仿宋" w:cs="仿宋"/>
          <w:sz w:val="28"/>
          <w:szCs w:val="28"/>
          <w:highlight w:val="none"/>
          <w:lang w:val="en-US" w:eastAsia="zh-CN"/>
        </w:rPr>
        <w:t>工作站</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1</w:t>
      </w:r>
      <w:r>
        <w:rPr>
          <w:rFonts w:hint="eastAsia" w:ascii="仿宋" w:hAnsi="仿宋" w:eastAsia="仿宋" w:cs="仿宋"/>
          <w:sz w:val="28"/>
          <w:szCs w:val="28"/>
          <w:highlight w:val="none"/>
        </w:rPr>
        <w:tab/>
      </w:r>
      <w:r>
        <w:rPr>
          <w:rFonts w:hint="eastAsia" w:ascii="仿宋" w:hAnsi="仿宋" w:eastAsia="仿宋" w:cs="仿宋"/>
          <w:sz w:val="28"/>
          <w:szCs w:val="28"/>
          <w:highlight w:val="none"/>
        </w:rPr>
        <w:t>套</w:t>
      </w:r>
      <w:r>
        <w:rPr>
          <w:rFonts w:hint="eastAsia" w:ascii="仿宋" w:hAnsi="仿宋" w:eastAsia="仿宋" w:cs="仿宋"/>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840" w:leftChars="300" w:right="499" w:firstLine="240"/>
        <w:textAlignment w:val="auto"/>
        <w:rPr>
          <w:rFonts w:hint="eastAsia" w:ascii="仿宋" w:hAnsi="仿宋" w:eastAsia="仿宋" w:cs="仿宋"/>
          <w:sz w:val="28"/>
          <w:szCs w:val="28"/>
          <w:highlight w:val="none"/>
        </w:rPr>
      </w:pPr>
      <w:r>
        <w:rPr>
          <w:rFonts w:hint="default" w:ascii="仿宋" w:hAnsi="仿宋" w:cs="仿宋"/>
          <w:sz w:val="28"/>
          <w:szCs w:val="28"/>
          <w:highlight w:val="none"/>
          <w:lang w:val="en-US" w:eastAsia="zh-CN"/>
        </w:rPr>
        <w:t>5.</w:t>
      </w:r>
      <w:r>
        <w:rPr>
          <w:rFonts w:hint="eastAsia" w:ascii="仿宋" w:hAnsi="仿宋" w:eastAsia="仿宋" w:cs="仿宋"/>
          <w:sz w:val="28"/>
          <w:szCs w:val="28"/>
          <w:highlight w:val="none"/>
        </w:rPr>
        <w:t>4</w:t>
      </w:r>
      <w:r>
        <w:rPr>
          <w:rFonts w:hint="default" w:ascii="仿宋" w:hAnsi="仿宋" w:cs="仿宋"/>
          <w:sz w:val="28"/>
          <w:szCs w:val="28"/>
          <w:highlight w:val="none"/>
          <w:lang w:val="en-US" w:eastAsia="zh-CN"/>
        </w:rPr>
        <w:t xml:space="preserve"> </w:t>
      </w:r>
      <w:r>
        <w:rPr>
          <w:rFonts w:hint="eastAsia" w:ascii="仿宋" w:hAnsi="仿宋" w:eastAsia="仿宋" w:cs="仿宋"/>
          <w:sz w:val="28"/>
          <w:szCs w:val="28"/>
          <w:highlight w:val="none"/>
        </w:rPr>
        <w:t>触摸屏</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1</w:t>
      </w:r>
      <w:r>
        <w:rPr>
          <w:rFonts w:hint="eastAsia" w:ascii="仿宋" w:hAnsi="仿宋" w:eastAsia="仿宋" w:cs="仿宋"/>
          <w:sz w:val="28"/>
          <w:szCs w:val="28"/>
          <w:highlight w:val="none"/>
        </w:rPr>
        <w:tab/>
      </w:r>
      <w:r>
        <w:rPr>
          <w:rFonts w:hint="eastAsia" w:ascii="仿宋" w:hAnsi="仿宋" w:eastAsia="仿宋" w:cs="仿宋"/>
          <w:sz w:val="28"/>
          <w:szCs w:val="28"/>
          <w:highlight w:val="none"/>
        </w:rPr>
        <w:t>个</w:t>
      </w:r>
    </w:p>
    <w:p>
      <w:pPr>
        <w:keepNext w:val="0"/>
        <w:keepLines w:val="0"/>
        <w:pageBreakBefore w:val="0"/>
        <w:kinsoku/>
        <w:wordWrap/>
        <w:overflowPunct/>
        <w:topLinePunct w:val="0"/>
        <w:autoSpaceDE/>
        <w:autoSpaceDN/>
        <w:bidi w:val="0"/>
        <w:adjustRightInd w:val="0"/>
        <w:snapToGrid w:val="0"/>
        <w:spacing w:line="360" w:lineRule="auto"/>
        <w:ind w:left="840" w:leftChars="300" w:right="499" w:firstLine="240"/>
        <w:textAlignment w:val="auto"/>
        <w:rPr>
          <w:rFonts w:hint="eastAsia" w:ascii="仿宋" w:hAnsi="仿宋" w:eastAsia="仿宋" w:cs="仿宋"/>
          <w:sz w:val="28"/>
          <w:szCs w:val="28"/>
          <w:highlight w:val="none"/>
          <w:lang w:val="en-US" w:eastAsia="zh-CN"/>
        </w:rPr>
      </w:pPr>
      <w:r>
        <w:rPr>
          <w:rFonts w:hint="default" w:ascii="仿宋" w:hAnsi="仿宋" w:cs="仿宋"/>
          <w:sz w:val="28"/>
          <w:szCs w:val="28"/>
          <w:highlight w:val="none"/>
          <w:lang w:val="en-US" w:eastAsia="zh-CN"/>
        </w:rPr>
        <w:t>5.</w:t>
      </w:r>
      <w:r>
        <w:rPr>
          <w:rFonts w:hint="eastAsia" w:ascii="仿宋" w:hAnsi="仿宋" w:eastAsia="仿宋" w:cs="仿宋"/>
          <w:sz w:val="28"/>
          <w:szCs w:val="28"/>
          <w:highlight w:val="none"/>
        </w:rPr>
        <w:t>5</w:t>
      </w:r>
      <w:r>
        <w:rPr>
          <w:rFonts w:hint="default" w:ascii="仿宋" w:hAnsi="仿宋" w:cs="仿宋"/>
          <w:sz w:val="28"/>
          <w:szCs w:val="28"/>
          <w:highlight w:val="none"/>
          <w:lang w:val="en-US" w:eastAsia="zh-CN"/>
        </w:rPr>
        <w:t xml:space="preserve"> </w:t>
      </w:r>
      <w:r>
        <w:rPr>
          <w:rFonts w:hint="eastAsia" w:ascii="仿宋" w:hAnsi="仿宋" w:eastAsia="仿宋" w:cs="仿宋"/>
          <w:sz w:val="28"/>
          <w:szCs w:val="28"/>
          <w:highlight w:val="none"/>
        </w:rPr>
        <w:t>言语桌</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1</w:t>
      </w:r>
      <w:r>
        <w:rPr>
          <w:rFonts w:hint="eastAsia" w:ascii="仿宋" w:hAnsi="仿宋" w:eastAsia="仿宋" w:cs="仿宋"/>
          <w:sz w:val="28"/>
          <w:szCs w:val="28"/>
          <w:highlight w:val="none"/>
        </w:rPr>
        <w:tab/>
      </w:r>
      <w:r>
        <w:rPr>
          <w:rFonts w:hint="eastAsia" w:ascii="仿宋" w:hAnsi="仿宋" w:eastAsia="仿宋" w:cs="仿宋"/>
          <w:sz w:val="28"/>
          <w:szCs w:val="28"/>
          <w:highlight w:val="none"/>
        </w:rPr>
        <w:t>台</w:t>
      </w:r>
      <w:r>
        <w:rPr>
          <w:rFonts w:hint="eastAsia" w:ascii="仿宋" w:hAnsi="仿宋" w:eastAsia="仿宋" w:cs="仿宋"/>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840" w:leftChars="300" w:right="499" w:firstLine="240"/>
        <w:textAlignment w:val="auto"/>
        <w:rPr>
          <w:rFonts w:hint="eastAsia" w:ascii="仿宋" w:hAnsi="仿宋" w:eastAsia="仿宋" w:cs="仿宋"/>
          <w:sz w:val="28"/>
          <w:szCs w:val="28"/>
          <w:highlight w:val="none"/>
        </w:rPr>
      </w:pPr>
      <w:r>
        <w:rPr>
          <w:rFonts w:hint="default" w:ascii="仿宋" w:hAnsi="仿宋" w:cs="仿宋"/>
          <w:sz w:val="28"/>
          <w:szCs w:val="28"/>
          <w:highlight w:val="none"/>
          <w:lang w:val="en-US" w:eastAsia="zh-CN"/>
        </w:rPr>
        <w:t>5.</w:t>
      </w:r>
      <w:r>
        <w:rPr>
          <w:rFonts w:hint="eastAsia" w:ascii="仿宋" w:hAnsi="仿宋" w:eastAsia="仿宋" w:cs="仿宋"/>
          <w:sz w:val="28"/>
          <w:szCs w:val="28"/>
          <w:highlight w:val="none"/>
        </w:rPr>
        <w:t>6</w:t>
      </w:r>
      <w:r>
        <w:rPr>
          <w:rFonts w:hint="default" w:ascii="仿宋" w:hAnsi="仿宋" w:cs="仿宋"/>
          <w:sz w:val="28"/>
          <w:szCs w:val="28"/>
          <w:highlight w:val="none"/>
          <w:lang w:val="en-US" w:eastAsia="zh-CN"/>
        </w:rPr>
        <w:t xml:space="preserve"> </w:t>
      </w:r>
      <w:r>
        <w:rPr>
          <w:rFonts w:hint="eastAsia" w:ascii="仿宋" w:hAnsi="仿宋" w:eastAsia="仿宋" w:cs="仿宋"/>
          <w:sz w:val="28"/>
          <w:szCs w:val="28"/>
          <w:highlight w:val="none"/>
        </w:rPr>
        <w:t>摄像头</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1</w:t>
      </w:r>
      <w:r>
        <w:rPr>
          <w:rFonts w:hint="eastAsia" w:ascii="仿宋" w:hAnsi="仿宋" w:eastAsia="仿宋" w:cs="仿宋"/>
          <w:sz w:val="28"/>
          <w:szCs w:val="28"/>
          <w:highlight w:val="none"/>
        </w:rPr>
        <w:tab/>
      </w:r>
      <w:r>
        <w:rPr>
          <w:rFonts w:hint="eastAsia" w:ascii="仿宋" w:hAnsi="仿宋" w:eastAsia="仿宋" w:cs="仿宋"/>
          <w:sz w:val="28"/>
          <w:szCs w:val="28"/>
          <w:highlight w:val="none"/>
        </w:rPr>
        <w:t>个</w:t>
      </w:r>
    </w:p>
    <w:p>
      <w:pPr>
        <w:keepNext w:val="0"/>
        <w:keepLines w:val="0"/>
        <w:pageBreakBefore w:val="0"/>
        <w:kinsoku/>
        <w:wordWrap/>
        <w:overflowPunct/>
        <w:topLinePunct w:val="0"/>
        <w:autoSpaceDE/>
        <w:autoSpaceDN/>
        <w:bidi w:val="0"/>
        <w:adjustRightInd w:val="0"/>
        <w:snapToGrid w:val="0"/>
        <w:spacing w:line="360" w:lineRule="auto"/>
        <w:ind w:left="840" w:leftChars="300" w:right="499" w:firstLine="240"/>
        <w:textAlignment w:val="auto"/>
        <w:rPr>
          <w:rFonts w:hint="eastAsia" w:ascii="仿宋" w:hAnsi="仿宋" w:eastAsia="仿宋" w:cs="仿宋"/>
          <w:sz w:val="28"/>
          <w:szCs w:val="28"/>
          <w:highlight w:val="none"/>
          <w:lang w:val="en-US" w:eastAsia="zh-CN"/>
        </w:rPr>
      </w:pPr>
      <w:r>
        <w:rPr>
          <w:rFonts w:hint="default" w:ascii="仿宋" w:hAnsi="仿宋" w:cs="仿宋"/>
          <w:sz w:val="28"/>
          <w:szCs w:val="28"/>
          <w:highlight w:val="none"/>
          <w:lang w:val="en-US" w:eastAsia="zh-CN"/>
        </w:rPr>
        <w:t>5.</w:t>
      </w:r>
      <w:r>
        <w:rPr>
          <w:rFonts w:hint="eastAsia" w:ascii="仿宋" w:hAnsi="仿宋" w:eastAsia="仿宋" w:cs="仿宋"/>
          <w:sz w:val="28"/>
          <w:szCs w:val="28"/>
          <w:highlight w:val="none"/>
        </w:rPr>
        <w:t>7</w:t>
      </w:r>
      <w:r>
        <w:rPr>
          <w:rFonts w:hint="default" w:ascii="仿宋" w:hAnsi="仿宋" w:cs="仿宋"/>
          <w:sz w:val="28"/>
          <w:szCs w:val="28"/>
          <w:highlight w:val="none"/>
          <w:lang w:val="en-US" w:eastAsia="zh-CN"/>
        </w:rPr>
        <w:t xml:space="preserve"> </w:t>
      </w:r>
      <w:r>
        <w:rPr>
          <w:rFonts w:hint="eastAsia" w:ascii="仿宋" w:hAnsi="仿宋" w:eastAsia="仿宋" w:cs="仿宋"/>
          <w:sz w:val="28"/>
          <w:szCs w:val="28"/>
          <w:highlight w:val="none"/>
        </w:rPr>
        <w:t>话筒</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1</w:t>
      </w:r>
      <w:r>
        <w:rPr>
          <w:rFonts w:hint="eastAsia" w:ascii="仿宋" w:hAnsi="仿宋" w:eastAsia="仿宋" w:cs="仿宋"/>
          <w:sz w:val="28"/>
          <w:szCs w:val="28"/>
          <w:highlight w:val="none"/>
        </w:rPr>
        <w:tab/>
      </w:r>
      <w:r>
        <w:rPr>
          <w:rFonts w:hint="eastAsia" w:ascii="仿宋" w:hAnsi="仿宋" w:eastAsia="仿宋" w:cs="仿宋"/>
          <w:sz w:val="28"/>
          <w:szCs w:val="28"/>
          <w:highlight w:val="none"/>
        </w:rPr>
        <w:t>个</w:t>
      </w:r>
      <w:r>
        <w:rPr>
          <w:rFonts w:hint="eastAsia" w:ascii="仿宋" w:hAnsi="仿宋" w:eastAsia="仿宋" w:cs="仿宋"/>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840" w:leftChars="300" w:right="499" w:firstLine="240"/>
        <w:textAlignment w:val="auto"/>
        <w:rPr>
          <w:rFonts w:hint="eastAsia" w:ascii="仿宋" w:hAnsi="仿宋" w:eastAsia="仿宋" w:cs="仿宋"/>
          <w:sz w:val="28"/>
          <w:szCs w:val="28"/>
          <w:highlight w:val="none"/>
        </w:rPr>
      </w:pPr>
      <w:r>
        <w:rPr>
          <w:rFonts w:hint="default" w:ascii="仿宋" w:hAnsi="仿宋" w:cs="仿宋"/>
          <w:sz w:val="28"/>
          <w:szCs w:val="28"/>
          <w:highlight w:val="none"/>
          <w:lang w:val="en-US" w:eastAsia="zh-CN"/>
        </w:rPr>
        <w:t>5.</w:t>
      </w:r>
      <w:r>
        <w:rPr>
          <w:rFonts w:hint="eastAsia" w:ascii="仿宋" w:hAnsi="仿宋" w:eastAsia="仿宋" w:cs="仿宋"/>
          <w:sz w:val="28"/>
          <w:szCs w:val="28"/>
          <w:highlight w:val="none"/>
        </w:rPr>
        <w:t>8</w:t>
      </w:r>
      <w:r>
        <w:rPr>
          <w:rFonts w:hint="default" w:ascii="仿宋" w:hAnsi="仿宋" w:cs="仿宋"/>
          <w:sz w:val="28"/>
          <w:szCs w:val="28"/>
          <w:highlight w:val="none"/>
          <w:lang w:val="en-US" w:eastAsia="zh-CN"/>
        </w:rPr>
        <w:t xml:space="preserve"> </w:t>
      </w:r>
      <w:r>
        <w:rPr>
          <w:rFonts w:hint="eastAsia" w:ascii="仿宋" w:hAnsi="仿宋" w:eastAsia="仿宋" w:cs="仿宋"/>
          <w:sz w:val="28"/>
          <w:szCs w:val="28"/>
          <w:highlight w:val="none"/>
        </w:rPr>
        <w:t>USB分线器</w:t>
      </w:r>
      <w:r>
        <w:rPr>
          <w:rFonts w:hint="eastAsia" w:ascii="仿宋" w:hAnsi="仿宋" w:eastAsia="仿宋" w:cs="仿宋"/>
          <w:sz w:val="28"/>
          <w:szCs w:val="28"/>
          <w:highlight w:val="none"/>
        </w:rPr>
        <w:tab/>
      </w:r>
      <w:r>
        <w:rPr>
          <w:rFonts w:hint="eastAsia" w:ascii="仿宋" w:hAnsi="仿宋" w:eastAsia="仿宋" w:cs="仿宋"/>
          <w:sz w:val="28"/>
          <w:szCs w:val="28"/>
          <w:highlight w:val="none"/>
        </w:rPr>
        <w:t>1  个</w:t>
      </w:r>
      <w:r>
        <w:rPr>
          <w:rFonts w:hint="eastAsia" w:ascii="仿宋" w:hAnsi="仿宋" w:eastAsia="仿宋" w:cs="仿宋"/>
          <w:sz w:val="28"/>
          <w:szCs w:val="28"/>
          <w:highlight w:val="none"/>
        </w:rPr>
        <w:tab/>
      </w:r>
    </w:p>
    <w:p>
      <w:pPr>
        <w:keepNext w:val="0"/>
        <w:keepLines w:val="0"/>
        <w:pageBreakBefore w:val="0"/>
        <w:kinsoku/>
        <w:wordWrap/>
        <w:overflowPunct/>
        <w:topLinePunct w:val="0"/>
        <w:autoSpaceDE/>
        <w:autoSpaceDN/>
        <w:bidi w:val="0"/>
        <w:adjustRightInd w:val="0"/>
        <w:snapToGrid w:val="0"/>
        <w:spacing w:line="360" w:lineRule="auto"/>
        <w:ind w:left="840" w:leftChars="300" w:right="499" w:firstLine="240"/>
        <w:textAlignment w:val="auto"/>
        <w:rPr>
          <w:rFonts w:hint="eastAsia" w:ascii="仿宋" w:hAnsi="仿宋" w:eastAsia="仿宋" w:cs="仿宋"/>
          <w:sz w:val="28"/>
          <w:szCs w:val="28"/>
          <w:highlight w:val="none"/>
          <w:lang w:val="en-US" w:eastAsia="zh-CN"/>
        </w:rPr>
      </w:pPr>
      <w:r>
        <w:rPr>
          <w:rFonts w:hint="default" w:ascii="仿宋" w:hAnsi="仿宋" w:cs="仿宋"/>
          <w:sz w:val="28"/>
          <w:szCs w:val="28"/>
          <w:highlight w:val="none"/>
          <w:lang w:val="en-US" w:eastAsia="zh-CN"/>
        </w:rPr>
        <w:t>5.</w:t>
      </w:r>
      <w:r>
        <w:rPr>
          <w:rFonts w:hint="eastAsia" w:ascii="仿宋" w:hAnsi="仿宋" w:eastAsia="仿宋" w:cs="仿宋"/>
          <w:sz w:val="28"/>
          <w:szCs w:val="28"/>
          <w:highlight w:val="none"/>
          <w:lang w:val="en-US" w:eastAsia="zh-CN"/>
        </w:rPr>
        <w:t>9</w:t>
      </w:r>
      <w:r>
        <w:rPr>
          <w:rFonts w:hint="default" w:ascii="仿宋" w:hAnsi="仿宋" w:cs="仿宋"/>
          <w:sz w:val="28"/>
          <w:szCs w:val="28"/>
          <w:highlight w:val="none"/>
          <w:lang w:val="en-US"/>
        </w:rPr>
        <w:t xml:space="preserve"> </w:t>
      </w:r>
      <w:r>
        <w:rPr>
          <w:rFonts w:hint="eastAsia" w:ascii="仿宋" w:hAnsi="仿宋" w:eastAsia="仿宋" w:cs="仿宋"/>
          <w:sz w:val="28"/>
          <w:szCs w:val="28"/>
          <w:highlight w:val="none"/>
        </w:rPr>
        <w:t>操作手册</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1  本</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840" w:leftChars="300" w:right="499" w:firstLine="240"/>
        <w:textAlignment w:val="auto"/>
        <w:rPr>
          <w:rFonts w:hint="eastAsia" w:ascii="仿宋" w:hAnsi="仿宋" w:eastAsia="仿宋" w:cs="仿宋"/>
          <w:sz w:val="28"/>
          <w:szCs w:val="28"/>
          <w:highlight w:val="none"/>
          <w:lang w:eastAsia="zh-CN"/>
        </w:rPr>
      </w:pPr>
      <w:r>
        <w:rPr>
          <w:rFonts w:hint="default" w:ascii="仿宋" w:hAnsi="仿宋" w:cs="仿宋"/>
          <w:sz w:val="28"/>
          <w:szCs w:val="28"/>
          <w:highlight w:val="none"/>
          <w:lang w:val="en-US" w:eastAsia="zh-CN"/>
        </w:rPr>
        <w:t>5.</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0</w:t>
      </w:r>
      <w:r>
        <w:rPr>
          <w:rFonts w:hint="default" w:ascii="仿宋" w:hAnsi="仿宋" w:cs="仿宋"/>
          <w:sz w:val="28"/>
          <w:szCs w:val="28"/>
          <w:highlight w:val="none"/>
          <w:lang w:val="en-US" w:eastAsia="zh-CN"/>
        </w:rPr>
        <w:t xml:space="preserve"> </w:t>
      </w:r>
      <w:r>
        <w:rPr>
          <w:rFonts w:hint="eastAsia" w:ascii="仿宋" w:hAnsi="仿宋" w:eastAsia="仿宋" w:cs="仿宋"/>
          <w:sz w:val="28"/>
          <w:szCs w:val="28"/>
          <w:highlight w:val="none"/>
        </w:rPr>
        <w:t>治疗软件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1</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bCs/>
          <w:color w:val="0D0D0D"/>
          <w:sz w:val="30"/>
          <w:szCs w:val="30"/>
          <w:highlight w:val="none"/>
          <w:lang w:val="en-US" w:eastAsia="zh-CN"/>
        </w:rPr>
      </w:pPr>
      <w:r>
        <w:rPr>
          <w:rFonts w:hint="eastAsia" w:ascii="仿宋" w:hAnsi="仿宋" w:eastAsia="仿宋" w:cs="仿宋"/>
          <w:sz w:val="28"/>
          <w:szCs w:val="28"/>
          <w:highlight w:val="none"/>
          <w:lang w:val="en-US" w:eastAsia="zh-CN"/>
        </w:rPr>
        <w:t xml:space="preserve"> </w:t>
      </w:r>
      <w:r>
        <w:rPr>
          <w:rFonts w:hint="eastAsia" w:ascii="仿宋" w:hAnsi="仿宋" w:cs="仿宋"/>
          <w:b/>
          <w:bCs/>
          <w:color w:val="0D0D0D"/>
          <w:sz w:val="30"/>
          <w:szCs w:val="30"/>
          <w:highlight w:val="none"/>
          <w:lang w:val="en-US" w:eastAsia="zh-CN"/>
        </w:rPr>
        <w:t>三</w:t>
      </w:r>
      <w:r>
        <w:rPr>
          <w:rFonts w:hint="eastAsia" w:ascii="仿宋" w:hAnsi="仿宋" w:eastAsia="仿宋" w:cs="仿宋"/>
          <w:b/>
          <w:bCs/>
          <w:color w:val="0D0D0D"/>
          <w:sz w:val="30"/>
          <w:szCs w:val="30"/>
          <w:highlight w:val="none"/>
          <w:lang w:val="en-US" w:eastAsia="zh-CN"/>
        </w:rPr>
        <w:t>、其他说明</w:t>
      </w:r>
    </w:p>
    <w:p>
      <w:pPr>
        <w:pStyle w:val="8"/>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1、供应商所报包中的货物必须整包响应，不可分拆报价，若有自己不生产的部分，供应商可以作为代理商代理其它制造商报价。</w:t>
      </w:r>
    </w:p>
    <w:p>
      <w:pPr>
        <w:pStyle w:val="8"/>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2、技术规格要求</w:t>
      </w:r>
    </w:p>
    <w:p>
      <w:pPr>
        <w:pStyle w:val="8"/>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供应商应按磋商文件中的技术规格及要求进行准确报价。本技术规格所提出的要求是对本次预采购货物及伴随服务的基本技术要求，并未涉及所有技术细节，也未充分引述有关标准、规范的全部条款。供应商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供应商应及时向采购人提出，以取得采购人的确认，如果供应商没有提出，则在成交后采购人仍有权在合同价格不变的前提下要求成交供应商按中国国家标准的有关强制性规定执行）。</w:t>
      </w:r>
    </w:p>
    <w:p>
      <w:pPr>
        <w:pStyle w:val="8"/>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本技术规格中提及的工艺、材料、设备的标准以及参照品牌或型号（若有时）仅起说明作用，并没有任何限制性。供应商在报价中可以选用替代工艺、材料、标准、品牌或型号，但这些替代要实质上满足、等同或优于本技术规格的要求。</w:t>
      </w:r>
    </w:p>
    <w:p>
      <w:pPr>
        <w:pStyle w:val="8"/>
        <w:spacing w:after="0" w:line="480" w:lineRule="exact"/>
        <w:ind w:firstLine="700" w:firstLineChars="250"/>
        <w:jc w:val="left"/>
        <w:rPr>
          <w:rFonts w:hint="eastAsia" w:ascii="仿宋" w:hAnsi="仿宋" w:eastAsia="仿宋" w:cs="仿宋"/>
          <w:sz w:val="28"/>
          <w:szCs w:val="28"/>
          <w:highlight w:val="none"/>
        </w:rPr>
      </w:pPr>
    </w:p>
    <w:p>
      <w:pPr>
        <w:pStyle w:val="3"/>
        <w:spacing w:before="0" w:after="0" w:line="580" w:lineRule="exact"/>
        <w:jc w:val="center"/>
        <w:rPr>
          <w:rFonts w:hint="default" w:ascii="宋体" w:hAnsi="宋体" w:eastAsia="宋体" w:cs="宋体"/>
          <w:sz w:val="36"/>
          <w:szCs w:val="36"/>
          <w:highlight w:val="none"/>
          <w:lang w:val="en-US" w:eastAsia="zh-CN"/>
        </w:rPr>
      </w:pPr>
      <w:r>
        <w:rPr>
          <w:rFonts w:hint="eastAsia" w:ascii="宋体" w:hAnsi="宋体" w:eastAsia="宋体" w:cs="宋体"/>
          <w:sz w:val="36"/>
          <w:szCs w:val="36"/>
          <w:highlight w:val="none"/>
        </w:rPr>
        <w:br w:type="page"/>
      </w:r>
      <w:bookmarkStart w:id="36" w:name="_Toc27110"/>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五</w:t>
      </w:r>
      <w:r>
        <w:rPr>
          <w:rFonts w:hint="eastAsia" w:ascii="Calibri" w:hAnsi="Calibri" w:eastAsia="宋体" w:cs="Times New Roman"/>
          <w:b/>
          <w:szCs w:val="24"/>
          <w:highlight w:val="none"/>
        </w:rPr>
        <w:t>章  合同格式</w:t>
      </w:r>
      <w:r>
        <w:rPr>
          <w:rFonts w:hint="eastAsia" w:ascii="Calibri" w:hAnsi="Calibri" w:eastAsia="宋体" w:cs="Times New Roman"/>
          <w:b/>
          <w:szCs w:val="24"/>
          <w:highlight w:val="none"/>
          <w:lang w:eastAsia="zh-CN"/>
        </w:rPr>
        <w:t>（</w:t>
      </w:r>
      <w:r>
        <w:rPr>
          <w:rFonts w:hint="eastAsia" w:ascii="Calibri" w:hAnsi="Calibri" w:eastAsia="宋体" w:cs="Times New Roman"/>
          <w:b/>
          <w:szCs w:val="24"/>
          <w:highlight w:val="none"/>
          <w:lang w:val="en-US" w:eastAsia="zh-CN"/>
        </w:rPr>
        <w:t>参考）</w:t>
      </w:r>
      <w:bookmarkEnd w:id="36"/>
    </w:p>
    <w:p>
      <w:pPr>
        <w:ind w:right="-123" w:rightChars="-44"/>
        <w:jc w:val="center"/>
        <w:rPr>
          <w:rFonts w:hint="eastAsia"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ind w:right="2800" w:rightChars="1000"/>
        <w:jc w:val="right"/>
        <w:rPr>
          <w:rFonts w:hint="eastAsia" w:ascii="宋体" w:hAnsi="宋体" w:eastAsia="宋体" w:cs="宋体"/>
          <w:sz w:val="28"/>
          <w:szCs w:val="28"/>
          <w:highlight w:val="none"/>
        </w:rPr>
      </w:pPr>
    </w:p>
    <w:p>
      <w:pPr>
        <w:ind w:right="2800" w:rightChars="1000"/>
        <w:jc w:val="right"/>
        <w:rPr>
          <w:rFonts w:hint="eastAsia" w:ascii="宋体" w:hAnsi="宋体" w:eastAsia="宋体" w:cs="宋体"/>
          <w:sz w:val="28"/>
          <w:szCs w:val="28"/>
          <w:highlight w:val="none"/>
        </w:rPr>
      </w:pPr>
    </w:p>
    <w:p>
      <w:pPr>
        <w:jc w:val="center"/>
        <w:rPr>
          <w:rFonts w:hint="eastAsia" w:ascii="华文中宋" w:hAnsi="华文中宋" w:eastAsia="华文中宋" w:cs="华文中宋"/>
          <w:spacing w:val="0"/>
          <w:w w:val="100"/>
          <w:kern w:val="0"/>
          <w:sz w:val="64"/>
          <w:szCs w:val="64"/>
          <w:highlight w:val="none"/>
          <w:fitText w:val="4480" w:id="291841352"/>
        </w:rPr>
      </w:pPr>
      <w:r>
        <w:rPr>
          <w:rFonts w:hint="eastAsia" w:ascii="华文中宋" w:hAnsi="华文中宋" w:eastAsia="华文中宋" w:cs="华文中宋"/>
          <w:spacing w:val="64"/>
          <w:w w:val="100"/>
          <w:kern w:val="0"/>
          <w:sz w:val="64"/>
          <w:szCs w:val="64"/>
          <w:highlight w:val="none"/>
          <w:fitText w:val="4480" w:id="1176980068"/>
        </w:rPr>
        <w:t>政府采购合</w:t>
      </w:r>
      <w:r>
        <w:rPr>
          <w:rFonts w:hint="eastAsia" w:ascii="华文中宋" w:hAnsi="华文中宋" w:eastAsia="华文中宋" w:cs="华文中宋"/>
          <w:spacing w:val="0"/>
          <w:w w:val="100"/>
          <w:kern w:val="0"/>
          <w:sz w:val="64"/>
          <w:szCs w:val="64"/>
          <w:highlight w:val="none"/>
          <w:fitText w:val="4480" w:id="1176980068"/>
        </w:rPr>
        <w:t>同</w:t>
      </w: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项目名称：</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采购编号：</w:t>
      </w: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rPr>
          <w:rFonts w:hint="eastAsia" w:ascii="宋体" w:hAnsi="宋体" w:eastAsia="宋体" w:cs="宋体"/>
          <w:highlight w:val="none"/>
        </w:rPr>
      </w:pPr>
    </w:p>
    <w:p>
      <w:pPr>
        <w:pStyle w:val="21"/>
        <w:rPr>
          <w:rFonts w:hint="eastAsia" w:ascii="宋体" w:hAnsi="宋体" w:eastAsia="宋体" w:cs="宋体"/>
          <w:highlight w:val="none"/>
        </w:rPr>
      </w:pPr>
    </w:p>
    <w:p>
      <w:pPr>
        <w:pStyle w:val="8"/>
        <w:rPr>
          <w:rFonts w:hint="eastAsia" w:ascii="宋体" w:hAnsi="宋体" w:eastAsia="宋体" w:cs="宋体"/>
          <w:highlight w:val="none"/>
        </w:rPr>
      </w:pPr>
    </w:p>
    <w:p>
      <w:pPr>
        <w:rPr>
          <w:rFonts w:hint="eastAsia" w:ascii="宋体" w:hAnsi="宋体" w:eastAsia="宋体" w:cs="宋体"/>
          <w:highlight w:val="none"/>
        </w:rPr>
      </w:pPr>
    </w:p>
    <w:p>
      <w:pPr>
        <w:pStyle w:val="21"/>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____________________（甲方）所需_______________________(货物名称)经同诚工程咨询集团股份有限公司以__________________（采购编号）</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文件在国内以</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方式进行采购。经</w:t>
      </w:r>
      <w:r>
        <w:rPr>
          <w:rFonts w:hint="eastAsia" w:ascii="仿宋" w:hAnsi="仿宋" w:cs="仿宋"/>
          <w:sz w:val="28"/>
          <w:szCs w:val="28"/>
          <w:highlight w:val="none"/>
          <w:lang w:eastAsia="zh-CN"/>
        </w:rPr>
        <w:t>磋商小组</w:t>
      </w:r>
      <w:r>
        <w:rPr>
          <w:rFonts w:hint="eastAsia" w:ascii="仿宋" w:hAnsi="仿宋" w:eastAsia="仿宋" w:cs="仿宋"/>
          <w:sz w:val="28"/>
          <w:szCs w:val="28"/>
          <w:highlight w:val="none"/>
        </w:rPr>
        <w:t>确______________（乙方）为</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人。甲、乙双方根据《中华人民共和国政府采购法》、《中华人民共和国民法典》和其他法律、法规的规定，并按照公正、平等、自愿、诚实信用的原则，同意按照以下条款和条件，签署本合同。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37" w:name="_Toc6202"/>
      <w:bookmarkStart w:id="38" w:name="_Toc14605"/>
      <w:r>
        <w:rPr>
          <w:rFonts w:hint="eastAsia" w:ascii="Arial" w:hAnsi="Arial" w:eastAsia="黑体" w:cs="Times New Roman"/>
          <w:b w:val="0"/>
          <w:kern w:val="2"/>
          <w:sz w:val="36"/>
          <w:szCs w:val="28"/>
          <w:highlight w:val="none"/>
        </w:rPr>
        <w:t>一、合同文件</w:t>
      </w:r>
      <w:bookmarkEnd w:id="37"/>
      <w:bookmarkEnd w:id="3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人在评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过程中做出的有关澄清、说明或者补正文件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39" w:name="_Toc32520"/>
      <w:bookmarkStart w:id="40" w:name="_Toc22929"/>
      <w:r>
        <w:rPr>
          <w:rFonts w:hint="eastAsia" w:ascii="Arial" w:hAnsi="Arial" w:eastAsia="黑体" w:cs="Times New Roman"/>
          <w:b w:val="0"/>
          <w:kern w:val="2"/>
          <w:sz w:val="36"/>
          <w:szCs w:val="28"/>
          <w:highlight w:val="none"/>
        </w:rPr>
        <w:t>二、合同的范围和条件</w:t>
      </w:r>
      <w:bookmarkEnd w:id="39"/>
      <w:bookmarkEnd w:id="4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本合同的范围和条件应与上述合同文件的规定相一致。</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1" w:name="_Toc25344"/>
      <w:bookmarkStart w:id="42" w:name="_Toc23763"/>
      <w:r>
        <w:rPr>
          <w:rFonts w:hint="eastAsia" w:ascii="Arial" w:hAnsi="Arial" w:eastAsia="黑体" w:cs="Times New Roman"/>
          <w:b w:val="0"/>
          <w:kern w:val="2"/>
          <w:sz w:val="36"/>
          <w:szCs w:val="28"/>
          <w:highlight w:val="none"/>
        </w:rPr>
        <w:t>三、货物、数量及规格</w:t>
      </w:r>
      <w:bookmarkEnd w:id="41"/>
      <w:bookmarkEnd w:id="4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本合同所提供的货物、数量及规格详见合同货物清单（附件一）（同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文件中报价明细表，下同）。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3" w:name="_Toc8807"/>
      <w:bookmarkStart w:id="44" w:name="_Toc272"/>
      <w:r>
        <w:rPr>
          <w:rFonts w:hint="eastAsia" w:ascii="Arial" w:hAnsi="Arial" w:eastAsia="黑体" w:cs="Times New Roman"/>
          <w:b w:val="0"/>
          <w:kern w:val="2"/>
          <w:sz w:val="36"/>
          <w:szCs w:val="28"/>
          <w:highlight w:val="none"/>
        </w:rPr>
        <w:t>四、合同金额</w:t>
      </w:r>
      <w:bookmarkEnd w:id="43"/>
      <w:bookmarkEnd w:id="4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根据上述合同文件要求，合同金额为人民币______________元，大写：________________________。（分项价格详见合同货物清单，详见附件一）。</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乙方开户单位：</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账号：</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5" w:name="_Toc17889"/>
      <w:bookmarkStart w:id="46" w:name="_Toc13328"/>
      <w:r>
        <w:rPr>
          <w:rFonts w:hint="eastAsia" w:ascii="Arial" w:hAnsi="Arial" w:eastAsia="黑体" w:cs="Times New Roman"/>
          <w:b w:val="0"/>
          <w:kern w:val="2"/>
          <w:sz w:val="36"/>
          <w:szCs w:val="28"/>
          <w:highlight w:val="none"/>
        </w:rPr>
        <w:t>五、付款途径</w:t>
      </w:r>
      <w:bookmarkEnd w:id="45"/>
      <w:bookmarkEnd w:id="4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□甲方支付（人民币元，大写：）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□国库（预算内资金：人民币_______元，预算外资金：人民币_______元）与甲方（人民币_______元）共同支付</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7" w:name="_Toc25500"/>
      <w:bookmarkStart w:id="48" w:name="_Toc9881"/>
      <w:r>
        <w:rPr>
          <w:rFonts w:hint="eastAsia" w:ascii="Arial" w:hAnsi="Arial" w:eastAsia="黑体" w:cs="Times New Roman"/>
          <w:b w:val="0"/>
          <w:kern w:val="2"/>
          <w:sz w:val="36"/>
          <w:szCs w:val="28"/>
          <w:highlight w:val="none"/>
        </w:rPr>
        <w:t>六、付款方式</w:t>
      </w:r>
      <w:bookmarkEnd w:id="47"/>
      <w:bookmarkEnd w:id="4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bookmarkStart w:id="49" w:name="_Toc11362"/>
      <w:r>
        <w:rPr>
          <w:rFonts w:hint="default" w:ascii="仿宋" w:hAnsi="仿宋" w:cs="仿宋"/>
          <w:sz w:val="28"/>
          <w:szCs w:val="28"/>
          <w:highlight w:val="none"/>
          <w:lang w:val="en-US"/>
        </w:rPr>
        <w:t>货物经双方验收合格签字确认交付后，甲方收到发票入库三个月内，支付合同总金额90%，余款作为质量保证金，自验收入库之日起满12个月后，无质量问题，付总金额的10%</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0" w:name="_Toc10832"/>
      <w:r>
        <w:rPr>
          <w:rFonts w:hint="eastAsia" w:ascii="Arial" w:hAnsi="Arial" w:eastAsia="黑体" w:cs="Times New Roman"/>
          <w:b w:val="0"/>
          <w:kern w:val="2"/>
          <w:sz w:val="36"/>
          <w:szCs w:val="28"/>
          <w:highlight w:val="none"/>
        </w:rPr>
        <w:t>七、交货日期、地点</w:t>
      </w:r>
      <w:bookmarkEnd w:id="49"/>
      <w:bookmarkEnd w:id="5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1、交货日期：合同生效之日起日内交货。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1" w:name="_Toc18187"/>
      <w:bookmarkStart w:id="52" w:name="_Toc2358"/>
      <w:r>
        <w:rPr>
          <w:rFonts w:hint="eastAsia" w:ascii="Arial" w:hAnsi="Arial" w:eastAsia="黑体" w:cs="Times New Roman"/>
          <w:b w:val="0"/>
          <w:kern w:val="2"/>
          <w:sz w:val="36"/>
          <w:szCs w:val="28"/>
          <w:highlight w:val="none"/>
        </w:rPr>
        <w:t>八、质量标准和验收</w:t>
      </w:r>
      <w:bookmarkEnd w:id="51"/>
      <w:bookmarkEnd w:id="5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1、乙方应保证提供的合同货物是货物生产厂商原造的，全新、未使用过的， 是用一流的工艺和优质材料制造而成的，并完全符合本项目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文件规定的质量、性能和规格的要求；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2、乙方提供的合同货物应通过货物制造厂商的出厂检验，并提供质量合格证书；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3、货物到达指定地点后，甲乙双方联合组织验收，必要时可邀请第三方机构或专业人员协助组织。</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3" w:name="_Toc23410"/>
      <w:bookmarkStart w:id="54" w:name="_Toc26222"/>
      <w:r>
        <w:rPr>
          <w:rFonts w:hint="eastAsia" w:ascii="Arial" w:hAnsi="Arial" w:eastAsia="黑体" w:cs="Times New Roman"/>
          <w:b w:val="0"/>
          <w:kern w:val="2"/>
          <w:sz w:val="36"/>
          <w:szCs w:val="28"/>
          <w:highlight w:val="none"/>
        </w:rPr>
        <w:t>九、履约保证金</w:t>
      </w:r>
      <w:bookmarkEnd w:id="53"/>
      <w:bookmarkEnd w:id="5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乙方在收到《</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通知书》后，应按照</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文件的规定，向甲方提交履约保证金。</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5" w:name="_Toc8157"/>
      <w:bookmarkStart w:id="56" w:name="_Toc16424"/>
      <w:r>
        <w:rPr>
          <w:rFonts w:hint="eastAsia" w:ascii="Arial" w:hAnsi="Arial" w:eastAsia="黑体" w:cs="Times New Roman"/>
          <w:b w:val="0"/>
          <w:kern w:val="2"/>
          <w:sz w:val="36"/>
          <w:szCs w:val="28"/>
          <w:highlight w:val="none"/>
        </w:rPr>
        <w:t>十、违约责任</w:t>
      </w:r>
      <w:bookmarkEnd w:id="55"/>
      <w:bookmarkEnd w:id="5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3、乙方迟延履行合同、不完全履行合同或提供的服务不符合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文件的要求，除支付违约金外，仍应实际履行合同或重新提供符合要求的服务。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4、其它未尽事宜，以《中华人民共和国民法典》规定为准。</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7" w:name="_Toc15291"/>
      <w:bookmarkStart w:id="58" w:name="_Toc18228"/>
      <w:r>
        <w:rPr>
          <w:rFonts w:hint="eastAsia" w:ascii="Arial" w:hAnsi="Arial" w:eastAsia="黑体" w:cs="Times New Roman"/>
          <w:b w:val="0"/>
          <w:kern w:val="2"/>
          <w:sz w:val="36"/>
          <w:szCs w:val="28"/>
          <w:highlight w:val="none"/>
        </w:rPr>
        <w:t>十一、争议解决</w:t>
      </w:r>
      <w:bookmarkEnd w:id="57"/>
      <w:bookmarkEnd w:id="5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1、向仲裁委员会提起仲裁；</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2、向法院提起诉讼。</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9" w:name="_Toc8912"/>
      <w:bookmarkStart w:id="60" w:name="_Toc31796"/>
      <w:r>
        <w:rPr>
          <w:rFonts w:hint="eastAsia" w:ascii="Arial" w:hAnsi="Arial" w:eastAsia="黑体" w:cs="Times New Roman"/>
          <w:b w:val="0"/>
          <w:kern w:val="2"/>
          <w:sz w:val="36"/>
          <w:szCs w:val="28"/>
          <w:highlight w:val="none"/>
        </w:rPr>
        <w:t>十二、合同生效</w:t>
      </w:r>
      <w:bookmarkEnd w:id="59"/>
      <w:bookmarkEnd w:id="6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本合同经甲乙双方签字盖章后生效。</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1" w:name="_Toc17395"/>
      <w:bookmarkStart w:id="62" w:name="_Toc439"/>
      <w:r>
        <w:rPr>
          <w:rFonts w:hint="eastAsia" w:ascii="Arial" w:hAnsi="Arial" w:eastAsia="黑体" w:cs="Times New Roman"/>
          <w:b w:val="0"/>
          <w:kern w:val="2"/>
          <w:sz w:val="36"/>
          <w:szCs w:val="28"/>
          <w:highlight w:val="none"/>
        </w:rPr>
        <w:t>十三、其他</w:t>
      </w:r>
      <w:bookmarkEnd w:id="61"/>
      <w:bookmarkEnd w:id="6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outlineLvl w:val="9"/>
        <w:rPr>
          <w:rFonts w:hint="eastAsia" w:ascii="Arial" w:hAnsi="Arial" w:eastAsia="黑体" w:cs="Times New Roman"/>
          <w:b w:val="0"/>
          <w:kern w:val="2"/>
          <w:sz w:val="36"/>
          <w:szCs w:val="28"/>
          <w:highlight w:val="none"/>
        </w:rPr>
      </w:pPr>
      <w:bookmarkStart w:id="63" w:name="_Toc15058"/>
      <w:bookmarkStart w:id="64" w:name="_Toc2577"/>
      <w:r>
        <w:rPr>
          <w:rFonts w:hint="eastAsia" w:ascii="Arial" w:hAnsi="Arial" w:eastAsia="黑体" w:cs="Times New Roman"/>
          <w:b w:val="0"/>
          <w:kern w:val="2"/>
          <w:sz w:val="36"/>
          <w:szCs w:val="28"/>
          <w:highlight w:val="none"/>
        </w:rPr>
        <w:t>十四、合同保存</w:t>
      </w:r>
      <w:bookmarkEnd w:id="63"/>
      <w:bookmarkEnd w:id="6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份，同诚工程咨询集团股份有限公司</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w:t>
      </w:r>
    </w:p>
    <w:tbl>
      <w:tblPr>
        <w:tblStyle w:val="1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677780574"/>
              </w:rPr>
              <w:t>授权代表</w:t>
            </w:r>
            <w:r>
              <w:rPr>
                <w:rFonts w:hint="eastAsia" w:ascii="仿宋" w:hAnsi="仿宋" w:eastAsia="仿宋" w:cs="仿宋"/>
                <w:sz w:val="28"/>
                <w:szCs w:val="28"/>
                <w:highlight w:val="none"/>
              </w:rPr>
              <w:t>（签字或盖章）：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423384757"/>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pStyle w:val="3"/>
        <w:spacing w:before="0" w:after="0" w:line="580" w:lineRule="exact"/>
        <w:jc w:val="center"/>
        <w:rPr>
          <w:rFonts w:hint="eastAsia" w:ascii="宋体" w:hAnsi="宋体" w:eastAsia="宋体" w:cs="宋体"/>
          <w:b w:val="0"/>
          <w:color w:val="000000"/>
          <w:highlight w:val="none"/>
        </w:rPr>
      </w:pPr>
      <w:r>
        <w:rPr>
          <w:rFonts w:hint="eastAsia" w:ascii="宋体" w:hAnsi="宋体" w:eastAsia="宋体" w:cs="宋体"/>
          <w:sz w:val="36"/>
          <w:szCs w:val="36"/>
          <w:highlight w:val="none"/>
        </w:rPr>
        <w:br w:type="page"/>
      </w:r>
      <w:bookmarkStart w:id="65" w:name="_Toc16241"/>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六</w:t>
      </w:r>
      <w:r>
        <w:rPr>
          <w:rFonts w:hint="eastAsia" w:ascii="Calibri" w:hAnsi="Calibri" w:eastAsia="宋体" w:cs="Times New Roman"/>
          <w:b/>
          <w:szCs w:val="24"/>
          <w:highlight w:val="none"/>
        </w:rPr>
        <w:t>章  附件</w:t>
      </w:r>
      <w:bookmarkEnd w:id="65"/>
    </w:p>
    <w:p>
      <w:pPr>
        <w:pStyle w:val="4"/>
        <w:keepNext w:val="0"/>
        <w:keepLines w:val="0"/>
        <w:spacing w:before="159" w:beforeLines="50" w:after="159" w:afterLines="50" w:line="240" w:lineRule="auto"/>
        <w:jc w:val="center"/>
        <w:rPr>
          <w:rFonts w:hint="eastAsia" w:ascii="Arial" w:hAnsi="Arial" w:eastAsia="黑体" w:cs="Times New Roman"/>
          <w:b w:val="0"/>
          <w:kern w:val="2"/>
          <w:sz w:val="32"/>
          <w:szCs w:val="32"/>
          <w:highlight w:val="none"/>
        </w:rPr>
      </w:pPr>
      <w:bookmarkStart w:id="66" w:name="_Toc24896"/>
      <w:r>
        <w:rPr>
          <w:rFonts w:hint="eastAsia" w:ascii="Arial" w:hAnsi="Arial" w:eastAsia="黑体" w:cs="Times New Roman"/>
          <w:b w:val="0"/>
          <w:kern w:val="2"/>
          <w:sz w:val="32"/>
          <w:szCs w:val="32"/>
          <w:highlight w:val="none"/>
        </w:rPr>
        <w:t>附件一：报价函</w:t>
      </w:r>
      <w:bookmarkEnd w:id="66"/>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山东大学第二医院：</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经研究，我们决定参加项目编号为</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的（项目名称）的货物供货、安装调试、人员培训、售后服务等报价活动并提交响应文件。为此，我方郑重声明以下诸点，并负法律责任。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1、我方提交的响应文件，正本一份，副本</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份。</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2、如果我们的响应文件被接受，我们将履行磋商文件中规定的每一项要求，并按我们响应文件中的承诺按期、按质、按量提供货物及服务。</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3、我方已详细阅读了磋商文件及其补充、修改和澄清（若有），完全理解并同意放弃对这方面有不明及误解的权力。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4、我们理解，最低报价不是成交的唯一条件，你们有选择成交供应商的权力。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5、我方愿按《中华人民共和国民法典》履行自己的全部责任。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6、我们同意按磋商文件规定交纳磋商保证金、代理服务费，遵守贵机构有关磋商的各项规定。</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7、我方若未成为成交供应商，贵机构有权不做任何解释。</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8、我方的响应文件自提交首次响应文件截止之日起有效期为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9、与本报价有关的一切正式往来通讯请寄：</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地  址：</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邮政编码：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电话号码：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传真号码：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开户名称：</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开户银行：</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银行帐号：</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授权代表（签字或盖章)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供应商名称（公章)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  期：</w:t>
      </w:r>
    </w:p>
    <w:p>
      <w:pPr>
        <w:pStyle w:val="4"/>
        <w:spacing w:before="156" w:after="156"/>
        <w:jc w:val="center"/>
        <w:rPr>
          <w:rFonts w:hint="eastAsia" w:ascii="Arial" w:hAnsi="Arial" w:eastAsia="黑体" w:cs="Times New Roman"/>
          <w:b w:val="0"/>
          <w:kern w:val="2"/>
          <w:sz w:val="32"/>
          <w:szCs w:val="32"/>
          <w:highlight w:val="none"/>
          <w:lang w:val="en-US" w:eastAsia="zh-CN"/>
        </w:rPr>
      </w:pPr>
      <w:r>
        <w:rPr>
          <w:rFonts w:hint="eastAsia" w:ascii="宋体" w:hAnsi="宋体" w:eastAsia="宋体" w:cs="宋体"/>
          <w:color w:val="000000"/>
          <w:sz w:val="24"/>
          <w:highlight w:val="none"/>
        </w:rPr>
        <w:br w:type="page"/>
      </w:r>
      <w:bookmarkStart w:id="67" w:name="_Toc15950"/>
      <w:bookmarkStart w:id="68" w:name="_Toc24306"/>
      <w:r>
        <w:rPr>
          <w:rFonts w:hint="eastAsia" w:ascii="Arial" w:hAnsi="Arial" w:eastAsia="黑体" w:cs="Times New Roman"/>
          <w:b w:val="0"/>
          <w:kern w:val="2"/>
          <w:sz w:val="32"/>
          <w:szCs w:val="32"/>
          <w:highlight w:val="none"/>
          <w:lang w:val="en-US" w:eastAsia="zh-CN"/>
        </w:rPr>
        <w:t>附件二：法定代表人身份证明</w:t>
      </w:r>
      <w:bookmarkEnd w:id="67"/>
      <w:bookmarkEnd w:id="68"/>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before="145" w:beforeLines="50" w:line="46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kern w:val="44"/>
          <w:sz w:val="28"/>
          <w:szCs w:val="28"/>
          <w:highlight w:val="none"/>
          <w:lang w:val="en-US" w:eastAsia="zh-CN" w:bidi="ar-SA"/>
        </w:rPr>
        <w:br w:type="page"/>
      </w:r>
      <w:bookmarkStart w:id="69" w:name="_Toc7468"/>
      <w:r>
        <w:rPr>
          <w:rFonts w:hint="eastAsia" w:ascii="Arial" w:hAnsi="Arial" w:eastAsia="黑体" w:cs="Times New Roman"/>
          <w:b w:val="0"/>
          <w:kern w:val="2"/>
          <w:sz w:val="32"/>
          <w:szCs w:val="32"/>
          <w:highlight w:val="none"/>
          <w:lang w:val="en-US" w:eastAsia="zh-CN" w:bidi="ar-SA"/>
        </w:rPr>
        <w:t>附件三：授权委托书</w:t>
      </w:r>
      <w:bookmarkEnd w:id="69"/>
    </w:p>
    <w:p>
      <w:pPr>
        <w:pStyle w:val="8"/>
        <w:spacing w:after="0" w:line="480" w:lineRule="exact"/>
        <w:jc w:val="center"/>
        <w:rPr>
          <w:rFonts w:hint="eastAsia" w:ascii="宋体" w:hAnsi="宋体" w:eastAsia="宋体" w:cs="宋体"/>
          <w:b/>
          <w:color w:val="000000"/>
          <w:sz w:val="32"/>
          <w:highlight w:val="none"/>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本授权委托书声明：我（姓名）系（供应商名称）的法定代表人，现授权委托（供应商名称）的（姓名）为我方代理人，代理人根据授权，以我方名义签署、澄清、说明、补正、提交、撤回、修改（项目编号：        ）项目的响应文件、签订合同和处理有关事宜，其法律后果由我方承担。</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代理人无转委托权，特此委托．</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7"/>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（附法定代表人身份证复印件人像面）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（附法定代表人身份证复印件国徽面）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（附授权代表身份证复印件国徽面）</w:t>
            </w:r>
          </w:p>
        </w:tc>
      </w:tr>
    </w:tbl>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供应商：（盖章）          </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法定代表人：（签字或盖章）</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授权委托日期： 年 月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注：如法定代表人/负责人、自然人参加报价，提供法定代表人/负责人、自然人身份证复印件。</w:t>
      </w: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color w:val="000000"/>
          <w:kern w:val="0"/>
          <w:sz w:val="24"/>
          <w:highlight w:val="none"/>
        </w:rPr>
        <w:br w:type="page"/>
      </w:r>
      <w:bookmarkStart w:id="70" w:name="_Toc23170"/>
      <w:r>
        <w:rPr>
          <w:rFonts w:hint="eastAsia" w:ascii="Arial" w:hAnsi="Arial" w:eastAsia="黑体" w:cs="Times New Roman"/>
          <w:b w:val="0"/>
          <w:kern w:val="2"/>
          <w:sz w:val="32"/>
          <w:szCs w:val="32"/>
          <w:highlight w:val="none"/>
          <w:lang w:val="en-US" w:eastAsia="zh-CN" w:bidi="ar-SA"/>
        </w:rPr>
        <w:t>附件四：报价一览表</w:t>
      </w:r>
      <w:bookmarkEnd w:id="70"/>
    </w:p>
    <w:p>
      <w:pPr>
        <w:pStyle w:val="8"/>
        <w:spacing w:after="0" w:line="480" w:lineRule="exact"/>
        <w:jc w:val="center"/>
        <w:rPr>
          <w:rFonts w:hint="eastAsia" w:ascii="仿宋" w:hAnsi="仿宋" w:eastAsia="仿宋" w:cs="仿宋"/>
          <w:bCs/>
          <w:color w:val="000000"/>
          <w:sz w:val="28"/>
          <w:szCs w:val="28"/>
          <w:highlight w:val="none"/>
        </w:rPr>
      </w:pPr>
      <w:r>
        <w:rPr>
          <w:rFonts w:hint="eastAsia" w:ascii="宋体" w:hAnsi="宋体" w:eastAsia="宋体" w:cs="宋体"/>
          <w:bCs/>
          <w:color w:val="000000"/>
          <w:szCs w:val="24"/>
          <w:highlight w:val="none"/>
        </w:rPr>
        <w:t xml:space="preserve">                                                      </w:t>
      </w:r>
      <w:r>
        <w:rPr>
          <w:rFonts w:hint="eastAsia" w:ascii="仿宋" w:hAnsi="仿宋" w:eastAsia="仿宋" w:cs="仿宋"/>
          <w:bCs/>
          <w:color w:val="000000"/>
          <w:sz w:val="28"/>
          <w:szCs w:val="28"/>
          <w:highlight w:val="none"/>
        </w:rPr>
        <w:t xml:space="preserve">   单位：人民币/元</w:t>
      </w:r>
    </w:p>
    <w:tbl>
      <w:tblPr>
        <w:tblStyle w:val="1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项目名称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货物名称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产地/品牌/型号（多种产品的仅提供核心产品品牌型号）</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val="en-US" w:eastAsia="zh-CN"/>
              </w:rPr>
              <w:t>磋商前</w:t>
            </w:r>
            <w:r>
              <w:rPr>
                <w:rFonts w:hint="eastAsia" w:ascii="仿宋" w:hAnsi="仿宋" w:eastAsia="仿宋" w:cs="仿宋"/>
                <w:bCs/>
                <w:color w:val="000000"/>
                <w:sz w:val="28"/>
                <w:szCs w:val="28"/>
                <w:highlight w:val="none"/>
              </w:rPr>
              <w:t>报价</w:t>
            </w:r>
          </w:p>
        </w:tc>
        <w:tc>
          <w:tcPr>
            <w:tcW w:w="5707" w:type="dxa"/>
            <w:noWrap w:val="0"/>
            <w:vAlign w:val="center"/>
          </w:tcPr>
          <w:p>
            <w:pPr>
              <w:spacing w:line="380" w:lineRule="exact"/>
              <w:rPr>
                <w:rFonts w:hint="eastAsia" w:ascii="仿宋" w:hAnsi="仿宋" w:eastAsia="仿宋" w:cs="仿宋"/>
                <w:b/>
                <w:color w:val="000000"/>
                <w:sz w:val="28"/>
                <w:szCs w:val="28"/>
                <w:highlight w:val="none"/>
                <w:u w:val="single"/>
              </w:rPr>
            </w:pPr>
            <w:r>
              <w:rPr>
                <w:rFonts w:hint="eastAsia" w:ascii="仿宋" w:hAnsi="仿宋" w:eastAsia="仿宋" w:cs="仿宋"/>
                <w:sz w:val="28"/>
                <w:szCs w:val="28"/>
                <w:highlight w:val="none"/>
              </w:rPr>
              <w:t>总报价：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供货（安装）期</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r>
              <w:rPr>
                <w:rFonts w:hint="eastAsia" w:ascii="仿宋" w:hAnsi="仿宋" w:eastAsia="仿宋" w:cs="仿宋"/>
                <w:color w:val="000000"/>
                <w:sz w:val="28"/>
                <w:szCs w:val="28"/>
                <w:highlight w:val="none"/>
              </w:rPr>
              <w:t>合同签订后，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质保期</w:t>
            </w:r>
          </w:p>
        </w:tc>
        <w:tc>
          <w:tcPr>
            <w:tcW w:w="5707" w:type="dxa"/>
            <w:noWrap w:val="0"/>
            <w:vAlign w:val="center"/>
          </w:tcPr>
          <w:p>
            <w:pPr>
              <w:spacing w:line="380" w:lineRule="exac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580" w:type="dxa"/>
            <w:noWrap w:val="0"/>
            <w:vAlign w:val="center"/>
          </w:tcPr>
          <w:p>
            <w:pPr>
              <w:tabs>
                <w:tab w:val="left" w:pos="1337"/>
              </w:tabs>
              <w:spacing w:line="380" w:lineRule="exact"/>
              <w:ind w:left="240" w:hanging="280" w:hanging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所报产品制造商是否为小微企业、监狱企业、残疾人福利性单位</w:t>
            </w:r>
          </w:p>
        </w:tc>
        <w:tc>
          <w:tcPr>
            <w:tcW w:w="5707" w:type="dxa"/>
            <w:noWrap w:val="0"/>
            <w:vAlign w:val="center"/>
          </w:tcPr>
          <w:p>
            <w:pPr>
              <w:tabs>
                <w:tab w:val="left" w:pos="1337"/>
              </w:tabs>
              <w:spacing w:line="38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□是    企业类型</w:t>
            </w:r>
            <w:r>
              <w:rPr>
                <w:rFonts w:hint="eastAsia" w:ascii="仿宋" w:hAnsi="仿宋" w:eastAsia="仿宋" w:cs="仿宋"/>
                <w:sz w:val="28"/>
                <w:szCs w:val="28"/>
                <w:highlight w:val="none"/>
                <w:lang w:eastAsia="zh-CN"/>
              </w:rPr>
              <w:t>：</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p>
          <w:p>
            <w:pPr>
              <w:tabs>
                <w:tab w:val="left" w:pos="1337"/>
              </w:tabs>
              <w:spacing w:line="3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供应商对磋商文件的认同情况</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备注</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bl>
    <w:p>
      <w:pPr>
        <w:rPr>
          <w:rFonts w:hint="eastAsia" w:ascii="仿宋" w:hAnsi="仿宋" w:eastAsia="仿宋" w:cs="仿宋"/>
          <w:sz w:val="28"/>
          <w:szCs w:val="28"/>
          <w:highlight w:val="none"/>
        </w:rPr>
      </w:pPr>
      <w:r>
        <w:rPr>
          <w:rFonts w:hint="eastAsia" w:ascii="仿宋" w:hAnsi="仿宋" w:eastAsia="仿宋" w:cs="仿宋"/>
          <w:sz w:val="28"/>
          <w:szCs w:val="28"/>
          <w:highlight w:val="none"/>
        </w:rPr>
        <w:t>注：1、本表除需在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文件中装订外，还需另外一式三份单独密封。</w:t>
      </w:r>
    </w:p>
    <w:p>
      <w:pPr>
        <w:ind w:left="56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line="480" w:lineRule="exact"/>
        <w:ind w:firstLine="703" w:firstLineChars="250"/>
        <w:rPr>
          <w:rFonts w:hint="eastAsia" w:ascii="仿宋" w:hAnsi="仿宋" w:eastAsia="仿宋" w:cs="仿宋"/>
          <w:b/>
          <w:color w:val="000000"/>
          <w:sz w:val="28"/>
          <w:szCs w:val="28"/>
          <w:highlight w:val="none"/>
        </w:rPr>
      </w:pPr>
    </w:p>
    <w:p>
      <w:pPr>
        <w:spacing w:line="480" w:lineRule="exact"/>
        <w:rPr>
          <w:rFonts w:hint="eastAsia" w:ascii="仿宋" w:hAnsi="仿宋" w:eastAsia="仿宋" w:cs="仿宋"/>
          <w:b/>
          <w:color w:val="000000"/>
          <w:sz w:val="28"/>
          <w:szCs w:val="28"/>
          <w:highlight w:val="none"/>
        </w:rPr>
        <w:sectPr>
          <w:footerReference r:id="rId8" w:type="first"/>
          <w:footerReference r:id="rId7" w:type="default"/>
          <w:pgSz w:w="11907" w:h="16840"/>
          <w:pgMar w:top="1304" w:right="1213" w:bottom="1157" w:left="1418" w:header="851" w:footer="851" w:gutter="0"/>
          <w:pgNumType w:fmt="numberInDash" w:start="1"/>
          <w:cols w:space="720" w:num="1"/>
          <w:docGrid w:type="lines" w:linePitch="290" w:charSpace="-3931"/>
        </w:sectPr>
      </w:pP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1" w:name="_Toc8355"/>
      <w:r>
        <w:rPr>
          <w:rFonts w:hint="eastAsia" w:ascii="Arial" w:hAnsi="Arial" w:eastAsia="黑体" w:cs="Times New Roman"/>
          <w:b w:val="0"/>
          <w:kern w:val="2"/>
          <w:sz w:val="32"/>
          <w:szCs w:val="32"/>
          <w:highlight w:val="none"/>
          <w:lang w:val="en-US" w:eastAsia="zh-CN" w:bidi="ar-SA"/>
        </w:rPr>
        <w:t>附件五：报价明细表</w:t>
      </w:r>
      <w:bookmarkEnd w:id="71"/>
    </w:p>
    <w:p>
      <w:pPr>
        <w:tabs>
          <w:tab w:val="left" w:pos="1785"/>
        </w:tabs>
        <w:spacing w:line="480" w:lineRule="exact"/>
        <w:rPr>
          <w:rFonts w:hint="eastAsia" w:ascii="仿宋" w:hAnsi="仿宋" w:eastAsia="仿宋" w:cs="仿宋"/>
          <w:color w:val="000000"/>
          <w:sz w:val="28"/>
          <w:szCs w:val="28"/>
          <w:highlight w:val="none"/>
        </w:rPr>
      </w:pPr>
      <w:bookmarkStart w:id="72" w:name="OLE_LINK3"/>
      <w:bookmarkStart w:id="73" w:name="OLE_LINK4"/>
      <w:r>
        <w:rPr>
          <w:rFonts w:hint="eastAsia" w:ascii="仿宋" w:hAnsi="仿宋" w:eastAsia="仿宋" w:cs="仿宋"/>
          <w:b/>
          <w:color w:val="000000"/>
          <w:sz w:val="28"/>
          <w:szCs w:val="28"/>
          <w:highlight w:val="none"/>
        </w:rPr>
        <w:t>项目名称 :                                                                                报价货币：</w:t>
      </w:r>
      <w:r>
        <w:rPr>
          <w:rFonts w:hint="eastAsia" w:ascii="仿宋" w:hAnsi="仿宋" w:eastAsia="仿宋" w:cs="仿宋"/>
          <w:color w:val="000000"/>
          <w:sz w:val="28"/>
          <w:szCs w:val="28"/>
          <w:highlight w:val="none"/>
        </w:rPr>
        <w:t xml:space="preserve"> 人民币/元</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97"/>
        <w:gridCol w:w="1611"/>
        <w:gridCol w:w="1649"/>
        <w:gridCol w:w="1086"/>
        <w:gridCol w:w="724"/>
        <w:gridCol w:w="1080"/>
        <w:gridCol w:w="756"/>
        <w:gridCol w:w="972"/>
        <w:gridCol w:w="864"/>
        <w:gridCol w:w="1191"/>
        <w:gridCol w:w="1188"/>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410"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名称</w:t>
            </w:r>
          </w:p>
        </w:tc>
        <w:tc>
          <w:tcPr>
            <w:tcW w:w="55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型号</w:t>
            </w:r>
          </w:p>
        </w:tc>
        <w:tc>
          <w:tcPr>
            <w:tcW w:w="565"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制造商/品牌</w:t>
            </w:r>
          </w:p>
        </w:tc>
        <w:tc>
          <w:tcPr>
            <w:tcW w:w="37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618"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货物价</w:t>
            </w:r>
          </w:p>
        </w:tc>
        <w:tc>
          <w:tcPr>
            <w:tcW w:w="592"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运杂费</w:t>
            </w:r>
          </w:p>
        </w:tc>
        <w:tc>
          <w:tcPr>
            <w:tcW w:w="704"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安装调试费</w:t>
            </w:r>
          </w:p>
        </w:tc>
        <w:tc>
          <w:tcPr>
            <w:tcW w:w="407"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培训费</w:t>
            </w:r>
          </w:p>
        </w:tc>
        <w:tc>
          <w:tcPr>
            <w:tcW w:w="44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565"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37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407"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c>
          <w:tcPr>
            <w:tcW w:w="444"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总报价</w:t>
            </w:r>
          </w:p>
        </w:tc>
        <w:tc>
          <w:tcPr>
            <w:tcW w:w="4666" w:type="pct"/>
            <w:gridSpan w:val="12"/>
            <w:noWrap w:val="0"/>
            <w:vAlign w:val="top"/>
          </w:tcPr>
          <w:p>
            <w:pPr>
              <w:widowControl/>
              <w:spacing w:line="380" w:lineRule="exact"/>
              <w:jc w:val="left"/>
              <w:rPr>
                <w:rFonts w:hint="eastAsia" w:ascii="仿宋" w:hAnsi="仿宋" w:eastAsia="仿宋" w:cs="仿宋"/>
                <w:color w:val="000000"/>
                <w:sz w:val="28"/>
                <w:szCs w:val="28"/>
                <w:highlight w:val="none"/>
              </w:rPr>
            </w:pPr>
          </w:p>
        </w:tc>
      </w:tr>
    </w:tbl>
    <w:p>
      <w:pPr>
        <w:pStyle w:val="23"/>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3"/>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  年 月 日</w:t>
      </w:r>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 包中货物应全部分项报价(根据技术要求中清单内容及数量进行分项报价)；</w:t>
      </w:r>
    </w:p>
    <w:bookmarkEnd w:id="72"/>
    <w:bookmarkEnd w:id="73"/>
    <w:p>
      <w:pPr>
        <w:spacing w:line="480" w:lineRule="exact"/>
        <w:ind w:firstLine="640" w:firstLineChars="245"/>
        <w:rPr>
          <w:rFonts w:hint="eastAsia" w:ascii="仿宋" w:hAnsi="仿宋" w:eastAsia="仿宋" w:cs="仿宋"/>
          <w:color w:val="000000"/>
          <w:sz w:val="28"/>
          <w:szCs w:val="28"/>
          <w:highlight w:val="none"/>
        </w:rPr>
        <w:sectPr>
          <w:type w:val="continuous"/>
          <w:pgSz w:w="16840" w:h="11907" w:orient="landscape"/>
          <w:pgMar w:top="1418" w:right="1304" w:bottom="1418" w:left="1157" w:header="851" w:footer="851" w:gutter="0"/>
          <w:pgNumType w:fmt="numberInDash"/>
          <w:cols w:space="720" w:num="1"/>
          <w:docGrid w:type="linesAndChars" w:linePitch="290" w:charSpace="-3931"/>
        </w:sectPr>
      </w:pP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4" w:name="_Toc24899"/>
      <w:r>
        <w:rPr>
          <w:rFonts w:hint="eastAsia" w:ascii="Arial" w:hAnsi="Arial" w:eastAsia="黑体" w:cs="Times New Roman"/>
          <w:b w:val="0"/>
          <w:kern w:val="2"/>
          <w:sz w:val="32"/>
          <w:szCs w:val="32"/>
          <w:highlight w:val="none"/>
          <w:lang w:val="en-US" w:eastAsia="zh-CN" w:bidi="ar-SA"/>
        </w:rPr>
        <w:t>附件六：技术规格响应/偏离表</w:t>
      </w:r>
      <w:bookmarkEnd w:id="74"/>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35"/>
        <w:gridCol w:w="1194"/>
        <w:gridCol w:w="1893"/>
        <w:gridCol w:w="1694"/>
        <w:gridCol w:w="134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7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货物名称</w:t>
            </w:r>
          </w:p>
        </w:tc>
        <w:tc>
          <w:tcPr>
            <w:tcW w:w="64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0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采购规格</w:t>
            </w:r>
          </w:p>
        </w:tc>
        <w:tc>
          <w:tcPr>
            <w:tcW w:w="91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报价规格</w:t>
            </w:r>
          </w:p>
        </w:tc>
        <w:tc>
          <w:tcPr>
            <w:tcW w:w="72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52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bl>
    <w:p>
      <w:pPr>
        <w:pStyle w:val="23"/>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3"/>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7"/>
        <w:wordWrap w:val="0"/>
        <w:spacing w:before="0" w:after="0" w:line="480" w:lineRule="exact"/>
        <w:ind w:right="72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z w:val="28"/>
          <w:szCs w:val="28"/>
          <w:highlight w:val="none"/>
        </w:rPr>
        <w:br w:type="page"/>
      </w:r>
      <w:bookmarkStart w:id="75" w:name="_Toc32268"/>
      <w:r>
        <w:rPr>
          <w:rFonts w:hint="eastAsia" w:ascii="Arial" w:hAnsi="Arial" w:eastAsia="黑体" w:cs="Times New Roman"/>
          <w:b w:val="0"/>
          <w:kern w:val="2"/>
          <w:sz w:val="32"/>
          <w:szCs w:val="32"/>
          <w:highlight w:val="none"/>
          <w:lang w:val="en-US" w:eastAsia="zh-CN" w:bidi="ar-SA"/>
        </w:rPr>
        <w:t>附件七:商务条款响应/偏离表</w:t>
      </w:r>
      <w:bookmarkEnd w:id="75"/>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96"/>
        <w:gridCol w:w="2351"/>
        <w:gridCol w:w="2450"/>
        <w:gridCol w:w="141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69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266"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磋商文件商务条款</w:t>
            </w:r>
          </w:p>
        </w:tc>
        <w:tc>
          <w:tcPr>
            <w:tcW w:w="13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响应文件商务条款</w:t>
            </w:r>
          </w:p>
        </w:tc>
        <w:tc>
          <w:tcPr>
            <w:tcW w:w="75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49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bl>
    <w:p>
      <w:pPr>
        <w:pStyle w:val="23"/>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3"/>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7"/>
        <w:wordWrap w:val="0"/>
        <w:spacing w:before="0" w:after="0" w:line="480" w:lineRule="exact"/>
        <w:ind w:right="48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sz w:val="28"/>
          <w:szCs w:val="28"/>
          <w:highlight w:val="none"/>
        </w:rPr>
        <w:br w:type="page"/>
      </w:r>
      <w:bookmarkStart w:id="76" w:name="_Toc1189"/>
      <w:r>
        <w:rPr>
          <w:rFonts w:hint="eastAsia" w:ascii="Arial" w:hAnsi="Arial" w:eastAsia="黑体" w:cs="Times New Roman"/>
          <w:b w:val="0"/>
          <w:kern w:val="2"/>
          <w:sz w:val="32"/>
          <w:szCs w:val="32"/>
          <w:highlight w:val="none"/>
          <w:lang w:val="en-US" w:eastAsia="zh-CN" w:bidi="ar-SA"/>
        </w:rPr>
        <w:t>附件八：产品性能描述一览表</w:t>
      </w:r>
      <w:bookmarkEnd w:id="76"/>
    </w:p>
    <w:p>
      <w:pPr>
        <w:spacing w:line="36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347"/>
        <w:gridCol w:w="1411"/>
        <w:gridCol w:w="4712"/>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7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产品名称</w:t>
            </w:r>
          </w:p>
        </w:tc>
        <w:tc>
          <w:tcPr>
            <w:tcW w:w="759"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规格型号</w:t>
            </w:r>
          </w:p>
        </w:tc>
        <w:tc>
          <w:tcPr>
            <w:tcW w:w="253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技术性能描述</w:t>
            </w:r>
          </w:p>
        </w:tc>
        <w:tc>
          <w:tcPr>
            <w:tcW w:w="524"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759" w:type="pct"/>
            <w:noWrap w:val="0"/>
            <w:vAlign w:val="center"/>
          </w:tcPr>
          <w:p>
            <w:pPr>
              <w:jc w:val="center"/>
              <w:rPr>
                <w:rFonts w:hint="eastAsia" w:ascii="仿宋" w:hAnsi="仿宋" w:eastAsia="仿宋" w:cs="仿宋"/>
                <w:color w:val="000000"/>
                <w:sz w:val="28"/>
                <w:szCs w:val="28"/>
                <w:highlight w:val="none"/>
              </w:rPr>
            </w:pPr>
          </w:p>
        </w:tc>
        <w:tc>
          <w:tcPr>
            <w:tcW w:w="2535" w:type="pct"/>
            <w:noWrap w:val="0"/>
            <w:vAlign w:val="center"/>
          </w:tcPr>
          <w:p>
            <w:pPr>
              <w:jc w:val="center"/>
              <w:rPr>
                <w:rFonts w:hint="eastAsia" w:ascii="仿宋" w:hAnsi="仿宋" w:eastAsia="仿宋" w:cs="仿宋"/>
                <w:color w:val="000000"/>
                <w:sz w:val="28"/>
                <w:szCs w:val="28"/>
                <w:highlight w:val="none"/>
              </w:rPr>
            </w:pPr>
          </w:p>
        </w:tc>
        <w:tc>
          <w:tcPr>
            <w:tcW w:w="524"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1" w:hRule="atLeast"/>
          <w:jc w:val="center"/>
        </w:trPr>
        <w:tc>
          <w:tcPr>
            <w:tcW w:w="454"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759" w:type="pct"/>
            <w:noWrap w:val="0"/>
            <w:vAlign w:val="center"/>
          </w:tcPr>
          <w:p>
            <w:pPr>
              <w:jc w:val="center"/>
              <w:rPr>
                <w:rFonts w:hint="eastAsia" w:ascii="仿宋" w:hAnsi="仿宋" w:eastAsia="仿宋" w:cs="仿宋"/>
                <w:color w:val="000000"/>
                <w:sz w:val="28"/>
                <w:szCs w:val="28"/>
                <w:highlight w:val="none"/>
              </w:rPr>
            </w:pPr>
          </w:p>
        </w:tc>
        <w:tc>
          <w:tcPr>
            <w:tcW w:w="2535" w:type="pct"/>
            <w:noWrap w:val="0"/>
            <w:vAlign w:val="center"/>
          </w:tcPr>
          <w:p>
            <w:pPr>
              <w:jc w:val="center"/>
              <w:rPr>
                <w:rFonts w:hint="eastAsia" w:ascii="仿宋" w:hAnsi="仿宋" w:eastAsia="仿宋" w:cs="仿宋"/>
                <w:color w:val="000000"/>
                <w:sz w:val="28"/>
                <w:szCs w:val="28"/>
                <w:highlight w:val="none"/>
              </w:rPr>
            </w:pPr>
          </w:p>
        </w:tc>
        <w:tc>
          <w:tcPr>
            <w:tcW w:w="524"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759" w:type="pct"/>
            <w:noWrap w:val="0"/>
            <w:vAlign w:val="center"/>
          </w:tcPr>
          <w:p>
            <w:pPr>
              <w:jc w:val="center"/>
              <w:rPr>
                <w:rFonts w:hint="eastAsia" w:ascii="仿宋" w:hAnsi="仿宋" w:eastAsia="仿宋" w:cs="仿宋"/>
                <w:color w:val="000000"/>
                <w:sz w:val="28"/>
                <w:szCs w:val="28"/>
                <w:highlight w:val="none"/>
              </w:rPr>
            </w:pPr>
          </w:p>
        </w:tc>
        <w:tc>
          <w:tcPr>
            <w:tcW w:w="2535" w:type="pct"/>
            <w:noWrap w:val="0"/>
            <w:vAlign w:val="center"/>
          </w:tcPr>
          <w:p>
            <w:pPr>
              <w:jc w:val="center"/>
              <w:rPr>
                <w:rFonts w:hint="eastAsia" w:ascii="仿宋" w:hAnsi="仿宋" w:eastAsia="仿宋" w:cs="仿宋"/>
                <w:color w:val="000000"/>
                <w:sz w:val="28"/>
                <w:szCs w:val="28"/>
                <w:highlight w:val="none"/>
              </w:rPr>
            </w:pPr>
          </w:p>
        </w:tc>
        <w:tc>
          <w:tcPr>
            <w:tcW w:w="524"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759" w:type="pct"/>
            <w:noWrap w:val="0"/>
            <w:vAlign w:val="center"/>
          </w:tcPr>
          <w:p>
            <w:pPr>
              <w:jc w:val="center"/>
              <w:rPr>
                <w:rFonts w:hint="eastAsia" w:ascii="仿宋" w:hAnsi="仿宋" w:eastAsia="仿宋" w:cs="仿宋"/>
                <w:color w:val="000000"/>
                <w:sz w:val="28"/>
                <w:szCs w:val="28"/>
                <w:highlight w:val="none"/>
              </w:rPr>
            </w:pPr>
          </w:p>
        </w:tc>
        <w:tc>
          <w:tcPr>
            <w:tcW w:w="2535" w:type="pct"/>
            <w:noWrap w:val="0"/>
            <w:vAlign w:val="center"/>
          </w:tcPr>
          <w:p>
            <w:pPr>
              <w:jc w:val="center"/>
              <w:rPr>
                <w:rFonts w:hint="eastAsia" w:ascii="仿宋" w:hAnsi="仿宋" w:eastAsia="仿宋" w:cs="仿宋"/>
                <w:color w:val="000000"/>
                <w:sz w:val="28"/>
                <w:szCs w:val="28"/>
                <w:highlight w:val="none"/>
              </w:rPr>
            </w:pPr>
          </w:p>
        </w:tc>
        <w:tc>
          <w:tcPr>
            <w:tcW w:w="524"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759" w:type="pct"/>
            <w:noWrap w:val="0"/>
            <w:vAlign w:val="center"/>
          </w:tcPr>
          <w:p>
            <w:pPr>
              <w:jc w:val="center"/>
              <w:rPr>
                <w:rFonts w:hint="eastAsia" w:ascii="仿宋" w:hAnsi="仿宋" w:eastAsia="仿宋" w:cs="仿宋"/>
                <w:color w:val="000000"/>
                <w:sz w:val="28"/>
                <w:szCs w:val="28"/>
                <w:highlight w:val="none"/>
              </w:rPr>
            </w:pPr>
          </w:p>
        </w:tc>
        <w:tc>
          <w:tcPr>
            <w:tcW w:w="2535" w:type="pct"/>
            <w:noWrap w:val="0"/>
            <w:vAlign w:val="center"/>
          </w:tcPr>
          <w:p>
            <w:pPr>
              <w:jc w:val="center"/>
              <w:rPr>
                <w:rFonts w:hint="eastAsia" w:ascii="仿宋" w:hAnsi="仿宋" w:eastAsia="仿宋" w:cs="仿宋"/>
                <w:color w:val="000000"/>
                <w:sz w:val="28"/>
                <w:szCs w:val="28"/>
                <w:highlight w:val="none"/>
              </w:rPr>
            </w:pPr>
          </w:p>
        </w:tc>
        <w:tc>
          <w:tcPr>
            <w:tcW w:w="524"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759" w:type="pct"/>
            <w:noWrap w:val="0"/>
            <w:vAlign w:val="center"/>
          </w:tcPr>
          <w:p>
            <w:pPr>
              <w:jc w:val="center"/>
              <w:rPr>
                <w:rFonts w:hint="eastAsia" w:ascii="仿宋" w:hAnsi="仿宋" w:eastAsia="仿宋" w:cs="仿宋"/>
                <w:color w:val="000000"/>
                <w:sz w:val="28"/>
                <w:szCs w:val="28"/>
                <w:highlight w:val="none"/>
              </w:rPr>
            </w:pPr>
          </w:p>
        </w:tc>
        <w:tc>
          <w:tcPr>
            <w:tcW w:w="2535" w:type="pct"/>
            <w:noWrap w:val="0"/>
            <w:vAlign w:val="center"/>
          </w:tcPr>
          <w:p>
            <w:pPr>
              <w:jc w:val="center"/>
              <w:rPr>
                <w:rFonts w:hint="eastAsia" w:ascii="仿宋" w:hAnsi="仿宋" w:eastAsia="仿宋" w:cs="仿宋"/>
                <w:color w:val="000000"/>
                <w:sz w:val="28"/>
                <w:szCs w:val="28"/>
                <w:highlight w:val="none"/>
              </w:rPr>
            </w:pPr>
          </w:p>
        </w:tc>
        <w:tc>
          <w:tcPr>
            <w:tcW w:w="524" w:type="pct"/>
            <w:noWrap w:val="0"/>
            <w:vAlign w:val="center"/>
          </w:tcPr>
          <w:p>
            <w:pPr>
              <w:jc w:val="center"/>
              <w:rPr>
                <w:rFonts w:hint="eastAsia" w:ascii="仿宋" w:hAnsi="仿宋" w:eastAsia="仿宋" w:cs="仿宋"/>
                <w:color w:val="000000"/>
                <w:sz w:val="28"/>
                <w:szCs w:val="28"/>
                <w:highlight w:val="none"/>
              </w:rPr>
            </w:pPr>
          </w:p>
        </w:tc>
      </w:tr>
    </w:tbl>
    <w:p>
      <w:pPr>
        <w:spacing w:line="480" w:lineRule="exact"/>
        <w:outlineLvl w:val="9"/>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注:本表后附无法在线提供的产品相关证明材料。</w:t>
      </w:r>
    </w:p>
    <w:p>
      <w:pPr>
        <w:spacing w:line="480" w:lineRule="exact"/>
        <w:jc w:val="center"/>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7" w:name="_Toc12078"/>
      <w:r>
        <w:rPr>
          <w:rFonts w:hint="eastAsia" w:ascii="Arial" w:hAnsi="Arial" w:eastAsia="黑体" w:cs="Times New Roman"/>
          <w:b w:val="0"/>
          <w:kern w:val="2"/>
          <w:sz w:val="32"/>
          <w:szCs w:val="32"/>
          <w:highlight w:val="none"/>
          <w:lang w:val="en-US" w:eastAsia="zh-CN" w:bidi="ar-SA"/>
        </w:rPr>
        <w:t>附件九：质保期外备品备件、易损件、专用工具报价表</w:t>
      </w:r>
      <w:bookmarkEnd w:id="77"/>
    </w:p>
    <w:p>
      <w:pPr>
        <w:bidi w:val="0"/>
        <w:jc w:val="center"/>
        <w:rPr>
          <w:rFonts w:hint="eastAsia"/>
          <w:sz w:val="32"/>
          <w:szCs w:val="32"/>
          <w:highlight w:val="none"/>
          <w:lang w:val="en-US" w:eastAsia="zh-CN"/>
        </w:rPr>
      </w:pPr>
      <w:bookmarkStart w:id="78" w:name="_Toc13571"/>
      <w:r>
        <w:rPr>
          <w:rFonts w:hint="eastAsia"/>
          <w:sz w:val="32"/>
          <w:szCs w:val="32"/>
          <w:highlight w:val="none"/>
          <w:lang w:val="en-US" w:eastAsia="zh-CN"/>
        </w:rPr>
        <w:t>（格式自定）</w:t>
      </w:r>
      <w:bookmarkEnd w:id="78"/>
    </w:p>
    <w:p>
      <w:pPr>
        <w:bidi w:val="0"/>
        <w:rPr>
          <w:rFonts w:hint="eastAsia"/>
          <w:highlight w:val="none"/>
          <w:lang w:val="en-US" w:eastAsia="zh-CN"/>
        </w:rPr>
      </w:pPr>
    </w:p>
    <w:p>
      <w:pPr>
        <w:bidi w:val="0"/>
        <w:rPr>
          <w:rFonts w:hint="eastAsia"/>
          <w:highlight w:val="none"/>
          <w:lang w:val="en-US" w:eastAsia="zh-CN"/>
        </w:rPr>
      </w:pP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9" w:name="_Toc4580"/>
      <w:r>
        <w:rPr>
          <w:rFonts w:hint="eastAsia" w:ascii="Arial" w:hAnsi="Arial" w:eastAsia="黑体" w:cs="Times New Roman"/>
          <w:b w:val="0"/>
          <w:kern w:val="2"/>
          <w:sz w:val="32"/>
          <w:szCs w:val="32"/>
          <w:highlight w:val="none"/>
          <w:lang w:val="en-US" w:eastAsia="zh-CN" w:bidi="ar-SA"/>
        </w:rPr>
        <w:t>附件十：与所报设备配套耗材、试剂的价格表（如果有）</w:t>
      </w:r>
      <w:bookmarkEnd w:id="79"/>
    </w:p>
    <w:p>
      <w:pPr>
        <w:bidi w:val="0"/>
        <w:jc w:val="center"/>
        <w:rPr>
          <w:rFonts w:hint="eastAsia"/>
          <w:sz w:val="32"/>
          <w:szCs w:val="32"/>
          <w:highlight w:val="none"/>
          <w:lang w:val="en-US" w:eastAsia="zh-CN"/>
        </w:rPr>
      </w:pPr>
      <w:bookmarkStart w:id="80" w:name="_Toc29714"/>
      <w:r>
        <w:rPr>
          <w:rFonts w:hint="eastAsia"/>
          <w:sz w:val="32"/>
          <w:szCs w:val="32"/>
          <w:highlight w:val="none"/>
          <w:lang w:val="en-US" w:eastAsia="zh-CN"/>
        </w:rPr>
        <w:t>（格式自定）</w:t>
      </w:r>
      <w:bookmarkEnd w:id="80"/>
    </w:p>
    <w:p>
      <w:pPr>
        <w:pStyle w:val="4"/>
        <w:spacing w:before="0" w:after="0" w:line="580" w:lineRule="exact"/>
        <w:jc w:val="center"/>
        <w:outlineLvl w:val="1"/>
        <w:rPr>
          <w:rFonts w:hint="eastAsia" w:ascii="宋体" w:hAnsi="宋体" w:eastAsia="宋体" w:cs="宋体"/>
          <w:sz w:val="32"/>
          <w:szCs w:val="32"/>
          <w:highlight w:val="none"/>
        </w:rPr>
      </w:pPr>
      <w:r>
        <w:rPr>
          <w:rFonts w:hint="eastAsia" w:ascii="宋体" w:hAnsi="宋体" w:eastAsia="宋体" w:cs="宋体"/>
          <w:sz w:val="28"/>
          <w:szCs w:val="28"/>
          <w:highlight w:val="none"/>
        </w:rPr>
        <w:br w:type="page"/>
      </w:r>
      <w:bookmarkStart w:id="81" w:name="_Toc22346"/>
      <w:r>
        <w:rPr>
          <w:rFonts w:hint="eastAsia" w:ascii="Arial" w:hAnsi="Arial" w:eastAsia="黑体" w:cs="Times New Roman"/>
          <w:b w:val="0"/>
          <w:kern w:val="2"/>
          <w:sz w:val="32"/>
          <w:szCs w:val="32"/>
          <w:highlight w:val="none"/>
          <w:lang w:val="en-US" w:eastAsia="zh-CN" w:bidi="ar-SA"/>
        </w:rPr>
        <w:t>附件十一：维保方案及维保费用报价表</w:t>
      </w:r>
      <w:bookmarkEnd w:id="81"/>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保修期内、外维护方案及报价</w:t>
      </w:r>
    </w:p>
    <w:tbl>
      <w:tblPr>
        <w:tblStyle w:val="1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noWrap w:val="0"/>
            <w:vAlign w:val="top"/>
          </w:tcPr>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1、服务范围</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2、服务期限</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3、服务内容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4、甲乙双方负责的内容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5、保修响应（在满足采购要求的情况下竞报）</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exact"/>
        </w:trPr>
        <w:tc>
          <w:tcPr>
            <w:tcW w:w="9570" w:type="dxa"/>
            <w:noWrap w:val="0"/>
            <w:vAlign w:val="top"/>
          </w:tcPr>
          <w:p>
            <w:pPr>
              <w:numPr>
                <w:ilvl w:val="0"/>
                <w:numId w:val="14"/>
              </w:num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保修期内维保费用报价明细：（格式自定）</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numPr>
                <w:ilvl w:val="0"/>
                <w:numId w:val="14"/>
              </w:num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保修期外维保费用报价明细：（格式自定，含需购买的附件和零配件的价格）</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tc>
      </w:tr>
    </w:tbl>
    <w:p>
      <w:pPr>
        <w:spacing w:line="52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注：1、保修期内维保费用包含在本次报价中；</w:t>
      </w:r>
    </w:p>
    <w:p>
      <w:pPr>
        <w:spacing w:line="52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2、保修期外维保费用不包含在本次报价中。</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color w:val="000000"/>
          <w:sz w:val="28"/>
          <w:szCs w:val="28"/>
          <w:highlight w:val="none"/>
        </w:rPr>
        <w:br w:type="page"/>
      </w:r>
      <w:bookmarkStart w:id="82" w:name="_Toc29643"/>
      <w:r>
        <w:rPr>
          <w:rFonts w:hint="eastAsia" w:ascii="Arial" w:hAnsi="Arial" w:eastAsia="黑体" w:cs="Times New Roman"/>
          <w:b w:val="0"/>
          <w:kern w:val="2"/>
          <w:sz w:val="32"/>
          <w:szCs w:val="32"/>
          <w:highlight w:val="none"/>
          <w:lang w:val="en-US" w:eastAsia="zh-CN" w:bidi="ar-SA"/>
        </w:rPr>
        <w:t>附件十二：证明文件格式（参考）</w:t>
      </w:r>
      <w:bookmarkEnd w:id="82"/>
    </w:p>
    <w:p>
      <w:pPr>
        <w:pStyle w:val="15"/>
        <w:rPr>
          <w:rFonts w:hint="eastAsia"/>
          <w:highlight w:val="none"/>
        </w:rPr>
      </w:pP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default" w:ascii="仿宋" w:hAnsi="仿宋" w:cs="仿宋"/>
          <w:sz w:val="28"/>
          <w:szCs w:val="28"/>
          <w:highlight w:val="none"/>
          <w:lang w:val="en-US" w:eastAsia="zh-CN"/>
        </w:rPr>
        <w:t>2</w:t>
      </w:r>
      <w:r>
        <w:rPr>
          <w:rFonts w:hint="eastAsia" w:ascii="仿宋" w:hAnsi="仿宋" w:eastAsia="仿宋" w:cs="仿宋"/>
          <w:sz w:val="28"/>
          <w:szCs w:val="28"/>
          <w:highlight w:val="none"/>
        </w:rPr>
        <w:t>年度财务状况或其基本开户银行出具的提交响应文件截止时间前三个月内的资信证明（若资信证明注明复印件无效，需提交原件）；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供应商是其他组织或自然人的，应提供银行出具的提交响应文件截止时间前三个月内的资信证明（若资信证明注明复印件无效，需提交原件）。</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前）供应商在经营活动中没有重大违法记录，其中：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或者未划分包的同一</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项目的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，供应商须提供书面声明。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（8）供应商为制造商的，应按照《医疗器械生产监督管理办法》（国家市场监督管理总局令第53号公布）的规定提供医疗器械生产许可证或生产备案凭证；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供应商为代理商或经销商的应按照《医疗器械经营监督管理办法》（国家市场监督管理总局令第54号）的规定提供有效的医疗器械产品经营许可证或经营备案凭证。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供应商须按照《医疗器械注册与备案管理办法》（国家市场监督管理总局令第47号）的规定提供所投设备的医疗器械注册证（如有附表，需提供附表）或产品备案表。</w:t>
      </w:r>
    </w:p>
    <w:p>
      <w:pPr>
        <w:numPr>
          <w:ilvl w:val="0"/>
          <w:numId w:val="0"/>
        </w:numPr>
        <w:snapToGrid w:val="0"/>
        <w:spacing w:line="360" w:lineRule="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w:t>
      </w:r>
      <w:r>
        <w:rPr>
          <w:rFonts w:hint="eastAsia" w:ascii="仿宋" w:hAnsi="仿宋" w:cs="仿宋"/>
          <w:b w:val="0"/>
          <w:kern w:val="2"/>
          <w:sz w:val="28"/>
          <w:szCs w:val="28"/>
          <w:highlight w:val="none"/>
          <w:lang w:val="en-US" w:eastAsia="zh-CN" w:bidi="ar-SA"/>
        </w:rPr>
        <w:t>9</w:t>
      </w:r>
      <w:r>
        <w:rPr>
          <w:rFonts w:hint="eastAsia" w:ascii="仿宋" w:hAnsi="仿宋" w:eastAsia="仿宋" w:cs="仿宋"/>
          <w:b w:val="0"/>
          <w:kern w:val="2"/>
          <w:sz w:val="28"/>
          <w:szCs w:val="28"/>
          <w:highlight w:val="none"/>
          <w:lang w:val="en-US" w:eastAsia="zh-CN" w:bidi="ar-SA"/>
        </w:rPr>
        <w:t>）供应商符合法律、行政法规规定的其它要求。</w:t>
      </w:r>
    </w:p>
    <w:p>
      <w:pPr>
        <w:numPr>
          <w:ilvl w:val="0"/>
          <w:numId w:val="0"/>
        </w:numPr>
        <w:snapToGrid w:val="0"/>
        <w:spacing w:line="360" w:lineRule="auto"/>
        <w:jc w:val="center"/>
        <w:rPr>
          <w:rFonts w:hint="eastAsia" w:ascii="仿宋" w:hAnsi="仿宋" w:eastAsia="仿宋" w:cs="仿宋"/>
          <w:b/>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br w:type="page"/>
      </w:r>
      <w:r>
        <w:rPr>
          <w:rFonts w:hint="eastAsia" w:ascii="Calibri" w:hAnsi="Calibri" w:eastAsia="楷体" w:cs="Times New Roman"/>
          <w:b/>
          <w:kern w:val="2"/>
          <w:sz w:val="32"/>
          <w:szCs w:val="28"/>
          <w:highlight w:val="none"/>
          <w:lang w:val="en-US" w:eastAsia="zh-CN" w:bidi="ar-SA"/>
        </w:rPr>
        <w:t>格式1  参加本次采购活动前三年内在经营活动中没有重大违法记录的书面声明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我单位郑重声明：自本项目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之日起向前追溯三年，我单位没有以下重大违法记录：因违法经营受到刑事处罚或者责令停产停业、吊销许可证或者执照、较大数额罚款等行政处罚。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2.供应商对其所声明内容的真实性负责。如供应商所声明内容不真实，应承担相应的法律责任。</w:t>
      </w:r>
    </w:p>
    <w:p>
      <w:pPr>
        <w:rPr>
          <w:rFonts w:hint="eastAsia" w:ascii="宋体" w:hAnsi="宋体" w:eastAsia="宋体" w:cs="宋体"/>
          <w:sz w:val="22"/>
          <w:szCs w:val="28"/>
          <w:highlight w:val="none"/>
        </w:rPr>
      </w:pPr>
      <w:r>
        <w:rPr>
          <w:rFonts w:hint="eastAsia" w:ascii="仿宋" w:hAnsi="仿宋" w:eastAsia="仿宋" w:cs="仿宋"/>
          <w:sz w:val="28"/>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3" w:name="_Toc32416"/>
      <w:bookmarkStart w:id="84" w:name="_Toc23872"/>
      <w:r>
        <w:rPr>
          <w:rFonts w:hint="eastAsia" w:ascii="Calibri" w:hAnsi="Calibri" w:eastAsia="楷体" w:cs="Times New Roman"/>
          <w:b/>
          <w:kern w:val="2"/>
          <w:sz w:val="32"/>
          <w:szCs w:val="28"/>
          <w:highlight w:val="none"/>
          <w:lang w:val="en-US" w:eastAsia="zh-CN" w:bidi="ar-SA"/>
        </w:rPr>
        <w:t>格式2  供应商不存在关联关系声明</w:t>
      </w:r>
      <w:bookmarkEnd w:id="83"/>
      <w:bookmarkEnd w:id="8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highlight w:val="none"/>
        </w:rPr>
      </w:pPr>
      <w:r>
        <w:rPr>
          <w:rFonts w:hint="eastAsia" w:ascii="宋体" w:hAnsi="宋体" w:eastAsia="宋体" w:cs="宋体"/>
          <w:sz w:val="22"/>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5" w:name="_Toc11401"/>
      <w:bookmarkStart w:id="86" w:name="_Toc5286"/>
      <w:r>
        <w:rPr>
          <w:rFonts w:hint="eastAsia" w:ascii="Calibri" w:hAnsi="Calibri" w:eastAsia="楷体" w:cs="Times New Roman"/>
          <w:b/>
          <w:kern w:val="2"/>
          <w:sz w:val="32"/>
          <w:szCs w:val="28"/>
          <w:highlight w:val="none"/>
          <w:lang w:val="en-US" w:eastAsia="zh-CN" w:bidi="ar-SA"/>
        </w:rPr>
        <w:t>格式3  不存在禁止参加政府采购活动情形的书面声明</w:t>
      </w:r>
      <w:bookmarkEnd w:id="85"/>
      <w:bookmarkEnd w:id="8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rPr>
          <w:rFonts w:hint="eastAsia" w:ascii="宋体" w:hAnsi="宋体" w:eastAsia="宋体" w:cs="宋体"/>
          <w:highlight w:val="none"/>
        </w:rPr>
      </w:pPr>
      <w:r>
        <w:rPr>
          <w:rFonts w:hint="eastAsia" w:ascii="宋体" w:hAnsi="宋体" w:eastAsia="宋体" w:cs="宋体"/>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7" w:name="_Toc20199"/>
      <w:r>
        <w:rPr>
          <w:rFonts w:hint="eastAsia" w:ascii="Calibri" w:hAnsi="Calibri" w:eastAsia="楷体" w:cs="Times New Roman"/>
          <w:b/>
          <w:kern w:val="2"/>
          <w:sz w:val="32"/>
          <w:szCs w:val="28"/>
          <w:highlight w:val="none"/>
          <w:lang w:val="en-US" w:eastAsia="zh-CN" w:bidi="ar-SA"/>
        </w:rPr>
        <w:t>格式4 具备履行合同所必需的设备和专业技术能力承诺书</w:t>
      </w:r>
      <w:bookmarkEnd w:id="87"/>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本承诺书声明：本公司参与贵方组织的 （项目名称）项目（项目编号、包号： ）作出如下承诺：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本公司完全具备履行本项目合同所必需的设备和专业技术能力，随时接受采查验证。如我方成交，我方承诺完全响应磋商文件服务要求，根据服务要求及我方</w:t>
      </w:r>
      <w:r>
        <w:rPr>
          <w:rFonts w:hint="eastAsia" w:ascii="仿宋" w:hAnsi="仿宋" w:cs="仿宋"/>
          <w:b w:val="0"/>
          <w:bCs/>
          <w:kern w:val="2"/>
          <w:sz w:val="28"/>
          <w:szCs w:val="28"/>
          <w:highlight w:val="none"/>
          <w:lang w:val="en-US" w:eastAsia="zh-CN" w:bidi="ar-SA"/>
        </w:rPr>
        <w:t>响</w:t>
      </w:r>
      <w:r>
        <w:rPr>
          <w:rFonts w:hint="eastAsia" w:ascii="仿宋" w:hAnsi="仿宋" w:eastAsia="仿宋" w:cs="仿宋"/>
          <w:b w:val="0"/>
          <w:bCs/>
          <w:kern w:val="2"/>
          <w:sz w:val="28"/>
          <w:szCs w:val="28"/>
          <w:highlight w:val="none"/>
          <w:lang w:val="en-US" w:eastAsia="zh-CN" w:bidi="ar-SA"/>
        </w:rPr>
        <w:t>应文件配备履行本合同所需设备及人员，如违反上述承诺，本公司将按照政府采购法有关规定接受处罚。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其他需要说明的事项（如无可不填报）：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另外，如需，本公司将按照要求的时间和方式提供拟投入本项目的设备购置合同或发票或说明材料，以及拟投入本项目的工作人员用工合同等材料。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特此承诺。</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供应商名称（盖章）：</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法定代表人或授权代理人签字或盖章：</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日期：     年   月   日</w:t>
      </w:r>
    </w:p>
    <w:p>
      <w:pPr>
        <w:spacing w:line="360" w:lineRule="auto"/>
        <w:jc w:val="center"/>
        <w:rPr>
          <w:rFonts w:hint="eastAsia" w:ascii="仿宋" w:hAnsi="仿宋" w:eastAsia="仿宋" w:cs="仿宋"/>
          <w:b w:val="0"/>
          <w:bCs/>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spacing w:line="360" w:lineRule="auto"/>
        <w:jc w:val="center"/>
        <w:rPr>
          <w:rFonts w:hint="eastAsia" w:ascii="Calibri" w:hAnsi="Calibri" w:eastAsia="楷体" w:cs="Times New Roman"/>
          <w:b w:val="0"/>
          <w:bCs/>
          <w:kern w:val="2"/>
          <w:sz w:val="32"/>
          <w:szCs w:val="28"/>
          <w:highlight w:val="none"/>
          <w:lang w:val="en-US" w:eastAsia="zh-CN" w:bidi="ar-SA"/>
        </w:rPr>
      </w:pPr>
    </w:p>
    <w:p>
      <w:pPr>
        <w:spacing w:line="360" w:lineRule="auto"/>
        <w:jc w:val="center"/>
        <w:rPr>
          <w:rFonts w:hint="eastAsia" w:ascii="Calibri" w:hAnsi="Calibri" w:eastAsia="楷体" w:cs="Times New Roman"/>
          <w:b/>
          <w:kern w:val="2"/>
          <w:sz w:val="32"/>
          <w:szCs w:val="28"/>
          <w:highlight w:val="none"/>
          <w:lang w:val="en-US" w:eastAsia="zh-CN" w:bidi="ar-SA"/>
        </w:rPr>
      </w:pPr>
      <w:r>
        <w:rPr>
          <w:rFonts w:hint="eastAsia" w:ascii="宋体" w:hAnsi="宋体" w:eastAsia="宋体" w:cs="宋体"/>
          <w:sz w:val="28"/>
          <w:szCs w:val="28"/>
          <w:highlight w:val="none"/>
        </w:rPr>
        <w:br w:type="page"/>
      </w:r>
      <w:r>
        <w:rPr>
          <w:rFonts w:hint="eastAsia" w:ascii="Calibri" w:hAnsi="Calibri" w:eastAsia="楷体" w:cs="Times New Roman"/>
          <w:b/>
          <w:kern w:val="2"/>
          <w:sz w:val="32"/>
          <w:szCs w:val="28"/>
          <w:highlight w:val="none"/>
          <w:lang w:val="en-US" w:eastAsia="zh-CN" w:bidi="ar-SA"/>
        </w:rPr>
        <w:t>格式5  中小企业声明函</w:t>
      </w:r>
    </w:p>
    <w:p>
      <w:pPr>
        <w:pStyle w:val="23"/>
        <w:keepNext w:val="0"/>
        <w:keepLines w:val="0"/>
        <w:pageBreakBefore w:val="0"/>
        <w:widowControl/>
        <w:kinsoku/>
        <w:wordWrap/>
        <w:overflowPunct/>
        <w:topLinePunct w:val="0"/>
        <w:autoSpaceDE/>
        <w:autoSpaceDN/>
        <w:bidi w:val="0"/>
        <w:adjustRightInd/>
        <w:snapToGrid/>
        <w:spacing w:before="240" w:after="145" w:line="480" w:lineRule="exact"/>
        <w:ind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pStyle w:val="23"/>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1. （标的名称） ，属于 （采购文件中明确的所属行业）行业 ；制造商为 （企业名称），从业人员      人，营业收入为     万元，资产总额为     万元，属于 （中型企业、小型企业、微型企业）；</w:t>
      </w:r>
    </w:p>
    <w:p>
      <w:pPr>
        <w:pStyle w:val="23"/>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2. （标的名称） ，属于 （采购文件中明确的所属行业）行业 ；制造商为 （企业名称），从业人员      人，营业收入为     万元，资产总额为     万元，属于 （中型企业、小型企业、微型企业） ；</w:t>
      </w:r>
    </w:p>
    <w:p>
      <w:pPr>
        <w:pStyle w:val="23"/>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w:t>
      </w:r>
    </w:p>
    <w:p>
      <w:pPr>
        <w:pStyle w:val="23"/>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以上企业，不属于大企业的分支机构，不存在控股股东为大企业的情形，也不存在与大企业的负责人为同一人的情形。</w:t>
      </w:r>
    </w:p>
    <w:p>
      <w:pPr>
        <w:pStyle w:val="23"/>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本企业对上述声明内容的真实性负责。如有虚假，将依法承担相应责任。</w:t>
      </w:r>
    </w:p>
    <w:p>
      <w:pPr>
        <w:pStyle w:val="23"/>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3"/>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企业名称（盖章）：</w:t>
      </w:r>
    </w:p>
    <w:p>
      <w:pPr>
        <w:pStyle w:val="23"/>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日 期：</w:t>
      </w:r>
    </w:p>
    <w:p>
      <w:pPr>
        <w:pStyle w:val="23"/>
        <w:keepNext w:val="0"/>
        <w:keepLines w:val="0"/>
        <w:pageBreakBefore w:val="0"/>
        <w:kinsoku/>
        <w:wordWrap/>
        <w:overflowPunct/>
        <w:topLinePunct w:val="0"/>
        <w:autoSpaceDE/>
        <w:autoSpaceDN/>
        <w:bidi w:val="0"/>
        <w:adjustRightInd/>
        <w:snapToGrid/>
        <w:spacing w:before="240" w:after="145" w:line="360" w:lineRule="auto"/>
        <w:ind w:firstLine="480" w:firstLineChars="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注：（1）从业人员、营业收入、资产总额填报上一年度数据，无上一年度数据的新成立企业可不填报。</w:t>
      </w:r>
    </w:p>
    <w:p>
      <w:pPr>
        <w:spacing w:line="360" w:lineRule="auto"/>
        <w:ind w:firstLine="1120" w:firstLineChars="400"/>
        <w:jc w:val="center"/>
        <w:rPr>
          <w:rFonts w:hint="eastAsia" w:ascii="Calibri" w:hAnsi="Calibri" w:eastAsia="楷体" w:cs="Times New Roman"/>
          <w:b/>
          <w:kern w:val="2"/>
          <w:sz w:val="32"/>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（2）不符合相应条件的供应商无需提供。</w:t>
      </w:r>
      <w:r>
        <w:rPr>
          <w:rFonts w:hint="eastAsia" w:ascii="宋体" w:hAnsi="宋体" w:eastAsia="宋体" w:cs="宋体"/>
          <w:spacing w:val="0"/>
          <w:kern w:val="2"/>
          <w:sz w:val="24"/>
          <w:szCs w:val="20"/>
          <w:highlight w:val="none"/>
          <w:lang w:val="en-US" w:eastAsia="zh-CN" w:bidi="ar-SA"/>
        </w:rPr>
        <w:br w:type="page"/>
      </w:r>
      <w:bookmarkStart w:id="88" w:name="_Toc492372156"/>
      <w:bookmarkStart w:id="89" w:name="_Toc499827580"/>
      <w:bookmarkStart w:id="90" w:name="_Toc499831025"/>
      <w:r>
        <w:rPr>
          <w:rFonts w:hint="eastAsia" w:ascii="Calibri" w:hAnsi="Calibri" w:eastAsia="楷体" w:cs="Times New Roman"/>
          <w:b/>
          <w:kern w:val="2"/>
          <w:sz w:val="32"/>
          <w:szCs w:val="28"/>
          <w:highlight w:val="none"/>
          <w:lang w:val="en-US" w:eastAsia="zh-CN" w:bidi="ar-SA"/>
        </w:rPr>
        <w:t xml:space="preserve">格式6  </w:t>
      </w:r>
      <w:bookmarkEnd w:id="88"/>
      <w:r>
        <w:rPr>
          <w:rFonts w:hint="eastAsia" w:ascii="Calibri" w:hAnsi="Calibri" w:eastAsia="楷体" w:cs="Times New Roman"/>
          <w:b/>
          <w:kern w:val="2"/>
          <w:sz w:val="32"/>
          <w:szCs w:val="28"/>
          <w:highlight w:val="none"/>
          <w:lang w:val="en-US" w:eastAsia="zh-CN" w:bidi="ar-SA"/>
        </w:rPr>
        <w:t>残疾人福利性单位声明函</w:t>
      </w:r>
      <w:bookmarkEnd w:id="89"/>
      <w:bookmarkEnd w:id="90"/>
    </w:p>
    <w:p>
      <w:pPr>
        <w:spacing w:line="360" w:lineRule="auto"/>
        <w:jc w:val="center"/>
        <w:rPr>
          <w:rFonts w:hint="eastAsia" w:ascii="Calibri" w:hAnsi="Calibri" w:eastAsia="楷体" w:cs="Times New Roman"/>
          <w:b/>
          <w:kern w:val="2"/>
          <w:sz w:val="32"/>
          <w:szCs w:val="28"/>
          <w:highlight w:val="none"/>
          <w:lang w:val="en-US" w:eastAsia="zh-CN" w:bidi="ar-SA"/>
        </w:rPr>
      </w:pPr>
    </w:p>
    <w:p>
      <w:pPr>
        <w:pStyle w:val="23"/>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3"/>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本单位对上述声明的真实性负责。如有虚假，将依法承担相应责任。</w:t>
      </w:r>
    </w:p>
    <w:p>
      <w:pPr>
        <w:pStyle w:val="23"/>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3"/>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3"/>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供应商名称（盖章）：</w:t>
      </w:r>
    </w:p>
    <w:p>
      <w:pPr>
        <w:pStyle w:val="23"/>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法定代表人或授权代理人签字或盖章：</w:t>
      </w:r>
    </w:p>
    <w:p>
      <w:pPr>
        <w:pStyle w:val="23"/>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日期：     年   月   日</w:t>
      </w:r>
    </w:p>
    <w:p>
      <w:pPr>
        <w:pStyle w:val="23"/>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注：不符合相应条件的供应商无需提供</w:t>
      </w:r>
    </w:p>
    <w:p>
      <w:pPr>
        <w:pStyle w:val="23"/>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pacing w:val="6"/>
          <w:sz w:val="24"/>
          <w:highlight w:val="none"/>
        </w:rPr>
        <w:br w:type="page"/>
      </w:r>
      <w:bookmarkStart w:id="91" w:name="_Toc24955"/>
      <w:r>
        <w:rPr>
          <w:rFonts w:hint="eastAsia" w:ascii="Arial" w:hAnsi="Arial" w:eastAsia="黑体" w:cs="Times New Roman"/>
          <w:b w:val="0"/>
          <w:kern w:val="2"/>
          <w:sz w:val="32"/>
          <w:szCs w:val="32"/>
          <w:highlight w:val="none"/>
          <w:lang w:val="en-US" w:eastAsia="zh-CN" w:bidi="ar-SA"/>
        </w:rPr>
        <w:t>附件十三：符合政府采购优惠政策产品明细及报价表（如果有）</w:t>
      </w:r>
      <w:bookmarkEnd w:id="91"/>
    </w:p>
    <w:p>
      <w:pPr>
        <w:ind w:right="280"/>
        <w:jc w:val="right"/>
        <w:rPr>
          <w:rFonts w:hint="eastAsia" w:ascii="仿宋" w:hAnsi="仿宋" w:eastAsia="仿宋" w:cs="仿宋"/>
          <w:bCs/>
          <w:sz w:val="24"/>
          <w:highlight w:val="none"/>
          <w:u w:val="single"/>
        </w:rPr>
      </w:pPr>
      <w:r>
        <w:rPr>
          <w:rFonts w:hint="eastAsia" w:ascii="仿宋" w:hAnsi="仿宋" w:eastAsia="仿宋" w:cs="仿宋"/>
          <w:bCs/>
          <w:sz w:val="24"/>
          <w:highlight w:val="none"/>
        </w:rPr>
        <w:t>单位：元</w:t>
      </w:r>
    </w:p>
    <w:tbl>
      <w:tblPr>
        <w:tblStyle w:val="1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序号</w:t>
            </w:r>
          </w:p>
        </w:tc>
        <w:tc>
          <w:tcPr>
            <w:tcW w:w="81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37" w:type="dxa"/>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品牌</w:t>
            </w:r>
          </w:p>
        </w:tc>
        <w:tc>
          <w:tcPr>
            <w:tcW w:w="258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规格型号</w:t>
            </w:r>
          </w:p>
        </w:tc>
        <w:tc>
          <w:tcPr>
            <w:tcW w:w="810" w:type="dxa"/>
            <w:noWrap w:val="0"/>
            <w:vAlign w:val="center"/>
          </w:tcPr>
          <w:p>
            <w:pPr>
              <w:spacing w:line="440" w:lineRule="exact"/>
              <w:ind w:right="-283" w:rightChars="-101"/>
              <w:rPr>
                <w:rFonts w:hint="eastAsia" w:ascii="仿宋" w:hAnsi="仿宋" w:eastAsia="仿宋" w:cs="仿宋"/>
                <w:highlight w:val="none"/>
              </w:rPr>
            </w:pPr>
            <w:r>
              <w:rPr>
                <w:rFonts w:hint="eastAsia" w:ascii="仿宋" w:hAnsi="仿宋" w:eastAsia="仿宋" w:cs="仿宋"/>
                <w:highlight w:val="none"/>
              </w:rPr>
              <w:t>数量</w:t>
            </w:r>
          </w:p>
        </w:tc>
        <w:tc>
          <w:tcPr>
            <w:tcW w:w="646"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产地</w:t>
            </w:r>
          </w:p>
        </w:tc>
        <w:tc>
          <w:tcPr>
            <w:tcW w:w="971"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制造厂家</w:t>
            </w:r>
          </w:p>
        </w:tc>
        <w:tc>
          <w:tcPr>
            <w:tcW w:w="113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97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default" w:ascii="仿宋" w:hAnsi="仿宋" w:eastAsia="仿宋" w:cs="仿宋"/>
                <w:highlight w:val="none"/>
                <w:lang w:val="en-US" w:eastAsia="zh-CN"/>
              </w:rPr>
            </w:pPr>
            <w:r>
              <w:rPr>
                <w:rFonts w:hint="eastAsia" w:ascii="仿宋" w:hAnsi="仿宋" w:eastAsia="仿宋" w:cs="仿宋"/>
                <w:highlight w:val="none"/>
              </w:rPr>
              <w:t>节能产品</w:t>
            </w:r>
            <w:r>
              <w:rPr>
                <w:rFonts w:hint="eastAsia" w:ascii="仿宋" w:hAnsi="仿宋" w:cs="仿宋"/>
                <w:highlight w:val="none"/>
                <w:lang w:eastAsia="zh-CN"/>
              </w:rPr>
              <w:t>（</w:t>
            </w:r>
            <w:r>
              <w:rPr>
                <w:rFonts w:hint="eastAsia" w:ascii="仿宋" w:hAnsi="仿宋" w:cs="仿宋"/>
                <w:highlight w:val="none"/>
                <w:lang w:val="en-US" w:eastAsia="zh-CN"/>
              </w:rPr>
              <w:t>非强制节能产品）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节能产品报价小计：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环境标志产品报价小计：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小微企业产品（联合体报价或允许分包）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小微企业产品报价小计：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监狱企业产品（联合体报价或允许分包）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监狱企业产品报价小计：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残疾人福利性单位产品（联合体报价或允许分包）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残疾人福利性单位产品报价小计：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备注：</w:t>
            </w:r>
          </w:p>
          <w:p>
            <w:pPr>
              <w:spacing w:line="440" w:lineRule="exact"/>
              <w:rPr>
                <w:rFonts w:hint="eastAsia" w:ascii="仿宋" w:hAnsi="仿宋" w:eastAsia="仿宋" w:cs="仿宋"/>
                <w:highlight w:val="none"/>
              </w:rPr>
            </w:pPr>
            <w:r>
              <w:rPr>
                <w:rFonts w:hint="eastAsia" w:ascii="仿宋" w:hAnsi="仿宋" w:eastAsia="仿宋" w:cs="仿宋"/>
                <w:highlight w:val="none"/>
              </w:rPr>
              <w:t>1、此表中的名称、品牌、规格型号、数量、产地、制造厂家、单价和合价必须与《报价明细表》中的一致。</w:t>
            </w:r>
          </w:p>
          <w:p>
            <w:pPr>
              <w:spacing w:line="440" w:lineRule="exact"/>
              <w:rPr>
                <w:rFonts w:hint="eastAsia" w:ascii="仿宋" w:hAnsi="仿宋" w:eastAsia="仿宋" w:cs="仿宋"/>
                <w:highlight w:val="none"/>
              </w:rPr>
            </w:pPr>
            <w:r>
              <w:rPr>
                <w:rFonts w:hint="eastAsia" w:ascii="仿宋" w:hAnsi="仿宋" w:eastAsia="仿宋" w:cs="仿宋"/>
                <w:highlight w:val="none"/>
              </w:rPr>
              <w:t>2、此表中的节能、环境标志等认证产品必须后附符合政府采购优惠政策的品目清单中由国家确定的认证机构出具的、处于有效期之内的认证证书的证明资料复印件，否则不给予政府采购政策优惠。</w:t>
            </w:r>
          </w:p>
        </w:tc>
      </w:tr>
    </w:tbl>
    <w:p>
      <w:pPr>
        <w:spacing w:line="440" w:lineRule="exact"/>
        <w:ind w:left="708" w:hanging="943" w:hangingChars="337"/>
        <w:rPr>
          <w:rFonts w:hint="eastAsia" w:ascii="仿宋" w:hAnsi="仿宋" w:eastAsia="仿宋" w:cs="仿宋"/>
          <w:highlight w:val="none"/>
        </w:rPr>
      </w:pPr>
    </w:p>
    <w:p>
      <w:pPr>
        <w:ind w:left="944" w:hanging="943" w:hangingChars="337"/>
        <w:rPr>
          <w:rFonts w:hint="eastAsia" w:ascii="仿宋" w:hAnsi="仿宋" w:eastAsia="仿宋" w:cs="仿宋"/>
          <w:sz w:val="28"/>
          <w:highlight w:val="none"/>
        </w:rPr>
      </w:pPr>
    </w:p>
    <w:p>
      <w:pPr>
        <w:spacing w:line="52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供应商(盖章):</w:t>
      </w:r>
      <w:r>
        <w:rPr>
          <w:rFonts w:hint="eastAsia" w:ascii="仿宋" w:hAnsi="仿宋" w:eastAsia="仿宋" w:cs="仿宋"/>
          <w:sz w:val="24"/>
          <w:highlight w:val="none"/>
          <w:u w:val="single"/>
        </w:rPr>
        <w:t xml:space="preserve">                      </w:t>
      </w:r>
    </w:p>
    <w:p>
      <w:pPr>
        <w:wordWrap w:val="0"/>
        <w:spacing w:line="56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 xml:space="preserve">法定代表人或被授权人（签字或盖章）: </w:t>
      </w:r>
      <w:r>
        <w:rPr>
          <w:rFonts w:hint="eastAsia" w:ascii="仿宋" w:hAnsi="仿宋" w:eastAsia="仿宋" w:cs="仿宋"/>
          <w:sz w:val="24"/>
          <w:highlight w:val="none"/>
          <w:u w:val="single"/>
        </w:rPr>
        <w:t xml:space="preserve">      </w:t>
      </w:r>
    </w:p>
    <w:p>
      <w:pPr>
        <w:spacing w:line="480" w:lineRule="exact"/>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bookmarkStart w:id="92" w:name="_Toc13572220"/>
      <w:bookmarkStart w:id="93" w:name="_Toc514684734"/>
      <w:bookmarkStart w:id="94" w:name="_Toc514675542"/>
      <w:r>
        <w:rPr>
          <w:rFonts w:hint="eastAsia" w:ascii="仿宋" w:hAnsi="仿宋" w:eastAsia="仿宋" w:cs="仿宋"/>
          <w:color w:val="000000"/>
          <w:sz w:val="24"/>
          <w:highlight w:val="none"/>
        </w:rPr>
        <w:t>日   期：</w:t>
      </w:r>
      <w:bookmarkEnd w:id="92"/>
      <w:bookmarkEnd w:id="93"/>
      <w:bookmarkEnd w:id="94"/>
    </w:p>
    <w:p>
      <w:pPr>
        <w:spacing w:line="480" w:lineRule="exact"/>
        <w:jc w:val="center"/>
        <w:outlineLvl w:val="9"/>
        <w:rPr>
          <w:rFonts w:hint="eastAsia" w:ascii="仿宋" w:hAnsi="仿宋" w:eastAsia="仿宋" w:cs="仿宋"/>
          <w:b/>
          <w:sz w:val="28"/>
          <w:szCs w:val="28"/>
          <w:highlight w:val="none"/>
        </w:rPr>
      </w:pPr>
      <w:r>
        <w:rPr>
          <w:rFonts w:hint="eastAsia" w:ascii="仿宋" w:hAnsi="仿宋" w:eastAsia="仿宋" w:cs="仿宋"/>
          <w:color w:val="000000"/>
          <w:sz w:val="24"/>
          <w:highlight w:val="none"/>
        </w:rPr>
        <w:br w:type="page"/>
      </w:r>
      <w:bookmarkStart w:id="95" w:name="_Toc514684735"/>
      <w:bookmarkStart w:id="96" w:name="_Toc514675543"/>
      <w:bookmarkStart w:id="97" w:name="_Toc13572221"/>
      <w:r>
        <w:rPr>
          <w:rFonts w:hint="eastAsia" w:ascii="仿宋" w:hAnsi="仿宋" w:eastAsia="仿宋" w:cs="仿宋"/>
          <w:b/>
          <w:sz w:val="28"/>
          <w:szCs w:val="28"/>
          <w:highlight w:val="none"/>
        </w:rPr>
        <w:t>符合政府采购优惠政策的证明材料</w:t>
      </w:r>
      <w:bookmarkEnd w:id="95"/>
      <w:bookmarkEnd w:id="96"/>
      <w:bookmarkEnd w:id="97"/>
    </w:p>
    <w:p>
      <w:pPr>
        <w:spacing w:line="480" w:lineRule="exact"/>
        <w:jc w:val="center"/>
        <w:outlineLvl w:val="9"/>
        <w:rPr>
          <w:rFonts w:hint="eastAsia" w:ascii="仿宋" w:hAnsi="仿宋" w:eastAsia="仿宋" w:cs="仿宋"/>
          <w:b/>
          <w:sz w:val="24"/>
          <w:highlight w:val="none"/>
        </w:rPr>
      </w:pPr>
      <w:r>
        <w:rPr>
          <w:rFonts w:hint="eastAsia" w:ascii="仿宋" w:hAnsi="仿宋" w:eastAsia="仿宋" w:cs="仿宋"/>
          <w:b/>
          <w:sz w:val="24"/>
          <w:highlight w:val="none"/>
        </w:rPr>
        <w:br w:type="page"/>
      </w:r>
    </w:p>
    <w:p>
      <w:pPr>
        <w:spacing w:before="0" w:after="0" w:line="580" w:lineRule="exact"/>
        <w:jc w:val="center"/>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政府强制采购节能产品明细表</w:t>
      </w:r>
    </w:p>
    <w:p>
      <w:pPr>
        <w:pStyle w:val="9"/>
        <w:spacing w:before="120" w:beforeLines="50"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p>
    <w:p>
      <w:pPr>
        <w:pStyle w:val="9"/>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 xml:space="preserve">供应商名称：（公章）                  </w:t>
      </w:r>
    </w:p>
    <w:p>
      <w:pPr>
        <w:pStyle w:val="9"/>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法定代表人或授权代理人签字或盖章：</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19"/>
        <w:gridCol w:w="1417"/>
        <w:gridCol w:w="1012"/>
        <w:gridCol w:w="1213"/>
        <w:gridCol w:w="14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764"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产品名称</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制造商</w:t>
            </w:r>
          </w:p>
        </w:tc>
        <w:tc>
          <w:tcPr>
            <w:tcW w:w="545"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品牌</w:t>
            </w:r>
          </w:p>
        </w:tc>
        <w:tc>
          <w:tcPr>
            <w:tcW w:w="65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产品型号</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节能标志认证证书编号</w:t>
            </w:r>
          </w:p>
        </w:tc>
        <w:tc>
          <w:tcPr>
            <w:tcW w:w="99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pPr>
              <w:tabs>
                <w:tab w:val="left" w:pos="1337"/>
              </w:tabs>
              <w:jc w:val="center"/>
              <w:rPr>
                <w:rFonts w:hint="eastAsia" w:ascii="仿宋" w:hAnsi="仿宋" w:eastAsia="仿宋" w:cs="仿宋"/>
                <w:szCs w:val="21"/>
                <w:highlight w:val="none"/>
              </w:rPr>
            </w:pPr>
          </w:p>
        </w:tc>
        <w:tc>
          <w:tcPr>
            <w:tcW w:w="764"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545" w:type="pct"/>
            <w:vMerge w:val="continue"/>
            <w:noWrap w:val="0"/>
            <w:vAlign w:val="center"/>
          </w:tcPr>
          <w:p>
            <w:pPr>
              <w:tabs>
                <w:tab w:val="left" w:pos="1337"/>
              </w:tabs>
              <w:jc w:val="center"/>
              <w:rPr>
                <w:rFonts w:hint="eastAsia" w:ascii="仿宋" w:hAnsi="仿宋" w:eastAsia="仿宋" w:cs="仿宋"/>
                <w:szCs w:val="21"/>
                <w:highlight w:val="none"/>
              </w:rPr>
            </w:pPr>
          </w:p>
        </w:tc>
        <w:tc>
          <w:tcPr>
            <w:tcW w:w="653"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993" w:type="pct"/>
            <w:vMerge w:val="continue"/>
            <w:noWrap w:val="0"/>
            <w:vAlign w:val="center"/>
          </w:tcPr>
          <w:p>
            <w:pPr>
              <w:tabs>
                <w:tab w:val="left" w:pos="1337"/>
              </w:tabs>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bl>
    <w:p>
      <w:pPr>
        <w:tabs>
          <w:tab w:val="left" w:pos="1337"/>
        </w:tabs>
        <w:spacing w:line="420" w:lineRule="exact"/>
        <w:jc w:val="left"/>
        <w:rPr>
          <w:rFonts w:hint="eastAsia" w:ascii="仿宋" w:hAnsi="仿宋" w:eastAsia="仿宋" w:cs="仿宋"/>
          <w:szCs w:val="21"/>
          <w:highlight w:val="none"/>
        </w:rPr>
      </w:pPr>
      <w:r>
        <w:rPr>
          <w:rFonts w:hint="eastAsia" w:ascii="仿宋" w:hAnsi="仿宋" w:eastAsia="仿宋" w:cs="仿宋"/>
          <w:szCs w:val="21"/>
          <w:highlight w:val="none"/>
        </w:rPr>
        <w:t>说明：</w:t>
      </w:r>
    </w:p>
    <w:p>
      <w:pPr>
        <w:tabs>
          <w:tab w:val="left" w:pos="1337"/>
        </w:tabs>
        <w:spacing w:line="420" w:lineRule="exact"/>
        <w:ind w:firstLine="140" w:firstLineChars="50"/>
        <w:jc w:val="left"/>
        <w:rPr>
          <w:rFonts w:hint="eastAsia" w:ascii="仿宋" w:hAnsi="仿宋" w:eastAsia="仿宋" w:cs="仿宋"/>
          <w:szCs w:val="21"/>
          <w:highlight w:val="none"/>
        </w:rPr>
      </w:pPr>
      <w:r>
        <w:rPr>
          <w:rFonts w:hint="eastAsia" w:ascii="仿宋" w:hAnsi="仿宋" w:eastAsia="仿宋" w:cs="仿宋"/>
          <w:szCs w:val="21"/>
          <w:highlight w:val="none"/>
        </w:rPr>
        <w:t>1、政府采购强制节能产品根据财政部、国家发展改革委公布的节能产品品目清单和国家确定的认证机构出具的、处于有效期之内的节能产品认证证书的证明资料确定。（本表后须附证明资料）</w:t>
      </w:r>
    </w:p>
    <w:p>
      <w:pPr>
        <w:tabs>
          <w:tab w:val="left" w:pos="1337"/>
        </w:tabs>
        <w:spacing w:line="420" w:lineRule="exact"/>
        <w:jc w:val="left"/>
        <w:rPr>
          <w:rFonts w:hint="eastAsia" w:ascii="仿宋" w:hAnsi="仿宋" w:eastAsia="仿宋" w:cs="仿宋"/>
          <w:b/>
          <w:bCs/>
          <w:szCs w:val="21"/>
          <w:highlight w:val="none"/>
        </w:rPr>
      </w:pPr>
      <w:r>
        <w:rPr>
          <w:rFonts w:hint="eastAsia" w:ascii="仿宋" w:hAnsi="仿宋" w:eastAsia="仿宋" w:cs="仿宋"/>
          <w:b/>
          <w:bCs/>
          <w:szCs w:val="21"/>
          <w:highlight w:val="none"/>
        </w:rPr>
        <w:t xml:space="preserve"> 2、如所报产品为政府强制采购节能产品，必须按规定格式逐项填写，否则按无效报价处理。</w:t>
      </w:r>
    </w:p>
    <w:p>
      <w:pPr>
        <w:tabs>
          <w:tab w:val="left" w:pos="1337"/>
        </w:tabs>
        <w:spacing w:line="420" w:lineRule="exact"/>
        <w:rPr>
          <w:rFonts w:hint="eastAsia" w:ascii="仿宋" w:hAnsi="仿宋" w:eastAsia="仿宋" w:cs="仿宋"/>
          <w:szCs w:val="21"/>
          <w:highlight w:val="none"/>
        </w:rPr>
      </w:pPr>
    </w:p>
    <w:p>
      <w:pPr>
        <w:tabs>
          <w:tab w:val="left" w:pos="1337"/>
        </w:tabs>
        <w:spacing w:line="420" w:lineRule="exact"/>
        <w:rPr>
          <w:rFonts w:hint="eastAsia" w:ascii="仿宋" w:hAnsi="仿宋" w:eastAsia="仿宋" w:cs="仿宋"/>
          <w:sz w:val="24"/>
          <w:highlight w:val="none"/>
        </w:rPr>
      </w:pPr>
    </w:p>
    <w:p>
      <w:pPr>
        <w:spacing w:line="48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b/>
          <w:sz w:val="24"/>
          <w:highlight w:val="none"/>
        </w:rPr>
        <w:br w:type="page"/>
      </w:r>
      <w:bookmarkStart w:id="98" w:name="_Toc19905"/>
      <w:r>
        <w:rPr>
          <w:rFonts w:hint="eastAsia" w:ascii="Arial" w:hAnsi="Arial" w:eastAsia="黑体" w:cs="Times New Roman"/>
          <w:b w:val="0"/>
          <w:kern w:val="2"/>
          <w:sz w:val="32"/>
          <w:szCs w:val="32"/>
          <w:highlight w:val="none"/>
          <w:lang w:val="en-US" w:eastAsia="zh-CN" w:bidi="ar-SA"/>
        </w:rPr>
        <w:t>附件十四：密封袋封面格式</w:t>
      </w:r>
      <w:bookmarkEnd w:id="98"/>
    </w:p>
    <w:p>
      <w:pPr>
        <w:pStyle w:val="9"/>
        <w:spacing w:line="480" w:lineRule="exact"/>
        <w:ind w:left="0" w:leftChars="0" w:firstLine="0" w:firstLineChars="0"/>
        <w:rPr>
          <w:rFonts w:hint="eastAsia" w:ascii="仿宋" w:hAnsi="仿宋" w:eastAsia="仿宋" w:cs="仿宋"/>
          <w:color w:val="000000"/>
          <w:highlight w:val="none"/>
        </w:rPr>
      </w:pPr>
    </w:p>
    <w:p>
      <w:pPr>
        <w:pStyle w:val="9"/>
        <w:spacing w:line="480" w:lineRule="exact"/>
        <w:ind w:left="1747" w:firstLine="470"/>
        <w:rPr>
          <w:rFonts w:hint="eastAsia" w:ascii="仿宋" w:hAnsi="仿宋" w:eastAsia="仿宋" w:cs="仿宋"/>
          <w:color w:val="000000"/>
          <w:highlight w:val="none"/>
        </w:rPr>
        <w:sectPr>
          <w:type w:val="continuous"/>
          <w:pgSz w:w="11907" w:h="16840"/>
          <w:pgMar w:top="1304" w:right="1418" w:bottom="1157" w:left="1418" w:header="851" w:footer="851" w:gutter="0"/>
          <w:pgNumType w:fmt="numberInDash"/>
          <w:cols w:space="720" w:num="1"/>
          <w:docGrid w:linePitch="290" w:charSpace="-3931"/>
        </w:sectPr>
      </w:pPr>
    </w:p>
    <w:tbl>
      <w:tblPr>
        <w:tblStyle w:val="17"/>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（正本）</w:t>
            </w:r>
          </w:p>
          <w:p>
            <w:pPr>
              <w:pStyle w:val="9"/>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c>
          <w:tcPr>
            <w:tcW w:w="477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（副本）</w:t>
            </w:r>
          </w:p>
          <w:p>
            <w:pPr>
              <w:pStyle w:val="9"/>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r>
    </w:tbl>
    <w:p>
      <w:pPr>
        <w:pStyle w:val="9"/>
        <w:spacing w:line="480" w:lineRule="exact"/>
        <w:ind w:left="1747" w:firstLine="470"/>
        <w:rPr>
          <w:rFonts w:hint="eastAsia" w:ascii="仿宋" w:hAnsi="仿宋" w:eastAsia="仿宋" w:cs="仿宋"/>
          <w:color w:val="000000"/>
          <w:highlight w:val="none"/>
        </w:rPr>
      </w:pPr>
    </w:p>
    <w:tbl>
      <w:tblPr>
        <w:tblStyle w:val="17"/>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noWrap w:val="0"/>
            <w:vAlign w:val="top"/>
          </w:tcPr>
          <w:p>
            <w:pPr>
              <w:pStyle w:val="9"/>
              <w:spacing w:line="480" w:lineRule="exact"/>
              <w:ind w:left="0" w:leftChars="0" w:firstLine="0" w:firstLineChars="0"/>
              <w:rPr>
                <w:rFonts w:hint="eastAsia" w:ascii="仿宋" w:hAnsi="仿宋" w:eastAsia="仿宋" w:cs="仿宋"/>
                <w:b/>
                <w:color w:val="000000"/>
                <w:kern w:val="2"/>
                <w:sz w:val="30"/>
                <w:szCs w:val="24"/>
                <w:highlight w:val="none"/>
              </w:rPr>
            </w:pPr>
          </w:p>
          <w:p>
            <w:pPr>
              <w:pStyle w:val="9"/>
              <w:spacing w:line="480" w:lineRule="exact"/>
              <w:ind w:left="0" w:leftChars="0" w:firstLine="0" w:firstLineChars="0"/>
              <w:jc w:val="center"/>
              <w:rPr>
                <w:rFonts w:hint="eastAsia" w:ascii="仿宋" w:hAnsi="仿宋" w:eastAsia="仿宋" w:cs="仿宋"/>
                <w:color w:val="000000"/>
                <w:kern w:val="2"/>
                <w:sz w:val="30"/>
                <w:szCs w:val="24"/>
                <w:highlight w:val="none"/>
              </w:rPr>
            </w:pPr>
            <w:r>
              <w:rPr>
                <w:rFonts w:hint="eastAsia" w:ascii="仿宋" w:hAnsi="仿宋" w:eastAsia="仿宋" w:cs="仿宋"/>
                <w:b/>
                <w:color w:val="000000"/>
                <w:kern w:val="2"/>
                <w:sz w:val="32"/>
                <w:szCs w:val="32"/>
                <w:highlight w:val="none"/>
              </w:rPr>
              <w:t>报价一览表</w:t>
            </w:r>
          </w:p>
          <w:p>
            <w:pPr>
              <w:pStyle w:val="9"/>
              <w:spacing w:line="480" w:lineRule="exact"/>
              <w:ind w:left="0" w:leftChars="0" w:firstLine="0" w:firstLineChars="0"/>
              <w:rPr>
                <w:rFonts w:hint="eastAsia" w:ascii="仿宋" w:hAnsi="仿宋" w:eastAsia="仿宋" w:cs="仿宋"/>
                <w:color w:val="000000"/>
                <w:kern w:val="2"/>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项目名称：</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tc>
        <w:tc>
          <w:tcPr>
            <w:tcW w:w="477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t>电子文档</w:t>
            </w:r>
          </w:p>
          <w:p>
            <w:pPr>
              <w:pStyle w:val="9"/>
              <w:spacing w:line="480" w:lineRule="exact"/>
              <w:ind w:left="0" w:leftChars="0" w:firstLine="0" w:firstLineChars="0"/>
              <w:rPr>
                <w:rFonts w:hint="eastAsia" w:ascii="仿宋" w:hAnsi="仿宋" w:eastAsia="仿宋" w:cs="仿宋"/>
                <w:b/>
                <w:kern w:val="2"/>
                <w:sz w:val="32"/>
                <w:szCs w:val="32"/>
                <w:highlight w:val="none"/>
              </w:rPr>
            </w:pPr>
          </w:p>
          <w:p>
            <w:pPr>
              <w:pStyle w:val="9"/>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项目编号：</w:t>
            </w:r>
          </w:p>
          <w:p>
            <w:pPr>
              <w:pStyle w:val="9"/>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项目名称：</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kern w:val="2"/>
                <w:szCs w:val="24"/>
                <w:highlight w:val="none"/>
              </w:rPr>
              <w:t>供应商名称（公章）：</w:t>
            </w:r>
          </w:p>
        </w:tc>
      </w:tr>
    </w:tbl>
    <w:p>
      <w:pPr>
        <w:pStyle w:val="9"/>
        <w:spacing w:line="480" w:lineRule="exact"/>
        <w:ind w:left="1747" w:firstLine="470"/>
        <w:rPr>
          <w:rFonts w:hint="eastAsia" w:ascii="仿宋" w:hAnsi="仿宋" w:eastAsia="仿宋" w:cs="仿宋"/>
          <w:color w:val="000000"/>
          <w:highlight w:val="none"/>
        </w:rPr>
      </w:pPr>
    </w:p>
    <w:p>
      <w:pPr>
        <w:pStyle w:val="9"/>
        <w:spacing w:line="480" w:lineRule="exact"/>
        <w:ind w:left="0" w:leftChars="0" w:firstLine="3861" w:firstLineChars="1202"/>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封口格式：</w:t>
      </w:r>
    </w:p>
    <w:tbl>
      <w:tblPr>
        <w:tblStyle w:val="17"/>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noWrap w:val="0"/>
            <w:vAlign w:val="center"/>
          </w:tcPr>
          <w:p>
            <w:pPr>
              <w:pStyle w:val="9"/>
              <w:spacing w:line="480" w:lineRule="exact"/>
              <w:ind w:left="0" w:leftChars="0" w:firstLine="0" w:firstLineChars="0"/>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………………………于</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年</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月</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日时之前不准启封（公章）………………………</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color w:val="000000"/>
          <w:highlight w:val="none"/>
        </w:rPr>
        <w:br w:type="page"/>
      </w:r>
      <w:r>
        <w:rPr>
          <w:rFonts w:hint="eastAsia" w:ascii="仿宋" w:hAnsi="仿宋" w:eastAsia="仿宋" w:cs="仿宋"/>
          <w:sz w:val="28"/>
          <w:szCs w:val="28"/>
          <w:highlight w:val="none"/>
        </w:rPr>
        <w:t>附表1：</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p>
      <w:pPr>
        <w:pStyle w:val="15"/>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7"/>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noWrap w:val="0"/>
            <w:vAlign w:val="center"/>
          </w:tcPr>
          <w:p>
            <w:pPr>
              <w:pStyle w:val="24"/>
              <w:spacing w:before="94" w:line="266" w:lineRule="auto"/>
              <w:ind w:left="64" w:right="55"/>
              <w:jc w:val="center"/>
              <w:rPr>
                <w:rFonts w:hint="eastAsia"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noWrap w:val="0"/>
            <w:vAlign w:val="center"/>
          </w:tcPr>
          <w:p>
            <w:pPr>
              <w:pStyle w:val="24"/>
              <w:spacing w:before="1"/>
              <w:ind w:left="2199" w:right="2193"/>
              <w:jc w:val="center"/>
              <w:rPr>
                <w:rFonts w:hint="eastAsia" w:ascii="仿宋" w:hAnsi="仿宋" w:eastAsia="仿宋" w:cs="仿宋"/>
                <w:b/>
                <w:sz w:val="22"/>
                <w:highlight w:val="none"/>
              </w:rPr>
            </w:pPr>
            <w:r>
              <w:rPr>
                <w:rFonts w:hint="eastAsia" w:ascii="仿宋" w:hAnsi="仿宋" w:eastAsia="仿宋" w:cs="仿宋"/>
                <w:b/>
                <w:sz w:val="22"/>
                <w:highlight w:val="none"/>
              </w:rPr>
              <w:t>名称</w:t>
            </w:r>
          </w:p>
        </w:tc>
        <w:tc>
          <w:tcPr>
            <w:tcW w:w="2967" w:type="dxa"/>
            <w:noWrap w:val="0"/>
            <w:vAlign w:val="center"/>
          </w:tcPr>
          <w:p>
            <w:pPr>
              <w:pStyle w:val="24"/>
              <w:autoSpaceDE w:val="0"/>
              <w:autoSpaceDN w:val="0"/>
              <w:jc w:val="center"/>
              <w:rPr>
                <w:rFonts w:hint="eastAsia"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noWrap w:val="0"/>
            <w:vAlign w:val="center"/>
          </w:tcPr>
          <w:p>
            <w:pPr>
              <w:pStyle w:val="24"/>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noWrap w:val="0"/>
            <w:vAlign w:val="center"/>
          </w:tcPr>
          <w:p>
            <w:pPr>
              <w:pStyle w:val="24"/>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w:t>
            </w:r>
          </w:p>
          <w:p>
            <w:pPr>
              <w:pStyle w:val="24"/>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noWrap w:val="0"/>
            <w:vAlign w:val="center"/>
          </w:tcPr>
          <w:p>
            <w:pPr>
              <w:pStyle w:val="24"/>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★A02010104</w:t>
            </w:r>
          </w:p>
          <w:p>
            <w:pPr>
              <w:pStyle w:val="24"/>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noWrap w:val="0"/>
            <w:vAlign w:val="center"/>
          </w:tcPr>
          <w:p>
            <w:pPr>
              <w:pStyle w:val="24"/>
              <w:jc w:val="center"/>
              <w:rPr>
                <w:rFonts w:hint="eastAsia" w:ascii="仿宋" w:hAnsi="仿宋" w:eastAsia="仿宋" w:cs="仿宋"/>
                <w:sz w:val="22"/>
                <w:szCs w:val="32"/>
                <w:highlight w:val="none"/>
              </w:rPr>
            </w:pPr>
          </w:p>
        </w:tc>
        <w:tc>
          <w:tcPr>
            <w:tcW w:w="2967" w:type="dxa"/>
            <w:noWrap w:val="0"/>
            <w:vAlign w:val="center"/>
          </w:tcPr>
          <w:p>
            <w:pPr>
              <w:pStyle w:val="24"/>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4"/>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★A02010105</w:t>
            </w:r>
          </w:p>
          <w:p>
            <w:pPr>
              <w:pStyle w:val="24"/>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noWrap w:val="0"/>
            <w:vAlign w:val="center"/>
          </w:tcPr>
          <w:p>
            <w:pPr>
              <w:pStyle w:val="24"/>
              <w:jc w:val="center"/>
              <w:rPr>
                <w:rFonts w:hint="eastAsia" w:ascii="仿宋" w:hAnsi="仿宋" w:eastAsia="仿宋" w:cs="仿宋"/>
                <w:sz w:val="22"/>
                <w:szCs w:val="32"/>
                <w:highlight w:val="none"/>
              </w:rPr>
            </w:pPr>
          </w:p>
        </w:tc>
        <w:tc>
          <w:tcPr>
            <w:tcW w:w="2967" w:type="dxa"/>
            <w:noWrap w:val="0"/>
            <w:vAlign w:val="center"/>
          </w:tcPr>
          <w:p>
            <w:pPr>
              <w:pStyle w:val="24"/>
              <w:spacing w:before="24"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4"/>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★A02010107</w:t>
            </w:r>
          </w:p>
          <w:p>
            <w:pPr>
              <w:pStyle w:val="24"/>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noWrap w:val="0"/>
            <w:vAlign w:val="center"/>
          </w:tcPr>
          <w:p>
            <w:pPr>
              <w:pStyle w:val="24"/>
              <w:jc w:val="center"/>
              <w:rPr>
                <w:rFonts w:hint="eastAsia" w:ascii="仿宋" w:hAnsi="仿宋" w:eastAsia="仿宋" w:cs="仿宋"/>
                <w:sz w:val="22"/>
                <w:szCs w:val="32"/>
                <w:highlight w:val="none"/>
              </w:rPr>
            </w:pPr>
          </w:p>
        </w:tc>
        <w:tc>
          <w:tcPr>
            <w:tcW w:w="2967" w:type="dxa"/>
            <w:noWrap w:val="0"/>
            <w:vAlign w:val="center"/>
          </w:tcPr>
          <w:p>
            <w:pPr>
              <w:pStyle w:val="24"/>
              <w:spacing w:before="9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noWrap w:val="0"/>
            <w:vAlign w:val="center"/>
          </w:tcPr>
          <w:p>
            <w:pPr>
              <w:pStyle w:val="24"/>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noWrap w:val="0"/>
            <w:vAlign w:val="center"/>
          </w:tcPr>
          <w:p>
            <w:pPr>
              <w:pStyle w:val="2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noWrap w:val="0"/>
            <w:vAlign w:val="center"/>
          </w:tcPr>
          <w:p>
            <w:pPr>
              <w:pStyle w:val="24"/>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noWrap w:val="0"/>
            <w:vAlign w:val="center"/>
          </w:tcPr>
          <w:p>
            <w:pPr>
              <w:pStyle w:val="24"/>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4"/>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noWrap w:val="0"/>
            <w:vAlign w:val="center"/>
          </w:tcPr>
          <w:p>
            <w:pPr>
              <w:pStyle w:val="24"/>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4"/>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4"/>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noWrap w:val="0"/>
            <w:vAlign w:val="center"/>
          </w:tcPr>
          <w:p>
            <w:pPr>
              <w:pStyle w:val="24"/>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4"/>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4"/>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noWrap w:val="0"/>
            <w:vAlign w:val="center"/>
          </w:tcPr>
          <w:p>
            <w:pPr>
              <w:pStyle w:val="24"/>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4"/>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noWrap w:val="0"/>
            <w:vAlign w:val="center"/>
          </w:tcPr>
          <w:p>
            <w:pPr>
              <w:pStyle w:val="24"/>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4"/>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noWrap w:val="0"/>
            <w:vAlign w:val="center"/>
          </w:tcPr>
          <w:p>
            <w:pPr>
              <w:pStyle w:val="24"/>
              <w:spacing w:before="10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4"/>
              <w:spacing w:before="139"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noWrap w:val="0"/>
            <w:vAlign w:val="center"/>
          </w:tcPr>
          <w:p>
            <w:pPr>
              <w:pStyle w:val="24"/>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noWrap w:val="0"/>
            <w:vAlign w:val="center"/>
          </w:tcPr>
          <w:p>
            <w:pPr>
              <w:pStyle w:val="24"/>
              <w:spacing w:before="83"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4"/>
              <w:spacing w:before="55"/>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noWrap w:val="0"/>
            <w:vAlign w:val="center"/>
          </w:tcPr>
          <w:p>
            <w:pPr>
              <w:pStyle w:val="24"/>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noWrap w:val="0"/>
            <w:vAlign w:val="center"/>
          </w:tcPr>
          <w:p>
            <w:pPr>
              <w:pStyle w:val="24"/>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A020202</w:t>
            </w:r>
          </w:p>
          <w:p>
            <w:pPr>
              <w:pStyle w:val="24"/>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noWrap w:val="0"/>
            <w:vAlign w:val="center"/>
          </w:tcPr>
          <w:p>
            <w:pPr>
              <w:pStyle w:val="24"/>
              <w:jc w:val="center"/>
              <w:rPr>
                <w:rFonts w:hint="eastAsia" w:ascii="仿宋" w:hAnsi="仿宋" w:eastAsia="仿宋" w:cs="仿宋"/>
                <w:sz w:val="22"/>
                <w:szCs w:val="32"/>
                <w:highlight w:val="none"/>
              </w:rPr>
            </w:pPr>
          </w:p>
        </w:tc>
        <w:tc>
          <w:tcPr>
            <w:tcW w:w="1916" w:type="dxa"/>
            <w:noWrap w:val="0"/>
            <w:vAlign w:val="center"/>
          </w:tcPr>
          <w:p>
            <w:pPr>
              <w:pStyle w:val="24"/>
              <w:jc w:val="center"/>
              <w:rPr>
                <w:rFonts w:hint="eastAsia" w:ascii="仿宋" w:hAnsi="仿宋" w:eastAsia="仿宋" w:cs="仿宋"/>
                <w:sz w:val="22"/>
                <w:szCs w:val="32"/>
                <w:highlight w:val="none"/>
              </w:rPr>
            </w:pPr>
          </w:p>
        </w:tc>
        <w:tc>
          <w:tcPr>
            <w:tcW w:w="2967" w:type="dxa"/>
            <w:noWrap w:val="0"/>
            <w:vAlign w:val="center"/>
          </w:tcPr>
          <w:p>
            <w:pPr>
              <w:pStyle w:val="24"/>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noWrap w:val="0"/>
            <w:vAlign w:val="center"/>
          </w:tcPr>
          <w:p>
            <w:pPr>
              <w:pStyle w:val="24"/>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noWrap w:val="0"/>
            <w:vAlign w:val="center"/>
          </w:tcPr>
          <w:p>
            <w:pPr>
              <w:pStyle w:val="24"/>
              <w:spacing w:before="10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noWrap w:val="0"/>
            <w:vAlign w:val="center"/>
          </w:tcPr>
          <w:p>
            <w:pPr>
              <w:pStyle w:val="24"/>
              <w:jc w:val="center"/>
              <w:rPr>
                <w:rFonts w:hint="eastAsia" w:ascii="仿宋" w:hAnsi="仿宋" w:eastAsia="仿宋" w:cs="仿宋"/>
                <w:sz w:val="22"/>
                <w:szCs w:val="32"/>
                <w:highlight w:val="none"/>
              </w:rPr>
            </w:pPr>
          </w:p>
        </w:tc>
        <w:tc>
          <w:tcPr>
            <w:tcW w:w="1916" w:type="dxa"/>
            <w:noWrap w:val="0"/>
            <w:vAlign w:val="center"/>
          </w:tcPr>
          <w:p>
            <w:pPr>
              <w:pStyle w:val="24"/>
              <w:jc w:val="center"/>
              <w:rPr>
                <w:rFonts w:hint="eastAsia" w:ascii="仿宋" w:hAnsi="仿宋" w:eastAsia="仿宋" w:cs="仿宋"/>
                <w:sz w:val="22"/>
                <w:szCs w:val="32"/>
                <w:highlight w:val="none"/>
              </w:rPr>
            </w:pPr>
          </w:p>
        </w:tc>
        <w:tc>
          <w:tcPr>
            <w:tcW w:w="2967" w:type="dxa"/>
            <w:noWrap w:val="0"/>
            <w:vAlign w:val="center"/>
          </w:tcPr>
          <w:p>
            <w:pPr>
              <w:pStyle w:val="24"/>
              <w:spacing w:before="100"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noWrap w:val="0"/>
            <w:vAlign w:val="center"/>
          </w:tcPr>
          <w:p>
            <w:pPr>
              <w:pStyle w:val="24"/>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noWrap w:val="0"/>
            <w:vAlign w:val="center"/>
          </w:tcPr>
          <w:p>
            <w:pPr>
              <w:pStyle w:val="2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noWrap w:val="0"/>
            <w:vAlign w:val="center"/>
          </w:tcPr>
          <w:p>
            <w:pPr>
              <w:pStyle w:val="24"/>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noWrap w:val="0"/>
            <w:vAlign w:val="center"/>
          </w:tcPr>
          <w:p>
            <w:pPr>
              <w:pStyle w:val="24"/>
              <w:jc w:val="center"/>
              <w:rPr>
                <w:rFonts w:hint="eastAsia" w:ascii="仿宋" w:hAnsi="仿宋" w:eastAsia="仿宋" w:cs="仿宋"/>
                <w:sz w:val="22"/>
                <w:szCs w:val="32"/>
                <w:highlight w:val="none"/>
              </w:rPr>
            </w:pPr>
          </w:p>
        </w:tc>
        <w:tc>
          <w:tcPr>
            <w:tcW w:w="2967" w:type="dxa"/>
            <w:noWrap w:val="0"/>
            <w:vAlign w:val="center"/>
          </w:tcPr>
          <w:p>
            <w:pPr>
              <w:pStyle w:val="24"/>
              <w:spacing w:before="3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noWrap w:val="0"/>
            <w:vAlign w:val="center"/>
          </w:tcPr>
          <w:p>
            <w:pPr>
              <w:pStyle w:val="24"/>
              <w:spacing w:before="135"/>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noWrap w:val="0"/>
            <w:vAlign w:val="center"/>
          </w:tcPr>
          <w:p>
            <w:pPr>
              <w:pStyle w:val="2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noWrap w:val="0"/>
            <w:vAlign w:val="center"/>
          </w:tcPr>
          <w:p>
            <w:pPr>
              <w:pStyle w:val="24"/>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★A02052301</w:t>
            </w:r>
          </w:p>
          <w:p>
            <w:pPr>
              <w:pStyle w:val="24"/>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4"/>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noWrap w:val="0"/>
            <w:vAlign w:val="center"/>
          </w:tcPr>
          <w:p>
            <w:pPr>
              <w:pStyle w:val="24"/>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4"/>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noWrap w:val="0"/>
            <w:vAlign w:val="center"/>
          </w:tcPr>
          <w:p>
            <w:pPr>
              <w:pStyle w:val="24"/>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noWrap w:val="0"/>
            <w:vAlign w:val="center"/>
          </w:tcPr>
          <w:p>
            <w:pPr>
              <w:pStyle w:val="24"/>
              <w:jc w:val="center"/>
              <w:rPr>
                <w:rFonts w:hint="eastAsia" w:ascii="仿宋" w:hAnsi="仿宋" w:eastAsia="仿宋" w:cs="仿宋"/>
                <w:szCs w:val="32"/>
                <w:highlight w:val="none"/>
              </w:rPr>
            </w:pPr>
          </w:p>
        </w:tc>
        <w:tc>
          <w:tcPr>
            <w:tcW w:w="1167" w:type="dxa"/>
            <w:vMerge w:val="continue"/>
            <w:tcBorders>
              <w:left w:val="single" w:color="auto" w:sz="4" w:space="0"/>
              <w:right w:val="single" w:color="auto" w:sz="4" w:space="0"/>
            </w:tcBorders>
            <w:noWrap w:val="0"/>
            <w:vAlign w:val="center"/>
          </w:tcPr>
          <w:p>
            <w:pPr>
              <w:pStyle w:val="24"/>
              <w:jc w:val="center"/>
              <w:rPr>
                <w:rFonts w:hint="eastAsia" w:ascii="仿宋" w:hAnsi="仿宋" w:eastAsia="仿宋" w:cs="仿宋"/>
                <w:szCs w:val="32"/>
                <w:highlight w:val="none"/>
              </w:rPr>
            </w:pPr>
          </w:p>
        </w:tc>
        <w:tc>
          <w:tcPr>
            <w:tcW w:w="1801" w:type="dxa"/>
            <w:vMerge w:val="continue"/>
            <w:tcBorders>
              <w:left w:val="single" w:color="auto" w:sz="4" w:space="0"/>
              <w:right w:val="single" w:color="auto" w:sz="4" w:space="0"/>
            </w:tcBorders>
            <w:noWrap w:val="0"/>
            <w:vAlign w:val="center"/>
          </w:tcPr>
          <w:p>
            <w:pPr>
              <w:pStyle w:val="24"/>
              <w:jc w:val="center"/>
              <w:rPr>
                <w:rFonts w:hint="eastAsia" w:ascii="仿宋" w:hAnsi="仿宋" w:eastAsia="仿宋" w:cs="仿宋"/>
                <w:szCs w:val="32"/>
                <w:highlight w:val="none"/>
              </w:rPr>
            </w:pPr>
          </w:p>
        </w:tc>
        <w:tc>
          <w:tcPr>
            <w:tcW w:w="1916" w:type="dxa"/>
            <w:noWrap w:val="0"/>
            <w:vAlign w:val="center"/>
          </w:tcPr>
          <w:p>
            <w:pPr>
              <w:pStyle w:val="24"/>
              <w:spacing w:before="126" w:line="292" w:lineRule="auto"/>
              <w:ind w:left="9" w:righ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noWrap w:val="0"/>
            <w:vAlign w:val="center"/>
          </w:tcPr>
          <w:p>
            <w:pPr>
              <w:pStyle w:val="24"/>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4"/>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★A02052305</w:t>
            </w:r>
          </w:p>
          <w:p>
            <w:pPr>
              <w:pStyle w:val="24"/>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noWrap w:val="0"/>
            <w:vAlign w:val="center"/>
          </w:tcPr>
          <w:p>
            <w:pPr>
              <w:pStyle w:val="24"/>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noWrap w:val="0"/>
            <w:vAlign w:val="center"/>
          </w:tcPr>
          <w:p>
            <w:pPr>
              <w:pStyle w:val="24"/>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4"/>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noWrap w:val="0"/>
            <w:vAlign w:val="center"/>
          </w:tcPr>
          <w:p>
            <w:pPr>
              <w:pStyle w:val="24"/>
              <w:spacing w:before="4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4"/>
              <w:spacing w:before="116" w:line="290"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noWrap w:val="0"/>
            <w:vAlign w:val="center"/>
          </w:tcPr>
          <w:p>
            <w:pPr>
              <w:pStyle w:val="24"/>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noWrap w:val="0"/>
            <w:vAlign w:val="center"/>
          </w:tcPr>
          <w:p>
            <w:pPr>
              <w:pStyle w:val="24"/>
              <w:spacing w:before="116" w:line="290"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4"/>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noWrap w:val="0"/>
            <w:vAlign w:val="center"/>
          </w:tcPr>
          <w:p>
            <w:pPr>
              <w:pStyle w:val="24"/>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noWrap w:val="0"/>
            <w:vAlign w:val="center"/>
          </w:tcPr>
          <w:p>
            <w:pPr>
              <w:pStyle w:val="24"/>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4"/>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noWrap w:val="0"/>
            <w:vAlign w:val="center"/>
          </w:tcPr>
          <w:p>
            <w:pPr>
              <w:pStyle w:val="24"/>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noWrap w:val="0"/>
            <w:vAlign w:val="center"/>
          </w:tcPr>
          <w:p>
            <w:pPr>
              <w:pStyle w:val="24"/>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noWrap w:val="0"/>
            <w:vAlign w:val="center"/>
          </w:tcPr>
          <w:p>
            <w:pPr>
              <w:pStyle w:val="24"/>
              <w:jc w:val="center"/>
              <w:rPr>
                <w:rFonts w:hint="eastAsia" w:ascii="仿宋" w:hAnsi="仿宋" w:eastAsia="仿宋" w:cs="仿宋"/>
                <w:szCs w:val="32"/>
                <w:highlight w:val="none"/>
              </w:rPr>
            </w:pPr>
          </w:p>
        </w:tc>
        <w:tc>
          <w:tcPr>
            <w:tcW w:w="1916" w:type="dxa"/>
            <w:noWrap w:val="0"/>
            <w:vAlign w:val="center"/>
          </w:tcPr>
          <w:p>
            <w:pPr>
              <w:pStyle w:val="24"/>
              <w:jc w:val="center"/>
              <w:rPr>
                <w:rFonts w:hint="eastAsia" w:ascii="仿宋" w:hAnsi="仿宋" w:eastAsia="仿宋" w:cs="仿宋"/>
                <w:szCs w:val="32"/>
                <w:highlight w:val="none"/>
              </w:rPr>
            </w:pPr>
          </w:p>
        </w:tc>
        <w:tc>
          <w:tcPr>
            <w:tcW w:w="2967" w:type="dxa"/>
            <w:noWrap w:val="0"/>
            <w:vAlign w:val="center"/>
          </w:tcPr>
          <w:p>
            <w:pPr>
              <w:pStyle w:val="24"/>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noWrap w:val="0"/>
            <w:vAlign w:val="center"/>
          </w:tcPr>
          <w:p>
            <w:pPr>
              <w:pStyle w:val="24"/>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noWrap w:val="0"/>
            <w:vAlign w:val="center"/>
          </w:tcPr>
          <w:p>
            <w:pPr>
              <w:pStyle w:val="24"/>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A020602</w:t>
            </w:r>
          </w:p>
          <w:p>
            <w:pPr>
              <w:pStyle w:val="24"/>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noWrap w:val="0"/>
            <w:vAlign w:val="center"/>
          </w:tcPr>
          <w:p>
            <w:pPr>
              <w:pStyle w:val="24"/>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noWrap w:val="0"/>
            <w:vAlign w:val="center"/>
          </w:tcPr>
          <w:p>
            <w:pPr>
              <w:pStyle w:val="24"/>
              <w:jc w:val="center"/>
              <w:rPr>
                <w:rFonts w:hint="eastAsia" w:ascii="仿宋" w:hAnsi="仿宋" w:eastAsia="仿宋" w:cs="仿宋"/>
                <w:szCs w:val="32"/>
                <w:highlight w:val="none"/>
              </w:rPr>
            </w:pPr>
          </w:p>
        </w:tc>
        <w:tc>
          <w:tcPr>
            <w:tcW w:w="2967" w:type="dxa"/>
            <w:noWrap w:val="0"/>
            <w:vAlign w:val="center"/>
          </w:tcPr>
          <w:p>
            <w:pPr>
              <w:pStyle w:val="24"/>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noWrap w:val="0"/>
            <w:vAlign w:val="center"/>
          </w:tcPr>
          <w:p>
            <w:pPr>
              <w:pStyle w:val="24"/>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noWrap w:val="0"/>
            <w:vAlign w:val="center"/>
          </w:tcPr>
          <w:p>
            <w:pPr>
              <w:pStyle w:val="24"/>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★A020609</w:t>
            </w:r>
          </w:p>
          <w:p>
            <w:pPr>
              <w:pStyle w:val="24"/>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noWrap w:val="0"/>
            <w:vAlign w:val="center"/>
          </w:tcPr>
          <w:p>
            <w:pPr>
              <w:pStyle w:val="24"/>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noWrap w:val="0"/>
            <w:vAlign w:val="center"/>
          </w:tcPr>
          <w:p>
            <w:pPr>
              <w:pStyle w:val="24"/>
              <w:jc w:val="center"/>
              <w:rPr>
                <w:rFonts w:hint="eastAsia" w:ascii="仿宋" w:hAnsi="仿宋" w:eastAsia="仿宋" w:cs="仿宋"/>
                <w:szCs w:val="32"/>
                <w:highlight w:val="none"/>
              </w:rPr>
            </w:pPr>
          </w:p>
        </w:tc>
        <w:tc>
          <w:tcPr>
            <w:tcW w:w="2967" w:type="dxa"/>
            <w:noWrap w:val="0"/>
            <w:vAlign w:val="center"/>
          </w:tcPr>
          <w:p>
            <w:pPr>
              <w:pStyle w:val="24"/>
              <w:spacing w:before="160"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noWrap w:val="0"/>
            <w:vAlign w:val="center"/>
          </w:tcPr>
          <w:p>
            <w:pPr>
              <w:pStyle w:val="24"/>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noWrap w:val="0"/>
            <w:vAlign w:val="center"/>
          </w:tcPr>
          <w:p>
            <w:pPr>
              <w:pStyle w:val="24"/>
              <w:spacing w:before="167"/>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noWrap w:val="0"/>
            <w:vAlign w:val="center"/>
          </w:tcPr>
          <w:p>
            <w:pPr>
              <w:pStyle w:val="24"/>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noWrap w:val="0"/>
            <w:vAlign w:val="center"/>
          </w:tcPr>
          <w:p>
            <w:pPr>
              <w:pStyle w:val="24"/>
              <w:jc w:val="center"/>
              <w:rPr>
                <w:rFonts w:hint="eastAsia" w:ascii="仿宋" w:hAnsi="仿宋" w:eastAsia="仿宋" w:cs="仿宋"/>
                <w:szCs w:val="32"/>
                <w:highlight w:val="none"/>
              </w:rPr>
            </w:pPr>
          </w:p>
        </w:tc>
        <w:tc>
          <w:tcPr>
            <w:tcW w:w="2967" w:type="dxa"/>
            <w:noWrap w:val="0"/>
            <w:vAlign w:val="center"/>
          </w:tcPr>
          <w:p>
            <w:pPr>
              <w:pStyle w:val="24"/>
              <w:tabs>
                <w:tab w:val="left" w:pos="1410"/>
              </w:tabs>
              <w:spacing w:before="8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4"/>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4"/>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noWrap w:val="0"/>
            <w:vAlign w:val="center"/>
          </w:tcPr>
          <w:p>
            <w:pPr>
              <w:pStyle w:val="24"/>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noWrap w:val="0"/>
            <w:vAlign w:val="center"/>
          </w:tcPr>
          <w:p>
            <w:pPr>
              <w:pStyle w:val="24"/>
              <w:spacing w:before="37" w:line="292" w:lineRule="auto"/>
              <w:ind w:left="9" w:right="2"/>
              <w:rPr>
                <w:rFonts w:hint="eastAsia"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4"/>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noWrap w:val="0"/>
            <w:vAlign w:val="center"/>
          </w:tcPr>
          <w:p>
            <w:pPr>
              <w:pStyle w:val="24"/>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4"/>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4"/>
              <w:spacing w:before="56"/>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noWrap w:val="0"/>
            <w:vAlign w:val="center"/>
          </w:tcPr>
          <w:p>
            <w:pPr>
              <w:pStyle w:val="24"/>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4"/>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noWrap w:val="0"/>
            <w:vAlign w:val="center"/>
          </w:tcPr>
          <w:p>
            <w:pPr>
              <w:pStyle w:val="24"/>
              <w:jc w:val="center"/>
              <w:rPr>
                <w:rFonts w:hint="eastAsia" w:ascii="仿宋" w:hAnsi="仿宋" w:eastAsia="仿宋" w:cs="仿宋"/>
                <w:szCs w:val="32"/>
                <w:highlight w:val="none"/>
              </w:rPr>
            </w:pPr>
          </w:p>
        </w:tc>
        <w:tc>
          <w:tcPr>
            <w:tcW w:w="2967" w:type="dxa"/>
            <w:noWrap w:val="0"/>
            <w:vAlign w:val="center"/>
          </w:tcPr>
          <w:p>
            <w:pPr>
              <w:pStyle w:val="24"/>
              <w:spacing w:before="39"/>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4"/>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pStyle w:val="24"/>
              <w:jc w:val="center"/>
              <w:rPr>
                <w:rFonts w:hint="eastAsia" w:ascii="仿宋" w:hAnsi="仿宋" w:eastAsia="仿宋" w:cs="仿宋"/>
                <w:szCs w:val="32"/>
                <w:highlight w:val="none"/>
              </w:rPr>
            </w:pPr>
          </w:p>
        </w:tc>
        <w:tc>
          <w:tcPr>
            <w:tcW w:w="1167" w:type="dxa"/>
            <w:vMerge w:val="continue"/>
            <w:noWrap w:val="0"/>
            <w:vAlign w:val="center"/>
          </w:tcPr>
          <w:p>
            <w:pPr>
              <w:pStyle w:val="24"/>
              <w:jc w:val="center"/>
              <w:rPr>
                <w:rFonts w:hint="eastAsia" w:ascii="仿宋" w:hAnsi="仿宋" w:eastAsia="仿宋" w:cs="仿宋"/>
                <w:szCs w:val="32"/>
                <w:highlight w:val="none"/>
              </w:rPr>
            </w:pPr>
          </w:p>
        </w:tc>
        <w:tc>
          <w:tcPr>
            <w:tcW w:w="1801" w:type="dxa"/>
            <w:vMerge w:val="restart"/>
            <w:noWrap w:val="0"/>
            <w:vAlign w:val="center"/>
          </w:tcPr>
          <w:p>
            <w:pPr>
              <w:pStyle w:val="24"/>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noWrap w:val="0"/>
            <w:vAlign w:val="center"/>
          </w:tcPr>
          <w:p>
            <w:pPr>
              <w:pStyle w:val="24"/>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noWrap w:val="0"/>
            <w:vAlign w:val="center"/>
          </w:tcPr>
          <w:p>
            <w:pPr>
              <w:pStyle w:val="24"/>
              <w:tabs>
                <w:tab w:val="left" w:pos="1609"/>
              </w:tabs>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4"/>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noWrap w:val="0"/>
            <w:vAlign w:val="center"/>
          </w:tcPr>
          <w:p>
            <w:pPr>
              <w:pStyle w:val="24"/>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4"/>
              <w:spacing w:line="255" w:lineRule="exact"/>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4"/>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noWrap w:val="0"/>
            <w:vAlign w:val="center"/>
          </w:tcPr>
          <w:p>
            <w:pPr>
              <w:pStyle w:val="24"/>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4"/>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noWrap w:val="0"/>
            <w:vAlign w:val="center"/>
          </w:tcPr>
          <w:p>
            <w:pPr>
              <w:pStyle w:val="24"/>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noWrap w:val="0"/>
            <w:vAlign w:val="center"/>
          </w:tcPr>
          <w:p>
            <w:pPr>
              <w:pStyle w:val="24"/>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noWrap w:val="0"/>
            <w:vAlign w:val="center"/>
          </w:tcPr>
          <w:p>
            <w:pPr>
              <w:pStyle w:val="2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A020619</w:t>
            </w:r>
          </w:p>
          <w:p>
            <w:pPr>
              <w:pStyle w:val="2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noWrap w:val="0"/>
            <w:vAlign w:val="center"/>
          </w:tcPr>
          <w:p>
            <w:pPr>
              <w:pStyle w:val="24"/>
              <w:spacing w:before="167"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noWrap w:val="0"/>
            <w:vAlign w:val="center"/>
          </w:tcPr>
          <w:p>
            <w:pPr>
              <w:pStyle w:val="24"/>
              <w:jc w:val="center"/>
              <w:rPr>
                <w:rFonts w:hint="eastAsia" w:ascii="仿宋" w:hAnsi="仿宋" w:eastAsia="仿宋" w:cs="仿宋"/>
                <w:szCs w:val="32"/>
                <w:highlight w:val="none"/>
              </w:rPr>
            </w:pPr>
          </w:p>
        </w:tc>
        <w:tc>
          <w:tcPr>
            <w:tcW w:w="2967" w:type="dxa"/>
            <w:noWrap w:val="0"/>
            <w:vAlign w:val="center"/>
          </w:tcPr>
          <w:p>
            <w:pPr>
              <w:pStyle w:val="24"/>
              <w:spacing w:before="16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4"/>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LED道路/</w:t>
            </w:r>
          </w:p>
          <w:p>
            <w:pPr>
              <w:pStyle w:val="24"/>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noWrap w:val="0"/>
            <w:vAlign w:val="center"/>
          </w:tcPr>
          <w:p>
            <w:pPr>
              <w:pStyle w:val="24"/>
              <w:jc w:val="center"/>
              <w:rPr>
                <w:rFonts w:hint="eastAsia" w:ascii="仿宋" w:hAnsi="仿宋" w:eastAsia="仿宋" w:cs="仿宋"/>
                <w:szCs w:val="32"/>
                <w:highlight w:val="none"/>
              </w:rPr>
            </w:pPr>
          </w:p>
        </w:tc>
        <w:tc>
          <w:tcPr>
            <w:tcW w:w="2967" w:type="dxa"/>
            <w:noWrap w:val="0"/>
            <w:vAlign w:val="center"/>
          </w:tcPr>
          <w:p>
            <w:pPr>
              <w:pStyle w:val="24"/>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4"/>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noWrap w:val="0"/>
            <w:vAlign w:val="center"/>
          </w:tcPr>
          <w:p>
            <w:pPr>
              <w:pStyle w:val="24"/>
              <w:jc w:val="center"/>
              <w:rPr>
                <w:rFonts w:hint="eastAsia" w:ascii="仿宋" w:hAnsi="仿宋" w:eastAsia="仿宋" w:cs="仿宋"/>
                <w:szCs w:val="32"/>
                <w:highlight w:val="none"/>
              </w:rPr>
            </w:pPr>
          </w:p>
        </w:tc>
        <w:tc>
          <w:tcPr>
            <w:tcW w:w="2967" w:type="dxa"/>
            <w:noWrap w:val="0"/>
            <w:vAlign w:val="center"/>
          </w:tcPr>
          <w:p>
            <w:pPr>
              <w:pStyle w:val="24"/>
              <w:spacing w:before="11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4"/>
              <w:spacing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noWrap w:val="0"/>
            <w:vAlign w:val="center"/>
          </w:tcPr>
          <w:p>
            <w:pPr>
              <w:pStyle w:val="24"/>
              <w:jc w:val="center"/>
              <w:rPr>
                <w:rFonts w:hint="eastAsia" w:ascii="仿宋" w:hAnsi="仿宋" w:eastAsia="仿宋" w:cs="仿宋"/>
                <w:szCs w:val="32"/>
                <w:highlight w:val="none"/>
              </w:rPr>
            </w:pPr>
          </w:p>
        </w:tc>
        <w:tc>
          <w:tcPr>
            <w:tcW w:w="2967" w:type="dxa"/>
            <w:noWrap w:val="0"/>
            <w:vAlign w:val="center"/>
          </w:tcPr>
          <w:p>
            <w:pPr>
              <w:pStyle w:val="24"/>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noWrap w:val="0"/>
            <w:vAlign w:val="center"/>
          </w:tcPr>
          <w:p>
            <w:pPr>
              <w:pStyle w:val="24"/>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noWrap w:val="0"/>
            <w:vAlign w:val="center"/>
          </w:tcPr>
          <w:p>
            <w:pPr>
              <w:pStyle w:val="24"/>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w:t>
            </w:r>
          </w:p>
          <w:p>
            <w:pPr>
              <w:pStyle w:val="24"/>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noWrap w:val="0"/>
            <w:vAlign w:val="center"/>
          </w:tcPr>
          <w:p>
            <w:pPr>
              <w:pStyle w:val="24"/>
              <w:spacing w:before="114"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noWrap w:val="0"/>
            <w:vAlign w:val="center"/>
          </w:tcPr>
          <w:p>
            <w:pPr>
              <w:pStyle w:val="24"/>
              <w:jc w:val="center"/>
              <w:rPr>
                <w:rFonts w:hint="eastAsia" w:ascii="仿宋" w:hAnsi="仿宋" w:eastAsia="仿宋" w:cs="仿宋"/>
                <w:szCs w:val="32"/>
                <w:highlight w:val="none"/>
              </w:rPr>
            </w:pPr>
          </w:p>
        </w:tc>
        <w:tc>
          <w:tcPr>
            <w:tcW w:w="2967" w:type="dxa"/>
            <w:noWrap w:val="0"/>
            <w:vAlign w:val="center"/>
          </w:tcPr>
          <w:p>
            <w:pPr>
              <w:pStyle w:val="24"/>
              <w:spacing w:before="11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noWrap w:val="0"/>
            <w:vAlign w:val="center"/>
          </w:tcPr>
          <w:p>
            <w:pPr>
              <w:pStyle w:val="24"/>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noWrap w:val="0"/>
            <w:vAlign w:val="center"/>
          </w:tcPr>
          <w:p>
            <w:pPr>
              <w:pStyle w:val="24"/>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w:t>
            </w:r>
          </w:p>
          <w:p>
            <w:pPr>
              <w:pStyle w:val="24"/>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noWrap w:val="0"/>
            <w:vAlign w:val="center"/>
          </w:tcPr>
          <w:p>
            <w:pPr>
              <w:pStyle w:val="24"/>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A02091107</w:t>
            </w:r>
          </w:p>
          <w:p>
            <w:pPr>
              <w:pStyle w:val="24"/>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noWrap w:val="0"/>
            <w:vAlign w:val="center"/>
          </w:tcPr>
          <w:p>
            <w:pPr>
              <w:pStyle w:val="24"/>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noWrap w:val="0"/>
            <w:vAlign w:val="center"/>
          </w:tcPr>
          <w:p>
            <w:pPr>
              <w:pStyle w:val="24"/>
              <w:spacing w:before="6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noWrap w:val="0"/>
            <w:vAlign w:val="center"/>
          </w:tcPr>
          <w:p>
            <w:pPr>
              <w:pStyle w:val="24"/>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noWrap w:val="0"/>
            <w:vAlign w:val="center"/>
          </w:tcPr>
          <w:p>
            <w:pPr>
              <w:pStyle w:val="24"/>
              <w:spacing w:before="109"/>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noWrap w:val="0"/>
            <w:vAlign w:val="center"/>
          </w:tcPr>
          <w:p>
            <w:pPr>
              <w:pStyle w:val="24"/>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noWrap w:val="0"/>
            <w:vAlign w:val="center"/>
          </w:tcPr>
          <w:p>
            <w:pPr>
              <w:pStyle w:val="24"/>
              <w:jc w:val="center"/>
              <w:rPr>
                <w:rFonts w:hint="eastAsia" w:ascii="仿宋" w:hAnsi="仿宋" w:eastAsia="仿宋" w:cs="仿宋"/>
                <w:szCs w:val="32"/>
                <w:highlight w:val="none"/>
              </w:rPr>
            </w:pPr>
          </w:p>
        </w:tc>
        <w:tc>
          <w:tcPr>
            <w:tcW w:w="2967" w:type="dxa"/>
            <w:noWrap w:val="0"/>
            <w:vAlign w:val="center"/>
          </w:tcPr>
          <w:p>
            <w:pPr>
              <w:pStyle w:val="24"/>
              <w:spacing w:before="109"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noWrap w:val="0"/>
            <w:vAlign w:val="center"/>
          </w:tcPr>
          <w:p>
            <w:pPr>
              <w:pStyle w:val="24"/>
              <w:spacing w:before="174"/>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noWrap w:val="0"/>
            <w:vAlign w:val="center"/>
          </w:tcPr>
          <w:p>
            <w:pPr>
              <w:pStyle w:val="2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★A060805</w:t>
            </w:r>
          </w:p>
          <w:p>
            <w:pPr>
              <w:pStyle w:val="2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noWrap w:val="0"/>
            <w:vAlign w:val="center"/>
          </w:tcPr>
          <w:p>
            <w:pPr>
              <w:pStyle w:val="24"/>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noWrap w:val="0"/>
            <w:vAlign w:val="center"/>
          </w:tcPr>
          <w:p>
            <w:pPr>
              <w:pStyle w:val="24"/>
              <w:jc w:val="center"/>
              <w:rPr>
                <w:rFonts w:hint="eastAsia" w:ascii="仿宋" w:hAnsi="仿宋" w:eastAsia="仿宋" w:cs="仿宋"/>
                <w:szCs w:val="32"/>
                <w:highlight w:val="none"/>
              </w:rPr>
            </w:pPr>
          </w:p>
        </w:tc>
        <w:tc>
          <w:tcPr>
            <w:tcW w:w="2967" w:type="dxa"/>
            <w:noWrap w:val="0"/>
            <w:vAlign w:val="center"/>
          </w:tcPr>
          <w:p>
            <w:pPr>
              <w:pStyle w:val="24"/>
              <w:spacing w:before="15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4"/>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4"/>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noWrap w:val="0"/>
            <w:vAlign w:val="center"/>
          </w:tcPr>
          <w:p>
            <w:pPr>
              <w:pStyle w:val="24"/>
              <w:jc w:val="center"/>
              <w:rPr>
                <w:rFonts w:hint="eastAsia" w:ascii="仿宋" w:hAnsi="仿宋" w:eastAsia="仿宋" w:cs="仿宋"/>
                <w:szCs w:val="32"/>
                <w:highlight w:val="none"/>
              </w:rPr>
            </w:pPr>
          </w:p>
        </w:tc>
        <w:tc>
          <w:tcPr>
            <w:tcW w:w="2967" w:type="dxa"/>
            <w:noWrap w:val="0"/>
            <w:vAlign w:val="center"/>
          </w:tcPr>
          <w:p>
            <w:pPr>
              <w:pStyle w:val="24"/>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4"/>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noWrap w:val="0"/>
            <w:vAlign w:val="center"/>
          </w:tcPr>
          <w:p>
            <w:pPr>
              <w:pStyle w:val="24"/>
              <w:jc w:val="center"/>
              <w:rPr>
                <w:rFonts w:hint="eastAsia" w:ascii="仿宋" w:hAnsi="仿宋" w:eastAsia="仿宋" w:cs="仿宋"/>
                <w:szCs w:val="32"/>
                <w:highlight w:val="none"/>
              </w:rPr>
            </w:pPr>
          </w:p>
        </w:tc>
        <w:tc>
          <w:tcPr>
            <w:tcW w:w="2967" w:type="dxa"/>
            <w:noWrap w:val="0"/>
            <w:vAlign w:val="center"/>
          </w:tcPr>
          <w:p>
            <w:pPr>
              <w:pStyle w:val="24"/>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noWrap w:val="0"/>
            <w:vAlign w:val="center"/>
          </w:tcPr>
          <w:p>
            <w:pPr>
              <w:pStyle w:val="24"/>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noWrap w:val="0"/>
            <w:vAlign w:val="center"/>
          </w:tcPr>
          <w:p>
            <w:pPr>
              <w:pStyle w:val="24"/>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★A060806</w:t>
            </w:r>
          </w:p>
          <w:p>
            <w:pPr>
              <w:pStyle w:val="24"/>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noWrap w:val="0"/>
            <w:vAlign w:val="center"/>
          </w:tcPr>
          <w:p>
            <w:pPr>
              <w:pStyle w:val="24"/>
              <w:jc w:val="center"/>
              <w:rPr>
                <w:rFonts w:hint="eastAsia" w:ascii="仿宋" w:hAnsi="仿宋" w:eastAsia="仿宋" w:cs="仿宋"/>
                <w:sz w:val="22"/>
                <w:szCs w:val="32"/>
                <w:highlight w:val="none"/>
              </w:rPr>
            </w:pPr>
          </w:p>
        </w:tc>
        <w:tc>
          <w:tcPr>
            <w:tcW w:w="1916" w:type="dxa"/>
            <w:noWrap w:val="0"/>
            <w:vAlign w:val="center"/>
          </w:tcPr>
          <w:p>
            <w:pPr>
              <w:pStyle w:val="24"/>
              <w:jc w:val="center"/>
              <w:rPr>
                <w:rFonts w:hint="eastAsia" w:ascii="仿宋" w:hAnsi="仿宋" w:eastAsia="仿宋" w:cs="仿宋"/>
                <w:sz w:val="22"/>
                <w:szCs w:val="32"/>
                <w:highlight w:val="none"/>
              </w:rPr>
            </w:pPr>
          </w:p>
        </w:tc>
        <w:tc>
          <w:tcPr>
            <w:tcW w:w="2967" w:type="dxa"/>
            <w:noWrap w:val="0"/>
            <w:vAlign w:val="center"/>
          </w:tcPr>
          <w:p>
            <w:pPr>
              <w:pStyle w:val="24"/>
              <w:spacing w:before="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noWrap w:val="0"/>
            <w:vAlign w:val="center"/>
          </w:tcPr>
          <w:p>
            <w:pPr>
              <w:pStyle w:val="24"/>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noWrap w:val="0"/>
            <w:vAlign w:val="center"/>
          </w:tcPr>
          <w:p>
            <w:pPr>
              <w:pStyle w:val="24"/>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A060807</w:t>
            </w:r>
          </w:p>
          <w:p>
            <w:pPr>
              <w:pStyle w:val="24"/>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noWrap w:val="0"/>
            <w:vAlign w:val="center"/>
          </w:tcPr>
          <w:p>
            <w:pPr>
              <w:pStyle w:val="24"/>
              <w:jc w:val="center"/>
              <w:rPr>
                <w:rFonts w:hint="eastAsia" w:ascii="仿宋" w:hAnsi="仿宋" w:eastAsia="仿宋" w:cs="仿宋"/>
                <w:sz w:val="22"/>
                <w:szCs w:val="32"/>
                <w:highlight w:val="none"/>
              </w:rPr>
            </w:pPr>
          </w:p>
        </w:tc>
        <w:tc>
          <w:tcPr>
            <w:tcW w:w="1916" w:type="dxa"/>
            <w:noWrap w:val="0"/>
            <w:vAlign w:val="center"/>
          </w:tcPr>
          <w:p>
            <w:pPr>
              <w:pStyle w:val="24"/>
              <w:jc w:val="center"/>
              <w:rPr>
                <w:rFonts w:hint="eastAsia" w:ascii="仿宋" w:hAnsi="仿宋" w:eastAsia="仿宋" w:cs="仿宋"/>
                <w:sz w:val="22"/>
                <w:szCs w:val="32"/>
                <w:highlight w:val="none"/>
              </w:rPr>
            </w:pPr>
          </w:p>
        </w:tc>
        <w:tc>
          <w:tcPr>
            <w:tcW w:w="2967" w:type="dxa"/>
            <w:noWrap w:val="0"/>
            <w:vAlign w:val="center"/>
          </w:tcPr>
          <w:p>
            <w:pPr>
              <w:pStyle w:val="24"/>
              <w:spacing w:before="14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noWrap w:val="0"/>
            <w:vAlign w:val="center"/>
          </w:tcPr>
          <w:p>
            <w:pPr>
              <w:pStyle w:val="24"/>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noWrap w:val="0"/>
            <w:vAlign w:val="center"/>
          </w:tcPr>
          <w:p>
            <w:pPr>
              <w:pStyle w:val="24"/>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A060810</w:t>
            </w:r>
          </w:p>
          <w:p>
            <w:pPr>
              <w:pStyle w:val="24"/>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noWrap w:val="0"/>
            <w:vAlign w:val="center"/>
          </w:tcPr>
          <w:p>
            <w:pPr>
              <w:pStyle w:val="24"/>
              <w:jc w:val="center"/>
              <w:rPr>
                <w:rFonts w:hint="eastAsia" w:ascii="仿宋" w:hAnsi="仿宋" w:eastAsia="仿宋" w:cs="仿宋"/>
                <w:sz w:val="22"/>
                <w:szCs w:val="32"/>
                <w:highlight w:val="none"/>
              </w:rPr>
            </w:pPr>
          </w:p>
        </w:tc>
        <w:tc>
          <w:tcPr>
            <w:tcW w:w="1916" w:type="dxa"/>
            <w:noWrap w:val="0"/>
            <w:vAlign w:val="center"/>
          </w:tcPr>
          <w:p>
            <w:pPr>
              <w:pStyle w:val="24"/>
              <w:jc w:val="center"/>
              <w:rPr>
                <w:rFonts w:hint="eastAsia" w:ascii="仿宋" w:hAnsi="仿宋" w:eastAsia="仿宋" w:cs="仿宋"/>
                <w:sz w:val="22"/>
                <w:szCs w:val="32"/>
                <w:highlight w:val="none"/>
              </w:rPr>
            </w:pPr>
          </w:p>
        </w:tc>
        <w:tc>
          <w:tcPr>
            <w:tcW w:w="2967" w:type="dxa"/>
            <w:noWrap w:val="0"/>
            <w:vAlign w:val="center"/>
          </w:tcPr>
          <w:p>
            <w:pPr>
              <w:pStyle w:val="24"/>
              <w:spacing w:before="16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附表2：</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p>
      <w:pPr>
        <w:pStyle w:val="15"/>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7"/>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c>
          <w:tcPr>
            <w:tcW w:w="1151"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p>
            <w:pPr>
              <w:jc w:val="center"/>
              <w:rPr>
                <w:rFonts w:hint="eastAsia"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北京赛西认证有限责任公司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中国网络安全审查技术与认证中心</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便携式</w:t>
            </w:r>
          </w:p>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平板式</w:t>
            </w:r>
          </w:p>
          <w:p>
            <w:pPr>
              <w:jc w:val="center"/>
              <w:rPr>
                <w:rFonts w:hint="eastAsia"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图形图像</w:t>
            </w:r>
          </w:p>
          <w:p>
            <w:pPr>
              <w:jc w:val="center"/>
              <w:rPr>
                <w:rFonts w:hint="eastAsia"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多功能</w:t>
            </w:r>
          </w:p>
          <w:p>
            <w:pPr>
              <w:jc w:val="center"/>
              <w:rPr>
                <w:rFonts w:hint="eastAsia"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专用制冷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其他制冷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生活用</w:t>
            </w:r>
          </w:p>
          <w:p>
            <w:pPr>
              <w:jc w:val="center"/>
              <w:rPr>
                <w:rFonts w:hint="eastAsia"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北京泰瑞特认证有限责任公司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视频监</w:t>
            </w:r>
          </w:p>
          <w:p>
            <w:pPr>
              <w:jc w:val="center"/>
              <w:rPr>
                <w:rFonts w:hint="eastAsia"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饮食炊</w:t>
            </w:r>
          </w:p>
          <w:p>
            <w:pPr>
              <w:jc w:val="center"/>
              <w:rPr>
                <w:rFonts w:hint="eastAsia"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北京鉴衡认证中心</w:t>
            </w:r>
          </w:p>
          <w:p>
            <w:pPr>
              <w:rPr>
                <w:rFonts w:hint="eastAsia"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北京新华节水产品认证有限公司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p>
            <w:pPr>
              <w:jc w:val="center"/>
              <w:rPr>
                <w:rFonts w:hint="eastAsia"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bl>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附表3</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p>
      <w:pPr>
        <w:pStyle w:val="15"/>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p>
      <w:pPr>
        <w:pStyle w:val="15"/>
        <w:rPr>
          <w:rFonts w:hint="eastAsia" w:ascii="仿宋" w:hAnsi="仿宋" w:eastAsia="仿宋" w:cs="仿宋"/>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2223"/>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中环联合（北京）认证中心有限公司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中环协（北京）认证中心</w:t>
            </w:r>
          </w:p>
          <w:p>
            <w:pPr>
              <w:jc w:val="center"/>
              <w:rPr>
                <w:rFonts w:hint="eastAsia" w:ascii="仿宋" w:hAnsi="仿宋" w:eastAsia="仿宋" w:cs="仿宋"/>
                <w:sz w:val="24"/>
                <w:highlight w:val="none"/>
              </w:rPr>
            </w:pPr>
            <w:r>
              <w:rPr>
                <w:rFonts w:hint="eastAsia" w:ascii="仿宋" w:hAnsi="仿宋" w:eastAsia="仿宋" w:cs="仿宋"/>
                <w:sz w:val="24"/>
                <w:highlight w:val="none"/>
              </w:rPr>
              <w:t>天津华诚认证有限公司</w:t>
            </w:r>
          </w:p>
        </w:tc>
      </w:tr>
    </w:tbl>
    <w:p>
      <w:pPr>
        <w:pStyle w:val="9"/>
        <w:spacing w:line="480" w:lineRule="exact"/>
        <w:ind w:left="0" w:leftChars="0" w:firstLine="0" w:firstLineChars="0"/>
        <w:rPr>
          <w:rFonts w:hint="eastAsia" w:ascii="宋体" w:hAnsi="宋体" w:eastAsia="宋体" w:cs="宋体"/>
          <w:color w:val="000000"/>
          <w:highlight w:val="none"/>
        </w:rPr>
      </w:pPr>
    </w:p>
    <w:p>
      <w:pPr>
        <w:rPr>
          <w:highlight w:val="none"/>
        </w:rPr>
      </w:pPr>
    </w:p>
    <w:sectPr>
      <w:type w:val="continuous"/>
      <w:pgSz w:w="11907" w:h="16840"/>
      <w:pgMar w:top="1304" w:right="1418" w:bottom="1157" w:left="1418" w:header="851" w:footer="851" w:gutter="0"/>
      <w:pgNumType w:fmt="numberInDash"/>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0"/>
      </w:rPr>
    </w:pPr>
  </w:p>
  <w:p>
    <w:pPr>
      <w:pStyle w:val="1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Fonts w:hint="eastAsia"/>
      </w:rPr>
      <w:t>２１</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1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58005"/>
    <w:multiLevelType w:val="singleLevel"/>
    <w:tmpl w:val="A9758005"/>
    <w:lvl w:ilvl="0" w:tentative="0">
      <w:start w:val="1"/>
      <w:numFmt w:val="decimal"/>
      <w:lvlText w:val="(%1)"/>
      <w:lvlJc w:val="left"/>
      <w:pPr>
        <w:ind w:left="425" w:hanging="425"/>
      </w:pPr>
      <w:rPr>
        <w:rFonts w:hint="default"/>
      </w:rPr>
    </w:lvl>
  </w:abstractNum>
  <w:abstractNum w:abstractNumId="1">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2">
    <w:nsid w:val="D189E03F"/>
    <w:multiLevelType w:val="singleLevel"/>
    <w:tmpl w:val="D189E03F"/>
    <w:lvl w:ilvl="0" w:tentative="0">
      <w:start w:val="1"/>
      <w:numFmt w:val="decimal"/>
      <w:lvlText w:val="%1."/>
      <w:lvlJc w:val="left"/>
      <w:pPr>
        <w:ind w:left="425" w:hanging="425"/>
      </w:pPr>
      <w:rPr>
        <w:rFonts w:hint="default"/>
      </w:rPr>
    </w:lvl>
  </w:abstractNum>
  <w:abstractNum w:abstractNumId="3">
    <w:nsid w:val="00000025"/>
    <w:multiLevelType w:val="multilevel"/>
    <w:tmpl w:val="00000025"/>
    <w:lvl w:ilvl="0" w:tentative="0">
      <w:start w:val="1"/>
      <w:numFmt w:val="none"/>
      <w:pStyle w:val="2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38D03B1"/>
    <w:multiLevelType w:val="singleLevel"/>
    <w:tmpl w:val="038D03B1"/>
    <w:lvl w:ilvl="0" w:tentative="0">
      <w:start w:val="1"/>
      <w:numFmt w:val="lowerLetter"/>
      <w:suff w:val="space"/>
      <w:lvlText w:val="%1)"/>
      <w:lvlJc w:val="left"/>
      <w:pPr>
        <w:ind w:left="-420"/>
      </w:pPr>
    </w:lvl>
  </w:abstractNum>
  <w:abstractNum w:abstractNumId="5">
    <w:nsid w:val="09FD4165"/>
    <w:multiLevelType w:val="singleLevel"/>
    <w:tmpl w:val="09FD4165"/>
    <w:lvl w:ilvl="0" w:tentative="0">
      <w:start w:val="1"/>
      <w:numFmt w:val="decimal"/>
      <w:suff w:val="nothing"/>
      <w:lvlText w:val="（%1）"/>
      <w:lvlJc w:val="left"/>
    </w:lvl>
  </w:abstractNum>
  <w:abstractNum w:abstractNumId="6">
    <w:nsid w:val="1198D91C"/>
    <w:multiLevelType w:val="singleLevel"/>
    <w:tmpl w:val="1198D91C"/>
    <w:lvl w:ilvl="0" w:tentative="0">
      <w:start w:val="1"/>
      <w:numFmt w:val="decimal"/>
      <w:lvlText w:val="%1."/>
      <w:lvlJc w:val="left"/>
      <w:pPr>
        <w:ind w:left="425" w:hanging="425"/>
      </w:pPr>
      <w:rPr>
        <w:rFonts w:hint="default"/>
      </w:rPr>
    </w:lvl>
  </w:abstractNum>
  <w:abstractNum w:abstractNumId="7">
    <w:nsid w:val="1CAE17B4"/>
    <w:multiLevelType w:val="singleLevel"/>
    <w:tmpl w:val="1CAE17B4"/>
    <w:lvl w:ilvl="0" w:tentative="0">
      <w:start w:val="1"/>
      <w:numFmt w:val="decimal"/>
      <w:lvlText w:val="%1."/>
      <w:lvlJc w:val="left"/>
      <w:pPr>
        <w:ind w:left="425" w:hanging="425"/>
      </w:pPr>
      <w:rPr>
        <w:rFonts w:hint="default"/>
      </w:rPr>
    </w:lvl>
  </w:abstractNum>
  <w:abstractNum w:abstractNumId="8">
    <w:nsid w:val="2E6C82FE"/>
    <w:multiLevelType w:val="singleLevel"/>
    <w:tmpl w:val="2E6C82FE"/>
    <w:lvl w:ilvl="0" w:tentative="0">
      <w:start w:val="1"/>
      <w:numFmt w:val="chineseCounting"/>
      <w:suff w:val="nothing"/>
      <w:lvlText w:val="%1、"/>
      <w:lvlJc w:val="left"/>
      <w:pPr>
        <w:ind w:left="0"/>
      </w:pPr>
      <w:rPr>
        <w:rFonts w:hint="eastAsia"/>
      </w:rPr>
    </w:lvl>
  </w:abstractNum>
  <w:abstractNum w:abstractNumId="9">
    <w:nsid w:val="35456A6F"/>
    <w:multiLevelType w:val="singleLevel"/>
    <w:tmpl w:val="35456A6F"/>
    <w:lvl w:ilvl="0" w:tentative="0">
      <w:start w:val="3"/>
      <w:numFmt w:val="chineseCounting"/>
      <w:suff w:val="space"/>
      <w:lvlText w:val="第%1章"/>
      <w:lvlJc w:val="left"/>
      <w:rPr>
        <w:rFonts w:hint="eastAsia"/>
      </w:rPr>
    </w:lvl>
  </w:abstractNum>
  <w:abstractNum w:abstractNumId="10">
    <w:nsid w:val="3E3D6081"/>
    <w:multiLevelType w:val="singleLevel"/>
    <w:tmpl w:val="3E3D6081"/>
    <w:lvl w:ilvl="0" w:tentative="0">
      <w:start w:val="1"/>
      <w:numFmt w:val="decimal"/>
      <w:suff w:val="nothing"/>
      <w:lvlText w:val="（%1）"/>
      <w:lvlJc w:val="left"/>
    </w:lvl>
  </w:abstractNum>
  <w:abstractNum w:abstractNumId="11">
    <w:nsid w:val="48117AEE"/>
    <w:multiLevelType w:val="singleLevel"/>
    <w:tmpl w:val="48117AEE"/>
    <w:lvl w:ilvl="0" w:tentative="0">
      <w:start w:val="1"/>
      <w:numFmt w:val="chineseCounting"/>
      <w:suff w:val="nothing"/>
      <w:lvlText w:val="（%1）"/>
      <w:lvlJc w:val="left"/>
      <w:rPr>
        <w:rFonts w:hint="eastAsia"/>
      </w:rPr>
    </w:lvl>
  </w:abstractNum>
  <w:abstractNum w:abstractNumId="12">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6AACE46F"/>
    <w:multiLevelType w:val="singleLevel"/>
    <w:tmpl w:val="6AACE46F"/>
    <w:lvl w:ilvl="0" w:tentative="0">
      <w:start w:val="1"/>
      <w:numFmt w:val="lowerLetter"/>
      <w:suff w:val="space"/>
      <w:lvlText w:val="%1)"/>
      <w:lvlJc w:val="left"/>
      <w:pPr>
        <w:ind w:left="-420"/>
      </w:pPr>
    </w:lvl>
  </w:abstractNum>
  <w:abstractNum w:abstractNumId="14">
    <w:nsid w:val="743B8985"/>
    <w:multiLevelType w:val="singleLevel"/>
    <w:tmpl w:val="743B8985"/>
    <w:lvl w:ilvl="0" w:tentative="0">
      <w:start w:val="1"/>
      <w:numFmt w:val="decimal"/>
      <w:suff w:val="space"/>
      <w:lvlText w:val="%1."/>
      <w:lvlJc w:val="left"/>
    </w:lvl>
  </w:abstractNum>
  <w:num w:numId="1">
    <w:abstractNumId w:val="3"/>
  </w:num>
  <w:num w:numId="2">
    <w:abstractNumId w:val="2"/>
  </w:num>
  <w:num w:numId="3">
    <w:abstractNumId w:val="7"/>
  </w:num>
  <w:num w:numId="4">
    <w:abstractNumId w:val="10"/>
  </w:num>
  <w:num w:numId="5">
    <w:abstractNumId w:val="0"/>
  </w:num>
  <w:num w:numId="6">
    <w:abstractNumId w:val="9"/>
  </w:num>
  <w:num w:numId="7">
    <w:abstractNumId w:val="8"/>
  </w:num>
  <w:num w:numId="8">
    <w:abstractNumId w:val="1"/>
  </w:num>
  <w:num w:numId="9">
    <w:abstractNumId w:val="11"/>
  </w:num>
  <w:num w:numId="10">
    <w:abstractNumId w:val="6"/>
  </w:num>
  <w:num w:numId="11">
    <w:abstractNumId w:val="14"/>
  </w:num>
  <w:num w:numId="12">
    <w:abstractNumId w:val="4"/>
  </w:num>
  <w:num w:numId="13">
    <w:abstractNumId w:val="13"/>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NTk2MzMzOWQxNzUwYzkwNjMyY2E2MWZlNmEyNjcifQ=="/>
  </w:docVars>
  <w:rsids>
    <w:rsidRoot w:val="349C5A22"/>
    <w:rsid w:val="00455153"/>
    <w:rsid w:val="016D19E2"/>
    <w:rsid w:val="020F0755"/>
    <w:rsid w:val="02F1515D"/>
    <w:rsid w:val="03BB0508"/>
    <w:rsid w:val="04C20A4B"/>
    <w:rsid w:val="05514E4C"/>
    <w:rsid w:val="060E1E12"/>
    <w:rsid w:val="06354B44"/>
    <w:rsid w:val="06A434CD"/>
    <w:rsid w:val="0A7065E8"/>
    <w:rsid w:val="0AED20B8"/>
    <w:rsid w:val="0B66615E"/>
    <w:rsid w:val="0B8D71D1"/>
    <w:rsid w:val="0E917BAA"/>
    <w:rsid w:val="1005205D"/>
    <w:rsid w:val="11016BB9"/>
    <w:rsid w:val="129F2C32"/>
    <w:rsid w:val="13916571"/>
    <w:rsid w:val="140A7B16"/>
    <w:rsid w:val="14CF3C1F"/>
    <w:rsid w:val="15754FD9"/>
    <w:rsid w:val="19962821"/>
    <w:rsid w:val="1CAF350E"/>
    <w:rsid w:val="1D061419"/>
    <w:rsid w:val="1E6E5015"/>
    <w:rsid w:val="1EBC2968"/>
    <w:rsid w:val="2287246B"/>
    <w:rsid w:val="28405EC2"/>
    <w:rsid w:val="2A1F556B"/>
    <w:rsid w:val="2BAC631B"/>
    <w:rsid w:val="2C500929"/>
    <w:rsid w:val="2D111CD6"/>
    <w:rsid w:val="2EF36010"/>
    <w:rsid w:val="2F992837"/>
    <w:rsid w:val="308C66BF"/>
    <w:rsid w:val="30966F1C"/>
    <w:rsid w:val="31B6678B"/>
    <w:rsid w:val="334B4532"/>
    <w:rsid w:val="349C5A22"/>
    <w:rsid w:val="39935011"/>
    <w:rsid w:val="3C2F13EC"/>
    <w:rsid w:val="3DEF5FDE"/>
    <w:rsid w:val="3FBD42D5"/>
    <w:rsid w:val="3FC713B6"/>
    <w:rsid w:val="3FE0097B"/>
    <w:rsid w:val="42584FAD"/>
    <w:rsid w:val="428624F7"/>
    <w:rsid w:val="44F61F36"/>
    <w:rsid w:val="45D27DCA"/>
    <w:rsid w:val="45EB4B20"/>
    <w:rsid w:val="4A156715"/>
    <w:rsid w:val="4A4C19D0"/>
    <w:rsid w:val="4A9E093D"/>
    <w:rsid w:val="4B634FF2"/>
    <w:rsid w:val="4DC33ECE"/>
    <w:rsid w:val="4DF41F3E"/>
    <w:rsid w:val="504A5361"/>
    <w:rsid w:val="527F2B4C"/>
    <w:rsid w:val="5716249E"/>
    <w:rsid w:val="57E5531B"/>
    <w:rsid w:val="59902568"/>
    <w:rsid w:val="62AC1935"/>
    <w:rsid w:val="62B12CBD"/>
    <w:rsid w:val="64835652"/>
    <w:rsid w:val="6BA6430D"/>
    <w:rsid w:val="709D5818"/>
    <w:rsid w:val="715B0257"/>
    <w:rsid w:val="71A7679B"/>
    <w:rsid w:val="7491728F"/>
    <w:rsid w:val="79A40DAA"/>
    <w:rsid w:val="7AF8308C"/>
    <w:rsid w:val="7D232221"/>
    <w:rsid w:val="7E487B8B"/>
    <w:rsid w:val="7E6B3D69"/>
    <w:rsid w:val="7F0E0EC5"/>
    <w:rsid w:val="7FBD6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kern w:val="44"/>
      <w:sz w:val="44"/>
      <w:szCs w:val="20"/>
    </w:rPr>
  </w:style>
  <w:style w:type="paragraph" w:styleId="4">
    <w:name w:val="heading 2"/>
    <w:basedOn w:val="1"/>
    <w:next w:val="1"/>
    <w:qFormat/>
    <w:uiPriority w:val="99"/>
    <w:pPr>
      <w:keepNext/>
      <w:keepLines/>
      <w:spacing w:before="260" w:after="260" w:line="416" w:lineRule="auto"/>
      <w:outlineLvl w:val="1"/>
    </w:pPr>
    <w:rPr>
      <w:rFonts w:ascii="Cambria" w:hAnsi="Cambria"/>
      <w:b/>
      <w:kern w:val="0"/>
      <w:sz w:val="32"/>
      <w:szCs w:val="20"/>
    </w:rPr>
  </w:style>
  <w:style w:type="paragraph" w:styleId="5">
    <w:name w:val="heading 3"/>
    <w:basedOn w:val="1"/>
    <w:next w:val="1"/>
    <w:qFormat/>
    <w:uiPriority w:val="99"/>
    <w:pPr>
      <w:keepNext/>
      <w:keepLines/>
      <w:spacing w:before="260" w:after="260" w:line="416" w:lineRule="auto"/>
      <w:outlineLvl w:val="2"/>
    </w:pPr>
    <w:rPr>
      <w:b/>
      <w:kern w:val="0"/>
      <w:sz w:val="32"/>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eastAsia="仿宋_GB2312" w:cs="宋体"/>
      <w:sz w:val="24"/>
      <w:szCs w:val="20"/>
    </w:rPr>
  </w:style>
  <w:style w:type="paragraph" w:styleId="6">
    <w:name w:val="List 3"/>
    <w:basedOn w:val="1"/>
    <w:qFormat/>
    <w:uiPriority w:val="99"/>
    <w:pPr>
      <w:ind w:left="100" w:leftChars="400" w:hanging="200" w:hangingChars="200"/>
    </w:pPr>
  </w:style>
  <w:style w:type="paragraph" w:styleId="7">
    <w:name w:val="caption"/>
    <w:basedOn w:val="1"/>
    <w:next w:val="1"/>
    <w:qFormat/>
    <w:uiPriority w:val="99"/>
    <w:pPr>
      <w:spacing w:before="152" w:after="160"/>
    </w:pPr>
    <w:rPr>
      <w:rFonts w:ascii="Arial" w:hAnsi="Arial" w:eastAsia="黑体" w:cs="Arial"/>
      <w:sz w:val="20"/>
      <w:szCs w:val="20"/>
    </w:rPr>
  </w:style>
  <w:style w:type="paragraph" w:styleId="8">
    <w:name w:val="Body Text"/>
    <w:basedOn w:val="1"/>
    <w:next w:val="1"/>
    <w:qFormat/>
    <w:uiPriority w:val="99"/>
    <w:pPr>
      <w:spacing w:after="120"/>
    </w:pPr>
    <w:rPr>
      <w:sz w:val="24"/>
      <w:szCs w:val="20"/>
    </w:rPr>
  </w:style>
  <w:style w:type="paragraph" w:styleId="9">
    <w:name w:val="Body Text Indent"/>
    <w:basedOn w:val="1"/>
    <w:qFormat/>
    <w:uiPriority w:val="99"/>
    <w:pPr>
      <w:spacing w:line="500" w:lineRule="exact"/>
      <w:ind w:left="1588" w:leftChars="832" w:firstLine="433" w:firstLineChars="196"/>
    </w:pPr>
    <w:rPr>
      <w:kern w:val="0"/>
      <w:sz w:val="24"/>
      <w:szCs w:val="20"/>
    </w:rPr>
  </w:style>
  <w:style w:type="paragraph" w:styleId="10">
    <w:name w:val="List 2"/>
    <w:basedOn w:val="1"/>
    <w:qFormat/>
    <w:uiPriority w:val="99"/>
    <w:pPr>
      <w:ind w:left="100" w:leftChars="200" w:hanging="200" w:hangingChars="200"/>
    </w:pPr>
  </w:style>
  <w:style w:type="paragraph" w:styleId="11">
    <w:name w:val="index 4"/>
    <w:basedOn w:val="1"/>
    <w:next w:val="1"/>
    <w:qFormat/>
    <w:uiPriority w:val="0"/>
    <w:pPr>
      <w:adjustRightInd w:val="0"/>
      <w:spacing w:line="360" w:lineRule="auto"/>
      <w:ind w:left="960" w:hanging="240"/>
      <w:jc w:val="left"/>
      <w:textAlignment w:val="baseline"/>
    </w:pPr>
    <w:rPr>
      <w:sz w:val="20"/>
      <w:szCs w:val="20"/>
    </w:rPr>
  </w:style>
  <w:style w:type="paragraph" w:styleId="12">
    <w:name w:val="toc 3"/>
    <w:basedOn w:val="1"/>
    <w:next w:val="1"/>
    <w:unhideWhenUsed/>
    <w:qFormat/>
    <w:uiPriority w:val="39"/>
    <w:pPr>
      <w:ind w:left="840" w:leftChars="400"/>
    </w:pPr>
  </w:style>
  <w:style w:type="paragraph" w:styleId="13">
    <w:name w:val="footer"/>
    <w:basedOn w:val="1"/>
    <w:qFormat/>
    <w:uiPriority w:val="99"/>
    <w:pPr>
      <w:tabs>
        <w:tab w:val="center" w:pos="4153"/>
        <w:tab w:val="right" w:pos="8306"/>
      </w:tabs>
      <w:snapToGrid w:val="0"/>
      <w:jc w:val="left"/>
    </w:pPr>
    <w:rPr>
      <w:sz w:val="18"/>
      <w:szCs w:val="20"/>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39"/>
  </w:style>
  <w:style w:type="paragraph" w:styleId="16">
    <w:name w:val="toc 2"/>
    <w:basedOn w:val="1"/>
    <w:next w:val="1"/>
    <w:qFormat/>
    <w:uiPriority w:val="39"/>
    <w:pPr>
      <w:ind w:left="200" w:leftChars="200"/>
    </w:p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99"/>
    <w:rPr>
      <w:rFonts w:cs="Times New Roman"/>
    </w:rPr>
  </w:style>
  <w:style w:type="paragraph" w:customStyle="1" w:styleId="21">
    <w:name w:val="表格文字"/>
    <w:basedOn w:val="1"/>
    <w:next w:val="8"/>
    <w:qFormat/>
    <w:uiPriority w:val="99"/>
    <w:pPr>
      <w:spacing w:before="25" w:after="25"/>
      <w:jc w:val="left"/>
    </w:pPr>
    <w:rPr>
      <w:bCs/>
      <w:spacing w:val="10"/>
      <w:kern w:val="0"/>
      <w:sz w:val="24"/>
    </w:rPr>
  </w:style>
  <w:style w:type="paragraph" w:customStyle="1" w:styleId="22">
    <w:name w:val="样式29"/>
    <w:basedOn w:val="23"/>
    <w:qFormat/>
    <w:uiPriority w:val="99"/>
    <w:rPr>
      <w:rFonts w:eastAsia="楷体_GB2312"/>
    </w:rPr>
  </w:style>
  <w:style w:type="paragraph" w:customStyle="1" w:styleId="23">
    <w:name w:val="样式9 Char"/>
    <w:basedOn w:val="1"/>
    <w:qFormat/>
    <w:uiPriority w:val="99"/>
    <w:pPr>
      <w:widowControl/>
      <w:spacing w:line="440" w:lineRule="exact"/>
      <w:ind w:firstLine="200" w:firstLineChars="200"/>
      <w:jc w:val="left"/>
    </w:pPr>
    <w:rPr>
      <w:spacing w:val="6"/>
      <w:sz w:val="24"/>
      <w:szCs w:val="20"/>
    </w:rPr>
  </w:style>
  <w:style w:type="paragraph" w:customStyle="1" w:styleId="24">
    <w:name w:val="Table Paragraph"/>
    <w:basedOn w:val="1"/>
    <w:qFormat/>
    <w:uiPriority w:val="1"/>
    <w:rPr>
      <w:rFonts w:ascii="宋体" w:hAnsi="宋体" w:eastAsia="宋体" w:cs="宋体"/>
    </w:rPr>
  </w:style>
  <w:style w:type="paragraph" w:customStyle="1" w:styleId="25">
    <w:name w:val="列项——"/>
    <w:qFormat/>
    <w:uiPriority w:val="0"/>
    <w:pPr>
      <w:widowControl w:val="0"/>
      <w:numPr>
        <w:ilvl w:val="0"/>
        <w:numId w:val="1"/>
      </w:numPr>
      <w:ind w:left="200" w:leftChars="200" w:hanging="200" w:hanging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2022-06-21T03:33:00Z</dcterms:created>
  <dc:creator>李本振</dc:creator>
  <cp:lastModifiedBy>李本振</cp:lastModifiedBy>
  <dcterms:modified xsi:type="dcterms:W3CDTF">2023-07-10T10:32:41Z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C34E96D608A945FCA4D11C667B0FCE0A</vt:lpwstr>
  </property>
</Properties>
</file>