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ind w:firstLine="0" w:firstLineChars="0"/>
        <w:textAlignment w:val="auto"/>
      </w:pPr>
      <w:r>
        <w:rPr>
          <w:rFonts w:hint="eastAsia"/>
          <w:lang w:val="en-US" w:eastAsia="zh-CN"/>
        </w:rPr>
        <w:t>山东大学网络教育优秀作品推选展示活动</w:t>
      </w:r>
      <w:r>
        <w:t>工作方案</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textAlignment w:val="auto"/>
        <w:rPr>
          <w:sz w:val="32"/>
          <w:szCs w:val="32"/>
        </w:rPr>
      </w:pPr>
      <w:r>
        <w:rPr>
          <w:rFonts w:ascii="黑体" w:hAnsi="宋体" w:eastAsia="黑体" w:cs="黑体"/>
          <w:color w:val="000000"/>
          <w:sz w:val="32"/>
          <w:szCs w:val="32"/>
        </w:rPr>
        <w:t>一、目的意义</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以习近平新时代中国特色社会主义思想为指导，</w:t>
      </w:r>
      <w:r>
        <w:rPr>
          <w:rFonts w:hint="eastAsia" w:ascii="仿宋_GB2312" w:hAnsi="仿宋_GB2312" w:eastAsia="仿宋_GB2312" w:cs="仿宋_GB2312"/>
          <w:sz w:val="32"/>
          <w:szCs w:val="32"/>
        </w:rPr>
        <w:t>围绕“奋进新征程，建功新时代”主旋律，突出爱国爱党爱社会主义引领，</w:t>
      </w:r>
      <w:r>
        <w:rPr>
          <w:rFonts w:hint="eastAsia" w:ascii="仿宋_GB2312" w:hAnsi="仿宋_GB2312" w:eastAsia="仿宋_GB2312" w:cs="仿宋_GB2312"/>
          <w:color w:val="000000"/>
          <w:sz w:val="32"/>
          <w:szCs w:val="32"/>
        </w:rPr>
        <w:t>鼓励引导广大高校思政工作者创作推出一批反映新时代高校网络思政教育的先进经验、典型案例、优秀作品，充分发挥其示范引领和模范带动作用，推动思想政治工作联网上线，深化网络文明建设，以实际行动践行党的二十大精神。</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jc w:val="left"/>
        <w:textAlignment w:val="auto"/>
        <w:rPr>
          <w:rFonts w:ascii="黑体" w:hAnsi="宋体" w:eastAsia="黑体" w:cs="黑体"/>
          <w:color w:val="000000"/>
          <w:sz w:val="32"/>
          <w:szCs w:val="32"/>
        </w:rPr>
      </w:pPr>
      <w:r>
        <w:rPr>
          <w:rFonts w:hint="eastAsia" w:ascii="黑体" w:hAnsi="宋体" w:eastAsia="黑体" w:cs="黑体"/>
          <w:color w:val="000000"/>
          <w:sz w:val="32"/>
          <w:szCs w:val="32"/>
        </w:rPr>
        <w:t>二、活动主题</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textAlignment w:val="auto"/>
        <w:rPr>
          <w:sz w:val="32"/>
          <w:szCs w:val="32"/>
        </w:rPr>
      </w:pPr>
      <w:r>
        <w:rPr>
          <w:rFonts w:hint="eastAsia" w:ascii="仿宋_GB2312" w:eastAsia="仿宋_GB2312" w:cs="仿宋_GB2312"/>
          <w:sz w:val="32"/>
          <w:szCs w:val="32"/>
        </w:rPr>
        <w:t>争做校园好网民，汇聚网络正能量，挺膺担当建新功</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jc w:val="left"/>
        <w:textAlignment w:val="auto"/>
        <w:rPr>
          <w:rFonts w:hint="eastAsia" w:ascii="黑体" w:hAnsi="宋体" w:eastAsia="黑体" w:cs="黑体"/>
          <w:color w:val="000000"/>
          <w:sz w:val="32"/>
          <w:szCs w:val="32"/>
        </w:rPr>
      </w:pPr>
      <w:r>
        <w:rPr>
          <w:rFonts w:hint="eastAsia" w:ascii="黑体" w:hAnsi="宋体" w:eastAsia="黑体" w:cs="黑体"/>
          <w:color w:val="000000"/>
          <w:sz w:val="32"/>
          <w:szCs w:val="32"/>
        </w:rPr>
        <w:t>三、活动对象</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textAlignment w:val="auto"/>
        <w:rPr>
          <w:sz w:val="32"/>
          <w:szCs w:val="32"/>
        </w:rPr>
      </w:pPr>
      <w:r>
        <w:rPr>
          <w:rFonts w:hint="eastAsia" w:ascii="仿宋_GB2312" w:cs="仿宋_GB2312"/>
          <w:color w:val="000000"/>
          <w:sz w:val="32"/>
          <w:szCs w:val="32"/>
          <w:lang w:val="en-US" w:eastAsia="zh-CN"/>
        </w:rPr>
        <w:t>学生工作</w:t>
      </w:r>
      <w:r>
        <w:rPr>
          <w:rFonts w:hint="eastAsia" w:ascii="仿宋_GB2312" w:eastAsia="仿宋_GB2312" w:cs="仿宋_GB2312"/>
          <w:color w:val="000000"/>
          <w:sz w:val="32"/>
          <w:szCs w:val="32"/>
        </w:rPr>
        <w:t>者</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textAlignment w:val="auto"/>
        <w:rPr>
          <w:sz w:val="32"/>
          <w:szCs w:val="32"/>
        </w:rPr>
      </w:pPr>
      <w:r>
        <w:rPr>
          <w:rFonts w:hint="eastAsia" w:ascii="黑体" w:hAnsi="宋体" w:eastAsia="黑体" w:cs="黑体"/>
          <w:color w:val="000000"/>
          <w:sz w:val="32"/>
          <w:szCs w:val="32"/>
        </w:rPr>
        <w:t>四、作品征集</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jc w:val="left"/>
        <w:textAlignment w:val="auto"/>
        <w:rPr>
          <w:rFonts w:hint="eastAsia" w:ascii="仿宋_GB2312" w:eastAsia="仿宋_GB2312" w:cs="仿宋_GB2312"/>
          <w:sz w:val="32"/>
          <w:szCs w:val="32"/>
        </w:rPr>
      </w:pPr>
      <w:r>
        <w:rPr>
          <w:rFonts w:hint="eastAsia" w:ascii="仿宋_GB2312" w:eastAsia="仿宋_GB2312" w:cs="仿宋_GB2312"/>
          <w:sz w:val="32"/>
          <w:szCs w:val="32"/>
        </w:rPr>
        <w:t>活动征集优秀网络文章、优秀工作案例、优秀微课、优秀新媒体作品</w:t>
      </w:r>
      <w:r>
        <w:rPr>
          <w:rFonts w:hint="default" w:ascii="仿宋_GB2312" w:eastAsia="仿宋_GB2312" w:cs="仿宋_GB2312"/>
          <w:sz w:val="32"/>
          <w:szCs w:val="32"/>
        </w:rPr>
        <w:t>4</w:t>
      </w:r>
      <w:r>
        <w:rPr>
          <w:rFonts w:hint="eastAsia" w:ascii="仿宋_GB2312" w:eastAsia="仿宋_GB2312" w:cs="仿宋_GB2312"/>
          <w:sz w:val="32"/>
          <w:szCs w:val="32"/>
        </w:rPr>
        <w:t>类作品。作品征集时间为</w:t>
      </w:r>
      <w:r>
        <w:rPr>
          <w:rFonts w:hint="default" w:ascii="仿宋_GB2312" w:eastAsia="仿宋_GB2312" w:cs="仿宋_GB2312"/>
          <w:sz w:val="32"/>
          <w:szCs w:val="32"/>
        </w:rPr>
        <w:t>2023</w:t>
      </w:r>
      <w:r>
        <w:rPr>
          <w:rFonts w:hint="eastAsia" w:ascii="仿宋_GB2312" w:eastAsia="仿宋_GB2312" w:cs="仿宋_GB2312"/>
          <w:sz w:val="32"/>
          <w:szCs w:val="32"/>
        </w:rPr>
        <w:t>年</w:t>
      </w:r>
      <w:r>
        <w:rPr>
          <w:rFonts w:hint="default" w:ascii="仿宋_GB2312" w:eastAsia="仿宋_GB2312" w:cs="仿宋_GB2312"/>
          <w:sz w:val="32"/>
          <w:szCs w:val="32"/>
        </w:rPr>
        <w:t>9</w:t>
      </w:r>
      <w:r>
        <w:rPr>
          <w:rFonts w:hint="eastAsia" w:ascii="仿宋_GB2312" w:eastAsia="仿宋_GB2312" w:cs="仿宋_GB2312"/>
          <w:sz w:val="32"/>
          <w:szCs w:val="32"/>
        </w:rPr>
        <w:t>月</w:t>
      </w:r>
      <w:bookmarkStart w:id="0" w:name="_GoBack"/>
      <w:r>
        <w:rPr>
          <w:rFonts w:hint="eastAsia" w:ascii="仿宋_GB2312" w:cs="仿宋_GB2312"/>
          <w:sz w:val="32"/>
          <w:szCs w:val="32"/>
          <w:lang w:val="en-US" w:eastAsia="zh-CN"/>
        </w:rPr>
        <w:t>2</w:t>
      </w:r>
      <w:r>
        <w:rPr>
          <w:rFonts w:hint="default" w:ascii="仿宋_GB2312" w:eastAsia="仿宋_GB2312" w:cs="仿宋_GB2312"/>
          <w:sz w:val="32"/>
          <w:szCs w:val="32"/>
        </w:rPr>
        <w:t>5</w:t>
      </w:r>
      <w:bookmarkEnd w:id="0"/>
      <w:r>
        <w:rPr>
          <w:rFonts w:hint="eastAsia" w:ascii="仿宋_GB2312" w:eastAsia="仿宋_GB2312" w:cs="仿宋_GB2312"/>
          <w:sz w:val="32"/>
          <w:szCs w:val="32"/>
        </w:rPr>
        <w:t>日至</w:t>
      </w:r>
      <w:r>
        <w:rPr>
          <w:rFonts w:hint="default" w:ascii="仿宋_GB2312" w:eastAsia="仿宋_GB2312" w:cs="仿宋_GB2312"/>
          <w:sz w:val="32"/>
          <w:szCs w:val="32"/>
        </w:rPr>
        <w:t>202</w:t>
      </w:r>
      <w:r>
        <w:rPr>
          <w:rFonts w:hint="eastAsia" w:ascii="仿宋_GB2312" w:cs="仿宋_GB2312"/>
          <w:sz w:val="32"/>
          <w:szCs w:val="32"/>
          <w:lang w:val="en-US" w:eastAsia="zh-CN"/>
        </w:rPr>
        <w:t>3</w:t>
      </w:r>
      <w:r>
        <w:rPr>
          <w:rFonts w:hint="eastAsia" w:ascii="仿宋_GB2312" w:eastAsia="仿宋_GB2312" w:cs="仿宋_GB2312"/>
          <w:sz w:val="32"/>
          <w:szCs w:val="32"/>
        </w:rPr>
        <w:t>年</w:t>
      </w:r>
      <w:r>
        <w:rPr>
          <w:rFonts w:hint="eastAsia" w:ascii="仿宋_GB2312" w:cs="仿宋_GB2312"/>
          <w:sz w:val="32"/>
          <w:szCs w:val="32"/>
          <w:lang w:val="en-US" w:eastAsia="zh-CN"/>
        </w:rPr>
        <w:t>12</w:t>
      </w:r>
      <w:r>
        <w:rPr>
          <w:rFonts w:hint="eastAsia" w:ascii="仿宋_GB2312" w:eastAsia="仿宋_GB2312" w:cs="仿宋_GB2312"/>
          <w:sz w:val="32"/>
          <w:szCs w:val="32"/>
        </w:rPr>
        <w:t>月</w:t>
      </w:r>
      <w:r>
        <w:rPr>
          <w:rFonts w:hint="default" w:ascii="仿宋_GB2312" w:eastAsia="仿宋_GB2312" w:cs="仿宋_GB2312"/>
          <w:sz w:val="32"/>
          <w:szCs w:val="32"/>
        </w:rPr>
        <w:t>1</w:t>
      </w:r>
      <w:r>
        <w:rPr>
          <w:rFonts w:hint="eastAsia" w:ascii="仿宋_GB2312" w:eastAsia="仿宋_GB2312" w:cs="仿宋_GB2312"/>
          <w:sz w:val="32"/>
          <w:szCs w:val="32"/>
        </w:rPr>
        <w:t>日。</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textAlignment w:val="auto"/>
        <w:rPr>
          <w:sz w:val="32"/>
          <w:szCs w:val="32"/>
        </w:rPr>
      </w:pPr>
      <w:r>
        <w:rPr>
          <w:rStyle w:val="9"/>
          <w:rFonts w:ascii="楷体_GB2312" w:eastAsia="楷体_GB2312" w:cs="楷体_GB2312"/>
          <w:sz w:val="32"/>
          <w:szCs w:val="32"/>
        </w:rPr>
        <w:t>（一）优秀网络文章</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color w:val="000000"/>
          <w:sz w:val="32"/>
          <w:szCs w:val="32"/>
        </w:rPr>
        <w:t>须面向大学生创作，体裁不限，要体现价值引导、思想引领，内容观点正确、立场鲜明，育人功能凸显，紧扣高校思想政治工作重点难点问题，以理服人、以情感人，对广大学生有较强的吸引力、感染力和教育意义。鼓励网络首发，有较高的转发、评论和引用量。</w:t>
      </w:r>
      <w:r>
        <w:rPr>
          <w:rFonts w:hint="eastAsia" w:ascii="仿宋_GB2312" w:hAnsi="仿宋_GB2312" w:eastAsia="仿宋_GB2312" w:cs="仿宋_GB2312"/>
          <w:b w:val="0"/>
          <w:bCs w:val="0"/>
          <w:color w:val="000000"/>
          <w:sz w:val="32"/>
          <w:szCs w:val="32"/>
        </w:rPr>
        <w:t>每件作品作者限1人，且必须为文章第一作者。</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textAlignment w:val="auto"/>
        <w:rPr>
          <w:sz w:val="32"/>
          <w:szCs w:val="32"/>
        </w:rPr>
      </w:pPr>
      <w:r>
        <w:rPr>
          <w:rStyle w:val="9"/>
          <w:rFonts w:hint="eastAsia" w:ascii="楷体_GB2312" w:eastAsia="楷体_GB2312" w:cs="楷体_GB2312"/>
          <w:sz w:val="32"/>
          <w:szCs w:val="32"/>
        </w:rPr>
        <w:t>（二）优秀工作案例</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可围绕个人或团队（高校网络思政工作室、理论社团、心理咨询室、创新创业工作室等）在创新网络思想政治工作、提升师生网络素养、开展网络文化建设、推进网络文明教育、营造清朗网络空间工作过程中探索施行的好经验、好做法及维护运行的平台及栏目，或在开展学生工作中利用网络对遇到的热点、难点、重点、突发事件等进行释疑解惑和深度辅导过程中形成的好经验、好做法进行撰写，并在此基础上进行剖析、总结、提炼形成的新对策新经验。案例需已形成一定的典型性经验，有固定工作平台、可靠条件保障、长效工作机制和明显育人实效，可示范、可复制、可推广。</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案例内容应包括项目主题和思路、实施方法和过程、主要成效和经验、下一步加强和改进的计划等，要求文字简洁、重点突出，字数</w:t>
      </w:r>
      <w:r>
        <w:rPr>
          <w:rFonts w:hint="default" w:ascii="仿宋_GB2312" w:hAnsi="仿宋_GB2312" w:eastAsia="仿宋_GB2312" w:cs="仿宋_GB2312"/>
          <w:color w:val="000000"/>
          <w:sz w:val="32"/>
          <w:szCs w:val="32"/>
        </w:rPr>
        <w:t>3000</w:t>
      </w:r>
      <w:r>
        <w:rPr>
          <w:rFonts w:hint="eastAsia" w:ascii="仿宋_GB2312" w:hAnsi="仿宋_GB2312" w:eastAsia="仿宋_GB2312" w:cs="仿宋_GB2312"/>
          <w:color w:val="000000"/>
          <w:sz w:val="32"/>
          <w:szCs w:val="32"/>
        </w:rPr>
        <w:t>字以上，可配说明图片和视频。每件作品作者限</w:t>
      </w:r>
      <w:r>
        <w:rPr>
          <w:rFonts w:hint="default"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人以内。</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textAlignment w:val="auto"/>
        <w:rPr>
          <w:sz w:val="32"/>
          <w:szCs w:val="32"/>
        </w:rPr>
      </w:pPr>
      <w:r>
        <w:rPr>
          <w:rStyle w:val="9"/>
          <w:rFonts w:hint="eastAsia" w:ascii="楷体_GB2312" w:eastAsia="楷体_GB2312" w:cs="楷体_GB2312"/>
          <w:sz w:val="32"/>
          <w:szCs w:val="32"/>
        </w:rPr>
        <w:t>（三）优秀微课</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应围绕日常工作实践或学习教育中的常见、典型、有代表性的场景、要点或环节进行课堂设计，能够有效解决思政工作中的重点、难点、疑点问题。作品要贴近师生思想、学习、工作和生活实际，在思想融入、情景设计、表达演绎、拍摄制作等方面具有较高的水平。标题简洁，目标明确，有个性和特色，作品片长不超过</w:t>
      </w:r>
      <w:r>
        <w:rPr>
          <w:rFonts w:hint="default" w:ascii="仿宋_GB2312" w:hAnsi="仿宋_GB2312" w:eastAsia="仿宋_GB2312" w:cs="仿宋_GB2312"/>
          <w:color w:val="000000"/>
          <w:sz w:val="32"/>
          <w:szCs w:val="32"/>
        </w:rPr>
        <w:t>15</w:t>
      </w:r>
      <w:r>
        <w:rPr>
          <w:rFonts w:hint="eastAsia" w:ascii="仿宋_GB2312" w:hAnsi="仿宋_GB2312" w:eastAsia="仿宋_GB2312" w:cs="仿宋_GB2312"/>
          <w:color w:val="000000"/>
          <w:sz w:val="32"/>
          <w:szCs w:val="32"/>
        </w:rPr>
        <w:t>分钟；画质清晰，声音清楚，提倡标注字幕。每件作品作者限</w:t>
      </w:r>
      <w:r>
        <w:rPr>
          <w:rFonts w:hint="default"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人以内。</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textAlignment w:val="auto"/>
        <w:rPr>
          <w:sz w:val="32"/>
          <w:szCs w:val="32"/>
        </w:rPr>
      </w:pPr>
      <w:r>
        <w:rPr>
          <w:rStyle w:val="9"/>
          <w:rFonts w:hint="eastAsia" w:ascii="楷体_GB2312" w:eastAsia="楷体_GB2312" w:cs="楷体_GB2312"/>
          <w:sz w:val="32"/>
          <w:szCs w:val="32"/>
        </w:rPr>
        <w:t>（四）优秀新媒体作品</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运用新媒体手段进行的宣传报道、经验分享及成果展示等，在网络上有较大影响力，有较高的转发、评论和引用量，体现高校在思想政治工作中的创新方式方法。作品包括短视频、微电影、公益广告、校园</w:t>
      </w:r>
      <w:r>
        <w:rPr>
          <w:rFonts w:hint="default" w:ascii="仿宋_GB2312" w:hAnsi="仿宋_GB2312" w:eastAsia="仿宋_GB2312" w:cs="仿宋_GB2312"/>
          <w:color w:val="000000"/>
          <w:sz w:val="32"/>
          <w:szCs w:val="32"/>
        </w:rPr>
        <w:t>MV</w:t>
      </w:r>
      <w:r>
        <w:rPr>
          <w:rFonts w:hint="eastAsia" w:ascii="仿宋_GB2312" w:hAnsi="仿宋_GB2312" w:eastAsia="仿宋_GB2312" w:cs="仿宋_GB2312"/>
          <w:color w:val="000000"/>
          <w:sz w:val="32"/>
          <w:szCs w:val="32"/>
        </w:rPr>
        <w:t>、音频、</w:t>
      </w:r>
      <w:r>
        <w:rPr>
          <w:rFonts w:hint="default" w:ascii="仿宋_GB2312" w:hAnsi="仿宋_GB2312" w:eastAsia="仿宋_GB2312" w:cs="仿宋_GB2312"/>
          <w:color w:val="000000"/>
          <w:sz w:val="32"/>
          <w:szCs w:val="32"/>
        </w:rPr>
        <w:t>H5</w:t>
      </w:r>
      <w:r>
        <w:rPr>
          <w:rFonts w:hint="eastAsia" w:ascii="仿宋_GB2312" w:hAnsi="仿宋_GB2312" w:eastAsia="仿宋_GB2312" w:cs="仿宋_GB2312"/>
          <w:color w:val="000000"/>
          <w:sz w:val="32"/>
          <w:szCs w:val="32"/>
        </w:rPr>
        <w:t>作品、图解、漫画、长图及动图等。</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视频类作品，片长不超过</w:t>
      </w:r>
      <w:r>
        <w:rPr>
          <w:rFonts w:hint="default" w:ascii="仿宋_GB2312" w:hAnsi="仿宋_GB2312" w:eastAsia="仿宋_GB2312" w:cs="仿宋_GB2312"/>
          <w:color w:val="000000"/>
          <w:sz w:val="32"/>
          <w:szCs w:val="32"/>
        </w:rPr>
        <w:t>10</w:t>
      </w:r>
      <w:r>
        <w:rPr>
          <w:rFonts w:hint="eastAsia" w:ascii="仿宋_GB2312" w:hAnsi="仿宋_GB2312" w:eastAsia="仿宋_GB2312" w:cs="仿宋_GB2312"/>
          <w:color w:val="000000"/>
          <w:sz w:val="32"/>
          <w:szCs w:val="32"/>
        </w:rPr>
        <w:t>分钟，文件格式为</w:t>
      </w:r>
      <w:r>
        <w:rPr>
          <w:rFonts w:hint="default" w:ascii="仿宋_GB2312" w:hAnsi="仿宋_GB2312" w:eastAsia="仿宋_GB2312" w:cs="仿宋_GB2312"/>
          <w:color w:val="000000"/>
          <w:sz w:val="32"/>
          <w:szCs w:val="32"/>
        </w:rPr>
        <w:t>MP4</w:t>
      </w:r>
      <w:r>
        <w:rPr>
          <w:rFonts w:hint="eastAsia" w:ascii="仿宋_GB2312" w:hAnsi="仿宋_GB2312" w:eastAsia="仿宋_GB2312" w:cs="仿宋_GB2312"/>
          <w:color w:val="000000"/>
          <w:sz w:val="32"/>
          <w:szCs w:val="32"/>
        </w:rPr>
        <w:t>，画质清晰，声音清楚，提倡标注字幕。图解类、长图类、漫画类作品，提交图片文件，</w:t>
      </w:r>
      <w:r>
        <w:rPr>
          <w:rFonts w:hint="default" w:ascii="仿宋_GB2312" w:hAnsi="仿宋_GB2312" w:eastAsia="仿宋_GB2312" w:cs="仿宋_GB2312"/>
          <w:color w:val="000000"/>
          <w:sz w:val="32"/>
          <w:szCs w:val="32"/>
        </w:rPr>
        <w:t>JPEG</w:t>
      </w:r>
      <w:r>
        <w:rPr>
          <w:rFonts w:hint="eastAsia" w:ascii="仿宋_GB2312" w:hAnsi="仿宋_GB2312" w:eastAsia="仿宋_GB2312" w:cs="仿宋_GB2312"/>
          <w:color w:val="000000"/>
          <w:sz w:val="32"/>
          <w:szCs w:val="32"/>
        </w:rPr>
        <w:t>格式。动图类作品，提交图片文件，</w:t>
      </w:r>
      <w:r>
        <w:rPr>
          <w:rFonts w:hint="default" w:ascii="仿宋_GB2312" w:hAnsi="仿宋_GB2312" w:eastAsia="仿宋_GB2312" w:cs="仿宋_GB2312"/>
          <w:color w:val="000000"/>
          <w:sz w:val="32"/>
          <w:szCs w:val="32"/>
        </w:rPr>
        <w:t>GIF</w:t>
      </w:r>
      <w:r>
        <w:rPr>
          <w:rFonts w:hint="eastAsia" w:ascii="仿宋_GB2312" w:hAnsi="仿宋_GB2312" w:eastAsia="仿宋_GB2312" w:cs="仿宋_GB2312"/>
          <w:color w:val="000000"/>
          <w:sz w:val="32"/>
          <w:szCs w:val="32"/>
        </w:rPr>
        <w:t>格式。</w:t>
      </w:r>
      <w:r>
        <w:rPr>
          <w:rFonts w:hint="default" w:ascii="仿宋_GB2312" w:hAnsi="仿宋_GB2312" w:eastAsia="仿宋_GB2312" w:cs="仿宋_GB2312"/>
          <w:color w:val="000000"/>
          <w:sz w:val="32"/>
          <w:szCs w:val="32"/>
        </w:rPr>
        <w:t>H5</w:t>
      </w:r>
      <w:r>
        <w:rPr>
          <w:rFonts w:hint="eastAsia" w:ascii="仿宋_GB2312" w:hAnsi="仿宋_GB2312" w:eastAsia="仿宋_GB2312" w:cs="仿宋_GB2312"/>
          <w:color w:val="000000"/>
          <w:sz w:val="32"/>
          <w:szCs w:val="32"/>
        </w:rPr>
        <w:t>页面类作品，提交网络链接。音频类作品，时长不超过</w:t>
      </w:r>
      <w:r>
        <w:rPr>
          <w:rFonts w:hint="default"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分钟，格式统一为</w:t>
      </w:r>
      <w:r>
        <w:rPr>
          <w:rFonts w:hint="default" w:ascii="仿宋_GB2312" w:hAnsi="仿宋_GB2312" w:eastAsia="仿宋_GB2312" w:cs="仿宋_GB2312"/>
          <w:color w:val="000000"/>
          <w:sz w:val="32"/>
          <w:szCs w:val="32"/>
        </w:rPr>
        <w:t>MP3</w:t>
      </w:r>
      <w:r>
        <w:rPr>
          <w:rFonts w:hint="eastAsia" w:ascii="仿宋_GB2312" w:hAnsi="仿宋_GB2312" w:eastAsia="仿宋_GB2312" w:cs="仿宋_GB2312"/>
          <w:color w:val="000000"/>
          <w:sz w:val="32"/>
          <w:szCs w:val="32"/>
        </w:rPr>
        <w:t>，以</w:t>
      </w:r>
      <w:r>
        <w:rPr>
          <w:rFonts w:hint="default" w:ascii="仿宋_GB2312" w:hAnsi="仿宋_GB2312" w:eastAsia="仿宋_GB2312" w:cs="仿宋_GB2312"/>
          <w:color w:val="000000"/>
          <w:sz w:val="32"/>
          <w:szCs w:val="32"/>
        </w:rPr>
        <w:t>Word</w:t>
      </w:r>
      <w:r>
        <w:rPr>
          <w:rFonts w:hint="eastAsia" w:ascii="仿宋_GB2312" w:hAnsi="仿宋_GB2312" w:eastAsia="仿宋_GB2312" w:cs="仿宋_GB2312"/>
          <w:color w:val="000000"/>
          <w:sz w:val="32"/>
          <w:szCs w:val="32"/>
        </w:rPr>
        <w:t>形式提供音频文字，保证音质清晰流畅，有听觉美感，可根据需要配音效或进行其他后期制作。每件作品作者限</w:t>
      </w:r>
      <w:r>
        <w:rPr>
          <w:rFonts w:hint="default"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rPr>
        <w:t>人以内。</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textAlignment w:val="auto"/>
        <w:rPr>
          <w:sz w:val="32"/>
          <w:szCs w:val="32"/>
        </w:rPr>
      </w:pPr>
      <w:r>
        <w:rPr>
          <w:rFonts w:hint="eastAsia" w:ascii="黑体" w:hAnsi="宋体" w:eastAsia="黑体" w:cs="黑体"/>
          <w:sz w:val="32"/>
          <w:szCs w:val="32"/>
        </w:rPr>
        <w:t>五、参与方式</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textAlignment w:val="auto"/>
        <w:rPr>
          <w:rFonts w:hint="eastAsia" w:ascii="仿宋_GB2312" w:eastAsia="仿宋_GB2312" w:cs="仿宋_GB2312"/>
          <w:color w:val="000000"/>
          <w:sz w:val="32"/>
          <w:szCs w:val="32"/>
        </w:rPr>
      </w:pPr>
      <w:r>
        <w:rPr>
          <w:rFonts w:hint="eastAsia" w:ascii="仿宋_GB2312" w:eastAsia="仿宋_GB2312" w:cs="仿宋_GB2312"/>
          <w:color w:val="000000"/>
          <w:sz w:val="32"/>
          <w:szCs w:val="32"/>
        </w:rPr>
        <w:t>作者可提供必要的佐证作品影响力的辅助材料（包括转发及引用率、领导批示、成果鉴定、专家推荐信等）。材料严禁作假，一经发现取消参与资格，并通报相关</w:t>
      </w:r>
      <w:r>
        <w:rPr>
          <w:rFonts w:hint="eastAsia" w:ascii="仿宋_GB2312" w:cs="仿宋_GB2312"/>
          <w:color w:val="000000"/>
          <w:sz w:val="32"/>
          <w:szCs w:val="32"/>
          <w:lang w:val="en-US" w:eastAsia="zh-CN"/>
        </w:rPr>
        <w:t>单位</w:t>
      </w:r>
      <w:r>
        <w:rPr>
          <w:rFonts w:hint="eastAsia" w:ascii="仿宋_GB2312" w:eastAsia="仿宋_GB2312" w:cs="仿宋_GB2312"/>
          <w:color w:val="000000"/>
          <w:sz w:val="32"/>
          <w:szCs w:val="32"/>
        </w:rPr>
        <w:t>党委。同一作品只能参加学生网络文化节、网络教育优秀作品推选展示活动其中一项，以著作权归属确认其作品的教师（个人</w:t>
      </w:r>
      <w:r>
        <w:rPr>
          <w:rFonts w:hint="default" w:ascii="Times New Roman" w:hAnsi="Times New Roman" w:cs="Times New Roman"/>
          <w:color w:val="000000"/>
          <w:sz w:val="32"/>
          <w:szCs w:val="32"/>
        </w:rPr>
        <w:t>/</w:t>
      </w:r>
      <w:r>
        <w:rPr>
          <w:rFonts w:hint="eastAsia" w:ascii="仿宋_GB2312" w:eastAsia="仿宋_GB2312" w:cs="仿宋_GB2312"/>
          <w:color w:val="000000"/>
          <w:sz w:val="32"/>
          <w:szCs w:val="32"/>
        </w:rPr>
        <w:t>团体）或学生（个人</w:t>
      </w:r>
      <w:r>
        <w:rPr>
          <w:rFonts w:hint="default" w:ascii="Times New Roman" w:hAnsi="Times New Roman" w:cs="Times New Roman"/>
          <w:color w:val="000000"/>
          <w:sz w:val="32"/>
          <w:szCs w:val="32"/>
        </w:rPr>
        <w:t>/</w:t>
      </w:r>
      <w:r>
        <w:rPr>
          <w:rFonts w:hint="eastAsia" w:ascii="仿宋_GB2312" w:eastAsia="仿宋_GB2312" w:cs="仿宋_GB2312"/>
          <w:color w:val="000000"/>
          <w:sz w:val="32"/>
          <w:szCs w:val="32"/>
        </w:rPr>
        <w:t>团体）属性，重复提交的作品或著作权认定不清的作品，将取消参与资格。</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00"/>
        <w:textAlignment w:val="auto"/>
        <w:rPr>
          <w:sz w:val="32"/>
          <w:szCs w:val="32"/>
        </w:rPr>
      </w:pPr>
      <w:r>
        <w:rPr>
          <w:rFonts w:hint="eastAsia" w:ascii="仿宋_GB2312" w:eastAsia="仿宋_GB2312" w:cs="仿宋_GB2312"/>
          <w:color w:val="000000"/>
          <w:sz w:val="32"/>
          <w:szCs w:val="32"/>
        </w:rPr>
        <w:t>所有作品</w:t>
      </w:r>
      <w:r>
        <w:rPr>
          <w:rFonts w:hint="eastAsia" w:ascii="仿宋_GB2312" w:eastAsia="仿宋_GB2312" w:cs="仿宋_GB2312"/>
          <w:sz w:val="32"/>
          <w:szCs w:val="32"/>
        </w:rPr>
        <w:t>提交后，作品名称与作者姓名均不予以修改。</w:t>
      </w:r>
      <w:r>
        <w:rPr>
          <w:rStyle w:val="9"/>
          <w:rFonts w:hint="eastAsia" w:ascii="仿宋_GB2312" w:eastAsia="仿宋_GB2312" w:cs="仿宋_GB2312"/>
          <w:color w:val="000000"/>
          <w:sz w:val="32"/>
          <w:szCs w:val="32"/>
        </w:rPr>
        <w:t>作品提交和</w:t>
      </w:r>
      <w:r>
        <w:rPr>
          <w:rStyle w:val="9"/>
          <w:rFonts w:hint="eastAsia" w:ascii="仿宋_GB2312" w:eastAsia="仿宋_GB2312" w:cs="仿宋_GB2312"/>
          <w:sz w:val="32"/>
          <w:szCs w:val="32"/>
        </w:rPr>
        <w:t>材料报送截止时间</w:t>
      </w:r>
      <w:r>
        <w:rPr>
          <w:rStyle w:val="9"/>
          <w:rFonts w:hint="default" w:ascii="Times New Roman" w:hAnsi="Times New Roman" w:cs="Times New Roman"/>
          <w:sz w:val="32"/>
          <w:szCs w:val="32"/>
        </w:rPr>
        <w:t>202</w:t>
      </w:r>
      <w:r>
        <w:rPr>
          <w:rStyle w:val="9"/>
          <w:rFonts w:hint="eastAsia" w:ascii="Times New Roman" w:hAnsi="Times New Roman" w:cs="Times New Roman"/>
          <w:sz w:val="32"/>
          <w:szCs w:val="32"/>
          <w:lang w:val="en-US" w:eastAsia="zh-CN"/>
        </w:rPr>
        <w:t>3</w:t>
      </w:r>
      <w:r>
        <w:rPr>
          <w:rStyle w:val="9"/>
          <w:rFonts w:hint="eastAsia" w:ascii="仿宋_GB2312" w:eastAsia="仿宋_GB2312" w:cs="仿宋_GB2312"/>
          <w:sz w:val="32"/>
          <w:szCs w:val="32"/>
        </w:rPr>
        <w:t>年</w:t>
      </w:r>
      <w:r>
        <w:rPr>
          <w:rStyle w:val="9"/>
          <w:rFonts w:hint="default" w:ascii="Times New Roman" w:hAnsi="Times New Roman" w:cs="Times New Roman"/>
          <w:sz w:val="32"/>
          <w:szCs w:val="32"/>
        </w:rPr>
        <w:t>1</w:t>
      </w:r>
      <w:r>
        <w:rPr>
          <w:rStyle w:val="9"/>
          <w:rFonts w:hint="eastAsia" w:ascii="Times New Roman" w:hAnsi="Times New Roman" w:cs="Times New Roman"/>
          <w:sz w:val="32"/>
          <w:szCs w:val="32"/>
          <w:lang w:val="en-US" w:eastAsia="zh-CN"/>
        </w:rPr>
        <w:t>2</w:t>
      </w:r>
      <w:r>
        <w:rPr>
          <w:rStyle w:val="9"/>
          <w:rFonts w:hint="eastAsia" w:ascii="仿宋_GB2312" w:eastAsia="仿宋_GB2312" w:cs="仿宋_GB2312"/>
          <w:sz w:val="32"/>
          <w:szCs w:val="32"/>
        </w:rPr>
        <w:t>月</w:t>
      </w:r>
      <w:r>
        <w:rPr>
          <w:rStyle w:val="9"/>
          <w:rFonts w:hint="default" w:ascii="Times New Roman" w:hAnsi="Times New Roman" w:cs="Times New Roman"/>
          <w:sz w:val="32"/>
          <w:szCs w:val="32"/>
        </w:rPr>
        <w:t>1</w:t>
      </w:r>
      <w:r>
        <w:rPr>
          <w:rStyle w:val="9"/>
          <w:rFonts w:hint="eastAsia" w:ascii="仿宋_GB2312" w:eastAsia="仿宋_GB2312" w:cs="仿宋_GB2312"/>
          <w:sz w:val="32"/>
          <w:szCs w:val="32"/>
        </w:rPr>
        <w:t>日，</w:t>
      </w:r>
      <w:r>
        <w:rPr>
          <w:rFonts w:hint="eastAsia" w:ascii="仿宋_GB2312" w:eastAsia="仿宋_GB2312" w:cs="仿宋_GB2312"/>
          <w:color w:val="000000"/>
          <w:sz w:val="32"/>
          <w:szCs w:val="32"/>
        </w:rPr>
        <w:t>以邮件接收时间为准。</w:t>
      </w:r>
    </w:p>
    <w:p>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5"/>
        <w:jc w:val="left"/>
        <w:textAlignment w:val="auto"/>
        <w:rPr>
          <w:rFonts w:hint="eastAsia" w:ascii="黑体" w:hAnsi="宋体" w:eastAsia="黑体" w:cs="黑体"/>
          <w:sz w:val="32"/>
          <w:szCs w:val="32"/>
        </w:rPr>
      </w:pPr>
      <w:r>
        <w:rPr>
          <w:rFonts w:hint="eastAsia" w:ascii="黑体" w:hAnsi="宋体" w:eastAsia="黑体" w:cs="黑体"/>
          <w:sz w:val="32"/>
          <w:szCs w:val="32"/>
          <w:lang w:val="en-US" w:eastAsia="zh-CN"/>
        </w:rPr>
        <w:t>六、</w:t>
      </w:r>
      <w:r>
        <w:rPr>
          <w:rFonts w:hint="eastAsia" w:ascii="黑体" w:hAnsi="宋体" w:eastAsia="黑体" w:cs="黑体"/>
          <w:sz w:val="32"/>
          <w:szCs w:val="32"/>
        </w:rPr>
        <w:t>作品创作选题指南（供创作参考，不限于以</w:t>
      </w:r>
      <w:r>
        <w:rPr>
          <w:rFonts w:hint="eastAsia" w:ascii="黑体" w:hAnsi="宋体" w:eastAsia="黑体" w:cs="黑体"/>
          <w:sz w:val="32"/>
          <w:szCs w:val="32"/>
          <w:lang w:val="en-US" w:eastAsia="zh-CN"/>
        </w:rPr>
        <w:t>下</w:t>
      </w:r>
      <w:r>
        <w:rPr>
          <w:rFonts w:hint="eastAsia" w:ascii="黑体" w:hAnsi="宋体" w:eastAsia="黑体" w:cs="黑体"/>
          <w:sz w:val="32"/>
          <w:szCs w:val="32"/>
        </w:rPr>
        <w:t>主题）</w:t>
      </w:r>
    </w:p>
    <w:p>
      <w:pPr>
        <w:pStyle w:val="10"/>
        <w:wordWrap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学习宣传习近平新时代中国特色社会主义思想，深刻领悟“两个确立”的决定性意义，增强“四个意识”、坚定“四个自信”、做到“两个维护”，对“十个明确”“十四个坚持”“十三个方面成就”蕴含的重大思想观点进行宣传介绍，坚持学思用贯通、知信行统一，做到以学铸魂、以学增智、以学正风、以学促干。</w:t>
      </w:r>
    </w:p>
    <w:p>
      <w:pPr>
        <w:pStyle w:val="10"/>
        <w:wordWrap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学习宣传党的二十大精神，全面准确深入宣传党的二十大报告确立的重大理论观点和重大战略思想，围绕“七个讲清楚”，聚焦贯彻新发展理念、构建新发展格局、推动高质量发展等内容，引导青年学生为全面建设社会主义现代化国家、全面推进中华民族伟大复兴而团结奋斗。</w:t>
      </w:r>
    </w:p>
    <w:p>
      <w:pPr>
        <w:pStyle w:val="10"/>
        <w:wordWrap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kern w:val="0"/>
          <w:sz w:val="32"/>
          <w:szCs w:val="32"/>
        </w:rPr>
        <w:t>学习宣传习近平总书记重要讲话精神，结合习近平总书记工作过的重要地方、党的十八大以来习近平总书记国内考察的重要足迹，在寻访实践中重温习近平总书记有关重要论述的精神要义。</w:t>
      </w:r>
    </w:p>
    <w:p>
      <w:pPr>
        <w:pStyle w:val="10"/>
        <w:wordWrap w:val="0"/>
        <w:spacing w:line="600" w:lineRule="exact"/>
        <w:ind w:firstLine="640" w:firstLineChars="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学习宣传习近平总书记关于教育的重要论述，结合习近平总书记在学校考察、给师生和教育界致信回信、出席全国高校思想政治工作会议、全国教育大会、学校思想政治理论课教师座谈会、中央人才工作会议、两院院士大会等重要会议时作出的重要指示，围绕实施科教兴国战略、人才强国战略、创新驱动发展战略，引导广大青年学生砥砺成才、担当使命。</w:t>
      </w:r>
    </w:p>
    <w:p>
      <w:pPr>
        <w:pStyle w:val="10"/>
        <w:wordWrap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5.学习宣传习近平总书记关于爱国主义教育的重要论述，表达青年学生的爱国之情、强国之志、报国之行。</w:t>
      </w:r>
    </w:p>
    <w:p>
      <w:pPr>
        <w:pStyle w:val="10"/>
        <w:wordWrap w:val="0"/>
        <w:adjustRightInd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6.学习宣传习近平总书记关于网络强国的重要思想，引导青年大学生守护网络安全，投身信息化、数字化、智能化建设。</w:t>
      </w:r>
    </w:p>
    <w:p>
      <w:pPr>
        <w:pStyle w:val="10"/>
        <w:wordWrap w:val="0"/>
        <w:adjustRightInd w:val="0"/>
        <w:spacing w:line="600" w:lineRule="exact"/>
        <w:ind w:firstLine="640"/>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7.学习宣传习近平法治思想，弘扬社会主义法治理念、法治精神，培育社会主义法治文化</w:t>
      </w:r>
      <w:r>
        <w:rPr>
          <w:rFonts w:hint="eastAsia" w:ascii="仿宋_GB2312" w:hAnsi="仿宋_GB2312" w:eastAsia="仿宋_GB2312" w:cs="仿宋_GB2312"/>
          <w:kern w:val="0"/>
          <w:sz w:val="32"/>
          <w:szCs w:val="32"/>
        </w:rPr>
        <w:t>，不断提升法治意识和法治素养，自觉尊法学法守法用法。</w:t>
      </w:r>
    </w:p>
    <w:p>
      <w:pPr>
        <w:spacing w:line="6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color w:val="000000"/>
          <w:kern w:val="0"/>
          <w:sz w:val="32"/>
          <w:szCs w:val="32"/>
        </w:rPr>
        <w:t>8.深入开展以党史为重点的“四史”宣传教育，</w:t>
      </w:r>
      <w:r>
        <w:rPr>
          <w:rFonts w:hint="eastAsia" w:ascii="仿宋_GB2312" w:hAnsi="仿宋_GB2312" w:eastAsia="仿宋_GB2312" w:cs="仿宋_GB2312"/>
          <w:sz w:val="32"/>
        </w:rPr>
        <w:t>学习宣传中国共产党人的精神谱系，弘扬伟大建党精神，用好红色资源，发扬红色传统，传承红色基因，赓续共产党人精神血脉。</w:t>
      </w:r>
    </w:p>
    <w:p>
      <w:pPr>
        <w:pStyle w:val="10"/>
        <w:wordWrap w:val="0"/>
        <w:adjustRightInd w:val="0"/>
        <w:spacing w:line="600" w:lineRule="exact"/>
        <w:ind w:firstLine="640"/>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9.学习弘扬中华优秀传统文化、革命文化、社会主义先进文化，践行社会主义核心价值观。</w:t>
      </w:r>
    </w:p>
    <w:p>
      <w:pPr>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10.开展国家安全教育，</w:t>
      </w:r>
      <w:r>
        <w:rPr>
          <w:rFonts w:hint="eastAsia" w:ascii="仿宋_GB2312" w:hAnsi="仿宋_GB2312" w:eastAsia="仿宋_GB2312" w:cs="仿宋_GB2312"/>
          <w:sz w:val="32"/>
          <w:szCs w:val="32"/>
        </w:rPr>
        <w:t>树牢总体国家安全观，</w:t>
      </w:r>
      <w:r>
        <w:rPr>
          <w:rFonts w:hint="eastAsia" w:ascii="仿宋_GB2312" w:hAnsi="仿宋_GB2312" w:eastAsia="仿宋_GB2312" w:cs="仿宋_GB2312"/>
          <w:sz w:val="32"/>
          <w:lang w:eastAsia="zh-Hans"/>
        </w:rPr>
        <w:t>从政治安全、</w:t>
      </w:r>
      <w:r>
        <w:rPr>
          <w:rFonts w:hint="eastAsia" w:ascii="仿宋_GB2312" w:hAnsi="仿宋_GB2312" w:eastAsia="仿宋_GB2312" w:cs="仿宋_GB2312"/>
          <w:sz w:val="32"/>
        </w:rPr>
        <w:t>社会安全、</w:t>
      </w:r>
      <w:r>
        <w:rPr>
          <w:rFonts w:hint="eastAsia" w:ascii="仿宋_GB2312" w:hAnsi="仿宋_GB2312" w:eastAsia="仿宋_GB2312" w:cs="仿宋_GB2312"/>
          <w:sz w:val="32"/>
          <w:lang w:eastAsia="zh-Hans"/>
        </w:rPr>
        <w:t>网络安全、科技安全、生态安全、生物安全</w:t>
      </w:r>
      <w:r>
        <w:rPr>
          <w:rFonts w:hint="eastAsia" w:ascii="仿宋_GB2312" w:hAnsi="仿宋_GB2312" w:eastAsia="仿宋_GB2312" w:cs="仿宋_GB2312"/>
          <w:sz w:val="32"/>
        </w:rPr>
        <w:t>及反间防谍、反恐防恐、反邪教</w:t>
      </w:r>
      <w:r>
        <w:rPr>
          <w:rFonts w:hint="eastAsia" w:ascii="仿宋_GB2312" w:hAnsi="仿宋_GB2312" w:eastAsia="仿宋_GB2312" w:cs="仿宋_GB2312"/>
          <w:sz w:val="32"/>
          <w:lang w:eastAsia="zh-Hans"/>
        </w:rPr>
        <w:t>等方面阐释</w:t>
      </w:r>
      <w:r>
        <w:rPr>
          <w:rFonts w:hint="eastAsia" w:ascii="仿宋_GB2312" w:hAnsi="仿宋_GB2312" w:eastAsia="仿宋_GB2312" w:cs="仿宋_GB2312"/>
          <w:color w:val="000000"/>
          <w:kern w:val="0"/>
          <w:sz w:val="32"/>
          <w:szCs w:val="32"/>
        </w:rPr>
        <w:t>国家安全教育的重要性，自觉维护国家安全。</w:t>
      </w:r>
    </w:p>
    <w:p>
      <w:pPr>
        <w:overflowPunct w:val="0"/>
        <w:adjustRightInd w:val="0"/>
        <w:spacing w:line="60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color w:val="000000"/>
          <w:kern w:val="0"/>
          <w:sz w:val="32"/>
          <w:szCs w:val="32"/>
        </w:rPr>
        <w:t>11.开展</w:t>
      </w:r>
      <w:r>
        <w:rPr>
          <w:rFonts w:hint="eastAsia" w:ascii="仿宋_GB2312" w:hAnsi="仿宋_GB2312" w:eastAsia="仿宋_GB2312" w:cs="仿宋_GB2312"/>
          <w:sz w:val="32"/>
          <w:szCs w:val="21"/>
        </w:rPr>
        <w:t>网络文明教育，</w:t>
      </w:r>
      <w:r>
        <w:rPr>
          <w:rFonts w:hint="eastAsia" w:ascii="仿宋_GB2312" w:hAnsi="仿宋_GB2312" w:eastAsia="仿宋_GB2312" w:cs="仿宋_GB2312"/>
          <w:color w:val="000000"/>
          <w:kern w:val="0"/>
          <w:sz w:val="32"/>
          <w:szCs w:val="32"/>
        </w:rPr>
        <w:t>倡导文明理性健康上网，提升网络素养，增强辨别是非的能力，</w:t>
      </w:r>
      <w:r>
        <w:rPr>
          <w:rFonts w:hint="eastAsia" w:ascii="仿宋_GB2312" w:hAnsi="仿宋_GB2312" w:eastAsia="仿宋_GB2312" w:cs="仿宋_GB2312"/>
          <w:kern w:val="0"/>
          <w:sz w:val="32"/>
          <w:szCs w:val="32"/>
        </w:rPr>
        <w:t>积极参与网络文明建设</w:t>
      </w:r>
      <w:r>
        <w:rPr>
          <w:rFonts w:hint="eastAsia" w:ascii="仿宋_GB2312" w:hAnsi="仿宋_GB2312" w:eastAsia="仿宋_GB2312" w:cs="仿宋_GB2312"/>
          <w:color w:val="000000"/>
          <w:kern w:val="0"/>
          <w:sz w:val="32"/>
          <w:szCs w:val="32"/>
        </w:rPr>
        <w:t>，争做校园好网民，营造清朗网络空间，</w:t>
      </w:r>
      <w:r>
        <w:rPr>
          <w:rFonts w:hint="eastAsia" w:ascii="仿宋_GB2312" w:hAnsi="仿宋_GB2312" w:eastAsia="仿宋_GB2312" w:cs="仿宋_GB2312"/>
          <w:sz w:val="32"/>
          <w:szCs w:val="21"/>
        </w:rPr>
        <w:t>共建美好网上精神家园。</w:t>
      </w:r>
    </w:p>
    <w:p>
      <w:pPr>
        <w:pStyle w:val="10"/>
        <w:wordWrap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12.落实立德树人根本任务，深入实施“时代新人铸魂工程”，</w:t>
      </w:r>
      <w:r>
        <w:rPr>
          <w:rFonts w:hint="eastAsia" w:ascii="仿宋_GB2312" w:hAnsi="仿宋_GB2312" w:eastAsia="仿宋_GB2312" w:cs="仿宋_GB2312"/>
          <w:color w:val="000000"/>
          <w:sz w:val="32"/>
          <w:szCs w:val="32"/>
        </w:rPr>
        <w:t>抓好后继有人根本大计，</w:t>
      </w:r>
      <w:r>
        <w:rPr>
          <w:rFonts w:hint="eastAsia" w:ascii="仿宋_GB2312" w:hAnsi="仿宋_GB2312" w:eastAsia="仿宋_GB2312" w:cs="仿宋_GB2312"/>
          <w:color w:val="000000"/>
          <w:kern w:val="0"/>
          <w:sz w:val="32"/>
          <w:szCs w:val="32"/>
        </w:rPr>
        <w:t>培养担当民族复兴大任的时代新人，提升高校思想政治教育时代性、针对性、科学性的思考和实践。</w:t>
      </w:r>
    </w:p>
    <w:p>
      <w:pPr>
        <w:pStyle w:val="10"/>
        <w:wordWrap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13.推动“三全育人”综合改革，构建高校思想政治工作体系的思考与实践。</w:t>
      </w:r>
    </w:p>
    <w:p>
      <w:pPr>
        <w:pStyle w:val="10"/>
        <w:wordWrap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14.促进教师做学生为学、为事、为人的示范，成为大先生的思考与实践。</w:t>
      </w:r>
    </w:p>
    <w:p>
      <w:pPr>
        <w:pStyle w:val="10"/>
        <w:wordWrap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15.推进思政工作传统优势同信息技术融合，加强网络思政教育，提升网络舆论引导能力，运用互联网技术手段开展思政工作的对策分析。</w:t>
      </w:r>
    </w:p>
    <w:p>
      <w:pPr>
        <w:pStyle w:val="10"/>
        <w:wordWrap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16.开展校园文化建设，实施校园文化提能增效，强化以文化人以文育人，培育优良校风学风。</w:t>
      </w:r>
    </w:p>
    <w:p>
      <w:pPr>
        <w:pStyle w:val="10"/>
        <w:wordWrap w:val="0"/>
        <w:spacing w:line="600" w:lineRule="exact"/>
        <w:ind w:firstLine="64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17.开展大学生心理健康教育，普及心理健康知识，培育理性平和、积极向上的健康心态。</w:t>
      </w:r>
    </w:p>
    <w:p>
      <w:pPr>
        <w:pStyle w:val="10"/>
        <w:wordWrap w:val="0"/>
        <w:spacing w:line="600" w:lineRule="exact"/>
        <w:ind w:firstLine="64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18.开展诚信教育，围绕学习学术、助学贷款、就业求职等方面的问题，提升新时代大学生诚信意识，营造守信良好氛围。</w:t>
      </w:r>
    </w:p>
    <w:p>
      <w:pPr>
        <w:pStyle w:val="10"/>
        <w:wordWrap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19.铸牢中华民族共同体意识，增强听党话、感党恩、跟党走的政治自觉、思想自觉和行动自觉，厚植对中华民族的认同感，构建中华民族共有精神家园。</w:t>
      </w:r>
    </w:p>
    <w:p>
      <w:pPr>
        <w:pStyle w:val="10"/>
        <w:wordWrap w:val="0"/>
        <w:spacing w:line="600" w:lineRule="exact"/>
        <w:ind w:firstLine="64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20.共建和谐、平安、美丽校园，实施“一站式”学生社区综合治理创新，提升广大师生安全感、获得感、幸福感。</w:t>
      </w:r>
    </w:p>
    <w:p>
      <w:pPr>
        <w:pStyle w:val="10"/>
        <w:wordWrap w:val="0"/>
        <w:spacing w:line="600" w:lineRule="exact"/>
        <w:ind w:firstLine="64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21.防范电信网络诈骗，提高反诈防骗能力，提升师生自我防护和遵纪守法意识。</w:t>
      </w:r>
    </w:p>
    <w:p>
      <w:pPr>
        <w:pStyle w:val="10"/>
        <w:wordWrap w:val="0"/>
        <w:spacing w:line="60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22.积极开展绿色环保、</w:t>
      </w:r>
      <w:r>
        <w:rPr>
          <w:rFonts w:hint="eastAsia" w:ascii="仿宋_GB2312" w:hAnsi="仿宋_GB2312" w:eastAsia="仿宋_GB2312" w:cs="仿宋_GB2312"/>
          <w:color w:val="000000"/>
          <w:kern w:val="0"/>
          <w:sz w:val="32"/>
          <w:szCs w:val="32"/>
          <w:shd w:val="clear" w:color="auto" w:fill="FFFFFF"/>
        </w:rPr>
        <w:t>书香阅读、</w:t>
      </w:r>
      <w:r>
        <w:rPr>
          <w:rFonts w:hint="eastAsia" w:ascii="仿宋_GB2312" w:hAnsi="仿宋_GB2312" w:eastAsia="仿宋_GB2312" w:cs="仿宋_GB2312"/>
          <w:color w:val="000000"/>
          <w:kern w:val="0"/>
          <w:sz w:val="32"/>
          <w:szCs w:val="32"/>
        </w:rPr>
        <w:t>厉行</w:t>
      </w:r>
      <w:r>
        <w:rPr>
          <w:rFonts w:hint="eastAsia" w:ascii="仿宋_GB2312" w:hAnsi="仿宋_GB2312" w:eastAsia="仿宋_GB2312" w:cs="仿宋_GB2312"/>
          <w:color w:val="000000"/>
          <w:kern w:val="0"/>
          <w:sz w:val="32"/>
          <w:szCs w:val="32"/>
          <w:shd w:val="clear" w:color="auto" w:fill="FFFFFF"/>
        </w:rPr>
        <w:t>节约</w:t>
      </w:r>
      <w:r>
        <w:rPr>
          <w:rFonts w:hint="eastAsia" w:ascii="仿宋_GB2312" w:hAnsi="仿宋_GB2312" w:eastAsia="仿宋_GB2312" w:cs="仿宋_GB2312"/>
          <w:color w:val="000000"/>
          <w:kern w:val="0"/>
          <w:sz w:val="32"/>
          <w:szCs w:val="32"/>
        </w:rPr>
        <w:t>、禁毒防艾、扫黄打非等公益宣传。</w:t>
      </w:r>
    </w:p>
    <w:p>
      <w:pPr>
        <w:keepNext w:val="0"/>
        <w:keepLines w:val="0"/>
        <w:pageBreakBefore w:val="0"/>
        <w:kinsoku/>
        <w:wordWrap/>
        <w:overflowPunct/>
        <w:topLinePunct w:val="0"/>
        <w:autoSpaceDE/>
        <w:autoSpaceDN/>
        <w:bidi w:val="0"/>
        <w:adjustRightInd/>
        <w:snapToGrid/>
        <w:spacing w:beforeAutospacing="0" w:afterAutospacing="0"/>
        <w:ind w:left="0"/>
        <w:textAlignment w:val="auto"/>
        <w:rPr>
          <w:rFonts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2MzM4ZTlkYTc0NTgwNDI4M2VhMDRjMzY4NTY2MWMifQ=="/>
  </w:docVars>
  <w:rsids>
    <w:rsidRoot w:val="504E5559"/>
    <w:rsid w:val="0271368F"/>
    <w:rsid w:val="0E8004E8"/>
    <w:rsid w:val="25223279"/>
    <w:rsid w:val="253A210A"/>
    <w:rsid w:val="38961E84"/>
    <w:rsid w:val="504E5559"/>
    <w:rsid w:val="5A562097"/>
    <w:rsid w:val="5BF54FD4"/>
    <w:rsid w:val="6AEA5C76"/>
    <w:rsid w:val="77C14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80" w:lineRule="exact"/>
      <w:ind w:firstLine="881" w:firstLineChars="200"/>
      <w:jc w:val="both"/>
    </w:pPr>
    <w:rPr>
      <w:rFonts w:eastAsia="仿宋_GB2312" w:asciiTheme="minorAscii" w:hAnsiTheme="minorAscii" w:cstheme="minorBidi"/>
      <w:kern w:val="2"/>
      <w:sz w:val="32"/>
      <w:szCs w:val="22"/>
      <w:lang w:val="en-US" w:eastAsia="zh-CN" w:bidi="ar-SA"/>
    </w:rPr>
  </w:style>
  <w:style w:type="paragraph" w:styleId="2">
    <w:name w:val="heading 1"/>
    <w:basedOn w:val="1"/>
    <w:next w:val="1"/>
    <w:qFormat/>
    <w:uiPriority w:val="0"/>
    <w:pPr>
      <w:keepNext/>
      <w:keepLines/>
      <w:spacing w:before="100" w:beforeLines="100" w:beforeAutospacing="0" w:after="100" w:afterLines="100" w:afterAutospacing="0" w:line="240" w:lineRule="auto"/>
      <w:jc w:val="center"/>
      <w:outlineLvl w:val="0"/>
    </w:pPr>
    <w:rPr>
      <w:rFonts w:eastAsia="方正公文小标宋" w:asciiTheme="minorAscii" w:hAnsiTheme="minorAscii"/>
      <w:b/>
      <w:kern w:val="44"/>
      <w:sz w:val="44"/>
      <w:szCs w:val="22"/>
    </w:rPr>
  </w:style>
  <w:style w:type="paragraph" w:styleId="3">
    <w:name w:val="heading 2"/>
    <w:basedOn w:val="1"/>
    <w:next w:val="1"/>
    <w:semiHidden/>
    <w:unhideWhenUsed/>
    <w:qFormat/>
    <w:uiPriority w:val="0"/>
    <w:pPr>
      <w:keepNext/>
      <w:keepLines/>
      <w:spacing w:beforeLines="0" w:beforeAutospacing="0" w:afterLines="0" w:afterAutospacing="0" w:line="580" w:lineRule="exact"/>
      <w:ind w:firstLine="881" w:firstLineChars="200"/>
      <w:outlineLvl w:val="1"/>
    </w:pPr>
    <w:rPr>
      <w:rFonts w:ascii="Arial" w:hAnsi="Arial" w:eastAsia="黑体"/>
      <w:b/>
      <w:sz w:val="32"/>
      <w:szCs w:val="22"/>
    </w:rPr>
  </w:style>
  <w:style w:type="paragraph" w:styleId="4">
    <w:name w:val="heading 3"/>
    <w:basedOn w:val="1"/>
    <w:next w:val="1"/>
    <w:semiHidden/>
    <w:unhideWhenUsed/>
    <w:qFormat/>
    <w:uiPriority w:val="0"/>
    <w:pPr>
      <w:spacing w:before="0" w:beforeAutospacing="0" w:after="0" w:afterAutospacing="0" w:line="580" w:lineRule="exact"/>
      <w:ind w:firstLine="881" w:firstLineChars="200"/>
      <w:jc w:val="left"/>
      <w:outlineLvl w:val="2"/>
    </w:pPr>
    <w:rPr>
      <w:rFonts w:hint="eastAsia" w:ascii="宋体" w:hAnsi="宋体" w:eastAsia="楷体_GB2312" w:cs="宋体"/>
      <w:b/>
      <w:bCs/>
      <w:kern w:val="0"/>
      <w:sz w:val="32"/>
      <w:szCs w:val="27"/>
      <w:lang w:bidi="ar"/>
    </w:rPr>
  </w:style>
  <w:style w:type="paragraph" w:styleId="5">
    <w:name w:val="heading 4"/>
    <w:basedOn w:val="1"/>
    <w:next w:val="1"/>
    <w:semiHidden/>
    <w:unhideWhenUsed/>
    <w:qFormat/>
    <w:uiPriority w:val="0"/>
    <w:pPr>
      <w:keepNext/>
      <w:keepLines/>
      <w:spacing w:beforeLines="0" w:beforeAutospacing="0" w:afterLines="0" w:afterAutospacing="0" w:line="580" w:lineRule="exact"/>
      <w:ind w:firstLine="881" w:firstLineChars="200"/>
      <w:jc w:val="left"/>
      <w:outlineLvl w:val="3"/>
    </w:pPr>
    <w:rPr>
      <w:rFonts w:ascii="Arial" w:hAnsi="Arial" w:eastAsia="仿宋_GB2312"/>
      <w:b/>
      <w:sz w:val="32"/>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2023-09-19T02:06:00Z</dcterms:created>
  <dc:creator> 姜姜</dc:creator>
  <cp:lastModifiedBy> 姜姜</cp:lastModifiedBy>
  <dcterms:modified xsi:type="dcterms:W3CDTF">2023-09-25T07:15:56Z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843719BC00D84E93AADB00553652B19F_11</vt:lpwstr>
  </property>
</Properties>
</file>