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pPr>
        <w:pageBreakBefore w:val="0"/>
        <w:kinsoku/>
        <w:overflowPunct/>
        <w:topLinePunct w:val="0"/>
        <w:bidi w:val="0"/>
        <w:snapToGrid/>
        <w:spacing w:line="360" w:lineRule="auto"/>
        <w:ind w:right="1120"/>
        <w:jc w:val="right"/>
        <w:rPr>
          <w:rFonts w:hint="eastAsia" w:ascii="仿宋" w:hAnsi="仿宋" w:eastAsia="仿宋" w:cs="仿宋"/>
          <w:color w:val="auto"/>
          <w:sz w:val="28"/>
          <w:szCs w:val="28"/>
          <w:highlight w:val="none"/>
          <w:lang w:val="en-US" w:eastAsia="zh-CN"/>
        </w:rPr>
      </w:pPr>
      <w:bookmarkStart w:id="0" w:name="_Toc325731733"/>
      <w:bookmarkStart w:id="1" w:name="_Toc326783408"/>
      <w:bookmarkStart w:id="2" w:name="_Toc325446794"/>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SDSHZB2023-297</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lang w:eastAsia="zh-CN"/>
        </w:rPr>
      </w:pPr>
      <w:bookmarkStart w:id="3" w:name="_Toc519840754"/>
      <w:bookmarkEnd w:id="3"/>
      <w:bookmarkStart w:id="4" w:name="_Toc519840552"/>
      <w:bookmarkEnd w:id="4"/>
      <w:bookmarkStart w:id="5" w:name="_Toc375561633"/>
      <w:r>
        <w:rPr>
          <w:rFonts w:hint="eastAsia" w:ascii="仿宋" w:hAnsi="仿宋" w:eastAsia="仿宋" w:cs="仿宋"/>
          <w:b/>
          <w:color w:val="auto"/>
          <w:sz w:val="48"/>
          <w:szCs w:val="48"/>
          <w:highlight w:val="none"/>
          <w:lang w:eastAsia="zh-CN"/>
        </w:rPr>
        <w:t>山东大学第二医院智慧医院一体化项目</w:t>
      </w:r>
    </w:p>
    <w:p>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rPr>
      </w:pPr>
      <w:bookmarkStart w:id="6" w:name="_Toc7337024"/>
      <w:bookmarkStart w:id="7" w:name="_Toc11323381"/>
      <w:r>
        <w:rPr>
          <w:rFonts w:hint="eastAsia" w:ascii="仿宋" w:hAnsi="仿宋" w:eastAsia="仿宋" w:cs="仿宋"/>
          <w:b/>
          <w:color w:val="auto"/>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8" w:name="_Toc7337025"/>
      <w:bookmarkStart w:id="9" w:name="_Toc415058576"/>
      <w:bookmarkStart w:id="10" w:name="_Toc22573"/>
      <w:bookmarkStart w:id="11" w:name="_Toc415058500"/>
      <w:bookmarkStart w:id="12" w:name="_Toc11323382"/>
      <w:r>
        <w:rPr>
          <w:rFonts w:hint="eastAsia" w:ascii="仿宋" w:hAnsi="仿宋" w:eastAsia="仿宋" w:cs="仿宋"/>
          <w:color w:val="auto"/>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6"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rPr>
      </w:pPr>
    </w:p>
    <w:p>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lang w:eastAsia="zh-CN"/>
        </w:rPr>
        <w:t>山东大学第二医院智慧医院一体化项目</w:t>
      </w:r>
    </w:p>
    <w:p>
      <w:pPr>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lang w:eastAsia="zh-CN"/>
        </w:rPr>
        <w:t>盛和招标代理有限公司</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13" w:name="_Toc325446795"/>
      <w:bookmarkStart w:id="14" w:name="_Toc326783409"/>
      <w:bookmarkStart w:id="15" w:name="_Toc325731734"/>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lang w:eastAsia="zh-CN"/>
        </w:rPr>
        <w:t>2023年</w:t>
      </w:r>
      <w:r>
        <w:rPr>
          <w:rFonts w:hint="eastAsia" w:ascii="仿宋" w:hAnsi="仿宋" w:eastAsia="仿宋" w:cs="仿宋"/>
          <w:iCs/>
          <w:color w:val="auto"/>
          <w:sz w:val="28"/>
          <w:szCs w:val="28"/>
          <w:highlight w:val="none"/>
          <w:u w:val="single"/>
          <w:lang w:val="en-US" w:eastAsia="zh-CN"/>
        </w:rPr>
        <w:t>11</w:t>
      </w:r>
      <w:r>
        <w:rPr>
          <w:rFonts w:hint="eastAsia" w:ascii="仿宋" w:hAnsi="仿宋" w:eastAsia="仿宋" w:cs="仿宋"/>
          <w:iCs/>
          <w:color w:val="auto"/>
          <w:sz w:val="28"/>
          <w:szCs w:val="28"/>
          <w:highlight w:val="none"/>
          <w:u w:val="single"/>
        </w:rPr>
        <w:t>月</w:t>
      </w:r>
      <w:r>
        <w:rPr>
          <w:rFonts w:hint="eastAsia" w:ascii="仿宋" w:hAnsi="仿宋" w:eastAsia="仿宋" w:cs="仿宋"/>
          <w:iCs/>
          <w:color w:val="auto"/>
          <w:sz w:val="28"/>
          <w:szCs w:val="28"/>
          <w:highlight w:val="none"/>
          <w:u w:val="single"/>
          <w:lang w:val="en-US" w:eastAsia="zh-CN"/>
        </w:rPr>
        <w:t>14</w:t>
      </w:r>
      <w:r>
        <w:rPr>
          <w:rFonts w:hint="eastAsia" w:ascii="仿宋" w:hAnsi="仿宋" w:eastAsia="仿宋" w:cs="仿宋"/>
          <w:iCs/>
          <w:color w:val="auto"/>
          <w:sz w:val="28"/>
          <w:szCs w:val="28"/>
          <w:highlight w:val="none"/>
          <w:u w:val="single"/>
        </w:rPr>
        <w:t>日</w:t>
      </w:r>
      <w:bookmarkEnd w:id="13"/>
      <w:bookmarkEnd w:id="14"/>
      <w:bookmarkEnd w:id="15"/>
    </w:p>
    <w:p>
      <w:pPr>
        <w:pageBreakBefore w:val="0"/>
        <w:kinsoku/>
        <w:overflowPunct/>
        <w:topLinePunct w:val="0"/>
        <w:bidi w:val="0"/>
        <w:snapToGrid/>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br w:type="page"/>
      </w:r>
      <w:bookmarkStart w:id="16" w:name="_Toc357793028"/>
      <w:bookmarkStart w:id="17" w:name="_Toc375561634"/>
      <w:bookmarkStart w:id="18" w:name="_Toc415058577"/>
      <w:bookmarkStart w:id="19" w:name="_Toc362625917"/>
      <w:r>
        <w:rPr>
          <w:rFonts w:hint="eastAsia" w:ascii="仿宋" w:hAnsi="仿宋" w:eastAsia="仿宋" w:cs="仿宋"/>
          <w:b/>
          <w:bCs w:val="0"/>
          <w:color w:val="auto"/>
          <w:sz w:val="28"/>
          <w:szCs w:val="28"/>
          <w:highlight w:val="none"/>
        </w:rPr>
        <w:t>目录</w:t>
      </w:r>
      <w:bookmarkEnd w:id="16"/>
      <w:bookmarkEnd w:id="17"/>
      <w:bookmarkEnd w:id="18"/>
      <w:bookmarkEnd w:id="19"/>
    </w:p>
    <w:p>
      <w:pPr>
        <w:pStyle w:val="27"/>
        <w:tabs>
          <w:tab w:val="right" w:leader="dot" w:pos="8869"/>
        </w:tabs>
        <w:spacing w:line="240" w:lineRule="auto"/>
        <w:rPr>
          <w:color w:val="auto"/>
          <w:sz w:val="24"/>
          <w:szCs w:val="24"/>
          <w:highlight w:val="none"/>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_Toc21638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2"/>
          <w:sz w:val="24"/>
          <w:szCs w:val="24"/>
          <w:highlight w:val="none"/>
        </w:rPr>
        <w:t>诚信廉政承诺书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_Toc21638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7"/>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_Toc6143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第一部分 招标</w:t>
      </w:r>
      <w:r>
        <w:rPr>
          <w:rFonts w:hint="eastAsia" w:ascii="仿宋" w:hAnsi="仿宋" w:eastAsia="仿宋" w:cs="仿宋"/>
          <w:bCs w:val="0"/>
          <w:color w:val="auto"/>
          <w:sz w:val="24"/>
          <w:szCs w:val="24"/>
          <w:highlight w:val="none"/>
          <w:lang w:val="en-US" w:eastAsia="zh-CN"/>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_Toc6143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7"/>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_Toc11334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lang w:val="en-US" w:eastAsia="zh-CN"/>
        </w:rPr>
        <w:t xml:space="preserve">第二部分 </w:t>
      </w:r>
      <w:r>
        <w:rPr>
          <w:rFonts w:hint="eastAsia" w:ascii="仿宋" w:hAnsi="仿宋" w:eastAsia="仿宋" w:cs="仿宋"/>
          <w:bCs w:val="0"/>
          <w:color w:val="auto"/>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_Toc11334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_Toc9675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一、适用范围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_Toc9675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_Toc24285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二、定义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_Toc24285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_Toc10422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三、投标人具备的条件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_Toc10422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_Toc31280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四、招标文件的澄清或修改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_Toc31280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_Toc3614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五、投标文件的编写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_Toc3614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_Toc14577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_Toc14577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_Toc17814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七、投标费用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_Toc17814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_Toc30077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八、保证金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_Toc30077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_Toc11442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九、无效投标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_Toc11442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_Toc6405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十、质疑的提出与答复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_Toc6405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_Toc10789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_Toc10789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_Toc4266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、其他未尽问题参考依据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_Toc4266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7"/>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_Toc31454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第三部分 开标、评审、中标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_Toc31454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_Toc24744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_Toc24744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二、评审委员会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_Toc2314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_Toc28114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三、评审原则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_Toc28114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_Toc9250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四、评审办法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_Toc9250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_Toc6117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五、废标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_Toc6117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_Toc27249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六、中标通知书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_Toc27249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7"/>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_Toc21375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第四部分 授予合同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_Toc21375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_Toc30641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lang w:val="en-US" w:eastAsia="zh-CN" w:bidi="ar-SA"/>
        </w:rPr>
        <w:t>一、签订合同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_Toc30641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_Toc10427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_Toc10427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7"/>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_Toc18865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第五部分 项目说明及要求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_Toc18865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_Toc25536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一、项目名称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_Toc25536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_Toc4908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二、项目说明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_Toc4908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_Toc28365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_Toc28365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7"/>
        <w:tabs>
          <w:tab w:val="right" w:leader="dot" w:pos="8869"/>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_Toc9741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第六部分  附件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_Toc9741 \h </w:instrText>
      </w:r>
      <w:r>
        <w:rPr>
          <w:color w:val="auto"/>
          <w:sz w:val="24"/>
          <w:szCs w:val="24"/>
          <w:highlight w:val="none"/>
        </w:rPr>
        <w:fldChar w:fldCharType="separate"/>
      </w:r>
      <w:r>
        <w:rPr>
          <w:color w:val="auto"/>
          <w:sz w:val="24"/>
          <w:szCs w:val="24"/>
          <w:highlight w:val="none"/>
        </w:rPr>
        <w:t>197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_Toc10224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_Toc10224 \h </w:instrText>
      </w:r>
      <w:r>
        <w:rPr>
          <w:color w:val="auto"/>
          <w:sz w:val="24"/>
          <w:szCs w:val="24"/>
          <w:highlight w:val="none"/>
        </w:rPr>
        <w:fldChar w:fldCharType="separate"/>
      </w:r>
      <w:r>
        <w:rPr>
          <w:color w:val="auto"/>
          <w:sz w:val="24"/>
          <w:szCs w:val="24"/>
          <w:highlight w:val="none"/>
        </w:rPr>
        <w:t>197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_Toc30500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附件二：法定代表人授权委托书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_Toc30500 \h </w:instrText>
      </w:r>
      <w:r>
        <w:rPr>
          <w:color w:val="auto"/>
          <w:sz w:val="24"/>
          <w:szCs w:val="24"/>
          <w:highlight w:val="none"/>
        </w:rPr>
        <w:fldChar w:fldCharType="separate"/>
      </w:r>
      <w:r>
        <w:rPr>
          <w:color w:val="auto"/>
          <w:sz w:val="24"/>
          <w:szCs w:val="24"/>
          <w:highlight w:val="none"/>
        </w:rPr>
        <w:t>198</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_Toc32732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附件三：在经营活动中没有重大违法记录的书面声明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_Toc32732 \h </w:instrText>
      </w:r>
      <w:r>
        <w:rPr>
          <w:color w:val="auto"/>
          <w:sz w:val="24"/>
          <w:szCs w:val="24"/>
          <w:highlight w:val="none"/>
        </w:rPr>
        <w:fldChar w:fldCharType="separate"/>
      </w:r>
      <w:r>
        <w:rPr>
          <w:color w:val="auto"/>
          <w:sz w:val="24"/>
          <w:szCs w:val="24"/>
          <w:highlight w:val="none"/>
        </w:rPr>
        <w:t>199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_Toc14546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2"/>
          <w:sz w:val="24"/>
          <w:szCs w:val="24"/>
          <w:highlight w:val="none"/>
        </w:rPr>
        <w:t>附件四</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bCs/>
          <w:color w:val="auto"/>
          <w:kern w:val="2"/>
          <w:sz w:val="24"/>
          <w:szCs w:val="24"/>
          <w:highlight w:val="none"/>
          <w:lang w:val="en-US" w:eastAsia="zh-CN"/>
        </w:rPr>
        <w:t>供应商无控股、管理关系的书面声明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_Toc14546 \h </w:instrText>
      </w:r>
      <w:r>
        <w:rPr>
          <w:color w:val="auto"/>
          <w:sz w:val="24"/>
          <w:szCs w:val="24"/>
          <w:highlight w:val="none"/>
        </w:rPr>
        <w:fldChar w:fldCharType="separate"/>
      </w:r>
      <w:r>
        <w:rPr>
          <w:color w:val="auto"/>
          <w:sz w:val="24"/>
          <w:szCs w:val="24"/>
          <w:highlight w:val="none"/>
        </w:rPr>
        <w:t>200</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_Toc3278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_Toc3278 \h </w:instrText>
      </w:r>
      <w:r>
        <w:rPr>
          <w:color w:val="auto"/>
          <w:sz w:val="24"/>
          <w:szCs w:val="24"/>
          <w:highlight w:val="none"/>
        </w:rPr>
        <w:fldChar w:fldCharType="separate"/>
      </w:r>
      <w:r>
        <w:rPr>
          <w:color w:val="auto"/>
          <w:sz w:val="24"/>
          <w:szCs w:val="24"/>
          <w:highlight w:val="none"/>
        </w:rPr>
        <w:t>201</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_Toc14511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报价明细表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_Toc14511 \h </w:instrText>
      </w:r>
      <w:r>
        <w:rPr>
          <w:color w:val="auto"/>
          <w:sz w:val="24"/>
          <w:szCs w:val="24"/>
          <w:highlight w:val="none"/>
        </w:rPr>
        <w:fldChar w:fldCharType="separate"/>
      </w:r>
      <w:r>
        <w:rPr>
          <w:color w:val="auto"/>
          <w:sz w:val="24"/>
          <w:szCs w:val="24"/>
          <w:highlight w:val="none"/>
        </w:rPr>
        <w:t>202</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_Toc4159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附件七：主要从业人员及其技术资格一览表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_Toc4159 \h </w:instrText>
      </w:r>
      <w:r>
        <w:rPr>
          <w:color w:val="auto"/>
          <w:sz w:val="24"/>
          <w:szCs w:val="24"/>
          <w:highlight w:val="none"/>
        </w:rPr>
        <w:fldChar w:fldCharType="separate"/>
      </w:r>
      <w:r>
        <w:rPr>
          <w:color w:val="auto"/>
          <w:sz w:val="24"/>
          <w:szCs w:val="24"/>
          <w:highlight w:val="none"/>
        </w:rPr>
        <w:t>203</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_Toc16362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附件八：技术指标响应表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_Toc16362 \h </w:instrText>
      </w:r>
      <w:r>
        <w:rPr>
          <w:color w:val="auto"/>
          <w:sz w:val="24"/>
          <w:szCs w:val="24"/>
          <w:highlight w:val="none"/>
        </w:rPr>
        <w:fldChar w:fldCharType="separate"/>
      </w:r>
      <w:r>
        <w:rPr>
          <w:color w:val="auto"/>
          <w:sz w:val="24"/>
          <w:szCs w:val="24"/>
          <w:highlight w:val="none"/>
        </w:rPr>
        <w:t>204</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_Toc30212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lang w:val="en-US" w:eastAsia="zh-CN" w:bidi="ar-SA"/>
        </w:rPr>
        <w:t>附件九：拟投入本项目人员配备情况表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_Toc30212 \h </w:instrText>
      </w:r>
      <w:r>
        <w:rPr>
          <w:color w:val="auto"/>
          <w:sz w:val="24"/>
          <w:szCs w:val="24"/>
          <w:highlight w:val="none"/>
        </w:rPr>
        <w:fldChar w:fldCharType="separate"/>
      </w:r>
      <w:r>
        <w:rPr>
          <w:color w:val="auto"/>
          <w:sz w:val="24"/>
          <w:szCs w:val="24"/>
          <w:highlight w:val="none"/>
        </w:rPr>
        <w:t>205</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_Toc19384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投标供应商</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日至今以来签订的同类业绩一览表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_Toc19384 \h </w:instrText>
      </w:r>
      <w:r>
        <w:rPr>
          <w:color w:val="auto"/>
          <w:sz w:val="24"/>
          <w:szCs w:val="24"/>
          <w:highlight w:val="none"/>
        </w:rPr>
        <w:fldChar w:fldCharType="separate"/>
      </w:r>
      <w:r>
        <w:rPr>
          <w:color w:val="auto"/>
          <w:sz w:val="24"/>
          <w:szCs w:val="24"/>
          <w:highlight w:val="none"/>
        </w:rPr>
        <w:t>206</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_Toc19200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政策功能体现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_Toc19200 \h </w:instrText>
      </w:r>
      <w:r>
        <w:rPr>
          <w:color w:val="auto"/>
          <w:sz w:val="24"/>
          <w:szCs w:val="24"/>
          <w:highlight w:val="none"/>
        </w:rPr>
        <w:fldChar w:fldCharType="separate"/>
      </w:r>
      <w:r>
        <w:rPr>
          <w:color w:val="auto"/>
          <w:sz w:val="24"/>
          <w:szCs w:val="24"/>
          <w:highlight w:val="none"/>
        </w:rPr>
        <w:t>207</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tabs>
          <w:tab w:val="right" w:leader="dot" w:pos="8869"/>
          <w:tab w:val="clear" w:pos="8857"/>
        </w:tabs>
        <w:spacing w:line="240" w:lineRule="auto"/>
        <w:rPr>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附件十</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：封面格式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_Toc1917 \h </w:instrText>
      </w:r>
      <w:r>
        <w:rPr>
          <w:color w:val="auto"/>
          <w:sz w:val="24"/>
          <w:szCs w:val="24"/>
          <w:highlight w:val="none"/>
        </w:rPr>
        <w:fldChar w:fldCharType="separate"/>
      </w:r>
      <w:r>
        <w:rPr>
          <w:color w:val="auto"/>
          <w:sz w:val="24"/>
          <w:szCs w:val="24"/>
          <w:highlight w:val="none"/>
        </w:rPr>
        <w:t>209</w:t>
      </w:r>
      <w:r>
        <w:rPr>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spacing w:line="24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end"/>
      </w:r>
    </w:p>
    <w:p>
      <w:pPr>
        <w:pStyle w:val="2"/>
        <w:spacing w:before="120" w:after="120" w:line="360" w:lineRule="auto"/>
        <w:jc w:val="center"/>
        <w:rPr>
          <w:rFonts w:hint="eastAsia" w:ascii="仿宋" w:hAnsi="仿宋" w:eastAsia="仿宋" w:cs="仿宋"/>
          <w:color w:val="auto"/>
          <w:kern w:val="2"/>
          <w:sz w:val="32"/>
          <w:highlight w:val="none"/>
        </w:rPr>
      </w:pPr>
      <w:r>
        <w:rPr>
          <w:rFonts w:hint="eastAsia" w:ascii="仿宋" w:hAnsi="仿宋" w:eastAsia="仿宋" w:cs="仿宋"/>
          <w:color w:val="auto"/>
          <w:sz w:val="28"/>
          <w:szCs w:val="28"/>
          <w:highlight w:val="none"/>
        </w:rPr>
        <w:br w:type="page"/>
      </w:r>
      <w:bookmarkStart w:id="21" w:name="_Toc30324796"/>
      <w:bookmarkStart w:id="22" w:name="_Toc21638"/>
      <w:bookmarkStart w:id="23" w:name="_Toc356491305"/>
      <w:bookmarkStart w:id="24" w:name="_Toc5365"/>
      <w:r>
        <w:rPr>
          <w:rFonts w:hint="eastAsia" w:ascii="仿宋" w:hAnsi="仿宋" w:eastAsia="仿宋" w:cs="仿宋"/>
          <w:color w:val="auto"/>
          <w:kern w:val="2"/>
          <w:sz w:val="32"/>
          <w:highlight w:val="none"/>
        </w:rPr>
        <w:t>诚信廉政承诺书</w:t>
      </w:r>
      <w:bookmarkEnd w:id="21"/>
      <w:bookmarkEnd w:id="22"/>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为充分体现公开、公平、公正、诚信原则，共同维护招投标市场秩序，本单位在参与招投标过程中特作以下承诺： </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1．严格遵守国家及山东大学第二医院招标采购管理规定，保证在招投标活动中无任何违规、违纪、违法行为。</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2．不以各种名目向采购人、工作人员及其相关人员请客、送礼、赠送有价证券、提供回扣和行贿等。</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3.在与山东大学第二医院业务往来过程中无山东大学第二医院职工及其直系亲属参与或做出其他影响正常市场竞争秩序的行为。</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4．不以不正当手段向采购人谋取资格预审及投标的照顾。</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5．不以提供不正当利益等方式向标底编制、审查人员打听标底编制情况。</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6．在确定</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供应商前，不向评审专家打招呼谋求照顾，不与采购人就投标价格、投标方案等实质内容进行谈判。</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7．不与采购人或采购代理机构或其他供应商串通投标，损害国家利益、社会公共利益或者他人的合法权益。</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8．中标后，不向采购人及工作人员赠送感谢费、好处费等。</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9．合同履行过程中不以任何形式及手段进行违规、违纪、违法活动。</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10．所提供的一切材料都是真实、有效、合法的。</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11．不在开标后进行虚假恶意投诉。</w:t>
      </w:r>
    </w:p>
    <w:p>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12．主动接受、配合山东大学第二医院招标办公室及纪检监察部门的监督检查。</w:t>
      </w:r>
    </w:p>
    <w:p>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440" w:lineRule="exact"/>
        <w:rPr>
          <w:rFonts w:hint="eastAsia" w:ascii="仿宋" w:hAnsi="仿宋" w:eastAsia="仿宋" w:cs="仿宋"/>
          <w:color w:val="auto"/>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承诺单位（盖章）：                      法人代表（签字或盖章）：</w:t>
      </w:r>
    </w:p>
    <w:p>
      <w:pPr>
        <w:spacing w:line="440" w:lineRule="exact"/>
        <w:rPr>
          <w:rFonts w:hint="eastAsia" w:ascii="仿宋" w:hAnsi="仿宋" w:eastAsia="仿宋" w:cs="仿宋"/>
          <w:color w:val="auto"/>
          <w:sz w:val="24"/>
          <w:highlight w:val="none"/>
        </w:rPr>
      </w:pPr>
    </w:p>
    <w:p>
      <w:pPr>
        <w:spacing w:line="440" w:lineRule="exact"/>
        <w:rPr>
          <w:rFonts w:hint="eastAsia" w:ascii="仿宋" w:hAnsi="仿宋" w:eastAsia="仿宋" w:cs="仿宋"/>
          <w:color w:val="auto"/>
          <w:highlight w:val="none"/>
        </w:rPr>
      </w:pPr>
    </w:p>
    <w:p>
      <w:pPr>
        <w:spacing w:line="440" w:lineRule="exact"/>
        <w:ind w:firstLine="6240" w:firstLineChars="26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年    月    日</w:t>
      </w:r>
    </w:p>
    <w:p>
      <w:pPr>
        <w:pStyle w:val="21"/>
        <w:spacing w:line="440" w:lineRule="exact"/>
        <w:ind w:firstLine="2007" w:firstLineChars="83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签章后作为</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lang w:eastAsia="zh-CN"/>
        </w:rPr>
        <w:t>文件</w:t>
      </w:r>
      <w:r>
        <w:rPr>
          <w:rFonts w:hint="eastAsia" w:ascii="仿宋" w:hAnsi="仿宋" w:eastAsia="仿宋" w:cs="仿宋"/>
          <w:b/>
          <w:color w:val="auto"/>
          <w:sz w:val="24"/>
          <w:highlight w:val="none"/>
        </w:rPr>
        <w:t>的一部分）</w:t>
      </w:r>
    </w:p>
    <w:p>
      <w:pPr>
        <w:rPr>
          <w:rFonts w:hint="eastAsia" w:ascii="仿宋" w:hAnsi="仿宋" w:eastAsia="仿宋" w:cs="仿宋"/>
          <w:color w:val="auto"/>
          <w:highlight w:val="none"/>
        </w:rPr>
      </w:pPr>
    </w:p>
    <w:p>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36"/>
          <w:szCs w:val="36"/>
          <w:highlight w:val="none"/>
        </w:rPr>
      </w:pP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pPr>
        <w:pageBreakBefore w:val="0"/>
        <w:kinsoku/>
        <w:overflowPunct/>
        <w:topLinePunct w:val="0"/>
        <w:bidi w:val="0"/>
        <w:snapToGrid/>
        <w:spacing w:line="360" w:lineRule="auto"/>
        <w:ind w:firstLine="562" w:firstLineChars="200"/>
        <w:jc w:val="center"/>
        <w:outlineLvl w:val="0"/>
        <w:rPr>
          <w:rFonts w:hint="eastAsia" w:ascii="仿宋" w:hAnsi="仿宋" w:eastAsia="仿宋" w:cs="仿宋"/>
          <w:color w:val="auto"/>
          <w:kern w:val="0"/>
          <w:sz w:val="28"/>
          <w:szCs w:val="28"/>
          <w:highlight w:val="none"/>
        </w:rPr>
      </w:pPr>
      <w:bookmarkStart w:id="25" w:name="_Toc6143"/>
      <w:r>
        <w:rPr>
          <w:rFonts w:hint="eastAsia" w:ascii="仿宋" w:hAnsi="仿宋" w:eastAsia="仿宋" w:cs="仿宋"/>
          <w:b/>
          <w:bCs w:val="0"/>
          <w:color w:val="auto"/>
          <w:sz w:val="28"/>
          <w:szCs w:val="28"/>
          <w:highlight w:val="none"/>
        </w:rPr>
        <w:t>第一部分 招标</w:t>
      </w:r>
      <w:bookmarkEnd w:id="23"/>
      <w:bookmarkEnd w:id="24"/>
      <w:r>
        <w:rPr>
          <w:rFonts w:hint="eastAsia" w:ascii="仿宋" w:hAnsi="仿宋" w:eastAsia="仿宋" w:cs="仿宋"/>
          <w:b/>
          <w:bCs w:val="0"/>
          <w:color w:val="auto"/>
          <w:sz w:val="28"/>
          <w:szCs w:val="28"/>
          <w:highlight w:val="none"/>
          <w:lang w:val="en-US" w:eastAsia="zh-CN"/>
        </w:rPr>
        <w:t>公告</w:t>
      </w:r>
      <w:bookmarkEnd w:id="20"/>
      <w:bookmarkEnd w:id="25"/>
      <w:bookmarkStart w:id="26" w:name="_Toc325582066"/>
      <w:bookmarkStart w:id="27" w:name="_Toc325582571"/>
      <w:bookmarkStart w:id="28" w:name="_Toc325620702"/>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山东大学第二医院智慧医院一体化项目</w:t>
      </w:r>
      <w:r>
        <w:rPr>
          <w:rFonts w:hint="eastAsia" w:ascii="仿宋" w:hAnsi="仿宋" w:eastAsia="仿宋" w:cs="仿宋"/>
          <w:color w:val="auto"/>
          <w:sz w:val="28"/>
          <w:szCs w:val="28"/>
          <w:highlight w:val="none"/>
        </w:rPr>
        <w:t>的潜在投标人应在山东济南唐冶西路868号山东设计创意产业园南区B1楼获取招标文件，并于</w:t>
      </w:r>
      <w:r>
        <w:rPr>
          <w:rFonts w:hint="eastAsia" w:ascii="仿宋" w:hAnsi="仿宋" w:eastAsia="仿宋" w:cs="仿宋"/>
          <w:bCs/>
          <w:color w:val="auto"/>
          <w:sz w:val="28"/>
          <w:szCs w:val="28"/>
          <w:highlight w:val="none"/>
          <w:u w:val="single"/>
          <w:lang w:val="en-US" w:eastAsia="zh-CN"/>
        </w:rPr>
        <w:t>2023年12</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13</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rPr>
      </w:pPr>
    </w:p>
    <w:p>
      <w:pPr>
        <w:spacing w:line="360" w:lineRule="auto"/>
        <w:outlineLvl w:val="9"/>
        <w:rPr>
          <w:rFonts w:hint="eastAsia" w:ascii="仿宋" w:hAnsi="仿宋" w:eastAsia="仿宋" w:cs="仿宋"/>
          <w:b/>
          <w:bCs w:val="0"/>
          <w:color w:val="auto"/>
          <w:sz w:val="28"/>
          <w:szCs w:val="28"/>
          <w:highlight w:val="none"/>
        </w:rPr>
      </w:pPr>
      <w:bookmarkStart w:id="29" w:name="_Toc28359079"/>
      <w:bookmarkStart w:id="30" w:name="_Toc28359002"/>
      <w:bookmarkStart w:id="31" w:name="_Toc35393790"/>
      <w:bookmarkStart w:id="32" w:name="_Toc35393621"/>
      <w:bookmarkStart w:id="33" w:name="_Hlk24379207"/>
      <w:r>
        <w:rPr>
          <w:rFonts w:hint="eastAsia" w:ascii="仿宋" w:hAnsi="仿宋" w:eastAsia="仿宋" w:cs="仿宋"/>
          <w:b/>
          <w:bCs w:val="0"/>
          <w:color w:val="auto"/>
          <w:sz w:val="28"/>
          <w:szCs w:val="28"/>
          <w:highlight w:val="none"/>
        </w:rPr>
        <w:t>一、项目基本情况</w:t>
      </w:r>
      <w:bookmarkEnd w:id="29"/>
      <w:bookmarkEnd w:id="30"/>
      <w:bookmarkEnd w:id="31"/>
      <w:bookmarkEnd w:id="32"/>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SDSHZB2023-297</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山东大学第二医院智慧医院一体化项目</w:t>
      </w:r>
    </w:p>
    <w:bookmarkEnd w:id="33"/>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2500万元。</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最高限价（如有）：</w:t>
      </w:r>
      <w:r>
        <w:rPr>
          <w:rFonts w:hint="eastAsia" w:ascii="仿宋" w:hAnsi="仿宋" w:eastAsia="仿宋" w:cs="仿宋"/>
          <w:color w:val="auto"/>
          <w:sz w:val="28"/>
          <w:szCs w:val="28"/>
          <w:highlight w:val="none"/>
          <w:lang w:val="en-US" w:eastAsia="zh-CN"/>
        </w:rPr>
        <w:t>2500万元。</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tbl>
      <w:tblPr>
        <w:tblStyle w:val="38"/>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948"/>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58" w:type="pct"/>
            <w:vAlign w:val="center"/>
          </w:tcPr>
          <w:p>
            <w:pPr>
              <w:widowControl/>
              <w:spacing w:line="360" w:lineRule="auto"/>
              <w:jc w:val="center"/>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服务名称</w:t>
            </w:r>
          </w:p>
        </w:tc>
        <w:tc>
          <w:tcPr>
            <w:tcW w:w="539" w:type="pct"/>
            <w:vAlign w:val="center"/>
          </w:tcPr>
          <w:p>
            <w:pPr>
              <w:widowControl/>
              <w:spacing w:line="360" w:lineRule="auto"/>
              <w:jc w:val="center"/>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数量</w:t>
            </w:r>
          </w:p>
        </w:tc>
        <w:tc>
          <w:tcPr>
            <w:tcW w:w="2401" w:type="pct"/>
            <w:vAlign w:val="center"/>
          </w:tcPr>
          <w:p>
            <w:pPr>
              <w:widowControl/>
              <w:spacing w:line="360" w:lineRule="auto"/>
              <w:jc w:val="center"/>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058" w:type="pct"/>
            <w:vAlign w:val="center"/>
          </w:tcPr>
          <w:p>
            <w:pPr>
              <w:pStyle w:val="19"/>
              <w:spacing w:line="240" w:lineRule="auto"/>
              <w:ind w:left="0" w:firstLine="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智慧医院一体化</w:t>
            </w:r>
          </w:p>
        </w:tc>
        <w:tc>
          <w:tcPr>
            <w:tcW w:w="539" w:type="pct"/>
            <w:vAlign w:val="center"/>
          </w:tcPr>
          <w:p>
            <w:pPr>
              <w:pStyle w:val="19"/>
              <w:spacing w:line="240" w:lineRule="auto"/>
              <w:ind w:left="0" w:firstLine="0"/>
              <w:jc w:val="center"/>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1项</w:t>
            </w:r>
          </w:p>
        </w:tc>
        <w:tc>
          <w:tcPr>
            <w:tcW w:w="2401" w:type="pct"/>
          </w:tcPr>
          <w:p>
            <w:pPr>
              <w:widowControl/>
              <w:spacing w:line="240" w:lineRule="auto"/>
              <w:jc w:val="left"/>
              <w:rPr>
                <w:rFonts w:hint="eastAsia" w:ascii="仿宋" w:hAnsi="仿宋" w:eastAsia="仿宋" w:cs="仿宋"/>
                <w:snapToGrid w:val="0"/>
                <w:color w:val="auto"/>
                <w:kern w:val="0"/>
                <w:sz w:val="28"/>
                <w:szCs w:val="28"/>
                <w:highlight w:val="none"/>
              </w:rPr>
            </w:pPr>
            <w:r>
              <w:rPr>
                <w:rFonts w:hint="eastAsia" w:ascii="仿宋" w:hAnsi="仿宋" w:eastAsia="仿宋" w:cs="仿宋"/>
                <w:snapToGrid w:val="0"/>
                <w:color w:val="auto"/>
                <w:kern w:val="0"/>
                <w:sz w:val="28"/>
                <w:szCs w:val="28"/>
                <w:highlight w:val="none"/>
              </w:rPr>
              <w:t>本</w:t>
            </w:r>
            <w:r>
              <w:rPr>
                <w:rFonts w:hint="eastAsia" w:ascii="仿宋" w:hAnsi="仿宋" w:eastAsia="仿宋" w:cs="仿宋"/>
                <w:snapToGrid w:val="0"/>
                <w:color w:val="auto"/>
                <w:kern w:val="0"/>
                <w:sz w:val="28"/>
                <w:szCs w:val="28"/>
                <w:highlight w:val="none"/>
                <w:lang w:val="en-US" w:eastAsia="zh-CN"/>
              </w:rPr>
              <w:t>项目</w:t>
            </w:r>
            <w:r>
              <w:rPr>
                <w:rFonts w:hint="eastAsia" w:ascii="仿宋" w:hAnsi="仿宋" w:eastAsia="仿宋" w:cs="仿宋"/>
                <w:snapToGrid w:val="0"/>
                <w:color w:val="auto"/>
                <w:kern w:val="0"/>
                <w:sz w:val="28"/>
                <w:szCs w:val="28"/>
                <w:highlight w:val="none"/>
              </w:rPr>
              <w:t>为</w:t>
            </w:r>
            <w:r>
              <w:rPr>
                <w:rFonts w:hint="eastAsia" w:ascii="仿宋" w:hAnsi="仿宋" w:eastAsia="仿宋" w:cs="仿宋"/>
                <w:color w:val="auto"/>
                <w:sz w:val="28"/>
                <w:szCs w:val="28"/>
                <w:highlight w:val="none"/>
                <w:lang w:eastAsia="zh-CN"/>
              </w:rPr>
              <w:t>智慧医院一体化项目</w:t>
            </w:r>
            <w:r>
              <w:rPr>
                <w:rFonts w:hint="eastAsia" w:ascii="仿宋" w:hAnsi="仿宋" w:eastAsia="仿宋" w:cs="仿宋"/>
                <w:snapToGrid w:val="0"/>
                <w:color w:val="auto"/>
                <w:kern w:val="0"/>
                <w:sz w:val="28"/>
                <w:szCs w:val="28"/>
                <w:highlight w:val="none"/>
              </w:rPr>
              <w:t>，用于满足医院</w:t>
            </w:r>
            <w:r>
              <w:rPr>
                <w:rFonts w:hint="eastAsia" w:ascii="仿宋" w:hAnsi="仿宋" w:eastAsia="仿宋" w:cs="仿宋"/>
                <w:color w:val="auto"/>
                <w:sz w:val="28"/>
                <w:szCs w:val="28"/>
                <w:highlight w:val="none"/>
              </w:rPr>
              <w:t>使用</w:t>
            </w:r>
            <w:r>
              <w:rPr>
                <w:rFonts w:hint="eastAsia" w:ascii="仿宋" w:hAnsi="仿宋" w:eastAsia="仿宋" w:cs="仿宋"/>
                <w:snapToGrid w:val="0"/>
                <w:color w:val="auto"/>
                <w:kern w:val="0"/>
                <w:sz w:val="28"/>
                <w:szCs w:val="28"/>
                <w:highlight w:val="none"/>
              </w:rPr>
              <w:t>需求。</w:t>
            </w:r>
          </w:p>
        </w:tc>
      </w:tr>
    </w:tbl>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p>
    <w:p>
      <w:pPr>
        <w:spacing w:line="360" w:lineRule="auto"/>
        <w:outlineLvl w:val="9"/>
        <w:rPr>
          <w:rFonts w:hint="eastAsia" w:ascii="仿宋" w:hAnsi="仿宋" w:eastAsia="仿宋" w:cs="仿宋"/>
          <w:b/>
          <w:bCs w:val="0"/>
          <w:color w:val="auto"/>
          <w:sz w:val="28"/>
          <w:szCs w:val="28"/>
          <w:highlight w:val="none"/>
        </w:rPr>
      </w:pPr>
      <w:bookmarkStart w:id="34" w:name="_Toc35393791"/>
      <w:bookmarkStart w:id="35" w:name="_Toc28359080"/>
      <w:bookmarkStart w:id="36" w:name="_Toc28359003"/>
      <w:bookmarkStart w:id="37" w:name="_Toc35393622"/>
      <w:r>
        <w:rPr>
          <w:rFonts w:hint="eastAsia" w:ascii="仿宋" w:hAnsi="仿宋" w:eastAsia="仿宋" w:cs="仿宋"/>
          <w:b/>
          <w:bCs w:val="0"/>
          <w:color w:val="auto"/>
          <w:sz w:val="28"/>
          <w:szCs w:val="28"/>
          <w:highlight w:val="none"/>
        </w:rPr>
        <w:t>二、申请人的资格要求：</w:t>
      </w:r>
      <w:bookmarkEnd w:id="34"/>
      <w:bookmarkEnd w:id="35"/>
      <w:bookmarkEnd w:id="36"/>
      <w:bookmarkEnd w:id="37"/>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2.本项目的特定资格要求：无。</w:t>
      </w:r>
    </w:p>
    <w:p>
      <w:pPr>
        <w:spacing w:line="360" w:lineRule="auto"/>
        <w:ind w:firstLine="560" w:firstLineChars="200"/>
        <w:rPr>
          <w:rFonts w:hint="eastAsia" w:ascii="仿宋" w:hAnsi="仿宋" w:eastAsia="仿宋" w:cs="仿宋"/>
          <w:color w:val="auto"/>
          <w:sz w:val="28"/>
          <w:szCs w:val="28"/>
          <w:highlight w:val="none"/>
        </w:rPr>
      </w:pPr>
      <w:bookmarkStart w:id="38" w:name="_Toc28359081"/>
      <w:bookmarkStart w:id="39" w:name="_Toc28359004"/>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.落实政府采购政策需满足的资格要求：本采购项目需落实中小型企业、监狱企业及残疾人福利性单位等优惠政策和办法，具体要求详见招标文件。</w:t>
      </w:r>
    </w:p>
    <w:p>
      <w:pPr>
        <w:spacing w:line="360" w:lineRule="auto"/>
        <w:ind w:firstLine="56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bookmarkStart w:id="40" w:name="_Toc35393792"/>
      <w:bookmarkStart w:id="41" w:name="_Toc35393623"/>
      <w:r>
        <w:rPr>
          <w:rFonts w:hint="eastAsia" w:ascii="仿宋" w:hAnsi="仿宋" w:eastAsia="仿宋" w:cs="仿宋"/>
          <w:color w:val="auto"/>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color w:val="auto"/>
          <w:sz w:val="28"/>
          <w:szCs w:val="28"/>
          <w:highlight w:val="none"/>
          <w:lang w:eastAsia="zh-CN"/>
        </w:rPr>
        <w:t>。</w:t>
      </w:r>
    </w:p>
    <w:p>
      <w:pPr>
        <w:spacing w:line="360" w:lineRule="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三、获取招标文件</w:t>
      </w:r>
      <w:bookmarkEnd w:id="38"/>
      <w:bookmarkEnd w:id="39"/>
      <w:bookmarkEnd w:id="40"/>
      <w:bookmarkEnd w:id="41"/>
    </w:p>
    <w:p>
      <w:pPr>
        <w:spacing w:line="36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 xml:space="preserve">日至 </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日，每天上午8:30至12:00，下午12:00至17:30（北京时间，法定节假日除外）</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地点：山东济南唐冶西路868号山东设计创意产业园南区B1楼</w:t>
      </w:r>
    </w:p>
    <w:p>
      <w:pPr>
        <w:spacing w:line="36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方式：凡有意参加本次政府采购的供应商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可选择以下任意一种方式：</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方式一：</w:t>
      </w:r>
      <w:r>
        <w:rPr>
          <w:rFonts w:hint="eastAsia" w:ascii="仿宋" w:hAnsi="仿宋" w:eastAsia="仿宋" w:cs="仿宋"/>
          <w:color w:val="auto"/>
          <w:sz w:val="28"/>
          <w:szCs w:val="28"/>
          <w:highlight w:val="none"/>
        </w:rPr>
        <w:t>供应商须携带营业执照、法定代表人授权委托书及身份证、授权代表依法缴纳社保的证明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方式二：</w:t>
      </w:r>
      <w:r>
        <w:rPr>
          <w:rFonts w:hint="eastAsia" w:ascii="仿宋" w:hAnsi="仿宋" w:eastAsia="仿宋" w:cs="仿宋"/>
          <w:color w:val="auto"/>
          <w:sz w:val="28"/>
          <w:szCs w:val="28"/>
          <w:highlight w:val="none"/>
        </w:rPr>
        <w:t>通过邮件报名：邮件内容：项目名称、项目编号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包号</w:t>
      </w:r>
      <w:r>
        <w:rPr>
          <w:rFonts w:hint="eastAsia" w:ascii="仿宋" w:hAnsi="仿宋" w:eastAsia="仿宋" w:cs="仿宋"/>
          <w:color w:val="auto"/>
          <w:sz w:val="28"/>
          <w:szCs w:val="28"/>
          <w:highlight w:val="none"/>
        </w:rPr>
        <w:t>、公司名称、联系人、联系电话、邮箱、营业执照副本扫描件、标书费汇款底单发送至</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邮箱cnshzb</w:t>
      </w:r>
      <w:r>
        <w:rPr>
          <w:rFonts w:hint="eastAsia" w:ascii="仿宋" w:hAnsi="仿宋" w:eastAsia="仿宋" w:cs="仿宋"/>
          <w:color w:val="auto"/>
          <w:sz w:val="28"/>
          <w:szCs w:val="28"/>
          <w:highlight w:val="none"/>
          <w:lang w:val="en-US" w:eastAsia="zh-CN"/>
        </w:rPr>
        <w:t>egs</w:t>
      </w:r>
      <w:r>
        <w:rPr>
          <w:rFonts w:hint="eastAsia" w:ascii="仿宋" w:hAnsi="仿宋" w:eastAsia="仿宋" w:cs="仿宋"/>
          <w:color w:val="auto"/>
          <w:sz w:val="28"/>
          <w:szCs w:val="28"/>
          <w:highlight w:val="none"/>
        </w:rPr>
        <w:t>@163.com，邮件名称命名为</w:t>
      </w:r>
      <w:r>
        <w:rPr>
          <w:rFonts w:hint="eastAsia" w:ascii="仿宋" w:hAnsi="仿宋" w:eastAsia="仿宋" w:cs="仿宋"/>
          <w:color w:val="auto"/>
          <w:sz w:val="28"/>
          <w:szCs w:val="28"/>
          <w:highlight w:val="none"/>
          <w:lang w:eastAsia="zh-CN"/>
        </w:rPr>
        <w:t>山东大学第二医院智慧医院一体化项目</w:t>
      </w:r>
      <w:r>
        <w:rPr>
          <w:rFonts w:hint="eastAsia" w:ascii="仿宋" w:hAnsi="仿宋" w:eastAsia="仿宋" w:cs="仿宋"/>
          <w:color w:val="auto"/>
          <w:sz w:val="28"/>
          <w:szCs w:val="28"/>
          <w:highlight w:val="none"/>
        </w:rPr>
        <w:t>-报名-“</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单位名称”。开户单位全称：</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。开户行：兴业银行济南燕山支行。账号：376060100100168341。</w:t>
      </w:r>
    </w:p>
    <w:p>
      <w:pPr>
        <w:spacing w:line="36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售价：￥300.0 元（人民币）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售后不退。</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注：1、本项目实行资格后审，获取招标文件成功不代表资格后审的通过。</w:t>
      </w:r>
    </w:p>
    <w:p>
      <w:pPr>
        <w:spacing w:line="360" w:lineRule="auto"/>
        <w:ind w:firstLine="540"/>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r>
        <w:rPr>
          <w:rFonts w:hint="eastAsia" w:ascii="仿宋" w:hAnsi="仿宋" w:eastAsia="仿宋" w:cs="仿宋"/>
          <w:color w:val="auto"/>
          <w:sz w:val="28"/>
          <w:szCs w:val="28"/>
          <w:highlight w:val="none"/>
          <w:lang w:val="en-US" w:eastAsia="zh-CN"/>
        </w:rPr>
        <w:t>公告、公示时间以</w:t>
      </w:r>
      <w:r>
        <w:rPr>
          <w:rFonts w:hint="eastAsia" w:ascii="仿宋" w:hAnsi="仿宋" w:eastAsia="仿宋" w:cs="仿宋"/>
          <w:color w:val="auto"/>
          <w:sz w:val="28"/>
          <w:szCs w:val="28"/>
          <w:highlight w:val="none"/>
        </w:rPr>
        <w:t>中国政府采购网</w:t>
      </w:r>
      <w:r>
        <w:rPr>
          <w:rFonts w:hint="eastAsia" w:ascii="仿宋" w:hAnsi="仿宋" w:eastAsia="仿宋" w:cs="仿宋"/>
          <w:color w:val="auto"/>
          <w:sz w:val="28"/>
          <w:szCs w:val="28"/>
          <w:highlight w:val="none"/>
          <w:lang w:val="en-US" w:eastAsia="zh-CN"/>
        </w:rPr>
        <w:t>发布时间为准。</w:t>
      </w:r>
    </w:p>
    <w:p>
      <w:pPr>
        <w:spacing w:line="360" w:lineRule="auto"/>
        <w:outlineLvl w:val="9"/>
        <w:rPr>
          <w:rFonts w:hint="eastAsia" w:ascii="仿宋" w:hAnsi="仿宋" w:eastAsia="仿宋" w:cs="仿宋"/>
          <w:b w:val="0"/>
          <w:color w:val="auto"/>
          <w:sz w:val="28"/>
          <w:szCs w:val="28"/>
          <w:highlight w:val="none"/>
        </w:rPr>
      </w:pPr>
      <w:bookmarkStart w:id="42" w:name="_Toc28359005"/>
      <w:bookmarkStart w:id="43" w:name="_Toc28359082"/>
      <w:bookmarkStart w:id="44" w:name="_Toc35393793"/>
      <w:bookmarkStart w:id="45" w:name="_Toc35393624"/>
      <w:r>
        <w:rPr>
          <w:rFonts w:hint="eastAsia" w:ascii="仿宋" w:hAnsi="仿宋" w:eastAsia="仿宋" w:cs="仿宋"/>
          <w:b w:val="0"/>
          <w:color w:val="auto"/>
          <w:sz w:val="28"/>
          <w:szCs w:val="28"/>
          <w:highlight w:val="none"/>
        </w:rPr>
        <w:t>四、提交投标文件</w:t>
      </w:r>
      <w:bookmarkEnd w:id="42"/>
      <w:bookmarkEnd w:id="43"/>
      <w:r>
        <w:rPr>
          <w:rFonts w:hint="eastAsia" w:ascii="仿宋" w:hAnsi="仿宋" w:eastAsia="仿宋" w:cs="仿宋"/>
          <w:b w:val="0"/>
          <w:color w:val="auto"/>
          <w:sz w:val="28"/>
          <w:szCs w:val="28"/>
          <w:highlight w:val="none"/>
        </w:rPr>
        <w:t>截止时间、开标时间和地点</w:t>
      </w:r>
      <w:bookmarkEnd w:id="44"/>
      <w:bookmarkEnd w:id="45"/>
    </w:p>
    <w:p>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lang w:val="en-US" w:eastAsia="zh-CN"/>
        </w:rPr>
        <w:t>2023年12</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13</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地点：山东大学第二医院文</w:t>
      </w:r>
      <w:r>
        <w:rPr>
          <w:rFonts w:hint="eastAsia" w:ascii="仿宋" w:hAnsi="仿宋" w:eastAsia="仿宋" w:cs="仿宋"/>
          <w:color w:val="auto"/>
          <w:sz w:val="28"/>
          <w:szCs w:val="28"/>
          <w:highlight w:val="none"/>
          <w:lang w:val="en-US" w:eastAsia="zh-CN"/>
        </w:rPr>
        <w:t>会</w:t>
      </w:r>
      <w:r>
        <w:rPr>
          <w:rFonts w:hint="eastAsia" w:ascii="仿宋" w:hAnsi="仿宋" w:eastAsia="仿宋" w:cs="仿宋"/>
          <w:color w:val="auto"/>
          <w:sz w:val="28"/>
          <w:szCs w:val="28"/>
          <w:highlight w:val="none"/>
        </w:rPr>
        <w:t>学堂（地址：济南市天桥区北园大街247号）。</w:t>
      </w:r>
    </w:p>
    <w:p>
      <w:pPr>
        <w:spacing w:line="360" w:lineRule="auto"/>
        <w:outlineLvl w:val="9"/>
        <w:rPr>
          <w:rFonts w:hint="eastAsia" w:ascii="仿宋" w:hAnsi="仿宋" w:eastAsia="仿宋" w:cs="仿宋"/>
          <w:b/>
          <w:bCs w:val="0"/>
          <w:color w:val="auto"/>
          <w:sz w:val="28"/>
          <w:szCs w:val="28"/>
          <w:highlight w:val="none"/>
        </w:rPr>
      </w:pPr>
      <w:bookmarkStart w:id="46" w:name="_Toc28359007"/>
      <w:bookmarkStart w:id="47" w:name="_Toc28359084"/>
      <w:bookmarkStart w:id="48" w:name="_Toc35393625"/>
      <w:bookmarkStart w:id="49" w:name="_Toc35393794"/>
      <w:r>
        <w:rPr>
          <w:rFonts w:hint="eastAsia" w:ascii="仿宋" w:hAnsi="仿宋" w:eastAsia="仿宋" w:cs="仿宋"/>
          <w:b/>
          <w:bCs w:val="0"/>
          <w:color w:val="auto"/>
          <w:sz w:val="28"/>
          <w:szCs w:val="28"/>
          <w:highlight w:val="none"/>
        </w:rPr>
        <w:t>五、公告期限</w:t>
      </w:r>
      <w:bookmarkEnd w:id="46"/>
      <w:bookmarkEnd w:id="47"/>
      <w:bookmarkEnd w:id="48"/>
      <w:bookmarkEnd w:id="49"/>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pPr>
        <w:spacing w:line="360" w:lineRule="auto"/>
        <w:outlineLvl w:val="9"/>
        <w:rPr>
          <w:rFonts w:hint="eastAsia" w:ascii="仿宋" w:hAnsi="仿宋" w:eastAsia="仿宋" w:cs="仿宋"/>
          <w:b/>
          <w:bCs w:val="0"/>
          <w:color w:val="auto"/>
          <w:sz w:val="28"/>
          <w:szCs w:val="28"/>
          <w:highlight w:val="none"/>
        </w:rPr>
      </w:pPr>
      <w:bookmarkStart w:id="50" w:name="_Toc35393626"/>
      <w:bookmarkStart w:id="51" w:name="_Toc35393795"/>
      <w:r>
        <w:rPr>
          <w:rFonts w:hint="eastAsia" w:ascii="仿宋" w:hAnsi="仿宋" w:eastAsia="仿宋" w:cs="仿宋"/>
          <w:b/>
          <w:bCs w:val="0"/>
          <w:color w:val="auto"/>
          <w:sz w:val="28"/>
          <w:szCs w:val="28"/>
          <w:highlight w:val="none"/>
        </w:rPr>
        <w:t>六、其他补充事宜</w:t>
      </w:r>
      <w:bookmarkEnd w:id="50"/>
      <w:bookmarkEnd w:id="51"/>
    </w:p>
    <w:p>
      <w:pPr>
        <w:spacing w:line="360" w:lineRule="auto"/>
        <w:outlineLvl w:val="9"/>
        <w:rPr>
          <w:rFonts w:hint="eastAsia" w:ascii="仿宋" w:hAnsi="仿宋" w:eastAsia="仿宋" w:cs="仿宋"/>
          <w:b w:val="0"/>
          <w:color w:val="auto"/>
          <w:sz w:val="28"/>
          <w:szCs w:val="28"/>
          <w:highlight w:val="none"/>
        </w:rPr>
      </w:pPr>
      <w:bookmarkStart w:id="52" w:name="_Toc27247"/>
      <w:bookmarkStart w:id="53" w:name="_Toc8523"/>
      <w:bookmarkStart w:id="54" w:name="_Toc13738"/>
      <w:bookmarkStart w:id="55" w:name="_Toc27143"/>
      <w:bookmarkStart w:id="56" w:name="_Toc11380"/>
      <w:bookmarkStart w:id="57" w:name="_Toc9359"/>
      <w:bookmarkStart w:id="58" w:name="_Toc28359008"/>
      <w:bookmarkStart w:id="59" w:name="_Toc35393796"/>
      <w:bookmarkStart w:id="60" w:name="_Toc35393627"/>
      <w:bookmarkStart w:id="61" w:name="_Toc28359085"/>
      <w:r>
        <w:rPr>
          <w:rFonts w:hint="eastAsia" w:ascii="仿宋" w:hAnsi="仿宋" w:eastAsia="仿宋" w:cs="仿宋"/>
          <w:b w:val="0"/>
          <w:color w:val="auto"/>
          <w:sz w:val="28"/>
          <w:szCs w:val="28"/>
          <w:highlight w:val="none"/>
        </w:rPr>
        <w:t>采购项目需要落实的政府采购政策</w:t>
      </w:r>
      <w:bookmarkEnd w:id="52"/>
      <w:bookmarkEnd w:id="53"/>
      <w:bookmarkEnd w:id="54"/>
      <w:bookmarkEnd w:id="55"/>
      <w:bookmarkEnd w:id="56"/>
      <w:bookmarkEnd w:id="57"/>
    </w:p>
    <w:p>
      <w:pPr>
        <w:spacing w:line="360" w:lineRule="auto"/>
        <w:outlineLvl w:val="9"/>
        <w:rPr>
          <w:rFonts w:hint="eastAsia" w:ascii="仿宋" w:hAnsi="仿宋" w:eastAsia="仿宋" w:cs="仿宋"/>
          <w:b w:val="0"/>
          <w:color w:val="auto"/>
          <w:sz w:val="28"/>
          <w:szCs w:val="28"/>
          <w:highlight w:val="none"/>
        </w:rPr>
      </w:pPr>
      <w:bookmarkStart w:id="62" w:name="_Toc21415"/>
      <w:bookmarkStart w:id="63" w:name="_Toc13114"/>
      <w:bookmarkStart w:id="64" w:name="_Toc25231"/>
      <w:bookmarkStart w:id="65" w:name="_Toc4986"/>
      <w:bookmarkStart w:id="66" w:name="_Toc32511"/>
      <w:bookmarkStart w:id="67" w:name="_Toc5740"/>
      <w:r>
        <w:rPr>
          <w:rFonts w:hint="eastAsia" w:ascii="仿宋" w:hAnsi="仿宋" w:eastAsia="仿宋" w:cs="仿宋"/>
          <w:b w:val="0"/>
          <w:color w:val="auto"/>
          <w:sz w:val="28"/>
          <w:szCs w:val="28"/>
          <w:highlight w:val="none"/>
        </w:rPr>
        <w:t>（一）中小微型企业政府采购政策</w:t>
      </w:r>
      <w:bookmarkEnd w:id="62"/>
      <w:bookmarkEnd w:id="63"/>
      <w:bookmarkEnd w:id="64"/>
      <w:bookmarkEnd w:id="65"/>
      <w:bookmarkEnd w:id="66"/>
      <w:bookmarkEnd w:id="67"/>
    </w:p>
    <w:p>
      <w:pPr>
        <w:spacing w:line="360" w:lineRule="auto"/>
        <w:outlineLvl w:val="9"/>
        <w:rPr>
          <w:rFonts w:hint="eastAsia" w:ascii="仿宋" w:hAnsi="仿宋" w:eastAsia="仿宋" w:cs="仿宋"/>
          <w:b w:val="0"/>
          <w:color w:val="auto"/>
          <w:sz w:val="28"/>
          <w:szCs w:val="28"/>
          <w:highlight w:val="none"/>
        </w:rPr>
      </w:pPr>
      <w:bookmarkStart w:id="68" w:name="_Toc16973"/>
      <w:bookmarkStart w:id="69" w:name="_Toc24918"/>
      <w:bookmarkStart w:id="70" w:name="_Toc18856"/>
      <w:bookmarkStart w:id="71" w:name="_Toc27124"/>
      <w:bookmarkStart w:id="72" w:name="_Toc2425"/>
      <w:bookmarkStart w:id="73" w:name="_Toc6934"/>
      <w:r>
        <w:rPr>
          <w:rFonts w:hint="eastAsia" w:ascii="仿宋" w:hAnsi="仿宋" w:eastAsia="仿宋" w:cs="仿宋"/>
          <w:b w:val="0"/>
          <w:color w:val="auto"/>
          <w:sz w:val="28"/>
          <w:szCs w:val="28"/>
          <w:highlight w:val="none"/>
        </w:rPr>
        <w:t>（二）监狱企业政府采购政策</w:t>
      </w:r>
      <w:bookmarkEnd w:id="68"/>
      <w:bookmarkEnd w:id="69"/>
      <w:bookmarkEnd w:id="70"/>
      <w:bookmarkEnd w:id="71"/>
      <w:bookmarkEnd w:id="72"/>
      <w:bookmarkEnd w:id="73"/>
    </w:p>
    <w:p>
      <w:pPr>
        <w:spacing w:line="360" w:lineRule="auto"/>
        <w:outlineLvl w:val="9"/>
        <w:rPr>
          <w:rFonts w:hint="eastAsia" w:ascii="仿宋" w:hAnsi="仿宋" w:eastAsia="仿宋" w:cs="仿宋"/>
          <w:b w:val="0"/>
          <w:color w:val="auto"/>
          <w:sz w:val="28"/>
          <w:szCs w:val="28"/>
          <w:highlight w:val="none"/>
        </w:rPr>
      </w:pPr>
      <w:bookmarkStart w:id="74" w:name="_Toc25943"/>
      <w:bookmarkStart w:id="75" w:name="_Toc18488"/>
      <w:bookmarkStart w:id="76" w:name="_Toc19604"/>
      <w:bookmarkStart w:id="77" w:name="_Toc32242"/>
      <w:bookmarkStart w:id="78" w:name="_Toc28309"/>
      <w:bookmarkStart w:id="79" w:name="_Toc19142"/>
      <w:r>
        <w:rPr>
          <w:rFonts w:hint="eastAsia" w:ascii="仿宋" w:hAnsi="仿宋" w:eastAsia="仿宋" w:cs="仿宋"/>
          <w:b w:val="0"/>
          <w:color w:val="auto"/>
          <w:sz w:val="28"/>
          <w:szCs w:val="28"/>
          <w:highlight w:val="none"/>
        </w:rPr>
        <w:t>（三）促进残疾人就业政府采购政策</w:t>
      </w:r>
      <w:bookmarkEnd w:id="74"/>
      <w:bookmarkEnd w:id="75"/>
      <w:bookmarkEnd w:id="76"/>
      <w:bookmarkEnd w:id="77"/>
      <w:bookmarkEnd w:id="78"/>
      <w:bookmarkEnd w:id="79"/>
    </w:p>
    <w:p>
      <w:pPr>
        <w:spacing w:line="360" w:lineRule="auto"/>
        <w:ind w:firstLine="280" w:firstLineChars="100"/>
        <w:outlineLvl w:val="9"/>
        <w:rPr>
          <w:rFonts w:hint="eastAsia" w:ascii="仿宋" w:hAnsi="仿宋" w:eastAsia="仿宋" w:cs="仿宋"/>
          <w:b w:val="0"/>
          <w:color w:val="auto"/>
          <w:sz w:val="28"/>
          <w:szCs w:val="28"/>
          <w:highlight w:val="none"/>
        </w:rPr>
      </w:pPr>
      <w:bookmarkStart w:id="80" w:name="_Toc26675"/>
      <w:bookmarkStart w:id="81" w:name="_Toc31679"/>
      <w:bookmarkStart w:id="82" w:name="_Toc21956"/>
      <w:bookmarkStart w:id="83" w:name="_Toc24173"/>
      <w:bookmarkStart w:id="84" w:name="_Toc27218"/>
      <w:bookmarkStart w:id="85" w:name="_Toc2163"/>
      <w:r>
        <w:rPr>
          <w:rFonts w:hint="eastAsia" w:ascii="仿宋" w:hAnsi="仿宋" w:eastAsia="仿宋" w:cs="仿宋"/>
          <w:b w:val="0"/>
          <w:color w:val="auto"/>
          <w:sz w:val="28"/>
          <w:szCs w:val="28"/>
          <w:highlight w:val="none"/>
        </w:rPr>
        <w:t>详见招标文件</w:t>
      </w:r>
      <w:bookmarkEnd w:id="80"/>
      <w:bookmarkEnd w:id="81"/>
      <w:bookmarkEnd w:id="82"/>
      <w:bookmarkEnd w:id="83"/>
      <w:bookmarkEnd w:id="84"/>
      <w:bookmarkEnd w:id="85"/>
    </w:p>
    <w:p>
      <w:pPr>
        <w:spacing w:line="360" w:lineRule="auto"/>
        <w:outlineLvl w:val="9"/>
        <w:rPr>
          <w:rFonts w:hint="eastAsia" w:ascii="仿宋" w:hAnsi="仿宋" w:eastAsia="仿宋" w:cs="仿宋"/>
          <w:b w:val="0"/>
          <w:color w:val="auto"/>
          <w:sz w:val="28"/>
          <w:szCs w:val="28"/>
          <w:highlight w:val="none"/>
        </w:rPr>
      </w:pPr>
      <w:r>
        <w:rPr>
          <w:rFonts w:hint="eastAsia" w:ascii="仿宋" w:hAnsi="仿宋" w:eastAsia="仿宋" w:cs="仿宋"/>
          <w:b/>
          <w:bCs w:val="0"/>
          <w:color w:val="auto"/>
          <w:sz w:val="28"/>
          <w:szCs w:val="28"/>
          <w:highlight w:val="none"/>
        </w:rPr>
        <w:t>七、对本次招标提出询问，请按以下方式联系</w:t>
      </w:r>
      <w:bookmarkEnd w:id="58"/>
      <w:bookmarkEnd w:id="59"/>
      <w:bookmarkEnd w:id="60"/>
      <w:bookmarkEnd w:id="61"/>
    </w:p>
    <w:p>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1.采购人信息</w:t>
      </w:r>
    </w:p>
    <w:p>
      <w:pPr>
        <w:spacing w:line="360" w:lineRule="auto"/>
        <w:ind w:left="1389" w:leftChars="371" w:hanging="350" w:hangingChars="125"/>
        <w:jc w:val="left"/>
        <w:rPr>
          <w:rFonts w:hint="eastAsia" w:ascii="仿宋" w:hAnsi="仿宋" w:eastAsia="仿宋" w:cs="仿宋"/>
          <w:color w:val="auto"/>
          <w:sz w:val="28"/>
          <w:szCs w:val="28"/>
          <w:highlight w:val="none"/>
        </w:rPr>
      </w:pPr>
      <w:bookmarkStart w:id="86" w:name="_Toc28359009"/>
      <w:bookmarkStart w:id="87" w:name="_Toc28359086"/>
      <w:r>
        <w:rPr>
          <w:rFonts w:hint="eastAsia" w:ascii="仿宋" w:hAnsi="仿宋" w:eastAsia="仿宋" w:cs="仿宋"/>
          <w:color w:val="auto"/>
          <w:sz w:val="28"/>
          <w:szCs w:val="28"/>
          <w:highlight w:val="none"/>
        </w:rPr>
        <w:t>名称：山东大学</w:t>
      </w:r>
      <w:r>
        <w:rPr>
          <w:rFonts w:hint="eastAsia" w:ascii="仿宋" w:hAnsi="仿宋" w:eastAsia="仿宋" w:cs="仿宋"/>
          <w:color w:val="auto"/>
          <w:sz w:val="28"/>
          <w:szCs w:val="28"/>
          <w:highlight w:val="none"/>
          <w:lang w:val="en-US" w:eastAsia="zh-CN"/>
        </w:rPr>
        <w:t>第二医院</w:t>
      </w:r>
      <w:r>
        <w:rPr>
          <w:rFonts w:hint="eastAsia" w:ascii="仿宋" w:hAnsi="仿宋" w:eastAsia="仿宋" w:cs="仿宋"/>
          <w:color w:val="auto"/>
          <w:sz w:val="28"/>
          <w:szCs w:val="28"/>
          <w:highlight w:val="none"/>
        </w:rPr>
        <w:t>　　　　　</w:t>
      </w:r>
    </w:p>
    <w:p>
      <w:pPr>
        <w:spacing w:line="360" w:lineRule="auto"/>
        <w:ind w:left="1389" w:leftChars="371" w:hanging="350" w:hangingChars="1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山东省济南市天桥区北园大街247号</w:t>
      </w:r>
      <w:r>
        <w:rPr>
          <w:rFonts w:hint="eastAsia" w:ascii="仿宋" w:hAnsi="仿宋" w:eastAsia="仿宋" w:cs="仿宋"/>
          <w:color w:val="auto"/>
          <w:sz w:val="28"/>
          <w:szCs w:val="28"/>
          <w:highlight w:val="none"/>
        </w:rPr>
        <w:t>　　　　　　　　</w:t>
      </w:r>
    </w:p>
    <w:p>
      <w:pPr>
        <w:spacing w:line="360" w:lineRule="auto"/>
        <w:ind w:left="1389" w:leftChars="371" w:hanging="350" w:hangingChars="1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w:t>
      </w:r>
      <w:r>
        <w:rPr>
          <w:rFonts w:hint="eastAsia" w:ascii="仿宋" w:hAnsi="仿宋" w:eastAsia="仿宋" w:cs="仿宋"/>
          <w:color w:val="auto"/>
          <w:sz w:val="28"/>
          <w:szCs w:val="28"/>
          <w:highlight w:val="none"/>
          <w:lang w:val="en-US" w:eastAsia="zh-CN"/>
        </w:rPr>
        <w:t>85875076</w:t>
      </w:r>
      <w:r>
        <w:rPr>
          <w:rFonts w:hint="eastAsia" w:ascii="仿宋" w:hAnsi="仿宋" w:eastAsia="仿宋" w:cs="仿宋"/>
          <w:color w:val="auto"/>
          <w:sz w:val="28"/>
          <w:szCs w:val="28"/>
          <w:highlight w:val="none"/>
        </w:rPr>
        <w:t>　　</w:t>
      </w:r>
    </w:p>
    <w:p>
      <w:pPr>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86"/>
      <w:bookmarkEnd w:id="87"/>
    </w:p>
    <w:p>
      <w:pPr>
        <w:spacing w:line="360" w:lineRule="auto"/>
        <w:ind w:firstLine="840" w:firstLineChars="300"/>
        <w:rPr>
          <w:rFonts w:hint="eastAsia" w:ascii="仿宋" w:hAnsi="仿宋" w:eastAsia="仿宋" w:cs="仿宋"/>
          <w:color w:val="auto"/>
          <w:sz w:val="28"/>
          <w:szCs w:val="28"/>
          <w:highlight w:val="none"/>
        </w:rPr>
      </w:pPr>
      <w:bookmarkStart w:id="88" w:name="_Toc28359010"/>
      <w:bookmarkStart w:id="89" w:name="_Toc28359087"/>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　　　　　　　　　　　　</w:t>
      </w:r>
    </w:p>
    <w:p>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联系方式：0531-88260506　　　</w:t>
      </w:r>
    </w:p>
    <w:p>
      <w:pPr>
        <w:spacing w:line="360" w:lineRule="auto"/>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3.项目联系方式</w:t>
      </w:r>
      <w:bookmarkEnd w:id="88"/>
      <w:bookmarkEnd w:id="89"/>
    </w:p>
    <w:p>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val="en-US" w:eastAsia="zh-CN"/>
        </w:rPr>
        <w:t>许铖铖、</w:t>
      </w:r>
      <w:r>
        <w:rPr>
          <w:rFonts w:hint="eastAsia" w:ascii="仿宋" w:hAnsi="仿宋" w:eastAsia="仿宋" w:cs="仿宋"/>
          <w:color w:val="auto"/>
          <w:sz w:val="28"/>
          <w:szCs w:val="28"/>
          <w:highlight w:val="none"/>
        </w:rPr>
        <w:t>王凯</w:t>
      </w:r>
    </w:p>
    <w:p>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val="en-US" w:eastAsia="zh-CN"/>
        </w:rPr>
        <w:t>0531-88260506、</w:t>
      </w:r>
      <w:r>
        <w:rPr>
          <w:rFonts w:hint="eastAsia" w:ascii="仿宋" w:hAnsi="仿宋" w:eastAsia="仿宋" w:cs="仿宋"/>
          <w:color w:val="auto"/>
          <w:sz w:val="28"/>
          <w:szCs w:val="28"/>
          <w:highlight w:val="none"/>
        </w:rPr>
        <w:t>15153117917</w:t>
      </w:r>
      <w:r>
        <w:rPr>
          <w:rFonts w:hint="eastAsia" w:ascii="仿宋" w:hAnsi="仿宋" w:eastAsia="仿宋" w:cs="仿宋"/>
          <w:color w:val="auto"/>
          <w:sz w:val="28"/>
          <w:szCs w:val="28"/>
          <w:highlight w:val="none"/>
          <w:lang w:val="en-US" w:eastAsia="zh-CN"/>
        </w:rPr>
        <w:t>、15264153233</w:t>
      </w:r>
    </w:p>
    <w:p>
      <w:pPr>
        <w:spacing w:line="360" w:lineRule="auto"/>
        <w:ind w:firstLine="840" w:firstLineChars="300"/>
        <w:jc w:val="center"/>
        <w:outlineLvl w:val="0"/>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bookmarkStart w:id="90" w:name="_Toc356491306"/>
      <w:bookmarkStart w:id="91" w:name="_Toc6660"/>
      <w:bookmarkStart w:id="92" w:name="_Toc13436"/>
      <w:bookmarkStart w:id="93" w:name="_Toc11334"/>
      <w:r>
        <w:rPr>
          <w:rFonts w:hint="eastAsia" w:ascii="仿宋" w:hAnsi="仿宋" w:eastAsia="仿宋" w:cs="仿宋"/>
          <w:b/>
          <w:bCs w:val="0"/>
          <w:color w:val="auto"/>
          <w:sz w:val="28"/>
          <w:szCs w:val="28"/>
          <w:highlight w:val="none"/>
          <w:lang w:val="en-US" w:eastAsia="zh-CN"/>
        </w:rPr>
        <w:t xml:space="preserve">第二部分 </w:t>
      </w:r>
      <w:r>
        <w:rPr>
          <w:rFonts w:hint="eastAsia" w:ascii="仿宋" w:hAnsi="仿宋" w:eastAsia="仿宋" w:cs="仿宋"/>
          <w:b/>
          <w:bCs w:val="0"/>
          <w:color w:val="auto"/>
          <w:sz w:val="28"/>
          <w:szCs w:val="28"/>
          <w:highlight w:val="none"/>
        </w:rPr>
        <w:t>投标人须知</w:t>
      </w:r>
      <w:bookmarkEnd w:id="26"/>
      <w:bookmarkEnd w:id="27"/>
      <w:bookmarkEnd w:id="28"/>
      <w:bookmarkEnd w:id="90"/>
      <w:bookmarkEnd w:id="91"/>
      <w:bookmarkEnd w:id="92"/>
      <w:bookmarkEnd w:id="93"/>
    </w:p>
    <w:p>
      <w:pPr>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供应商须知前附表</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本表是对“供应商须知”正文的具体补充和修改，如有不一致，以“前附表”为准。</w:t>
      </w:r>
    </w:p>
    <w:tbl>
      <w:tblPr>
        <w:tblStyle w:val="38"/>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山东大学第二医院智慧医院一体化项目</w:t>
            </w:r>
          </w:p>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SDSHZB2023-297</w:t>
            </w:r>
            <w:r>
              <w:rPr>
                <w:rFonts w:hint="eastAsia" w:ascii="仿宋" w:hAnsi="仿宋" w:eastAsia="仿宋" w:cs="仿宋"/>
                <w:color w:val="auto"/>
                <w:sz w:val="24"/>
                <w:szCs w:val="24"/>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pPr>
              <w:pStyle w:val="16"/>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资金来源：已落实</w:t>
            </w:r>
          </w:p>
          <w:p>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2500万元。</w:t>
            </w:r>
          </w:p>
          <w:p>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2500万元。</w:t>
            </w:r>
          </w:p>
          <w:tbl>
            <w:tblPr>
              <w:tblStyle w:val="38"/>
              <w:tblW w:w="5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132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2984" w:type="dxa"/>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服务名称</w:t>
                  </w:r>
                </w:p>
              </w:tc>
              <w:tc>
                <w:tcPr>
                  <w:tcW w:w="1324" w:type="dxa"/>
                  <w:vAlign w:val="center"/>
                </w:tcPr>
                <w:p>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数量</w:t>
                  </w:r>
                </w:p>
              </w:tc>
              <w:tc>
                <w:tcPr>
                  <w:tcW w:w="1580" w:type="dxa"/>
                  <w:vAlign w:val="center"/>
                </w:tcPr>
                <w:p>
                  <w:pPr>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预算</w:t>
                  </w:r>
                  <w:r>
                    <w:rPr>
                      <w:rFonts w:hint="eastAsia" w:ascii="仿宋" w:hAnsi="仿宋" w:eastAsia="仿宋" w:cs="仿宋"/>
                      <w:b/>
                      <w:color w:val="auto"/>
                      <w:kern w:val="0"/>
                      <w:sz w:val="24"/>
                      <w:szCs w:val="24"/>
                      <w:highlight w:val="no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84" w:type="dxa"/>
                  <w:vAlign w:val="center"/>
                </w:tcPr>
                <w:p>
                  <w:pPr>
                    <w:pStyle w:val="19"/>
                    <w:spacing w:line="240" w:lineRule="auto"/>
                    <w:ind w:left="0" w:leftChars="0"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智慧医院一体化</w:t>
                  </w:r>
                </w:p>
              </w:tc>
              <w:tc>
                <w:tcPr>
                  <w:tcW w:w="1324" w:type="dxa"/>
                  <w:vAlign w:val="center"/>
                </w:tcPr>
                <w:p>
                  <w:pPr>
                    <w:pStyle w:val="19"/>
                    <w:spacing w:line="240" w:lineRule="auto"/>
                    <w:ind w:left="0" w:leftChars="0" w:firstLine="0" w:firstLineChars="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1项</w:t>
                  </w:r>
                </w:p>
              </w:tc>
              <w:tc>
                <w:tcPr>
                  <w:tcW w:w="1580" w:type="dxa"/>
                  <w:vAlign w:val="center"/>
                </w:tcPr>
                <w:p>
                  <w:pPr>
                    <w:pStyle w:val="19"/>
                    <w:spacing w:line="240" w:lineRule="auto"/>
                    <w:ind w:left="0" w:leftChars="0" w:firstLine="0" w:firstLineChars="0"/>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sz w:val="24"/>
                      <w:szCs w:val="24"/>
                      <w:highlight w:val="none"/>
                      <w:lang w:val="en-US" w:eastAsia="zh-CN"/>
                    </w:rPr>
                    <w:t>2500万元</w:t>
                  </w:r>
                </w:p>
              </w:tc>
            </w:tr>
          </w:tbl>
          <w:p>
            <w:pPr>
              <w:pStyle w:val="16"/>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供应商应提供能够证明符合资格条件的下列材料：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供应商是事业单位的，应提供其有效的“事业单位法人证书”复印件；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供应商是自然人的，应提供其有效的自然人身份证明。</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供应商是法人的，应提供202</w:t>
            </w: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auto"/>
                <w:sz w:val="24"/>
                <w:szCs w:val="24"/>
                <w:highlight w:val="none"/>
              </w:rPr>
              <w:t>经审计的财务报告复印件，或其基本开户银行出具的资信证明原件；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供应商是其他组织或自然人的，应提供银行出具的资信证明原件。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0" w:type="dxa"/>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2023年11月22日17:30</w:t>
            </w:r>
            <w:r>
              <w:rPr>
                <w:rFonts w:hint="eastAsia" w:ascii="仿宋" w:hAnsi="仿宋" w:eastAsia="仿宋" w:cs="仿宋"/>
                <w:color w:val="auto"/>
                <w:sz w:val="24"/>
                <w:szCs w:val="24"/>
                <w:highlight w:val="none"/>
              </w:rPr>
              <w:t>前。</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0" w:type="dxa"/>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2023年11月23日17:30</w:t>
            </w:r>
            <w:r>
              <w:rPr>
                <w:rFonts w:hint="eastAsia" w:ascii="仿宋" w:hAnsi="仿宋" w:eastAsia="仿宋" w:cs="仿宋"/>
                <w:color w:val="auto"/>
                <w:sz w:val="24"/>
                <w:szCs w:val="24"/>
                <w:highlight w:val="none"/>
              </w:rPr>
              <w:t>前。</w:t>
            </w:r>
          </w:p>
          <w:p>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0" w:type="dxa"/>
            <w:vAlign w:val="center"/>
          </w:tcPr>
          <w:p>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7</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w:t>
            </w:r>
          </w:p>
          <w:p>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纸质投标文件的装订：供应商须将投标文件（正本、副本）按照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供应商名称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0" w:type="dxa"/>
            <w:vAlign w:val="center"/>
          </w:tcPr>
          <w:p>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pPr>
              <w:pStyle w:val="16"/>
              <w:spacing w:line="360" w:lineRule="auto"/>
              <w:ind w:firstLine="482" w:firstLineChars="200"/>
              <w:rPr>
                <w:rFonts w:hint="eastAsia" w:ascii="仿宋" w:hAnsi="仿宋" w:eastAsia="仿宋" w:cs="仿宋"/>
                <w:snapToGrid w:val="0"/>
                <w:color w:val="auto"/>
                <w:sz w:val="24"/>
                <w:szCs w:val="24"/>
                <w:highlight w:val="none"/>
              </w:rPr>
            </w:pPr>
            <w:r>
              <w:rPr>
                <w:rFonts w:hint="eastAsia" w:ascii="仿宋" w:hAnsi="仿宋" w:eastAsia="仿宋" w:cs="仿宋"/>
                <w:b/>
                <w:bCs/>
                <w:snapToGrid w:val="0"/>
                <w:color w:val="auto"/>
                <w:sz w:val="24"/>
                <w:szCs w:val="24"/>
                <w:highlight w:val="none"/>
                <w:lang w:val="en-US" w:eastAsia="zh-CN"/>
              </w:rPr>
              <w:t>投标保证金金额：10万元整</w:t>
            </w:r>
            <w:r>
              <w:rPr>
                <w:rFonts w:hint="eastAsia" w:ascii="仿宋" w:hAnsi="仿宋" w:eastAsia="仿宋" w:cs="仿宋"/>
                <w:snapToGrid w:val="0"/>
                <w:color w:val="auto"/>
                <w:sz w:val="24"/>
                <w:szCs w:val="24"/>
                <w:highlight w:val="none"/>
              </w:rPr>
              <w:t>；</w:t>
            </w:r>
          </w:p>
          <w:p>
            <w:pPr>
              <w:pStyle w:val="16"/>
              <w:spacing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投标保证金缴纳形式：网银转账或电汇，银行保函或第三方担保。</w:t>
            </w:r>
          </w:p>
          <w:p>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以网银转账或电汇形式缴纳投标保证金时：</w:t>
            </w:r>
          </w:p>
          <w:p>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开户银行及账号如下：</w:t>
            </w:r>
          </w:p>
          <w:p>
            <w:pPr>
              <w:spacing w:line="360" w:lineRule="auto"/>
              <w:ind w:firstLine="525" w:firstLineChars="218"/>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开户单位全称：</w:t>
            </w:r>
            <w:r>
              <w:rPr>
                <w:rFonts w:hint="eastAsia" w:ascii="仿宋" w:hAnsi="仿宋" w:eastAsia="仿宋" w:cs="仿宋"/>
                <w:b/>
                <w:color w:val="auto"/>
                <w:sz w:val="24"/>
                <w:szCs w:val="24"/>
                <w:highlight w:val="none"/>
                <w:lang w:eastAsia="zh-CN"/>
              </w:rPr>
              <w:t>盛和招标代理有限公司</w:t>
            </w:r>
          </w:p>
          <w:p>
            <w:pPr>
              <w:spacing w:line="360" w:lineRule="auto"/>
              <w:ind w:firstLine="525" w:firstLineChars="218"/>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开户银行：兴业银行济南燕山支行</w:t>
            </w:r>
          </w:p>
          <w:p>
            <w:pPr>
              <w:spacing w:line="360" w:lineRule="auto"/>
              <w:ind w:firstLine="525" w:firstLineChars="218"/>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帐    号：376060100100168341</w:t>
            </w:r>
          </w:p>
          <w:p>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投标文件递交地点：山东大学第二医院文</w:t>
            </w:r>
            <w:r>
              <w:rPr>
                <w:rFonts w:hint="eastAsia" w:ascii="仿宋" w:hAnsi="仿宋" w:eastAsia="仿宋" w:cs="仿宋"/>
                <w:color w:val="auto"/>
                <w:sz w:val="24"/>
                <w:szCs w:val="24"/>
                <w:highlight w:val="none"/>
                <w:lang w:val="en-US" w:eastAsia="zh-CN"/>
              </w:rPr>
              <w:t>会</w:t>
            </w:r>
            <w:r>
              <w:rPr>
                <w:rFonts w:hint="eastAsia" w:ascii="仿宋" w:hAnsi="仿宋" w:eastAsia="仿宋" w:cs="仿宋"/>
                <w:color w:val="auto"/>
                <w:sz w:val="24"/>
                <w:szCs w:val="24"/>
                <w:highlight w:val="none"/>
              </w:rPr>
              <w:t>学堂（地址：济南市天桥区北园大街247号）</w:t>
            </w:r>
            <w:r>
              <w:rPr>
                <w:rFonts w:hint="eastAsia" w:ascii="仿宋" w:hAnsi="仿宋" w:eastAsia="仿宋" w:cs="仿宋"/>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财务状况年份要求：202</w:t>
            </w: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auto"/>
                <w:sz w:val="24"/>
                <w:szCs w:val="24"/>
                <w:highlight w:val="none"/>
              </w:rPr>
              <w:t xml:space="preserve">； </w:t>
            </w:r>
          </w:p>
          <w:p>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2020</w:t>
            </w:r>
            <w:r>
              <w:rPr>
                <w:rFonts w:hint="eastAsia" w:ascii="仿宋" w:hAnsi="仿宋" w:eastAsia="仿宋" w:cs="仿宋"/>
                <w:color w:val="auto"/>
                <w:kern w:val="2"/>
                <w:sz w:val="24"/>
                <w:szCs w:val="24"/>
                <w:highlight w:val="none"/>
              </w:rPr>
              <w:t>年1</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11</w:t>
            </w:r>
            <w:r>
              <w:rPr>
                <w:rFonts w:hint="eastAsia" w:ascii="仿宋" w:hAnsi="仿宋" w:eastAsia="仿宋" w:cs="仿宋"/>
                <w:color w:val="auto"/>
                <w:kern w:val="2"/>
                <w:sz w:val="24"/>
                <w:szCs w:val="24"/>
                <w:highlight w:val="none"/>
              </w:rPr>
              <w:t>日至今；</w:t>
            </w:r>
          </w:p>
          <w:p>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0"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w:t>
            </w:r>
          </w:p>
        </w:tc>
        <w:tc>
          <w:tcPr>
            <w:tcW w:w="7559" w:type="dxa"/>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签订合同之日进场实施，4个月内完成中心院区和南部院区切换，稳定一个月后完成北院区上线（2024年4月底前）；后期持续深度完善10个月，总工期不超过18个月。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840" w:type="dxa"/>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自项目验收合格之日起计算，本项目质量保证期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软件原厂</w:t>
            </w:r>
            <w:r>
              <w:rPr>
                <w:rFonts w:hint="eastAsia" w:ascii="仿宋" w:hAnsi="仿宋" w:eastAsia="仿宋" w:cs="仿宋"/>
                <w:color w:val="auto"/>
                <w:sz w:val="24"/>
                <w:szCs w:val="24"/>
                <w:highlight w:val="none"/>
              </w:rPr>
              <w:t>3年</w:t>
            </w:r>
            <w:r>
              <w:rPr>
                <w:rFonts w:hint="eastAsia" w:ascii="仿宋" w:hAnsi="仿宋" w:eastAsia="仿宋" w:cs="仿宋"/>
                <w:color w:val="auto"/>
                <w:sz w:val="24"/>
                <w:szCs w:val="24"/>
                <w:highlight w:val="none"/>
                <w:lang w:val="en-US" w:eastAsia="zh-CN"/>
              </w:rPr>
              <w:t>质保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硬件原厂5年质保（技术参数中有特殊要求的按技术参数中执行）。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840"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本项目费用由医院或第三方支付；如由第三方支付，医院与中标厂商和第三方签订三方协议，约定由第三方付款。</w:t>
            </w:r>
          </w:p>
          <w:p>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（1）核心系统切换上线，且运行1个月后，支付项目总额的 50%。</w:t>
            </w:r>
          </w:p>
          <w:p>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（2）全部系统上线，且平稳运行6个月后，支付项目总额的10%。</w:t>
            </w:r>
          </w:p>
          <w:p>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（3）医院通过电子病历系统功能与应用水平分级评价5级后，支付项目总额的20%；通过医院信息互联互通标准化成熟度测评五乙后，支付项目总额的10%。</w:t>
            </w:r>
          </w:p>
          <w:p>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（4）项目维保到期且验收合格后，支付项目总额的10%。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p>
        </w:tc>
        <w:tc>
          <w:tcPr>
            <w:tcW w:w="1840"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p>
        </w:tc>
        <w:tc>
          <w:tcPr>
            <w:tcW w:w="184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840" w:type="dxa"/>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1840" w:type="dxa"/>
            <w:tcBorders>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26</w:t>
            </w:r>
          </w:p>
        </w:tc>
        <w:tc>
          <w:tcPr>
            <w:tcW w:w="1840" w:type="dxa"/>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pPr>
              <w:pStyle w:val="5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软件和信息技术服务业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27</w:t>
            </w:r>
          </w:p>
        </w:tc>
        <w:tc>
          <w:tcPr>
            <w:tcW w:w="1840" w:type="dxa"/>
            <w:tcBorders>
              <w:right w:val="single" w:color="auto" w:sz="4" w:space="0"/>
            </w:tcBorders>
            <w:vAlign w:val="center"/>
          </w:tcPr>
          <w:p>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本项目核心产品为：HIS、电子病历、集成平台（数据中心）一体化系统，</w:t>
            </w:r>
            <w:r>
              <w:rPr>
                <w:rFonts w:hint="eastAsia" w:ascii="仿宋" w:hAnsi="仿宋" w:eastAsia="仿宋" w:cs="仿宋"/>
                <w:b/>
                <w:color w:val="auto"/>
                <w:sz w:val="24"/>
                <w:highlight w:val="none"/>
              </w:rPr>
              <w:t>多家供应商提供的核心产品品牌均相同的，属投报相同品牌产品，按下列规定处理：</w:t>
            </w:r>
          </w:p>
          <w:p>
            <w:pPr>
              <w:pStyle w:val="50"/>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highlight w:val="none"/>
              </w:rPr>
              <w:t>提供相同品牌产品且通过资格审查、符合性审查的不同供应商参加同一合同项下投标的，按一家供应商计算，评审后得分最高的同品牌供应商获得中标人推荐资格；评审得分相同的，由采购人或者采购人委托评标委员会依次按投标报价低、技术条款响应得分高、售后服务得分高的顺序确定一个供应商获得中标人推荐资格，其他同品牌供应商不作为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p>
        </w:tc>
        <w:tc>
          <w:tcPr>
            <w:tcW w:w="1840" w:type="dxa"/>
            <w:tcBorders>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2）招标文件各章节中，有加粗的文字，表示是重要的内容，应引起供应商的注意。</w:t>
            </w:r>
          </w:p>
          <w:p>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pPr>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供应商须知正文</w:t>
      </w:r>
    </w:p>
    <w:p>
      <w:pPr>
        <w:rPr>
          <w:rFonts w:hint="eastAsia" w:ascii="仿宋" w:hAnsi="仿宋" w:eastAsia="仿宋" w:cs="仿宋"/>
          <w:color w:val="auto"/>
          <w:highlight w:val="none"/>
        </w:rPr>
      </w:pP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94" w:name="_Toc356490368"/>
      <w:bookmarkStart w:id="95" w:name="_Toc26394"/>
      <w:bookmarkStart w:id="96" w:name="_Toc325620703"/>
      <w:bookmarkStart w:id="97" w:name="_Toc24644"/>
      <w:bookmarkStart w:id="98" w:name="_Toc356491307"/>
      <w:bookmarkStart w:id="99" w:name="_Toc407632769"/>
      <w:bookmarkStart w:id="100" w:name="_Toc9675"/>
      <w:r>
        <w:rPr>
          <w:rFonts w:hint="eastAsia" w:ascii="仿宋" w:hAnsi="仿宋" w:eastAsia="仿宋" w:cs="仿宋"/>
          <w:color w:val="auto"/>
          <w:sz w:val="28"/>
          <w:szCs w:val="28"/>
          <w:highlight w:val="none"/>
        </w:rPr>
        <w:t>一、适用范围</w:t>
      </w:r>
      <w:bookmarkEnd w:id="94"/>
      <w:bookmarkEnd w:id="95"/>
      <w:bookmarkEnd w:id="96"/>
      <w:bookmarkEnd w:id="97"/>
      <w:bookmarkEnd w:id="98"/>
      <w:bookmarkEnd w:id="99"/>
      <w:bookmarkEnd w:id="100"/>
    </w:p>
    <w:p>
      <w:pPr>
        <w:pStyle w:val="75"/>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01" w:name="_Toc356491308"/>
      <w:bookmarkStart w:id="102" w:name="_Toc407632770"/>
      <w:bookmarkStart w:id="103" w:name="_Toc24285"/>
      <w:bookmarkStart w:id="104" w:name="_Toc1696"/>
      <w:bookmarkStart w:id="105" w:name="_Toc325620704"/>
      <w:bookmarkStart w:id="106" w:name="_Toc356490369"/>
      <w:bookmarkStart w:id="107" w:name="_Toc20395"/>
      <w:r>
        <w:rPr>
          <w:rFonts w:hint="eastAsia" w:ascii="仿宋" w:hAnsi="仿宋" w:eastAsia="仿宋" w:cs="仿宋"/>
          <w:color w:val="auto"/>
          <w:sz w:val="28"/>
          <w:szCs w:val="28"/>
          <w:highlight w:val="none"/>
        </w:rPr>
        <w:t>二、定义</w:t>
      </w:r>
      <w:bookmarkEnd w:id="101"/>
      <w:bookmarkEnd w:id="102"/>
      <w:bookmarkEnd w:id="103"/>
      <w:bookmarkEnd w:id="104"/>
      <w:bookmarkEnd w:id="105"/>
      <w:bookmarkEnd w:id="106"/>
      <w:bookmarkEnd w:id="107"/>
    </w:p>
    <w:p>
      <w:pPr>
        <w:pStyle w:val="75"/>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8"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5"/>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5"/>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5"/>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5"/>
        <w:pageBreakBefore w:val="0"/>
        <w:numPr>
          <w:ilvl w:val="0"/>
          <w:numId w:val="4"/>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5"/>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09" w:name="_Toc407632771"/>
      <w:bookmarkStart w:id="110" w:name="_Toc356490370"/>
      <w:bookmarkStart w:id="111" w:name="_Toc356491309"/>
      <w:bookmarkStart w:id="112" w:name="_Toc13233"/>
      <w:bookmarkStart w:id="113" w:name="_Toc478"/>
      <w:bookmarkStart w:id="114" w:name="_Toc10422"/>
      <w:r>
        <w:rPr>
          <w:rFonts w:hint="eastAsia" w:ascii="仿宋" w:hAnsi="仿宋" w:eastAsia="仿宋" w:cs="仿宋"/>
          <w:color w:val="auto"/>
          <w:sz w:val="28"/>
          <w:szCs w:val="28"/>
          <w:highlight w:val="none"/>
        </w:rPr>
        <w:t>三、投标人具备的条件</w:t>
      </w:r>
      <w:bookmarkEnd w:id="108"/>
      <w:bookmarkEnd w:id="109"/>
      <w:bookmarkEnd w:id="110"/>
      <w:bookmarkEnd w:id="111"/>
      <w:bookmarkEnd w:id="112"/>
      <w:bookmarkEnd w:id="113"/>
      <w:bookmarkEnd w:id="114"/>
    </w:p>
    <w:p>
      <w:pPr>
        <w:pStyle w:val="75"/>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5" w:name="_Toc407632772"/>
      <w:bookmarkStart w:id="116" w:name="_Toc325620706"/>
      <w:bookmarkStart w:id="117" w:name="_Toc356490371"/>
      <w:bookmarkStart w:id="118" w:name="_Toc18137"/>
      <w:bookmarkStart w:id="119" w:name="_Toc356491310"/>
      <w:r>
        <w:rPr>
          <w:rFonts w:hint="eastAsia" w:ascii="仿宋" w:hAnsi="仿宋" w:eastAsia="仿宋" w:cs="仿宋"/>
          <w:b w:val="0"/>
          <w:color w:val="auto"/>
          <w:sz w:val="28"/>
          <w:szCs w:val="28"/>
          <w:highlight w:val="none"/>
        </w:rPr>
        <w:t>详见供应商须知前附表。</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20" w:name="_Toc31280"/>
      <w:bookmarkStart w:id="121" w:name="_Toc17118"/>
      <w:r>
        <w:rPr>
          <w:rFonts w:hint="eastAsia" w:ascii="仿宋" w:hAnsi="仿宋" w:eastAsia="仿宋" w:cs="仿宋"/>
          <w:color w:val="auto"/>
          <w:sz w:val="28"/>
          <w:szCs w:val="28"/>
          <w:highlight w:val="none"/>
        </w:rPr>
        <w:t>四、招标文件的澄清或修改</w:t>
      </w:r>
      <w:bookmarkEnd w:id="115"/>
      <w:bookmarkEnd w:id="116"/>
      <w:bookmarkEnd w:id="117"/>
      <w:bookmarkEnd w:id="118"/>
      <w:bookmarkEnd w:id="119"/>
      <w:bookmarkEnd w:id="120"/>
      <w:bookmarkEnd w:id="121"/>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22" w:name="_Toc325620707"/>
      <w:bookmarkStart w:id="123" w:name="_Toc356490372"/>
      <w:bookmarkStart w:id="124" w:name="_Toc356491311"/>
      <w:bookmarkStart w:id="125" w:name="_Toc26403"/>
      <w:bookmarkStart w:id="126" w:name="_Toc3557"/>
      <w:bookmarkStart w:id="127" w:name="_Toc3614"/>
      <w:bookmarkStart w:id="128" w:name="_Toc407632773"/>
      <w:r>
        <w:rPr>
          <w:rFonts w:hint="eastAsia" w:ascii="仿宋" w:hAnsi="仿宋" w:eastAsia="仿宋" w:cs="仿宋"/>
          <w:color w:val="auto"/>
          <w:sz w:val="28"/>
          <w:szCs w:val="28"/>
          <w:highlight w:val="none"/>
        </w:rPr>
        <w:t>五、投标文件的编写</w:t>
      </w:r>
      <w:bookmarkEnd w:id="122"/>
      <w:bookmarkEnd w:id="123"/>
      <w:bookmarkEnd w:id="124"/>
      <w:bookmarkEnd w:id="125"/>
      <w:bookmarkEnd w:id="126"/>
      <w:bookmarkEnd w:id="127"/>
      <w:bookmarkEnd w:id="128"/>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2.1按包分别编制投标文件，每包</w:t>
      </w:r>
      <w:r>
        <w:rPr>
          <w:rFonts w:hint="eastAsia" w:ascii="仿宋" w:hAnsi="仿宋" w:eastAsia="仿宋" w:cs="仿宋"/>
          <w:bCs w:val="0"/>
          <w:color w:val="auto"/>
          <w:kern w:val="0"/>
          <w:sz w:val="28"/>
          <w:szCs w:val="28"/>
          <w:highlight w:val="none"/>
        </w:rPr>
        <w:t>一份正本</w:t>
      </w:r>
      <w:r>
        <w:rPr>
          <w:rFonts w:hint="eastAsia" w:ascii="仿宋" w:hAnsi="仿宋" w:eastAsia="仿宋" w:cs="仿宋"/>
          <w:bCs w:val="0"/>
          <w:color w:val="auto"/>
          <w:kern w:val="0"/>
          <w:sz w:val="28"/>
          <w:szCs w:val="28"/>
          <w:highlight w:val="none"/>
          <w:lang w:val="en-US" w:eastAsia="zh-CN"/>
        </w:rPr>
        <w:t>六</w:t>
      </w:r>
      <w:r>
        <w:rPr>
          <w:rFonts w:hint="eastAsia" w:ascii="仿宋" w:hAnsi="仿宋" w:eastAsia="仿宋" w:cs="仿宋"/>
          <w:bCs w:val="0"/>
          <w:color w:val="auto"/>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2.6投标文件的装订须为胶装。</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3.3法定代表人或授权代理人签署的</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3.4诚信廉政承诺书</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3.5</w:t>
      </w:r>
      <w:r>
        <w:rPr>
          <w:rFonts w:hint="eastAsia" w:ascii="仿宋" w:hAnsi="仿宋" w:eastAsia="仿宋" w:cs="仿宋"/>
          <w:color w:val="auto"/>
          <w:sz w:val="28"/>
          <w:szCs w:val="28"/>
          <w:highlight w:val="none"/>
        </w:rPr>
        <w:t>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3.5.1</w:t>
      </w:r>
      <w:r>
        <w:rPr>
          <w:rFonts w:hint="eastAsia" w:ascii="仿宋" w:hAnsi="仿宋" w:eastAsia="仿宋" w:cs="仿宋"/>
          <w:color w:val="auto"/>
          <w:sz w:val="28"/>
          <w:szCs w:val="28"/>
          <w:highlight w:val="none"/>
        </w:rPr>
        <w:t>供应商须具有独立承担民事责任的能力，向采购人提供服务的法人、其他组织或自然人，须提供相关证明材料，其中：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供应商是企业（包括合伙企业）的，应提供其在工商部门注册的有效“企业法人营业执照”或“营业执照”的复印件；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供应商是事业单位的，应提供其有效的“事业单位法人证书”复印件；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供应商是非企业专业服务机构的，应提供其有效的执业许可证复印件；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供应商是个体工商户的，应提供其有效的“个体工商户营业执照”复印件；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供应商是自然人的，应提供其有效的自然人身份证明。</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3.5</w:t>
      </w:r>
      <w:r>
        <w:rPr>
          <w:rFonts w:hint="eastAsia" w:ascii="仿宋" w:hAnsi="仿宋" w:eastAsia="仿宋" w:cs="仿宋"/>
          <w:color w:val="auto"/>
          <w:sz w:val="28"/>
          <w:szCs w:val="28"/>
          <w:highlight w:val="none"/>
        </w:rPr>
        <w:t>.2法定代表人参加的，提供法定代表人相关证明材料；法定代表人不能参加的，提供法定代表人授权委托书（附件二）、被授权代表人的身份证；</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3.5.3</w:t>
      </w:r>
      <w:r>
        <w:rPr>
          <w:rFonts w:hint="eastAsia" w:ascii="仿宋" w:hAnsi="仿宋" w:eastAsia="仿宋" w:cs="仿宋"/>
          <w:color w:val="auto"/>
          <w:sz w:val="28"/>
          <w:szCs w:val="28"/>
          <w:highlight w:val="none"/>
        </w:rPr>
        <w:t>供应商须具有良好的商业信誉和健全的财务会计制度，须提供相关证明材料，其中：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供应商是法人的，应提供202</w:t>
      </w:r>
      <w:r>
        <w:rPr>
          <w:rFonts w:hint="eastAsia" w:ascii="仿宋" w:hAnsi="仿宋" w:eastAsia="仿宋" w:cs="仿宋"/>
          <w:color w:val="auto"/>
          <w:sz w:val="28"/>
          <w:szCs w:val="28"/>
          <w:highlight w:val="none"/>
          <w:lang w:val="en-US" w:eastAsia="zh-CN"/>
        </w:rPr>
        <w:t>2年</w:t>
      </w:r>
      <w:r>
        <w:rPr>
          <w:rFonts w:hint="eastAsia" w:ascii="仿宋" w:hAnsi="仿宋" w:eastAsia="仿宋" w:cs="仿宋"/>
          <w:color w:val="auto"/>
          <w:sz w:val="28"/>
          <w:szCs w:val="28"/>
          <w:highlight w:val="none"/>
        </w:rPr>
        <w:t>经审计的财务报告复印件，或其基本开户银行出具的资信证明原件；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供应商是其他组织或自然人的，应提供银行出具的资信证明原件。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3.5.4</w:t>
      </w:r>
      <w:r>
        <w:rPr>
          <w:rFonts w:hint="eastAsia" w:ascii="仿宋" w:hAnsi="仿宋" w:eastAsia="仿宋" w:cs="仿宋"/>
          <w:color w:val="auto"/>
          <w:sz w:val="28"/>
          <w:szCs w:val="28"/>
          <w:highlight w:val="none"/>
        </w:rPr>
        <w:t xml:space="preserve">供应商须具有履行合同所必需的设备和专业技术能力，须附相关证明材料或书面声明。 </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3.5.5</w:t>
      </w:r>
      <w:r>
        <w:rPr>
          <w:rFonts w:hint="eastAsia" w:ascii="仿宋" w:hAnsi="仿宋" w:eastAsia="仿宋" w:cs="仿宋"/>
          <w:color w:val="auto"/>
          <w:sz w:val="28"/>
          <w:szCs w:val="28"/>
          <w:highlight w:val="none"/>
        </w:rPr>
        <w:t>供应商须具有依法缴纳税收和社会保障资金的良好记录，须提供相关证明材料，其中：</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供应商是法人的，缴纳税收的证明材料，应提供开标</w:t>
      </w:r>
      <w:r>
        <w:rPr>
          <w:rFonts w:hint="eastAsia" w:ascii="仿宋" w:hAnsi="仿宋" w:eastAsia="仿宋" w:cs="仿宋"/>
          <w:color w:val="auto"/>
          <w:sz w:val="28"/>
          <w:szCs w:val="28"/>
          <w:highlight w:val="none"/>
          <w:lang w:eastAsia="zh-CN"/>
        </w:rPr>
        <w:t>前六个月</w:t>
      </w:r>
      <w:r>
        <w:rPr>
          <w:rFonts w:hint="eastAsia" w:ascii="仿宋" w:hAnsi="仿宋" w:eastAsia="仿宋" w:cs="仿宋"/>
          <w:color w:val="auto"/>
          <w:sz w:val="28"/>
          <w:szCs w:val="28"/>
          <w:highlight w:val="none"/>
        </w:rPr>
        <w:t>内任意一个月的依法缴税凭据复印件；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供应商是法人的，缴纳社会保障资金的证明材料，应提供开标</w:t>
      </w:r>
      <w:r>
        <w:rPr>
          <w:rFonts w:hint="eastAsia" w:ascii="仿宋" w:hAnsi="仿宋" w:eastAsia="仿宋" w:cs="仿宋"/>
          <w:color w:val="auto"/>
          <w:sz w:val="28"/>
          <w:szCs w:val="28"/>
          <w:highlight w:val="none"/>
          <w:lang w:eastAsia="zh-CN"/>
        </w:rPr>
        <w:t>前六个月</w:t>
      </w:r>
      <w:r>
        <w:rPr>
          <w:rFonts w:hint="eastAsia" w:ascii="仿宋" w:hAnsi="仿宋" w:eastAsia="仿宋" w:cs="仿宋"/>
          <w:color w:val="auto"/>
          <w:sz w:val="28"/>
          <w:szCs w:val="28"/>
          <w:highlight w:val="none"/>
        </w:rPr>
        <w:t>内任意一个月的缴纳社会保险的凭据（专用收据或社会保险缴纳清单）复印件；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供应商是其他组织和自然人的，需要提供开标</w:t>
      </w:r>
      <w:r>
        <w:rPr>
          <w:rFonts w:hint="eastAsia" w:ascii="仿宋" w:hAnsi="仿宋" w:eastAsia="仿宋" w:cs="仿宋"/>
          <w:color w:val="auto"/>
          <w:sz w:val="28"/>
          <w:szCs w:val="28"/>
          <w:highlight w:val="none"/>
          <w:lang w:eastAsia="zh-CN"/>
        </w:rPr>
        <w:t>前六个月</w:t>
      </w:r>
      <w:r>
        <w:rPr>
          <w:rFonts w:hint="eastAsia" w:ascii="仿宋" w:hAnsi="仿宋" w:eastAsia="仿宋" w:cs="仿宋"/>
          <w:color w:val="auto"/>
          <w:sz w:val="28"/>
          <w:szCs w:val="28"/>
          <w:highlight w:val="none"/>
        </w:rPr>
        <w:t>内任意一个月的缴纳税收和社会保险的凭据。</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注：依法免税或不需要缴纳社会保障资金的供应商，须提供相应文件证明其依法免税或不需要缴纳社会保障资金。</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3.5.6</w:t>
      </w:r>
      <w:r>
        <w:rPr>
          <w:rFonts w:hint="eastAsia" w:ascii="仿宋" w:hAnsi="仿宋" w:eastAsia="仿宋" w:cs="仿宋"/>
          <w:color w:val="auto"/>
          <w:sz w:val="28"/>
          <w:szCs w:val="28"/>
          <w:highlight w:val="none"/>
        </w:rPr>
        <w:t>近三年内（本项目投标截止日前）供应商在经营活动中没有重大违法记录，其中：</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重大违法记录是指供应商因违法经营受到刑事处罚或者责令停产停业、吊销许可证或者执照、较大数额罚款等行政处罚；</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供应商须提供参与本采购活动前三年内在经营活动中没有重大违法记录的书面声明（附件</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3.5.7</w:t>
      </w:r>
      <w:r>
        <w:rPr>
          <w:rFonts w:hint="eastAsia" w:ascii="仿宋" w:hAnsi="仿宋" w:eastAsia="仿宋" w:cs="仿宋"/>
          <w:color w:val="auto"/>
          <w:sz w:val="28"/>
          <w:szCs w:val="28"/>
          <w:highlight w:val="none"/>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采购人或采购代理机构对于查询到的供应商失信行为事由、处理机关名称及处理日期、处理有效期间等，以屏幕截图的方式保存，并承诺查询记录仅用于本次采购活动过程中，不用于其他目的。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3.5.8</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单位负责人为同一人或者存在直接控股、管理关系的不同供应商，不得参加同一包的投标或者未划分包的同一招标项目的投标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书面声明。</w:t>
      </w:r>
    </w:p>
    <w:p>
      <w:pPr>
        <w:pageBreakBefore w:val="0"/>
        <w:kinsoku/>
        <w:overflowPunct/>
        <w:topLinePunct w:val="0"/>
        <w:bidi w:val="0"/>
        <w:snapToGrid/>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3.5.9</w:t>
      </w:r>
      <w:r>
        <w:rPr>
          <w:rFonts w:hint="eastAsia" w:ascii="仿宋" w:hAnsi="仿宋" w:eastAsia="仿宋" w:cs="仿宋"/>
          <w:color w:val="auto"/>
          <w:sz w:val="28"/>
          <w:szCs w:val="28"/>
          <w:highlight w:val="none"/>
        </w:rPr>
        <w:t>供应商符合法律、行政法规规定的其它要求。</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6报价</w:t>
      </w:r>
      <w:r>
        <w:rPr>
          <w:rFonts w:hint="eastAsia" w:ascii="仿宋" w:hAnsi="仿宋" w:eastAsia="仿宋" w:cs="仿宋"/>
          <w:b/>
          <w:color w:val="auto"/>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技术文件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3.7.1技术指标响应表（详见附件）；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3.7.2对项目需求 的了解和认 识、重点难点分析及解决方案；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3.7.3项目实施方案；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3.7.4应急管理方案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3.7.5服务质量保证措施；</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3.7.6 相关承诺</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3.7.7工作进度计划安排及保障措施；</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3.7.8项目组成员配备情况；</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3.7.9售后服务方案；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3.7.10质保期满后的维保费用；</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3.7.11供</w:t>
      </w:r>
      <w:r>
        <w:rPr>
          <w:rFonts w:hint="eastAsia" w:ascii="仿宋" w:hAnsi="仿宋" w:eastAsia="仿宋" w:cs="仿宋"/>
          <w:color w:val="auto"/>
          <w:highlight w:val="none"/>
          <w:lang w:val="en-US" w:eastAsia="zh-CN"/>
        </w:rPr>
        <w:t>应商须知附表规定或供应商认为其它应介绍或提交的资料和文件。</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商务文件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 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日至今以来签订的同类业绩一览表 (附件)。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 优势说明及优惠条款；</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3.8.3主要从业人员及其技术资格一览表（详见附件）；</w:t>
      </w:r>
    </w:p>
    <w:p>
      <w:pPr>
        <w:pageBreakBefore w:val="0"/>
        <w:kinsoku/>
        <w:overflowPunct/>
        <w:topLinePunct w:val="0"/>
        <w:bidi w:val="0"/>
        <w:snapToGrid/>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3.8.4 软件著作权登记证书等（如有）；</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3.8.5投标人认为需说明的其他内容（格式</w:t>
      </w:r>
      <w:r>
        <w:rPr>
          <w:rFonts w:hint="eastAsia" w:ascii="仿宋" w:hAnsi="仿宋" w:eastAsia="仿宋" w:cs="仿宋"/>
          <w:color w:val="auto"/>
          <w:sz w:val="28"/>
          <w:szCs w:val="28"/>
          <w:highlight w:val="none"/>
        </w:rPr>
        <w:t>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9</w:t>
      </w:r>
      <w:r>
        <w:rPr>
          <w:rFonts w:hint="eastAsia" w:ascii="仿宋" w:hAnsi="仿宋" w:eastAsia="仿宋" w:cs="仿宋"/>
          <w:b/>
          <w:color w:val="auto"/>
          <w:sz w:val="28"/>
          <w:szCs w:val="28"/>
          <w:highlight w:val="none"/>
        </w:rPr>
        <w:t>报价要求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w:t>
      </w:r>
      <w:r>
        <w:rPr>
          <w:rFonts w:hint="eastAsia" w:ascii="仿宋" w:hAnsi="仿宋" w:eastAsia="仿宋" w:cs="仿宋"/>
          <w:b/>
          <w:color w:val="auto"/>
          <w:sz w:val="28"/>
          <w:szCs w:val="28"/>
          <w:highlight w:val="none"/>
        </w:rPr>
        <w:t>本次投标报价为一次性报价</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.2本项目报价不得超过最高控制价，否则作无效报价处理</w:t>
      </w:r>
      <w:r>
        <w:rPr>
          <w:rFonts w:hint="eastAsia" w:ascii="仿宋" w:hAnsi="仿宋" w:eastAsia="仿宋" w:cs="仿宋"/>
          <w:color w:val="auto"/>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3投标报价须包括投标人按照国家现行税法和有关部门现行规定需缴纳的一切税费及所有涉及本项目开发、实施、培训、维护、升级、集成、差旅、住宿、保险等费用，以及包括系统所有功能、接口、报表、模板的新增与调整的费用，其中接口包括与信息平台、数据中心、其他所有第三方系统的接口的相关费用。投标报价须包含第三方系统相关对接改造的费用。质保期内产生的一切费用（含系统开发、实施、培训、维护、升级、集成、差旅、住宿、保险，以及所有功能、接口、报表、模板的新增与调整等）均包含在投标报价中。</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投标报价须包括保障系统正常运行和信息安全所需的服务端正版操作系统、数据库、中间件、第三方控件、容灾、备份软件等，以及相应的安装、调试、升级等相应的集成费用和免费维保期内的维护费用。</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因投标人自身原因造成漏报、少报皆由其自行承担责任，采购人不再补偿</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3.9.4</w:t>
      </w:r>
      <w:r>
        <w:rPr>
          <w:rFonts w:hint="eastAsia" w:ascii="仿宋" w:hAnsi="仿宋" w:eastAsia="仿宋" w:cs="仿宋"/>
          <w:color w:val="auto"/>
          <w:sz w:val="28"/>
          <w:szCs w:val="28"/>
          <w:highlight w:val="none"/>
        </w:rPr>
        <w:t>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投标人须提供分项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价和报价总价，如果分项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eastAsia="zh-CN"/>
        </w:rPr>
        <w:t>汇总</w:t>
      </w:r>
      <w:r>
        <w:rPr>
          <w:rFonts w:hint="eastAsia" w:ascii="仿宋" w:hAnsi="仿宋" w:eastAsia="仿宋" w:cs="仿宋"/>
          <w:color w:val="auto"/>
          <w:sz w:val="28"/>
          <w:szCs w:val="28"/>
          <w:highlight w:val="none"/>
        </w:rPr>
        <w:t>和总价不符，以分项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val="en-US" w:eastAsia="zh-CN"/>
        </w:rPr>
        <w:t>合计</w:t>
      </w:r>
      <w:r>
        <w:rPr>
          <w:rFonts w:hint="eastAsia" w:ascii="仿宋" w:hAnsi="仿宋" w:eastAsia="仿宋" w:cs="仿宋"/>
          <w:color w:val="auto"/>
          <w:sz w:val="28"/>
          <w:szCs w:val="28"/>
          <w:highlight w:val="none"/>
        </w:rPr>
        <w:t>结果为准，分项报价小数点有明显错位的，应以总价为准，并修改分项</w:t>
      </w:r>
      <w:r>
        <w:rPr>
          <w:rFonts w:hint="eastAsia" w:ascii="仿宋" w:hAnsi="仿宋" w:eastAsia="仿宋" w:cs="仿宋"/>
          <w:color w:val="auto"/>
          <w:sz w:val="28"/>
          <w:szCs w:val="28"/>
          <w:highlight w:val="none"/>
          <w:lang w:val="en-US" w:eastAsia="zh-CN"/>
        </w:rPr>
        <w:t>报</w:t>
      </w:r>
      <w:r>
        <w:rPr>
          <w:rFonts w:hint="eastAsia" w:ascii="仿宋" w:hAnsi="仿宋" w:eastAsia="仿宋" w:cs="仿宋"/>
          <w:color w:val="auto"/>
          <w:sz w:val="28"/>
          <w:szCs w:val="28"/>
          <w:highlight w:val="none"/>
        </w:rPr>
        <w:t>价；</w:t>
      </w:r>
    </w:p>
    <w:p>
      <w:pPr>
        <w:pageBreakBefore w:val="0"/>
        <w:kinsoku/>
        <w:overflowPunct/>
        <w:topLinePunct w:val="0"/>
        <w:bidi w:val="0"/>
        <w:snapToGrid/>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4.1投标人应准备</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份投标文件，每包一份正本和</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4.3投标人必须另外单独密封一套 “报价一览表”， “报价一览表”要求单独打印一份并盖章（提供原件），密封到信封里，现场与投标文件同时提交。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8"/>
          <w:szCs w:val="28"/>
          <w:highlight w:val="none"/>
          <w:lang w:val="en-US" w:eastAsia="zh-CN"/>
        </w:rPr>
        <w:t>为</w:t>
      </w:r>
      <w:r>
        <w:rPr>
          <w:rFonts w:hint="eastAsia" w:ascii="仿宋" w:hAnsi="仿宋" w:eastAsia="仿宋" w:cs="仿宋"/>
          <w:color w:val="auto"/>
          <w:sz w:val="28"/>
          <w:szCs w:val="28"/>
          <w:highlight w:val="none"/>
        </w:rPr>
        <w:t>纸质投标文件正本</w:t>
      </w:r>
      <w:r>
        <w:rPr>
          <w:rFonts w:hint="eastAsia" w:ascii="仿宋" w:hAnsi="仿宋" w:eastAsia="仿宋" w:cs="仿宋"/>
          <w:color w:val="auto"/>
          <w:sz w:val="28"/>
          <w:szCs w:val="28"/>
          <w:highlight w:val="none"/>
          <w:lang w:val="en-US" w:eastAsia="zh-CN"/>
        </w:rPr>
        <w:t>的扫描件</w:t>
      </w:r>
      <w:r>
        <w:rPr>
          <w:rFonts w:hint="eastAsia" w:ascii="仿宋" w:hAnsi="仿宋" w:eastAsia="仿宋" w:cs="仿宋"/>
          <w:color w:val="auto"/>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5.4对投标人的投标文件等材料不予退还。</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29" w:name="_Toc325620708"/>
      <w:bookmarkStart w:id="130" w:name="_Toc356490373"/>
      <w:bookmarkStart w:id="131" w:name="_Toc14577"/>
      <w:bookmarkStart w:id="132" w:name="_Toc1590"/>
      <w:bookmarkStart w:id="133" w:name="_Toc15530"/>
      <w:bookmarkStart w:id="134" w:name="_Toc356491312"/>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w:t>
      </w:r>
      <w:bookmarkEnd w:id="129"/>
      <w:bookmarkEnd w:id="130"/>
      <w:bookmarkEnd w:id="131"/>
      <w:bookmarkEnd w:id="132"/>
      <w:bookmarkEnd w:id="133"/>
      <w:bookmarkEnd w:id="134"/>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w:t>
      </w:r>
      <w:r>
        <w:rPr>
          <w:rFonts w:hint="eastAsia" w:ascii="仿宋" w:hAnsi="仿宋" w:eastAsia="仿宋" w:cs="仿宋"/>
          <w:color w:val="auto"/>
          <w:sz w:val="28"/>
          <w:szCs w:val="28"/>
          <w:highlight w:val="none"/>
          <w:lang w:eastAsia="zh-CN"/>
        </w:rPr>
        <w:t>投标截止</w:t>
      </w:r>
      <w:r>
        <w:rPr>
          <w:rFonts w:hint="eastAsia" w:ascii="仿宋" w:hAnsi="仿宋" w:eastAsia="仿宋" w:cs="仿宋"/>
          <w:color w:val="auto"/>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特殊情况下，在</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有效期满之前，采购代理机构可以以书面形式要求投标人同意延长</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有效期。投标人可以书面形式拒绝或接受上述要求。</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35" w:name="_Toc325620709"/>
      <w:bookmarkStart w:id="136" w:name="_Toc21586"/>
      <w:bookmarkStart w:id="137" w:name="_Toc356491313"/>
      <w:bookmarkStart w:id="138" w:name="_Toc356490374"/>
      <w:bookmarkStart w:id="139" w:name="_Toc17814"/>
      <w:bookmarkStart w:id="140" w:name="_Toc73"/>
      <w:r>
        <w:rPr>
          <w:rFonts w:hint="eastAsia" w:ascii="仿宋" w:hAnsi="仿宋" w:eastAsia="仿宋" w:cs="仿宋"/>
          <w:color w:val="auto"/>
          <w:sz w:val="28"/>
          <w:szCs w:val="28"/>
          <w:highlight w:val="none"/>
        </w:rPr>
        <w:t>七、投标费用</w:t>
      </w:r>
      <w:bookmarkEnd w:id="135"/>
      <w:bookmarkEnd w:id="136"/>
      <w:bookmarkEnd w:id="137"/>
      <w:bookmarkEnd w:id="138"/>
      <w:bookmarkEnd w:id="139"/>
      <w:bookmarkEnd w:id="140"/>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41" w:name="_Toc445997425"/>
      <w:bookmarkStart w:id="142" w:name="_Toc325620710"/>
      <w:bookmarkStart w:id="143" w:name="_Toc529777140"/>
      <w:bookmarkStart w:id="144" w:name="_Toc325620711"/>
      <w:bookmarkStart w:id="145" w:name="_Toc356491315"/>
      <w:bookmarkStart w:id="146" w:name="_Toc356490376"/>
      <w:r>
        <w:rPr>
          <w:rFonts w:hint="eastAsia" w:ascii="仿宋" w:hAnsi="仿宋" w:eastAsia="仿宋" w:cs="仿宋"/>
          <w:color w:val="auto"/>
          <w:sz w:val="28"/>
          <w:szCs w:val="28"/>
          <w:highlight w:val="none"/>
        </w:rPr>
        <w:t>1.各供应商自行承担所有参与本次项目的有关费用；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lang w:eastAsia="zh-CN"/>
        </w:rPr>
        <w:t>中标结果</w:t>
      </w:r>
      <w:r>
        <w:rPr>
          <w:rFonts w:hint="eastAsia" w:ascii="仿宋" w:hAnsi="仿宋" w:eastAsia="仿宋" w:cs="仿宋"/>
          <w:color w:val="auto"/>
          <w:sz w:val="28"/>
          <w:szCs w:val="28"/>
          <w:highlight w:val="none"/>
        </w:rPr>
        <w:t>公告发布后5个工作日内，</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交纳</w:t>
      </w:r>
      <w:r>
        <w:rPr>
          <w:rFonts w:hint="eastAsia" w:ascii="仿宋" w:hAnsi="仿宋" w:eastAsia="仿宋" w:cs="仿宋"/>
          <w:color w:val="auto"/>
          <w:sz w:val="28"/>
          <w:szCs w:val="28"/>
          <w:highlight w:val="none"/>
          <w:lang w:eastAsia="zh-CN"/>
        </w:rPr>
        <w:t>中标</w:t>
      </w:r>
      <w:r>
        <w:rPr>
          <w:rFonts w:hint="eastAsia" w:ascii="仿宋" w:hAnsi="仿宋" w:eastAsia="仿宋" w:cs="仿宋"/>
          <w:color w:val="auto"/>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开户单位全称：</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账号：376060100100168341。</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47" w:name="_Toc21092"/>
      <w:bookmarkStart w:id="148" w:name="_Toc30077"/>
      <w:bookmarkStart w:id="149" w:name="_Toc23393"/>
      <w:r>
        <w:rPr>
          <w:rFonts w:hint="eastAsia" w:ascii="仿宋" w:hAnsi="仿宋" w:eastAsia="仿宋" w:cs="仿宋"/>
          <w:color w:val="auto"/>
          <w:sz w:val="28"/>
          <w:szCs w:val="28"/>
          <w:highlight w:val="none"/>
        </w:rPr>
        <w:t>八、保证金</w:t>
      </w:r>
      <w:bookmarkEnd w:id="141"/>
      <w:bookmarkEnd w:id="142"/>
      <w:bookmarkEnd w:id="143"/>
      <w:bookmarkEnd w:id="147"/>
      <w:bookmarkEnd w:id="148"/>
      <w:bookmarkEnd w:id="149"/>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参与本项目供应商应于2023年12月11日下午13:30</w:t>
      </w:r>
      <w:r>
        <w:rPr>
          <w:rFonts w:hint="eastAsia" w:ascii="仿宋" w:hAnsi="仿宋" w:eastAsia="仿宋" w:cs="仿宋"/>
          <w:color w:val="auto"/>
          <w:sz w:val="28"/>
          <w:szCs w:val="28"/>
          <w:highlight w:val="none"/>
        </w:rPr>
        <w:t>前以电汇形式（电汇以到账时间为准）交纳</w:t>
      </w:r>
      <w:r>
        <w:rPr>
          <w:rFonts w:hint="eastAsia" w:ascii="仿宋" w:hAnsi="仿宋" w:eastAsia="仿宋" w:cs="仿宋"/>
          <w:color w:val="auto"/>
          <w:sz w:val="28"/>
          <w:szCs w:val="28"/>
          <w:highlight w:val="none"/>
          <w:lang w:val="en-US" w:eastAsia="zh-CN"/>
        </w:rPr>
        <w:t>100000元</w:t>
      </w:r>
      <w:r>
        <w:rPr>
          <w:rFonts w:hint="eastAsia" w:ascii="仿宋" w:hAnsi="仿宋" w:eastAsia="仿宋" w:cs="仿宋"/>
          <w:color w:val="auto"/>
          <w:sz w:val="28"/>
          <w:szCs w:val="28"/>
          <w:highlight w:val="none"/>
        </w:rPr>
        <w:t>投标保证金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将汇款凭证发送至cnshzb</w:t>
      </w:r>
      <w:r>
        <w:rPr>
          <w:rFonts w:hint="eastAsia" w:ascii="仿宋" w:hAnsi="仿宋" w:eastAsia="仿宋" w:cs="仿宋"/>
          <w:color w:val="auto"/>
          <w:sz w:val="28"/>
          <w:szCs w:val="28"/>
          <w:highlight w:val="none"/>
          <w:lang w:val="en-US" w:eastAsia="zh-CN"/>
        </w:rPr>
        <w:t>egs</w:t>
      </w:r>
      <w:r>
        <w:rPr>
          <w:rFonts w:hint="eastAsia" w:ascii="仿宋" w:hAnsi="仿宋" w:eastAsia="仿宋" w:cs="仿宋"/>
          <w:color w:val="auto"/>
          <w:sz w:val="28"/>
          <w:szCs w:val="28"/>
          <w:highlight w:val="none"/>
        </w:rPr>
        <w:t>@163.com，未办理上述手续的造成的后果由投标人自负。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（三）除因不可抗力或招标文件认可的情形以外，中标人不与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（五）招标文件规定的其他情形。</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50" w:name="_Toc13888"/>
      <w:bookmarkStart w:id="151" w:name="_Toc16530"/>
      <w:bookmarkStart w:id="152" w:name="_Toc11442"/>
      <w:r>
        <w:rPr>
          <w:rFonts w:hint="eastAsia" w:ascii="仿宋" w:hAnsi="仿宋" w:eastAsia="仿宋" w:cs="仿宋"/>
          <w:color w:val="auto"/>
          <w:sz w:val="28"/>
          <w:szCs w:val="28"/>
          <w:highlight w:val="none"/>
        </w:rPr>
        <w:t>九、无效</w:t>
      </w:r>
      <w:bookmarkEnd w:id="144"/>
      <w:bookmarkEnd w:id="145"/>
      <w:bookmarkEnd w:id="146"/>
      <w:r>
        <w:rPr>
          <w:rFonts w:hint="eastAsia" w:ascii="仿宋" w:hAnsi="仿宋" w:eastAsia="仿宋" w:cs="仿宋"/>
          <w:color w:val="auto"/>
          <w:sz w:val="28"/>
          <w:szCs w:val="28"/>
          <w:highlight w:val="none"/>
        </w:rPr>
        <w:t>投标</w:t>
      </w:r>
      <w:bookmarkEnd w:id="150"/>
      <w:bookmarkEnd w:id="151"/>
      <w:bookmarkEnd w:id="152"/>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53" w:name="_Toc325620712"/>
      <w:bookmarkStart w:id="154" w:name="_Toc356491316"/>
      <w:bookmarkStart w:id="155" w:name="_Toc356490377"/>
      <w:r>
        <w:rPr>
          <w:rFonts w:hint="eastAsia" w:ascii="仿宋" w:hAnsi="仿宋" w:eastAsia="仿宋" w:cs="仿宋"/>
          <w:color w:val="auto"/>
          <w:sz w:val="28"/>
          <w:szCs w:val="28"/>
          <w:highlight w:val="none"/>
        </w:rPr>
        <w:t>投标人有下列情况之一,其报价视为投标无效。</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将严格按照《中华人民共和国</w:t>
      </w:r>
      <w:r>
        <w:rPr>
          <w:rFonts w:hint="eastAsia" w:ascii="仿宋" w:hAnsi="仿宋" w:eastAsia="仿宋" w:cs="仿宋"/>
          <w:color w:val="auto"/>
          <w:sz w:val="28"/>
          <w:szCs w:val="28"/>
          <w:highlight w:val="none"/>
          <w:lang w:eastAsia="zh-CN"/>
        </w:rPr>
        <w:t>政府采购法</w:t>
      </w:r>
      <w:r>
        <w:rPr>
          <w:rFonts w:hint="eastAsia" w:ascii="仿宋" w:hAnsi="仿宋" w:eastAsia="仿宋" w:cs="仿宋"/>
          <w:color w:val="auto"/>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11.对“★”条款未做出实质性响应或者发生负偏离的；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法律、法规和招标文件规定的其他无效投标情形。</w:t>
      </w:r>
    </w:p>
    <w:bookmarkEnd w:id="153"/>
    <w:bookmarkEnd w:id="154"/>
    <w:bookmarkEnd w:id="155"/>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eastAsia="zh-CN"/>
        </w:rPr>
      </w:pPr>
      <w:bookmarkStart w:id="156" w:name="_Toc6405"/>
      <w:bookmarkStart w:id="157" w:name="_Toc325582067"/>
      <w:bookmarkStart w:id="158" w:name="_Toc325582572"/>
      <w:bookmarkStart w:id="159" w:name="_Toc323129563"/>
      <w:bookmarkStart w:id="160" w:name="_Toc325620713"/>
      <w:r>
        <w:rPr>
          <w:rFonts w:hint="eastAsia" w:ascii="仿宋" w:hAnsi="仿宋" w:eastAsia="仿宋" w:cs="仿宋"/>
          <w:color w:val="auto"/>
          <w:sz w:val="28"/>
          <w:szCs w:val="28"/>
          <w:highlight w:val="none"/>
          <w:lang w:eastAsia="zh-CN"/>
        </w:rPr>
        <w:t>十、质疑的提出与答复</w:t>
      </w:r>
      <w:bookmarkEnd w:id="156"/>
    </w:p>
    <w:p>
      <w:pPr>
        <w:pStyle w:val="16"/>
        <w:spacing w:after="0"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提出质疑的供应商（以下简称质疑供应商）应当是参与所质疑项目采购活动的供应商。</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供应商提出质疑应当提交质疑函和必要的证明材料。质疑函应当包括下列内容：</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（1）供应商的姓名或者名称、地址、邮编、联系人及联系电话；</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（2）质疑项目的名称、编号；</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（3）具体、明确的质疑事项和与质疑事项相关的请求；</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（4）事实依据；</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（5）必要的法律依据；</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（6）提出质疑的日期。</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供应商对评审过程、中标结果提出质疑的，采购人、采购代理机构可以组织原评标委员会协助答复质疑。</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质疑答复应当包括下列内容：</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（1）质疑供应商的姓名或者名称；</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（2）收到质疑函的日期、质疑项目名称及编号；</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（3）质疑事项、质疑答复的具体内容、事实依据和法律依据；</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（4）告知质疑供应商依法投诉的权利；</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（5）质疑答复人名称；</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（6）答复质疑的日期。</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质疑答复的内容不涉及商业秘密。</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16"/>
        <w:spacing w:after="0" w:line="360" w:lineRule="auto"/>
        <w:ind w:firstLine="700" w:firstLineChars="250"/>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61" w:name="_Toc30273"/>
      <w:bookmarkStart w:id="162" w:name="_Toc10465"/>
      <w:bookmarkStart w:id="163" w:name="_Toc10789"/>
      <w:r>
        <w:rPr>
          <w:rFonts w:hint="eastAsia" w:ascii="仿宋" w:hAnsi="仿宋" w:eastAsia="仿宋" w:cs="仿宋"/>
          <w:color w:val="auto"/>
          <w:sz w:val="28"/>
          <w:szCs w:val="28"/>
          <w:highlight w:val="none"/>
        </w:rPr>
        <w:t>十</w:t>
      </w:r>
      <w:bookmarkStart w:id="164" w:name="_Toc304901697"/>
      <w:bookmarkStart w:id="165" w:name="_Toc259000653"/>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、解释权</w:t>
      </w:r>
      <w:bookmarkEnd w:id="161"/>
      <w:bookmarkEnd w:id="162"/>
      <w:bookmarkEnd w:id="163"/>
      <w:bookmarkEnd w:id="164"/>
      <w:bookmarkEnd w:id="165"/>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6" w:name="_Toc2913"/>
      <w:bookmarkStart w:id="167" w:name="_Toc70060538"/>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68" w:name="_Toc4266"/>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、其他未尽问题参考依据</w:t>
      </w:r>
      <w:bookmarkEnd w:id="166"/>
      <w:bookmarkEnd w:id="167"/>
      <w:bookmarkEnd w:id="168"/>
    </w:p>
    <w:p>
      <w:pPr>
        <w:pageBreakBefore w:val="0"/>
        <w:kinsoku/>
        <w:overflowPunct/>
        <w:topLinePunct w:val="0"/>
        <w:bidi w:val="0"/>
        <w:snapToGrid/>
        <w:spacing w:line="360" w:lineRule="auto"/>
        <w:ind w:firstLine="560" w:firstLineChars="200"/>
        <w:rPr>
          <w:rStyle w:val="140"/>
          <w:rFonts w:hint="eastAsia" w:ascii="仿宋" w:hAnsi="仿宋" w:eastAsia="仿宋" w:cs="仿宋"/>
          <w:color w:val="auto"/>
          <w:sz w:val="28"/>
          <w:szCs w:val="28"/>
          <w:highlight w:val="none"/>
        </w:rPr>
      </w:pPr>
      <w:r>
        <w:rPr>
          <w:rStyle w:val="140"/>
          <w:rFonts w:hint="eastAsia" w:ascii="仿宋" w:hAnsi="仿宋" w:eastAsia="仿宋" w:cs="仿宋"/>
          <w:color w:val="auto"/>
          <w:sz w:val="28"/>
          <w:szCs w:val="28"/>
          <w:highlight w:val="none"/>
        </w:rPr>
        <w:t>1.《政府采购促进中小企业发展管理办法》（财库〔2020〕46号）；《财政部司法部关于政府采购支持监狱企业发展有关问题的通知》（财库〔2014〕68号）；对小型和微型企业产品的价格给予</w:t>
      </w:r>
      <w:r>
        <w:rPr>
          <w:rStyle w:val="140"/>
          <w:rFonts w:hint="eastAsia" w:ascii="仿宋" w:hAnsi="仿宋" w:eastAsia="仿宋" w:cs="仿宋"/>
          <w:color w:val="auto"/>
          <w:sz w:val="28"/>
          <w:szCs w:val="28"/>
          <w:highlight w:val="none"/>
          <w:lang w:val="en-US" w:eastAsia="zh-CN"/>
        </w:rPr>
        <w:t>10</w:t>
      </w:r>
      <w:r>
        <w:rPr>
          <w:rStyle w:val="140"/>
          <w:rFonts w:hint="eastAsia" w:ascii="仿宋" w:hAnsi="仿宋" w:eastAsia="仿宋" w:cs="仿宋"/>
          <w:color w:val="auto"/>
          <w:sz w:val="28"/>
          <w:szCs w:val="28"/>
          <w:highlight w:val="none"/>
        </w:rPr>
        <w:t>%的扣除；</w:t>
      </w:r>
    </w:p>
    <w:p>
      <w:pPr>
        <w:pageBreakBefore w:val="0"/>
        <w:kinsoku/>
        <w:overflowPunct/>
        <w:topLinePunct w:val="0"/>
        <w:bidi w:val="0"/>
        <w:snapToGrid/>
        <w:spacing w:line="360" w:lineRule="auto"/>
        <w:ind w:firstLine="560" w:firstLineChars="200"/>
        <w:rPr>
          <w:rStyle w:val="140"/>
          <w:rFonts w:hint="eastAsia" w:ascii="仿宋" w:hAnsi="仿宋" w:eastAsia="仿宋" w:cs="仿宋"/>
          <w:color w:val="auto"/>
          <w:sz w:val="28"/>
          <w:szCs w:val="28"/>
          <w:highlight w:val="none"/>
        </w:rPr>
      </w:pPr>
      <w:r>
        <w:rPr>
          <w:rStyle w:val="140"/>
          <w:rFonts w:hint="eastAsia" w:ascii="仿宋" w:hAnsi="仿宋" w:eastAsia="仿宋" w:cs="仿宋"/>
          <w:color w:val="auto"/>
          <w:sz w:val="28"/>
          <w:szCs w:val="28"/>
          <w:highlight w:val="none"/>
          <w:lang w:val="en-US" w:eastAsia="zh-CN"/>
        </w:rPr>
        <w:t>2</w:t>
      </w:r>
      <w:r>
        <w:rPr>
          <w:rStyle w:val="140"/>
          <w:rFonts w:hint="eastAsia" w:ascii="仿宋" w:hAnsi="仿宋" w:eastAsia="仿宋" w:cs="仿宋"/>
          <w:color w:val="auto"/>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2"/>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bookmarkStart w:id="169" w:name="_Toc356490378"/>
      <w:bookmarkStart w:id="170" w:name="_Toc356491317"/>
      <w:bookmarkStart w:id="171" w:name="_Toc14247"/>
      <w:bookmarkStart w:id="172" w:name="_Toc31454"/>
      <w:bookmarkStart w:id="173" w:name="_Toc3341"/>
      <w:r>
        <w:rPr>
          <w:rFonts w:hint="eastAsia" w:ascii="仿宋" w:hAnsi="仿宋" w:eastAsia="仿宋" w:cs="仿宋"/>
          <w:color w:val="auto"/>
          <w:sz w:val="28"/>
          <w:szCs w:val="28"/>
          <w:highlight w:val="none"/>
        </w:rPr>
        <w:t>第三部分 开标、评审、</w:t>
      </w:r>
      <w:bookmarkEnd w:id="157"/>
      <w:bookmarkEnd w:id="158"/>
      <w:bookmarkEnd w:id="159"/>
      <w:bookmarkEnd w:id="160"/>
      <w:r>
        <w:rPr>
          <w:rFonts w:hint="eastAsia" w:ascii="仿宋" w:hAnsi="仿宋" w:eastAsia="仿宋" w:cs="仿宋"/>
          <w:color w:val="auto"/>
          <w:sz w:val="28"/>
          <w:szCs w:val="28"/>
          <w:highlight w:val="none"/>
        </w:rPr>
        <w:t>中标</w:t>
      </w:r>
      <w:bookmarkEnd w:id="169"/>
      <w:bookmarkEnd w:id="170"/>
      <w:bookmarkEnd w:id="171"/>
      <w:bookmarkEnd w:id="172"/>
      <w:bookmarkEnd w:id="173"/>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74" w:name="_Toc325620714"/>
      <w:bookmarkStart w:id="175" w:name="_Toc10319"/>
      <w:bookmarkStart w:id="176" w:name="_Toc1361"/>
      <w:bookmarkStart w:id="177" w:name="_Toc332979555"/>
      <w:bookmarkStart w:id="178" w:name="_Toc24744"/>
      <w:bookmarkStart w:id="179" w:name="_Toc325620717"/>
      <w:bookmarkStart w:id="180" w:name="_Toc356491321"/>
      <w:bookmarkStart w:id="181" w:name="_Toc356490382"/>
      <w:bookmarkStart w:id="182" w:name="_Toc325620720"/>
      <w:bookmarkStart w:id="183" w:name="_Toc356490385"/>
      <w:bookmarkStart w:id="184" w:name="_Toc325582068"/>
      <w:bookmarkStart w:id="185" w:name="_Toc323129564"/>
      <w:bookmarkStart w:id="186" w:name="_Toc325582573"/>
      <w:bookmarkStart w:id="187" w:name="_Toc356491324"/>
      <w:r>
        <w:rPr>
          <w:rFonts w:hint="eastAsia" w:ascii="仿宋" w:hAnsi="仿宋" w:eastAsia="仿宋" w:cs="仿宋"/>
          <w:color w:val="auto"/>
          <w:sz w:val="28"/>
          <w:szCs w:val="28"/>
          <w:highlight w:val="none"/>
        </w:rPr>
        <w:t>一、开标</w:t>
      </w:r>
      <w:bookmarkEnd w:id="174"/>
      <w:bookmarkEnd w:id="175"/>
      <w:bookmarkEnd w:id="176"/>
      <w:bookmarkEnd w:id="177"/>
      <w:bookmarkEnd w:id="178"/>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88" w:name="_Toc332979556"/>
      <w:bookmarkStart w:id="189" w:name="_Toc325620715"/>
      <w:r>
        <w:rPr>
          <w:rFonts w:hint="eastAsia" w:ascii="仿宋" w:hAnsi="仿宋" w:eastAsia="仿宋" w:cs="仿宋"/>
          <w:color w:val="auto"/>
          <w:sz w:val="28"/>
          <w:szCs w:val="28"/>
          <w:highlight w:val="none"/>
        </w:rPr>
        <w:t>1. 按照招标文件规定的时间、地点开标。开标由采购代理机构主持，</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和有关方面的代表参加。</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4、记录员将唱价内容记录并由投标人法定代表人或授权代理人签字确认。</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90" w:name="_Toc19305"/>
      <w:bookmarkStart w:id="191" w:name="_Toc9360"/>
      <w:bookmarkStart w:id="192" w:name="_Toc2314"/>
      <w:r>
        <w:rPr>
          <w:rFonts w:hint="eastAsia" w:ascii="仿宋" w:hAnsi="仿宋" w:eastAsia="仿宋" w:cs="仿宋"/>
          <w:color w:val="auto"/>
          <w:sz w:val="28"/>
          <w:szCs w:val="28"/>
          <w:highlight w:val="none"/>
        </w:rPr>
        <w:t>二、评审委员会</w:t>
      </w:r>
      <w:bookmarkEnd w:id="188"/>
      <w:bookmarkEnd w:id="189"/>
      <w:bookmarkEnd w:id="190"/>
      <w:bookmarkEnd w:id="191"/>
      <w:bookmarkEnd w:id="192"/>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193" w:name="_Toc325620716"/>
      <w:bookmarkStart w:id="194" w:name="_Toc24299"/>
      <w:bookmarkStart w:id="195" w:name="_Toc332979557"/>
      <w:bookmarkStart w:id="196" w:name="_Toc28432"/>
      <w:r>
        <w:rPr>
          <w:rFonts w:hint="eastAsia" w:ascii="仿宋" w:hAnsi="仿宋" w:eastAsia="仿宋" w:cs="仿宋"/>
          <w:color w:val="auto"/>
          <w:sz w:val="28"/>
          <w:szCs w:val="28"/>
          <w:highlight w:val="none"/>
        </w:rPr>
        <w:t>依法</w:t>
      </w:r>
      <w:r>
        <w:rPr>
          <w:rFonts w:hint="eastAsia" w:ascii="仿宋" w:hAnsi="仿宋" w:eastAsia="仿宋" w:cs="仿宋"/>
          <w:color w:val="auto"/>
          <w:sz w:val="28"/>
          <w:szCs w:val="28"/>
          <w:highlight w:val="none"/>
          <w:lang w:val="en-US" w:eastAsia="zh-CN"/>
        </w:rPr>
        <w:t>组建</w:t>
      </w:r>
      <w:r>
        <w:rPr>
          <w:rFonts w:hint="eastAsia" w:ascii="仿宋" w:hAnsi="仿宋" w:eastAsia="仿宋" w:cs="仿宋"/>
          <w:color w:val="auto"/>
          <w:sz w:val="28"/>
          <w:szCs w:val="28"/>
          <w:highlight w:val="none"/>
        </w:rPr>
        <w:t>评审委员会。</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97" w:name="_Toc28114"/>
      <w:r>
        <w:rPr>
          <w:rFonts w:hint="eastAsia" w:ascii="仿宋" w:hAnsi="仿宋" w:eastAsia="仿宋" w:cs="仿宋"/>
          <w:color w:val="auto"/>
          <w:sz w:val="28"/>
          <w:szCs w:val="28"/>
          <w:highlight w:val="none"/>
        </w:rPr>
        <w:t>三、评审原则</w:t>
      </w:r>
      <w:bookmarkEnd w:id="193"/>
      <w:bookmarkEnd w:id="194"/>
      <w:bookmarkEnd w:id="195"/>
      <w:bookmarkEnd w:id="196"/>
      <w:bookmarkEnd w:id="197"/>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5.综合性原则：评审委员会将综合分析评审投标人的各项指标，而不以单项指标的优劣评定中标人。 </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198" w:name="_Toc5126"/>
      <w:bookmarkStart w:id="199" w:name="_Toc9250"/>
      <w:bookmarkStart w:id="200" w:name="_Toc23461"/>
      <w:r>
        <w:rPr>
          <w:rFonts w:hint="eastAsia" w:ascii="仿宋" w:hAnsi="仿宋" w:eastAsia="仿宋" w:cs="仿宋"/>
          <w:color w:val="auto"/>
          <w:sz w:val="28"/>
          <w:szCs w:val="28"/>
          <w:highlight w:val="none"/>
        </w:rPr>
        <w:t>四、评审办法</w:t>
      </w:r>
      <w:bookmarkEnd w:id="179"/>
      <w:bookmarkEnd w:id="180"/>
      <w:bookmarkEnd w:id="181"/>
      <w:bookmarkEnd w:id="198"/>
      <w:bookmarkEnd w:id="199"/>
      <w:bookmarkEnd w:id="200"/>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投标文件的初审分为资格性检查和符合性检查。</w:t>
      </w:r>
      <w:r>
        <w:rPr>
          <w:rFonts w:hint="eastAsia" w:ascii="仿宋" w:hAnsi="仿宋" w:eastAsia="仿宋" w:cs="仿宋"/>
          <w:color w:val="auto"/>
          <w:sz w:val="28"/>
          <w:szCs w:val="28"/>
          <w:highlight w:val="none"/>
          <w:lang w:val="en-US" w:eastAsia="zh-CN"/>
        </w:rPr>
        <w:t>公开招标采购项目开标结束后，采购代理机构依法对供应商的资格进行审查。</w:t>
      </w:r>
      <w:r>
        <w:rPr>
          <w:rFonts w:hint="eastAsia" w:ascii="仿宋" w:hAnsi="仿宋" w:eastAsia="仿宋" w:cs="仿宋"/>
          <w:color w:val="auto"/>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评审委员会按照“综合实力最强、能够最大限度满足招标文件中规定的各项综合评价标准”的原则按评分细则对各投标人进行比较和评价打分，评分过程中采用四舍五入法，并保留小数2位。</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201" w:name="_Toc24623"/>
      <w:bookmarkStart w:id="202" w:name="_Toc30373"/>
      <w:bookmarkStart w:id="203" w:name="_Toc9035"/>
      <w:bookmarkStart w:id="204" w:name="_Toc17551"/>
      <w:bookmarkStart w:id="205" w:name="_Toc23776"/>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评分细则：</w:t>
      </w:r>
      <w:bookmarkEnd w:id="201"/>
      <w:bookmarkEnd w:id="202"/>
      <w:bookmarkEnd w:id="203"/>
      <w:bookmarkEnd w:id="204"/>
      <w:bookmarkEnd w:id="205"/>
    </w:p>
    <w:tbl>
      <w:tblPr>
        <w:tblStyle w:val="162"/>
        <w:tblpPr w:leftFromText="180" w:rightFromText="180" w:vertAnchor="text" w:horzAnchor="page" w:tblpXSpec="center" w:tblpY="-167"/>
        <w:tblOverlap w:val="never"/>
        <w:tblW w:w="99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931"/>
        <w:gridCol w:w="795"/>
        <w:gridCol w:w="7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1076" w:type="dxa"/>
            <w:vAlign w:val="center"/>
          </w:tcPr>
          <w:p>
            <w:pPr>
              <w:pStyle w:val="161"/>
              <w:spacing w:line="240" w:lineRule="auto"/>
              <w:jc w:val="both"/>
              <w:rPr>
                <w:rFonts w:hint="default" w:eastAsia="仿宋"/>
                <w:color w:val="auto"/>
                <w:highlight w:val="none"/>
                <w:lang w:val="en-US" w:eastAsia="zh-CN"/>
              </w:rPr>
            </w:pPr>
            <w:r>
              <w:rPr>
                <w:rFonts w:hint="default" w:eastAsia="仿宋"/>
                <w:color w:val="auto"/>
                <w:highlight w:val="none"/>
                <w:lang w:val="en-US" w:eastAsia="zh-CN"/>
              </w:rPr>
              <w:t>评分因素</w:t>
            </w:r>
          </w:p>
        </w:tc>
        <w:tc>
          <w:tcPr>
            <w:tcW w:w="931" w:type="dxa"/>
            <w:vAlign w:val="center"/>
          </w:tcPr>
          <w:p>
            <w:pPr>
              <w:pStyle w:val="161"/>
              <w:spacing w:line="240" w:lineRule="auto"/>
              <w:jc w:val="center"/>
              <w:rPr>
                <w:rFonts w:hint="default" w:eastAsia="仿宋"/>
                <w:color w:val="auto"/>
                <w:highlight w:val="none"/>
                <w:lang w:val="en-US" w:eastAsia="zh-CN"/>
              </w:rPr>
            </w:pPr>
            <w:r>
              <w:rPr>
                <w:rFonts w:hint="default" w:eastAsia="仿宋"/>
                <w:color w:val="auto"/>
                <w:highlight w:val="none"/>
                <w:lang w:val="en-US" w:eastAsia="zh-CN"/>
              </w:rPr>
              <w:t>评分项</w:t>
            </w:r>
          </w:p>
        </w:tc>
        <w:tc>
          <w:tcPr>
            <w:tcW w:w="795" w:type="dxa"/>
            <w:vAlign w:val="center"/>
          </w:tcPr>
          <w:p>
            <w:pPr>
              <w:pStyle w:val="161"/>
              <w:spacing w:line="240" w:lineRule="auto"/>
              <w:ind w:left="189"/>
              <w:jc w:val="center"/>
              <w:rPr>
                <w:rFonts w:hint="default" w:eastAsia="仿宋"/>
                <w:color w:val="auto"/>
                <w:highlight w:val="none"/>
                <w:lang w:val="en-US" w:eastAsia="zh-CN"/>
              </w:rPr>
            </w:pPr>
            <w:r>
              <w:rPr>
                <w:rFonts w:hint="eastAsia" w:eastAsia="仿宋"/>
                <w:color w:val="auto"/>
                <w:highlight w:val="none"/>
                <w:lang w:val="en-US" w:eastAsia="zh-CN"/>
              </w:rPr>
              <w:t>分值</w:t>
            </w:r>
          </w:p>
        </w:tc>
        <w:tc>
          <w:tcPr>
            <w:tcW w:w="7170" w:type="dxa"/>
            <w:vAlign w:val="center"/>
          </w:tcPr>
          <w:p>
            <w:pPr>
              <w:pStyle w:val="161"/>
              <w:spacing w:before="78" w:line="240" w:lineRule="auto"/>
              <w:jc w:val="center"/>
              <w:rPr>
                <w:color w:val="auto"/>
                <w:highlight w:val="none"/>
              </w:rPr>
            </w:pPr>
            <w:r>
              <w:rPr>
                <w:color w:val="auto"/>
                <w:spacing w:val="-9"/>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jc w:val="center"/>
        </w:trPr>
        <w:tc>
          <w:tcPr>
            <w:tcW w:w="1076" w:type="dxa"/>
            <w:vAlign w:val="center"/>
          </w:tcPr>
          <w:p>
            <w:pPr>
              <w:pStyle w:val="161"/>
              <w:spacing w:before="78" w:line="240" w:lineRule="auto"/>
              <w:jc w:val="center"/>
              <w:rPr>
                <w:color w:val="auto"/>
                <w:highlight w:val="none"/>
              </w:rPr>
            </w:pPr>
            <w:r>
              <w:rPr>
                <w:color w:val="auto"/>
                <w:spacing w:val="-13"/>
                <w:position w:val="17"/>
                <w:highlight w:val="none"/>
              </w:rPr>
              <w:t>价</w:t>
            </w:r>
            <w:r>
              <w:rPr>
                <w:color w:val="auto"/>
                <w:spacing w:val="-22"/>
                <w:position w:val="17"/>
                <w:highlight w:val="none"/>
              </w:rPr>
              <w:t xml:space="preserve"> </w:t>
            </w:r>
            <w:r>
              <w:rPr>
                <w:color w:val="auto"/>
                <w:spacing w:val="-13"/>
                <w:position w:val="17"/>
                <w:highlight w:val="none"/>
              </w:rPr>
              <w:t>格</w:t>
            </w:r>
            <w:r>
              <w:rPr>
                <w:color w:val="auto"/>
                <w:spacing w:val="-24"/>
                <w:position w:val="17"/>
                <w:highlight w:val="none"/>
              </w:rPr>
              <w:t xml:space="preserve"> </w:t>
            </w:r>
            <w:r>
              <w:rPr>
                <w:color w:val="auto"/>
                <w:spacing w:val="-13"/>
                <w:position w:val="17"/>
                <w:highlight w:val="none"/>
              </w:rPr>
              <w:t>部</w:t>
            </w:r>
            <w:r>
              <w:rPr>
                <w:color w:val="auto"/>
                <w:spacing w:val="-19"/>
                <w:position w:val="17"/>
                <w:highlight w:val="none"/>
              </w:rPr>
              <w:t xml:space="preserve"> </w:t>
            </w:r>
            <w:r>
              <w:rPr>
                <w:color w:val="auto"/>
                <w:spacing w:val="-13"/>
                <w:position w:val="17"/>
                <w:highlight w:val="none"/>
              </w:rPr>
              <w:t>分</w:t>
            </w:r>
          </w:p>
          <w:p>
            <w:pPr>
              <w:pStyle w:val="161"/>
              <w:spacing w:line="240" w:lineRule="auto"/>
              <w:ind w:left="128"/>
              <w:jc w:val="center"/>
              <w:rPr>
                <w:color w:val="auto"/>
                <w:highlight w:val="none"/>
              </w:rPr>
            </w:pPr>
            <w:r>
              <w:rPr>
                <w:color w:val="auto"/>
                <w:spacing w:val="-8"/>
                <w:highlight w:val="none"/>
              </w:rPr>
              <w:t>（</w:t>
            </w:r>
            <w:r>
              <w:rPr>
                <w:rFonts w:hint="eastAsia"/>
                <w:color w:val="auto"/>
                <w:spacing w:val="-8"/>
                <w:highlight w:val="none"/>
                <w:lang w:val="en-US" w:eastAsia="zh-CN"/>
              </w:rPr>
              <w:t>20</w:t>
            </w:r>
            <w:r>
              <w:rPr>
                <w:color w:val="auto"/>
                <w:spacing w:val="-42"/>
                <w:highlight w:val="none"/>
              </w:rPr>
              <w:t xml:space="preserve"> </w:t>
            </w:r>
            <w:r>
              <w:rPr>
                <w:color w:val="auto"/>
                <w:spacing w:val="-8"/>
                <w:highlight w:val="none"/>
              </w:rPr>
              <w:t>分）</w:t>
            </w:r>
          </w:p>
        </w:tc>
        <w:tc>
          <w:tcPr>
            <w:tcW w:w="931" w:type="dxa"/>
            <w:vAlign w:val="center"/>
          </w:tcPr>
          <w:p>
            <w:pPr>
              <w:spacing w:line="240" w:lineRule="auto"/>
              <w:jc w:val="center"/>
              <w:rPr>
                <w:rFonts w:ascii="Arial"/>
                <w:color w:val="auto"/>
                <w:sz w:val="21"/>
                <w:highlight w:val="none"/>
              </w:rPr>
            </w:pPr>
          </w:p>
          <w:p>
            <w:pPr>
              <w:pStyle w:val="161"/>
              <w:spacing w:before="78" w:line="240" w:lineRule="auto"/>
              <w:jc w:val="center"/>
              <w:rPr>
                <w:color w:val="auto"/>
                <w:highlight w:val="none"/>
              </w:rPr>
            </w:pPr>
            <w:r>
              <w:rPr>
                <w:color w:val="auto"/>
                <w:spacing w:val="-8"/>
                <w:highlight w:val="none"/>
              </w:rPr>
              <w:t>报价</w:t>
            </w:r>
          </w:p>
        </w:tc>
        <w:tc>
          <w:tcPr>
            <w:tcW w:w="795" w:type="dxa"/>
            <w:vAlign w:val="center"/>
          </w:tcPr>
          <w:p>
            <w:pPr>
              <w:pStyle w:val="161"/>
              <w:spacing w:before="78" w:line="240" w:lineRule="auto"/>
              <w:ind w:left="167"/>
              <w:jc w:val="center"/>
              <w:rPr>
                <w:color w:val="auto"/>
                <w:highlight w:val="none"/>
              </w:rPr>
            </w:pPr>
            <w:r>
              <w:rPr>
                <w:rFonts w:hint="eastAsia"/>
                <w:color w:val="auto"/>
                <w:spacing w:val="-9"/>
                <w:highlight w:val="none"/>
                <w:lang w:val="en-US" w:eastAsia="zh-CN"/>
              </w:rPr>
              <w:t>20</w:t>
            </w:r>
            <w:r>
              <w:rPr>
                <w:color w:val="auto"/>
                <w:spacing w:val="-9"/>
                <w:highlight w:val="none"/>
              </w:rPr>
              <w:t>分</w:t>
            </w:r>
          </w:p>
        </w:tc>
        <w:tc>
          <w:tcPr>
            <w:tcW w:w="7170" w:type="dxa"/>
            <w:vAlign w:val="top"/>
          </w:tcPr>
          <w:p>
            <w:pPr>
              <w:pStyle w:val="161"/>
              <w:spacing w:before="183" w:line="240" w:lineRule="auto"/>
              <w:ind w:left="124" w:right="107" w:hanging="1"/>
              <w:jc w:val="both"/>
              <w:rPr>
                <w:color w:val="auto"/>
                <w:highlight w:val="none"/>
              </w:rPr>
            </w:pPr>
            <w:r>
              <w:rPr>
                <w:color w:val="auto"/>
                <w:spacing w:val="7"/>
                <w:highlight w:val="none"/>
              </w:rPr>
              <w:t>满足招标文件要求且有效投标价格最低的投标报价为评标基</w:t>
            </w:r>
            <w:r>
              <w:rPr>
                <w:color w:val="auto"/>
                <w:spacing w:val="-2"/>
                <w:highlight w:val="none"/>
              </w:rPr>
              <w:t>准价，其价格分为满分。其他</w:t>
            </w:r>
            <w:r>
              <w:rPr>
                <w:rFonts w:hint="eastAsia"/>
                <w:color w:val="auto"/>
                <w:spacing w:val="-2"/>
                <w:highlight w:val="none"/>
                <w:lang w:eastAsia="zh-CN"/>
              </w:rPr>
              <w:t>投标人</w:t>
            </w:r>
            <w:r>
              <w:rPr>
                <w:color w:val="auto"/>
                <w:spacing w:val="-2"/>
                <w:highlight w:val="none"/>
              </w:rPr>
              <w:t>的价格分统一按照下列公</w:t>
            </w:r>
            <w:r>
              <w:rPr>
                <w:color w:val="auto"/>
                <w:spacing w:val="-6"/>
                <w:highlight w:val="none"/>
              </w:rPr>
              <w:t>式计算：</w:t>
            </w:r>
          </w:p>
          <w:p>
            <w:pPr>
              <w:pStyle w:val="161"/>
              <w:spacing w:before="78" w:line="240" w:lineRule="auto"/>
              <w:ind w:left="136" w:right="107" w:hanging="13"/>
              <w:jc w:val="both"/>
              <w:rPr>
                <w:rFonts w:hint="eastAsia" w:eastAsia="仿宋"/>
                <w:color w:val="auto"/>
                <w:highlight w:val="none"/>
                <w:lang w:eastAsia="zh-CN"/>
              </w:rPr>
            </w:pPr>
            <w:r>
              <w:rPr>
                <w:color w:val="auto"/>
                <w:spacing w:val="-3"/>
                <w:highlight w:val="none"/>
              </w:rPr>
              <w:t>投标报价得分=</w:t>
            </w:r>
            <w:r>
              <w:rPr>
                <w:color w:val="auto"/>
                <w:spacing w:val="-62"/>
                <w:highlight w:val="none"/>
              </w:rPr>
              <w:t xml:space="preserve"> </w:t>
            </w:r>
            <w:r>
              <w:rPr>
                <w:color w:val="auto"/>
                <w:spacing w:val="-3"/>
                <w:highlight w:val="none"/>
              </w:rPr>
              <w:t>(评标基准价／投标报价)×价格分值</w:t>
            </w:r>
            <w:r>
              <w:rPr>
                <w:rFonts w:hint="eastAsia"/>
                <w:color w:val="auto"/>
                <w:spacing w:val="-3"/>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76" w:type="dxa"/>
            <w:vMerge w:val="restart"/>
            <w:vAlign w:val="center"/>
          </w:tcPr>
          <w:p>
            <w:pPr>
              <w:pStyle w:val="161"/>
              <w:spacing w:before="78" w:after="0" w:line="240" w:lineRule="auto"/>
              <w:ind w:left="0" w:right="0" w:firstLine="0"/>
              <w:rPr>
                <w:color w:val="auto"/>
                <w:spacing w:val="-8"/>
                <w:highlight w:val="none"/>
              </w:rPr>
            </w:pPr>
            <w:r>
              <w:rPr>
                <w:color w:val="auto"/>
                <w:spacing w:val="-8"/>
                <w:highlight w:val="none"/>
              </w:rPr>
              <w:t>商务部分</w:t>
            </w:r>
          </w:p>
          <w:p>
            <w:pPr>
              <w:pStyle w:val="161"/>
              <w:spacing w:before="78" w:after="0" w:line="240" w:lineRule="auto"/>
              <w:ind w:left="0" w:leftChars="0" w:right="0" w:rightChars="0" w:firstLine="0" w:firstLineChars="0"/>
              <w:jc w:val="center"/>
              <w:rPr>
                <w:color w:val="auto"/>
                <w:spacing w:val="-8"/>
                <w:highlight w:val="none"/>
              </w:rPr>
            </w:pPr>
            <w:r>
              <w:rPr>
                <w:color w:val="auto"/>
                <w:spacing w:val="-8"/>
                <w:highlight w:val="none"/>
              </w:rPr>
              <w:t>（</w:t>
            </w:r>
            <w:r>
              <w:rPr>
                <w:color w:val="auto"/>
                <w:spacing w:val="-8"/>
                <w:highlight w:val="none"/>
                <w:lang w:eastAsia="zh-CN"/>
              </w:rPr>
              <w:t>1</w:t>
            </w:r>
            <w:r>
              <w:rPr>
                <w:rFonts w:hint="eastAsia"/>
                <w:color w:val="auto"/>
                <w:spacing w:val="-8"/>
                <w:highlight w:val="none"/>
                <w:lang w:val="en-US" w:eastAsia="zh-CN"/>
              </w:rPr>
              <w:t>0</w:t>
            </w:r>
            <w:r>
              <w:rPr>
                <w:color w:val="auto"/>
                <w:spacing w:val="-8"/>
                <w:highlight w:val="none"/>
              </w:rPr>
              <w:t>分）</w:t>
            </w:r>
          </w:p>
        </w:tc>
        <w:tc>
          <w:tcPr>
            <w:tcW w:w="931" w:type="dxa"/>
            <w:vAlign w:val="center"/>
          </w:tcPr>
          <w:p>
            <w:pPr>
              <w:pStyle w:val="161"/>
              <w:spacing w:before="78" w:after="0" w:line="240" w:lineRule="auto"/>
              <w:ind w:left="0" w:leftChars="0" w:right="0" w:rightChars="0" w:firstLine="0" w:firstLineChars="0"/>
              <w:jc w:val="center"/>
              <w:rPr>
                <w:rFonts w:hint="eastAsia" w:eastAsia="仿宋"/>
                <w:color w:val="auto"/>
                <w:spacing w:val="-8"/>
                <w:highlight w:val="none"/>
                <w:lang w:val="en-US" w:eastAsia="zh-CN"/>
              </w:rPr>
            </w:pPr>
            <w:r>
              <w:rPr>
                <w:color w:val="auto"/>
                <w:spacing w:val="-5"/>
                <w:highlight w:val="none"/>
              </w:rPr>
              <w:t>企业</w:t>
            </w:r>
            <w:r>
              <w:rPr>
                <w:color w:val="auto"/>
                <w:spacing w:val="-5"/>
                <w:highlight w:val="none"/>
                <w:lang w:eastAsia="zh-CN"/>
              </w:rPr>
              <w:t>实力</w:t>
            </w:r>
          </w:p>
        </w:tc>
        <w:tc>
          <w:tcPr>
            <w:tcW w:w="795" w:type="dxa"/>
            <w:vAlign w:val="center"/>
          </w:tcPr>
          <w:p>
            <w:pPr>
              <w:pStyle w:val="161"/>
              <w:spacing w:before="78" w:after="0" w:line="240" w:lineRule="auto"/>
              <w:ind w:left="167" w:leftChars="0" w:right="0" w:rightChars="0" w:firstLine="0" w:firstLineChars="0"/>
              <w:jc w:val="center"/>
              <w:rPr>
                <w:rFonts w:hint="default" w:eastAsia="仿宋"/>
                <w:color w:val="auto"/>
                <w:spacing w:val="-9"/>
                <w:highlight w:val="none"/>
                <w:lang w:val="en-US" w:eastAsia="zh-CN"/>
              </w:rPr>
            </w:pPr>
            <w:r>
              <w:rPr>
                <w:color w:val="auto"/>
                <w:spacing w:val="-9"/>
                <w:highlight w:val="none"/>
                <w:lang w:eastAsia="zh-CN"/>
              </w:rPr>
              <w:t>1</w:t>
            </w:r>
            <w:r>
              <w:rPr>
                <w:rFonts w:hint="eastAsia"/>
                <w:color w:val="auto"/>
                <w:spacing w:val="-9"/>
                <w:highlight w:val="none"/>
                <w:lang w:val="en-US" w:eastAsia="zh-CN"/>
              </w:rPr>
              <w:t>0</w:t>
            </w:r>
            <w:r>
              <w:rPr>
                <w:color w:val="auto"/>
                <w:spacing w:val="-9"/>
                <w:highlight w:val="none"/>
                <w:lang w:eastAsia="zh-CN"/>
              </w:rPr>
              <w:t>分</w:t>
            </w:r>
          </w:p>
        </w:tc>
        <w:tc>
          <w:tcPr>
            <w:tcW w:w="7170" w:type="dxa"/>
            <w:vAlign w:val="top"/>
          </w:tcPr>
          <w:p>
            <w:pPr>
              <w:pStyle w:val="161"/>
              <w:numPr>
                <w:ilvl w:val="0"/>
                <w:numId w:val="0"/>
              </w:numPr>
              <w:spacing w:before="78" w:after="0" w:line="240" w:lineRule="auto"/>
              <w:ind w:left="136" w:right="107" w:hanging="13"/>
              <w:rPr>
                <w:color w:val="auto"/>
                <w:spacing w:val="-3"/>
                <w:highlight w:val="none"/>
              </w:rPr>
            </w:pPr>
            <w:r>
              <w:rPr>
                <w:color w:val="auto"/>
                <w:spacing w:val="-3"/>
                <w:kern w:val="0"/>
                <w:highlight w:val="none"/>
              </w:rPr>
              <w:t>1、</w:t>
            </w:r>
            <w:r>
              <w:rPr>
                <w:color w:val="auto"/>
                <w:spacing w:val="-3"/>
                <w:kern w:val="0"/>
                <w:highlight w:val="none"/>
                <w:lang w:eastAsia="zh-CN"/>
              </w:rPr>
              <w:t>投标人</w:t>
            </w:r>
            <w:r>
              <w:rPr>
                <w:color w:val="auto"/>
                <w:spacing w:val="-3"/>
                <w:highlight w:val="none"/>
              </w:rPr>
              <w:t>具有</w:t>
            </w:r>
            <w:r>
              <w:rPr>
                <w:color w:val="auto"/>
                <w:spacing w:val="-3"/>
                <w:highlight w:val="none"/>
                <w:lang w:eastAsia="zh-CN"/>
              </w:rPr>
              <w:t>3个</w:t>
            </w:r>
            <w:r>
              <w:rPr>
                <w:color w:val="auto"/>
                <w:spacing w:val="-3"/>
                <w:highlight w:val="none"/>
              </w:rPr>
              <w:t>通过《电子病历系统功能应用水平分级评价方法及标准》</w:t>
            </w:r>
            <w:r>
              <w:rPr>
                <w:color w:val="auto"/>
                <w:spacing w:val="-3"/>
                <w:highlight w:val="none"/>
                <w:lang w:eastAsia="zh-CN"/>
              </w:rPr>
              <w:t>5</w:t>
            </w:r>
            <w:r>
              <w:rPr>
                <w:color w:val="auto"/>
                <w:spacing w:val="-3"/>
                <w:highlight w:val="none"/>
              </w:rPr>
              <w:t>级的用户使用案例得</w:t>
            </w:r>
            <w:r>
              <w:rPr>
                <w:color w:val="auto"/>
                <w:spacing w:val="-3"/>
                <w:highlight w:val="none"/>
                <w:lang w:eastAsia="zh-CN"/>
              </w:rPr>
              <w:t>2</w:t>
            </w:r>
            <w:r>
              <w:rPr>
                <w:color w:val="auto"/>
                <w:spacing w:val="-3"/>
                <w:highlight w:val="none"/>
              </w:rPr>
              <w:t>分</w:t>
            </w:r>
            <w:r>
              <w:rPr>
                <w:color w:val="auto"/>
                <w:spacing w:val="-3"/>
                <w:highlight w:val="none"/>
                <w:lang w:eastAsia="zh-CN"/>
              </w:rPr>
              <w:t>，</w:t>
            </w:r>
            <w:r>
              <w:rPr>
                <w:rFonts w:hint="eastAsia"/>
                <w:color w:val="auto"/>
                <w:spacing w:val="-3"/>
                <w:highlight w:val="none"/>
                <w:lang w:val="en-US" w:eastAsia="zh-CN"/>
              </w:rPr>
              <w:t>在此基础上增加1个5级案例得1分，满分为3分，</w:t>
            </w:r>
            <w:r>
              <w:rPr>
                <w:color w:val="auto"/>
                <w:spacing w:val="-3"/>
                <w:highlight w:val="none"/>
                <w:lang w:eastAsia="zh-CN"/>
              </w:rPr>
              <w:t>不足3个不得分；</w:t>
            </w:r>
            <w:r>
              <w:rPr>
                <w:color w:val="auto"/>
                <w:spacing w:val="-3"/>
                <w:kern w:val="0"/>
                <w:highlight w:val="none"/>
                <w:lang w:eastAsia="zh-CN"/>
              </w:rPr>
              <w:t>每</w:t>
            </w:r>
            <w:r>
              <w:rPr>
                <w:color w:val="auto"/>
                <w:spacing w:val="-3"/>
                <w:highlight w:val="none"/>
              </w:rPr>
              <w:t>具有</w:t>
            </w:r>
            <w:r>
              <w:rPr>
                <w:color w:val="auto"/>
                <w:spacing w:val="-3"/>
                <w:highlight w:val="none"/>
                <w:lang w:eastAsia="zh-CN"/>
              </w:rPr>
              <w:t>1个</w:t>
            </w:r>
            <w:r>
              <w:rPr>
                <w:color w:val="auto"/>
                <w:spacing w:val="-3"/>
                <w:highlight w:val="none"/>
              </w:rPr>
              <w:t>通过《电子病历系统功能应用水平分级评价方法及标准》</w:t>
            </w:r>
            <w:r>
              <w:rPr>
                <w:color w:val="auto"/>
                <w:spacing w:val="-3"/>
                <w:highlight w:val="none"/>
                <w:lang w:eastAsia="zh-CN"/>
              </w:rPr>
              <w:t>6</w:t>
            </w:r>
            <w:r>
              <w:rPr>
                <w:color w:val="auto"/>
                <w:spacing w:val="-3"/>
                <w:highlight w:val="none"/>
              </w:rPr>
              <w:t>级</w:t>
            </w:r>
            <w:r>
              <w:rPr>
                <w:color w:val="auto"/>
                <w:spacing w:val="-3"/>
                <w:highlight w:val="none"/>
                <w:lang w:eastAsia="zh-CN"/>
              </w:rPr>
              <w:t>及以上</w:t>
            </w:r>
            <w:r>
              <w:rPr>
                <w:color w:val="auto"/>
                <w:spacing w:val="-3"/>
                <w:highlight w:val="none"/>
              </w:rPr>
              <w:t>的用户使用案例得</w:t>
            </w:r>
            <w:r>
              <w:rPr>
                <w:color w:val="auto"/>
                <w:spacing w:val="-3"/>
                <w:highlight w:val="none"/>
                <w:lang w:eastAsia="zh-CN"/>
              </w:rPr>
              <w:t>2</w:t>
            </w:r>
            <w:r>
              <w:rPr>
                <w:color w:val="auto"/>
                <w:spacing w:val="-3"/>
                <w:highlight w:val="none"/>
              </w:rPr>
              <w:t>分</w:t>
            </w:r>
            <w:r>
              <w:rPr>
                <w:rFonts w:hint="eastAsia"/>
                <w:color w:val="auto"/>
                <w:spacing w:val="-3"/>
                <w:highlight w:val="none"/>
                <w:lang w:eastAsia="zh-CN"/>
              </w:rPr>
              <w:t>，</w:t>
            </w:r>
            <w:r>
              <w:rPr>
                <w:color w:val="auto"/>
                <w:spacing w:val="-3"/>
                <w:highlight w:val="none"/>
                <w:lang w:eastAsia="zh-CN"/>
              </w:rPr>
              <w:t>满分</w:t>
            </w:r>
            <w:r>
              <w:rPr>
                <w:rFonts w:hint="eastAsia"/>
                <w:color w:val="auto"/>
                <w:spacing w:val="-3"/>
                <w:highlight w:val="none"/>
                <w:lang w:val="en-US" w:eastAsia="zh-CN"/>
              </w:rPr>
              <w:t>为4</w:t>
            </w:r>
            <w:r>
              <w:rPr>
                <w:color w:val="auto"/>
                <w:spacing w:val="-3"/>
                <w:highlight w:val="none"/>
                <w:lang w:eastAsia="zh-CN"/>
              </w:rPr>
              <w:t>分，</w:t>
            </w:r>
            <w:r>
              <w:rPr>
                <w:color w:val="auto"/>
                <w:spacing w:val="-3"/>
                <w:highlight w:val="none"/>
              </w:rPr>
              <w:t>没有不得分。</w:t>
            </w:r>
            <w:r>
              <w:rPr>
                <w:rFonts w:hint="eastAsia"/>
                <w:color w:val="auto"/>
                <w:spacing w:val="-3"/>
                <w:highlight w:val="none"/>
                <w:lang w:val="en-US" w:eastAsia="zh-CN"/>
              </w:rPr>
              <w:t>本项总分为7分。</w:t>
            </w:r>
            <w:r>
              <w:rPr>
                <w:color w:val="auto"/>
                <w:spacing w:val="-3"/>
                <w:highlight w:val="none"/>
              </w:rPr>
              <w:t>【投标人需提供能证明用户是通过使用本公司的HIS及电子病历系统用户过的</w:t>
            </w:r>
            <w:r>
              <w:rPr>
                <w:rFonts w:hint="eastAsia"/>
                <w:color w:val="auto"/>
                <w:spacing w:val="-3"/>
                <w:highlight w:val="none"/>
                <w:lang w:val="en-US" w:eastAsia="zh-CN"/>
              </w:rPr>
              <w:t>5级</w:t>
            </w:r>
            <w:r>
              <w:rPr>
                <w:color w:val="auto"/>
                <w:spacing w:val="-3"/>
                <w:highlight w:val="none"/>
                <w:lang w:eastAsia="zh-CN"/>
              </w:rPr>
              <w:t>及以上</w:t>
            </w:r>
            <w:r>
              <w:rPr>
                <w:color w:val="auto"/>
                <w:spacing w:val="-3"/>
                <w:highlight w:val="none"/>
              </w:rPr>
              <w:t>级别的用户证明材料（加盖用户单位公章</w:t>
            </w:r>
            <w:r>
              <w:rPr>
                <w:color w:val="auto"/>
                <w:spacing w:val="-3"/>
                <w:highlight w:val="none"/>
                <w:lang w:eastAsia="zh-CN"/>
              </w:rPr>
              <w:t>或部门章</w:t>
            </w:r>
            <w:r>
              <w:rPr>
                <w:color w:val="auto"/>
                <w:spacing w:val="-3"/>
                <w:highlight w:val="none"/>
              </w:rPr>
              <w:t>，用户单位项目负责人签字）及相关认证证书复印件（加盖投标单位公章），并提供完整的合同复印件（加盖投标单位公章），否则不得分】</w:t>
            </w:r>
          </w:p>
          <w:p>
            <w:pPr>
              <w:pStyle w:val="161"/>
              <w:numPr>
                <w:ilvl w:val="0"/>
                <w:numId w:val="0"/>
              </w:numPr>
              <w:spacing w:before="78" w:after="0" w:line="240" w:lineRule="auto"/>
              <w:ind w:left="123" w:right="107" w:firstLine="0"/>
              <w:rPr>
                <w:rFonts w:hint="eastAsia" w:ascii="宋体" w:hAnsi="宋体"/>
                <w:color w:val="auto"/>
                <w:sz w:val="24"/>
                <w:szCs w:val="24"/>
                <w:highlight w:val="none"/>
                <w:lang w:val="en-US" w:eastAsia="zh-CN"/>
              </w:rPr>
            </w:pPr>
            <w:r>
              <w:rPr>
                <w:color w:val="auto"/>
                <w:spacing w:val="-3"/>
                <w:highlight w:val="none"/>
                <w:lang w:eastAsia="zh-CN"/>
              </w:rPr>
              <w:t>2、</w:t>
            </w:r>
            <w:r>
              <w:rPr>
                <w:color w:val="auto"/>
                <w:spacing w:val="-3"/>
                <w:kern w:val="0"/>
                <w:highlight w:val="none"/>
                <w:lang w:eastAsia="zh-CN"/>
              </w:rPr>
              <w:t>投标人</w:t>
            </w:r>
            <w:r>
              <w:rPr>
                <w:color w:val="auto"/>
                <w:highlight w:val="none"/>
              </w:rPr>
              <w:t>具有</w:t>
            </w:r>
            <w:r>
              <w:rPr>
                <w:rFonts w:hint="eastAsia"/>
                <w:color w:val="auto"/>
                <w:highlight w:val="none"/>
                <w:lang w:val="en-US" w:eastAsia="zh-CN"/>
              </w:rPr>
              <w:t>1个</w:t>
            </w:r>
            <w:r>
              <w:rPr>
                <w:color w:val="auto"/>
                <w:highlight w:val="none"/>
              </w:rPr>
              <w:t>通过《医院信息互联互通标准化成熟度测评》五级乙等及以上的用户使用案例得</w:t>
            </w:r>
            <w:r>
              <w:rPr>
                <w:rFonts w:hint="eastAsia"/>
                <w:color w:val="auto"/>
                <w:highlight w:val="none"/>
                <w:lang w:val="en-US" w:eastAsia="zh-CN"/>
              </w:rPr>
              <w:t>1分，满分为</w:t>
            </w:r>
            <w:r>
              <w:rPr>
                <w:color w:val="auto"/>
                <w:highlight w:val="none"/>
                <w:lang w:eastAsia="zh-CN"/>
              </w:rPr>
              <w:t>3</w:t>
            </w:r>
            <w:r>
              <w:rPr>
                <w:color w:val="auto"/>
                <w:highlight w:val="none"/>
              </w:rPr>
              <w:t>分，没有不得分。</w:t>
            </w:r>
            <w:r>
              <w:rPr>
                <w:rFonts w:hint="eastAsia"/>
                <w:color w:val="auto"/>
                <w:highlight w:val="none"/>
                <w:lang w:val="en-US" w:eastAsia="zh-CN"/>
              </w:rPr>
              <w:t>本项总分为3分。</w:t>
            </w:r>
            <w:r>
              <w:rPr>
                <w:rFonts w:ascii="宋体" w:hAnsi="宋体"/>
                <w:color w:val="auto"/>
                <w:highlight w:val="none"/>
              </w:rPr>
              <w:t>【投标人需提供能证明用户是通过使用本公司的集成平台系统过的五级乙等及以上的用户证明材料（加盖用户单位公章</w:t>
            </w:r>
            <w:r>
              <w:rPr>
                <w:color w:val="auto"/>
                <w:spacing w:val="-3"/>
                <w:highlight w:val="none"/>
                <w:lang w:eastAsia="zh-CN"/>
              </w:rPr>
              <w:t>或部门章</w:t>
            </w:r>
            <w:r>
              <w:rPr>
                <w:rFonts w:ascii="宋体" w:hAnsi="宋体"/>
                <w:color w:val="auto"/>
                <w:highlight w:val="none"/>
              </w:rPr>
              <w:t>，用户单位项目负责人签字）及相关认证证书复印件（加盖投标单位公章），并提供完整的合同复印件（加盖投标单位公章），否则不得分】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76" w:type="dxa"/>
            <w:vMerge w:val="restart"/>
            <w:vAlign w:val="center"/>
          </w:tcPr>
          <w:p>
            <w:pPr>
              <w:pStyle w:val="161"/>
              <w:spacing w:line="240" w:lineRule="auto"/>
              <w:ind w:left="128" w:leftChars="0" w:right="0" w:rightChars="0" w:firstLine="0" w:firstLineChars="0"/>
              <w:jc w:val="center"/>
              <w:rPr>
                <w:rFonts w:hint="eastAsia" w:eastAsia="仿宋"/>
                <w:color w:val="auto"/>
                <w:spacing w:val="-8"/>
                <w:highlight w:val="none"/>
                <w:lang w:val="en-US" w:eastAsia="zh-CN"/>
              </w:rPr>
            </w:pPr>
            <w:r>
              <w:rPr>
                <w:color w:val="auto"/>
                <w:spacing w:val="-8"/>
                <w:highlight w:val="none"/>
                <w:lang w:eastAsia="zh-CN"/>
              </w:rPr>
              <w:t>技术部分（56分）</w:t>
            </w:r>
          </w:p>
        </w:tc>
        <w:tc>
          <w:tcPr>
            <w:tcW w:w="931" w:type="dxa"/>
            <w:vAlign w:val="center"/>
          </w:tcPr>
          <w:p>
            <w:pPr>
              <w:pStyle w:val="161"/>
              <w:spacing w:before="78" w:after="0" w:line="240" w:lineRule="auto"/>
              <w:ind w:right="0" w:rightChars="0"/>
              <w:rPr>
                <w:color w:val="auto"/>
                <w:spacing w:val="-8"/>
                <w:highlight w:val="none"/>
              </w:rPr>
            </w:pPr>
            <w:r>
              <w:rPr>
                <w:color w:val="auto"/>
                <w:spacing w:val="-5"/>
                <w:highlight w:val="none"/>
              </w:rPr>
              <w:t>技术指标响应情况</w:t>
            </w:r>
          </w:p>
        </w:tc>
        <w:tc>
          <w:tcPr>
            <w:tcW w:w="795" w:type="dxa"/>
            <w:vAlign w:val="center"/>
          </w:tcPr>
          <w:p>
            <w:pPr>
              <w:pStyle w:val="161"/>
              <w:spacing w:before="78" w:after="0" w:line="240" w:lineRule="auto"/>
              <w:ind w:left="167" w:leftChars="0" w:right="0" w:rightChars="0" w:firstLine="0" w:firstLineChars="0"/>
              <w:jc w:val="center"/>
              <w:rPr>
                <w:rFonts w:hint="default" w:eastAsia="仿宋"/>
                <w:color w:val="auto"/>
                <w:spacing w:val="-9"/>
                <w:highlight w:val="none"/>
                <w:lang w:val="en-US" w:eastAsia="zh-CN"/>
              </w:rPr>
            </w:pPr>
            <w:r>
              <w:rPr>
                <w:color w:val="auto"/>
                <w:spacing w:val="-9"/>
                <w:highlight w:val="none"/>
                <w:lang w:eastAsia="zh-CN"/>
              </w:rPr>
              <w:t>24分</w:t>
            </w:r>
          </w:p>
        </w:tc>
        <w:tc>
          <w:tcPr>
            <w:tcW w:w="7170" w:type="dxa"/>
            <w:vAlign w:val="top"/>
          </w:tcPr>
          <w:p>
            <w:pPr>
              <w:pStyle w:val="161"/>
              <w:spacing w:before="78" w:after="0" w:line="240" w:lineRule="auto"/>
              <w:ind w:left="136" w:leftChars="0" w:right="107" w:rightChars="0" w:hanging="13" w:firstLineChars="0"/>
              <w:rPr>
                <w:color w:val="auto"/>
                <w:spacing w:val="-3"/>
                <w:highlight w:val="none"/>
              </w:rPr>
            </w:pPr>
            <w:r>
              <w:rPr>
                <w:color w:val="auto"/>
                <w:highlight w:val="none"/>
              </w:rPr>
              <w:t>所投产品技术参数全部满足</w:t>
            </w:r>
            <w:r>
              <w:rPr>
                <w:color w:val="auto"/>
                <w:highlight w:val="none"/>
                <w:lang w:eastAsia="zh-CN"/>
              </w:rPr>
              <w:t>招标文件</w:t>
            </w:r>
            <w:r>
              <w:rPr>
                <w:color w:val="auto"/>
                <w:highlight w:val="none"/>
              </w:rPr>
              <w:t>技术要求的得</w:t>
            </w:r>
            <w:r>
              <w:rPr>
                <w:color w:val="auto"/>
                <w:highlight w:val="none"/>
                <w:lang w:eastAsia="zh-CN"/>
              </w:rPr>
              <w:t>24</w:t>
            </w:r>
            <w:r>
              <w:rPr>
                <w:color w:val="auto"/>
                <w:highlight w:val="none"/>
              </w:rPr>
              <w:t>分，所投产品每存在一处</w:t>
            </w:r>
            <w:r>
              <w:rPr>
                <w:color w:val="auto"/>
                <w:highlight w:val="none"/>
                <w:lang w:eastAsia="zh-CN"/>
              </w:rPr>
              <w:t>技术参数</w:t>
            </w:r>
            <w:r>
              <w:rPr>
                <w:color w:val="auto"/>
                <w:highlight w:val="none"/>
              </w:rPr>
              <w:t>负偏离扣</w:t>
            </w:r>
            <w:r>
              <w:rPr>
                <w:color w:val="auto"/>
                <w:highlight w:val="none"/>
                <w:lang w:eastAsia="zh-CN"/>
              </w:rPr>
              <w:t>1</w:t>
            </w:r>
            <w:r>
              <w:rPr>
                <w:color w:val="auto"/>
                <w:highlight w:val="none"/>
              </w:rPr>
              <w:t>分，所投产品技术参数</w:t>
            </w:r>
            <w:r>
              <w:rPr>
                <w:color w:val="auto"/>
                <w:highlight w:val="none"/>
                <w:lang w:eastAsia="zh-CN"/>
              </w:rPr>
              <w:t>存在10项（不含）以上负偏离的视为无效投标</w:t>
            </w:r>
            <w:r>
              <w:rPr>
                <w:color w:val="auto"/>
                <w:highlight w:val="none"/>
              </w:rPr>
              <w:t>。响应偏离表经</w:t>
            </w:r>
            <w:r>
              <w:rPr>
                <w:color w:val="auto"/>
                <w:highlight w:val="none"/>
                <w:lang w:eastAsia="zh-CN"/>
              </w:rPr>
              <w:t>评标委员会</w:t>
            </w:r>
            <w:r>
              <w:rPr>
                <w:color w:val="auto"/>
                <w:highlight w:val="none"/>
              </w:rPr>
              <w:t>认定照抄</w:t>
            </w:r>
            <w:r>
              <w:rPr>
                <w:color w:val="auto"/>
                <w:highlight w:val="none"/>
                <w:lang w:eastAsia="zh-CN"/>
              </w:rPr>
              <w:t>招标文件</w:t>
            </w:r>
            <w:r>
              <w:rPr>
                <w:color w:val="auto"/>
                <w:highlight w:val="none"/>
              </w:rPr>
              <w:t>技术要求的，本项不得分。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76" w:type="dxa"/>
            <w:vMerge w:val="continue"/>
            <w:vAlign w:val="center"/>
          </w:tcPr>
          <w:p>
            <w:pPr>
              <w:pStyle w:val="161"/>
              <w:spacing w:line="240" w:lineRule="auto"/>
              <w:ind w:left="128" w:leftChars="0" w:right="0" w:rightChars="0" w:firstLine="0" w:firstLineChars="0"/>
              <w:jc w:val="center"/>
              <w:rPr>
                <w:rFonts w:hint="eastAsia"/>
                <w:color w:val="auto"/>
                <w:spacing w:val="-8"/>
                <w:highlight w:val="none"/>
                <w:lang w:val="en-US" w:eastAsia="zh-CN"/>
              </w:rPr>
            </w:pPr>
          </w:p>
        </w:tc>
        <w:tc>
          <w:tcPr>
            <w:tcW w:w="931" w:type="dxa"/>
            <w:vAlign w:val="center"/>
          </w:tcPr>
          <w:p>
            <w:pPr>
              <w:pStyle w:val="161"/>
              <w:spacing w:before="78" w:after="0" w:line="240" w:lineRule="auto"/>
              <w:ind w:right="0" w:rightChars="0"/>
              <w:rPr>
                <w:color w:val="auto"/>
                <w:spacing w:val="-5"/>
                <w:highlight w:val="none"/>
              </w:rPr>
            </w:pPr>
            <w:r>
              <w:rPr>
                <w:color w:val="auto"/>
                <w:spacing w:val="-5"/>
                <w:highlight w:val="none"/>
              </w:rPr>
              <w:t>对项目需求分析及解决方案</w:t>
            </w:r>
          </w:p>
        </w:tc>
        <w:tc>
          <w:tcPr>
            <w:tcW w:w="795" w:type="dxa"/>
            <w:vAlign w:val="center"/>
          </w:tcPr>
          <w:p>
            <w:pPr>
              <w:pStyle w:val="161"/>
              <w:spacing w:before="78" w:after="0" w:line="240" w:lineRule="auto"/>
              <w:ind w:left="185" w:leftChars="0" w:right="0" w:rightChars="0" w:firstLine="0" w:firstLineChars="0"/>
              <w:jc w:val="center"/>
              <w:rPr>
                <w:rFonts w:hint="default"/>
                <w:color w:val="auto"/>
                <w:spacing w:val="-5"/>
                <w:highlight w:val="none"/>
                <w:lang w:val="en-US" w:eastAsia="zh-CN"/>
              </w:rPr>
            </w:pPr>
            <w:r>
              <w:rPr>
                <w:color w:val="auto"/>
                <w:spacing w:val="-5"/>
                <w:highlight w:val="none"/>
                <w:lang w:eastAsia="zh-CN"/>
              </w:rPr>
              <w:t>10分</w:t>
            </w:r>
          </w:p>
        </w:tc>
        <w:tc>
          <w:tcPr>
            <w:tcW w:w="7170" w:type="dxa"/>
            <w:vAlign w:val="top"/>
          </w:tcPr>
          <w:p>
            <w:pPr>
              <w:pStyle w:val="161"/>
              <w:spacing w:before="185" w:after="0" w:line="240" w:lineRule="auto"/>
              <w:ind w:left="123" w:leftChars="0" w:right="107" w:rightChars="0" w:firstLine="0" w:firstLineChars="0"/>
              <w:rPr>
                <w:rFonts w:hint="eastAsia" w:ascii="仿宋" w:hAnsi="仿宋" w:eastAsia="仿宋" w:cs="仿宋"/>
                <w:color w:val="auto"/>
                <w:sz w:val="24"/>
                <w:highlight w:val="none"/>
              </w:rPr>
            </w:pPr>
            <w:r>
              <w:rPr>
                <w:color w:val="auto"/>
                <w:highlight w:val="none"/>
              </w:rPr>
              <w:t>根据</w:t>
            </w:r>
            <w:r>
              <w:rPr>
                <w:color w:val="auto"/>
                <w:highlight w:val="none"/>
                <w:lang w:eastAsia="zh-CN"/>
              </w:rPr>
              <w:t>投标人</w:t>
            </w:r>
            <w:r>
              <w:rPr>
                <w:color w:val="auto"/>
                <w:highlight w:val="none"/>
              </w:rPr>
              <w:t>对医院信息化建设相关的现状、问题和需求充分理解及综合分析，了解本项目的建设目标，针对医院信息化建设现状及存在的问题，提出项目的核心需求点、重点难点，并阐述解决方案。内容充分、明确、详细、合理的得</w:t>
            </w:r>
            <w:r>
              <w:rPr>
                <w:color w:val="auto"/>
                <w:highlight w:val="none"/>
                <w:lang w:eastAsia="zh-CN"/>
              </w:rPr>
              <w:t>满分10</w:t>
            </w:r>
            <w:r>
              <w:rPr>
                <w:color w:val="auto"/>
                <w:highlight w:val="none"/>
              </w:rPr>
              <w:t>分；</w:t>
            </w:r>
            <w:r>
              <w:rPr>
                <w:color w:val="auto"/>
                <w:spacing w:val="-3"/>
                <w:highlight w:val="none"/>
              </w:rPr>
              <w:t>方案内容每存在</w:t>
            </w:r>
            <w:r>
              <w:rPr>
                <w:color w:val="auto"/>
                <w:highlight w:val="none"/>
              </w:rPr>
              <w:t xml:space="preserve"> </w:t>
            </w:r>
            <w:r>
              <w:rPr>
                <w:color w:val="auto"/>
                <w:spacing w:val="-3"/>
                <w:highlight w:val="none"/>
              </w:rPr>
              <w:t>一处不详尽、不合理、不具有针对性、缺项的扣减</w:t>
            </w:r>
            <w:r>
              <w:rPr>
                <w:color w:val="auto"/>
                <w:spacing w:val="-43"/>
                <w:highlight w:val="none"/>
              </w:rPr>
              <w:t xml:space="preserve"> </w:t>
            </w:r>
            <w:r>
              <w:rPr>
                <w:color w:val="auto"/>
                <w:spacing w:val="-3"/>
                <w:highlight w:val="none"/>
                <w:lang w:eastAsia="zh-CN"/>
              </w:rPr>
              <w:t>1</w:t>
            </w:r>
            <w:r>
              <w:rPr>
                <w:color w:val="auto"/>
                <w:spacing w:val="-3"/>
                <w:highlight w:val="none"/>
              </w:rPr>
              <w:t>分，扣</w:t>
            </w:r>
            <w:r>
              <w:rPr>
                <w:color w:val="auto"/>
                <w:spacing w:val="-1"/>
                <w:highlight w:val="none"/>
              </w:rPr>
              <w:t>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1076" w:type="dxa"/>
            <w:vMerge w:val="continue"/>
            <w:vAlign w:val="center"/>
          </w:tcPr>
          <w:p>
            <w:pPr>
              <w:pStyle w:val="161"/>
              <w:spacing w:line="240" w:lineRule="auto"/>
              <w:ind w:left="128" w:leftChars="0" w:right="0" w:rightChars="0" w:firstLine="0" w:firstLineChars="0"/>
              <w:jc w:val="center"/>
              <w:rPr>
                <w:rFonts w:hint="eastAsia"/>
                <w:color w:val="auto"/>
                <w:spacing w:val="-8"/>
                <w:highlight w:val="none"/>
                <w:lang w:val="en-US" w:eastAsia="zh-CN"/>
              </w:rPr>
            </w:pPr>
          </w:p>
        </w:tc>
        <w:tc>
          <w:tcPr>
            <w:tcW w:w="931" w:type="dxa"/>
            <w:vAlign w:val="center"/>
          </w:tcPr>
          <w:p>
            <w:pPr>
              <w:pStyle w:val="161"/>
              <w:spacing w:before="78" w:after="0" w:line="240" w:lineRule="auto"/>
              <w:ind w:right="0" w:rightChars="0"/>
              <w:jc w:val="both"/>
              <w:rPr>
                <w:color w:val="auto"/>
                <w:spacing w:val="-5"/>
                <w:highlight w:val="none"/>
              </w:rPr>
            </w:pPr>
            <w:r>
              <w:rPr>
                <w:color w:val="auto"/>
                <w:spacing w:val="-5"/>
                <w:highlight w:val="none"/>
              </w:rPr>
              <w:t>项目实施方案</w:t>
            </w:r>
          </w:p>
        </w:tc>
        <w:tc>
          <w:tcPr>
            <w:tcW w:w="795" w:type="dxa"/>
            <w:vAlign w:val="center"/>
          </w:tcPr>
          <w:p>
            <w:pPr>
              <w:pStyle w:val="161"/>
              <w:spacing w:before="78" w:after="0" w:line="240" w:lineRule="auto"/>
              <w:ind w:left="0" w:leftChars="0" w:right="0" w:rightChars="0" w:firstLine="0" w:firstLineChars="0"/>
              <w:jc w:val="center"/>
              <w:rPr>
                <w:rFonts w:hint="eastAsia"/>
                <w:color w:val="auto"/>
                <w:spacing w:val="-5"/>
                <w:highlight w:val="none"/>
                <w:lang w:val="en-US" w:eastAsia="zh-CN"/>
              </w:rPr>
            </w:pPr>
            <w:r>
              <w:rPr>
                <w:color w:val="auto"/>
                <w:spacing w:val="-4"/>
                <w:highlight w:val="none"/>
                <w:lang w:eastAsia="zh-CN"/>
              </w:rPr>
              <w:t xml:space="preserve"> 12</w:t>
            </w:r>
            <w:r>
              <w:rPr>
                <w:color w:val="auto"/>
                <w:spacing w:val="-5"/>
                <w:highlight w:val="none"/>
                <w:lang w:eastAsia="zh-CN"/>
              </w:rPr>
              <w:t>分</w:t>
            </w:r>
          </w:p>
        </w:tc>
        <w:tc>
          <w:tcPr>
            <w:tcW w:w="7170" w:type="dxa"/>
            <w:vAlign w:val="top"/>
          </w:tcPr>
          <w:p>
            <w:pPr>
              <w:pStyle w:val="161"/>
              <w:spacing w:before="183" w:after="0" w:line="240" w:lineRule="auto"/>
              <w:ind w:left="123" w:leftChars="0" w:right="30" w:rightChars="0" w:firstLine="0" w:firstLineChars="0"/>
              <w:rPr>
                <w:rFonts w:hint="eastAsia" w:ascii="仿宋" w:hAnsi="仿宋" w:eastAsia="仿宋" w:cs="仿宋"/>
                <w:color w:val="auto"/>
                <w:sz w:val="24"/>
                <w:highlight w:val="none"/>
              </w:rPr>
            </w:pPr>
            <w:r>
              <w:rPr>
                <w:color w:val="auto"/>
                <w:highlight w:val="none"/>
              </w:rPr>
              <w:t>根据</w:t>
            </w:r>
            <w:r>
              <w:rPr>
                <w:color w:val="auto"/>
                <w:highlight w:val="none"/>
                <w:lang w:eastAsia="zh-CN"/>
              </w:rPr>
              <w:t>投标人</w:t>
            </w:r>
            <w:r>
              <w:rPr>
                <w:color w:val="auto"/>
                <w:highlight w:val="none"/>
              </w:rPr>
              <w:t>制定的项目实施方案进行评审。</w:t>
            </w:r>
            <w:r>
              <w:rPr>
                <w:color w:val="auto"/>
                <w:highlight w:val="none"/>
                <w:lang w:eastAsia="zh-CN"/>
              </w:rPr>
              <w:t>包括</w:t>
            </w:r>
            <w:r>
              <w:rPr>
                <w:color w:val="auto"/>
                <w:highlight w:val="none"/>
              </w:rPr>
              <w:t>方案设计（包括系统架构、整体设计等）</w:t>
            </w:r>
            <w:r>
              <w:rPr>
                <w:color w:val="auto"/>
                <w:highlight w:val="none"/>
                <w:lang w:eastAsia="zh-CN"/>
              </w:rPr>
              <w:t>、</w:t>
            </w:r>
            <w:r>
              <w:rPr>
                <w:color w:val="auto"/>
                <w:highlight w:val="none"/>
              </w:rPr>
              <w:t>项目管理方案（包括覆盖进度管理、风险管理、质量管理）</w:t>
            </w:r>
            <w:r>
              <w:rPr>
                <w:color w:val="auto"/>
                <w:highlight w:val="none"/>
                <w:lang w:eastAsia="zh-CN"/>
              </w:rPr>
              <w:t>、</w:t>
            </w:r>
            <w:r>
              <w:rPr>
                <w:color w:val="auto"/>
                <w:highlight w:val="none"/>
              </w:rPr>
              <w:t>工作计划</w:t>
            </w:r>
            <w:r>
              <w:rPr>
                <w:color w:val="auto"/>
                <w:highlight w:val="none"/>
                <w:lang w:eastAsia="zh-CN"/>
              </w:rPr>
              <w:t>、</w:t>
            </w:r>
            <w:r>
              <w:rPr>
                <w:color w:val="auto"/>
                <w:highlight w:val="none"/>
              </w:rPr>
              <w:t>应急管理方案</w:t>
            </w:r>
            <w:r>
              <w:rPr>
                <w:color w:val="auto"/>
                <w:highlight w:val="none"/>
                <w:lang w:eastAsia="zh-CN"/>
              </w:rPr>
              <w:t>（包括</w:t>
            </w:r>
            <w:r>
              <w:rPr>
                <w:color w:val="auto"/>
                <w:highlight w:val="none"/>
              </w:rPr>
              <w:t>处理各类应急事故所具备的人力、技术支持、设施设备和能力</w:t>
            </w:r>
            <w:r>
              <w:rPr>
                <w:color w:val="auto"/>
                <w:highlight w:val="none"/>
                <w:lang w:eastAsia="zh-CN"/>
              </w:rPr>
              <w:t>）等4项内容，每项内容满分3分，每有一处瑕疵或不足扣</w:t>
            </w:r>
            <w:r>
              <w:rPr>
                <w:rFonts w:hint="eastAsia"/>
                <w:color w:val="auto"/>
                <w:highlight w:val="none"/>
                <w:lang w:val="en-US" w:eastAsia="zh-CN"/>
              </w:rPr>
              <w:t>0.5</w:t>
            </w:r>
            <w:r>
              <w:rPr>
                <w:color w:val="auto"/>
                <w:highlight w:val="none"/>
                <w:lang w:eastAsia="zh-CN"/>
              </w:rPr>
              <w:t>分，未提供对应内容不得分。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jc w:val="center"/>
        </w:trPr>
        <w:tc>
          <w:tcPr>
            <w:tcW w:w="1076" w:type="dxa"/>
            <w:vMerge w:val="continue"/>
            <w:vAlign w:val="center"/>
          </w:tcPr>
          <w:p>
            <w:pPr>
              <w:pStyle w:val="161"/>
              <w:spacing w:line="240" w:lineRule="auto"/>
              <w:ind w:left="128" w:leftChars="0" w:right="0" w:rightChars="0" w:firstLine="0" w:firstLineChars="0"/>
              <w:jc w:val="center"/>
              <w:rPr>
                <w:rFonts w:hint="eastAsia"/>
                <w:color w:val="auto"/>
                <w:spacing w:val="-8"/>
                <w:highlight w:val="none"/>
                <w:lang w:val="en-US" w:eastAsia="zh-CN"/>
              </w:rPr>
            </w:pPr>
          </w:p>
        </w:tc>
        <w:tc>
          <w:tcPr>
            <w:tcW w:w="931" w:type="dxa"/>
            <w:vAlign w:val="center"/>
          </w:tcPr>
          <w:p>
            <w:pPr>
              <w:pStyle w:val="161"/>
              <w:spacing w:before="78" w:after="0" w:line="240" w:lineRule="auto"/>
              <w:ind w:left="0" w:leftChars="0" w:right="0" w:rightChars="0" w:firstLine="0" w:firstLineChars="0"/>
              <w:jc w:val="center"/>
              <w:rPr>
                <w:rFonts w:hint="eastAsia"/>
                <w:color w:val="auto"/>
                <w:spacing w:val="-5"/>
                <w:highlight w:val="none"/>
                <w:lang w:val="en-US" w:eastAsia="zh-CN"/>
              </w:rPr>
            </w:pPr>
            <w:r>
              <w:rPr>
                <w:color w:val="auto"/>
                <w:spacing w:val="-8"/>
                <w:highlight w:val="none"/>
              </w:rPr>
              <w:t>项目组成员配备情况</w:t>
            </w:r>
          </w:p>
        </w:tc>
        <w:tc>
          <w:tcPr>
            <w:tcW w:w="795" w:type="dxa"/>
            <w:vAlign w:val="center"/>
          </w:tcPr>
          <w:p>
            <w:pPr>
              <w:pStyle w:val="161"/>
              <w:spacing w:before="78" w:after="0" w:line="240" w:lineRule="auto"/>
              <w:ind w:left="0" w:leftChars="0" w:right="0" w:rightChars="0" w:firstLine="0" w:firstLineChars="0"/>
              <w:jc w:val="center"/>
              <w:rPr>
                <w:rFonts w:hint="eastAsia"/>
                <w:color w:val="auto"/>
                <w:spacing w:val="-6"/>
                <w:highlight w:val="none"/>
                <w:lang w:val="en-US" w:eastAsia="zh-CN"/>
              </w:rPr>
            </w:pPr>
            <w:r>
              <w:rPr>
                <w:color w:val="auto"/>
                <w:spacing w:val="-8"/>
                <w:highlight w:val="none"/>
                <w:lang w:eastAsia="zh-CN"/>
              </w:rPr>
              <w:t>10分</w:t>
            </w:r>
          </w:p>
        </w:tc>
        <w:tc>
          <w:tcPr>
            <w:tcW w:w="7170" w:type="dxa"/>
            <w:vAlign w:val="top"/>
          </w:tcPr>
          <w:p>
            <w:pPr>
              <w:pStyle w:val="161"/>
              <w:numPr>
                <w:ilvl w:val="0"/>
                <w:numId w:val="0"/>
              </w:numPr>
              <w:spacing w:before="78" w:after="0" w:line="240" w:lineRule="auto"/>
              <w:ind w:left="136" w:right="107" w:hanging="13"/>
              <w:rPr>
                <w:color w:val="auto"/>
                <w:spacing w:val="-3"/>
                <w:highlight w:val="none"/>
                <w:lang w:eastAsia="zh-CN"/>
              </w:rPr>
            </w:pPr>
            <w:r>
              <w:rPr>
                <w:color w:val="auto"/>
                <w:spacing w:val="-2"/>
                <w:highlight w:val="none"/>
                <w:lang w:eastAsia="zh-CN"/>
              </w:rPr>
              <w:t>1、拟派</w:t>
            </w:r>
            <w:r>
              <w:rPr>
                <w:color w:val="auto"/>
                <w:spacing w:val="-2"/>
                <w:highlight w:val="none"/>
              </w:rPr>
              <w:t>项目组成</w:t>
            </w:r>
            <w:r>
              <w:rPr>
                <w:color w:val="auto"/>
                <w:spacing w:val="-2"/>
                <w:highlight w:val="none"/>
                <w:lang w:eastAsia="zh-CN"/>
              </w:rPr>
              <w:t>员组成</w:t>
            </w:r>
            <w:r>
              <w:rPr>
                <w:color w:val="auto"/>
                <w:spacing w:val="-3"/>
                <w:highlight w:val="none"/>
                <w:lang w:eastAsia="zh-CN"/>
              </w:rPr>
              <w:t>：</w:t>
            </w:r>
          </w:p>
          <w:p>
            <w:pPr>
              <w:pStyle w:val="161"/>
              <w:numPr>
                <w:ilvl w:val="0"/>
                <w:numId w:val="0"/>
              </w:numPr>
              <w:spacing w:before="78" w:after="0" w:line="240" w:lineRule="auto"/>
              <w:ind w:left="136" w:right="107" w:hanging="13"/>
              <w:rPr>
                <w:color w:val="auto"/>
                <w:spacing w:val="-3"/>
                <w:highlight w:val="none"/>
                <w:lang w:eastAsia="zh-CN"/>
              </w:rPr>
            </w:pPr>
            <w:r>
              <w:rPr>
                <w:color w:val="auto"/>
                <w:spacing w:val="-3"/>
                <w:highlight w:val="none"/>
                <w:lang w:eastAsia="zh-CN"/>
              </w:rPr>
              <w:t>（1）配有高级信息系统项目管理师的得1分；</w:t>
            </w:r>
          </w:p>
          <w:p>
            <w:pPr>
              <w:pStyle w:val="161"/>
              <w:numPr>
                <w:ilvl w:val="0"/>
                <w:numId w:val="0"/>
              </w:numPr>
              <w:spacing w:before="78" w:after="0" w:line="240" w:lineRule="auto"/>
              <w:ind w:left="136" w:right="107" w:hanging="13"/>
              <w:rPr>
                <w:color w:val="auto"/>
                <w:spacing w:val="-3"/>
                <w:highlight w:val="none"/>
              </w:rPr>
            </w:pPr>
            <w:r>
              <w:rPr>
                <w:color w:val="auto"/>
                <w:spacing w:val="-3"/>
                <w:highlight w:val="none"/>
                <w:lang w:eastAsia="zh-CN"/>
              </w:rPr>
              <w:t>（2）配有高级系统架构设计师的得1分；</w:t>
            </w:r>
          </w:p>
          <w:p>
            <w:pPr>
              <w:pStyle w:val="161"/>
              <w:numPr>
                <w:ilvl w:val="0"/>
                <w:numId w:val="0"/>
              </w:numPr>
              <w:spacing w:before="78" w:after="0" w:line="240" w:lineRule="auto"/>
              <w:ind w:left="136" w:right="107" w:hanging="13"/>
              <w:rPr>
                <w:color w:val="auto"/>
                <w:spacing w:val="-3"/>
                <w:highlight w:val="none"/>
              </w:rPr>
            </w:pPr>
            <w:r>
              <w:rPr>
                <w:color w:val="auto"/>
                <w:spacing w:val="-3"/>
                <w:highlight w:val="none"/>
                <w:lang w:eastAsia="zh-CN"/>
              </w:rPr>
              <w:t>（3）配有高级系统分析师的</w:t>
            </w:r>
            <w:bookmarkStart w:id="451" w:name="_GoBack"/>
            <w:bookmarkEnd w:id="451"/>
            <w:r>
              <w:rPr>
                <w:color w:val="auto"/>
                <w:spacing w:val="-3"/>
                <w:highlight w:val="none"/>
                <w:lang w:eastAsia="zh-CN"/>
              </w:rPr>
              <w:t>得1分；</w:t>
            </w:r>
          </w:p>
          <w:p>
            <w:pPr>
              <w:pStyle w:val="161"/>
              <w:numPr>
                <w:ilvl w:val="0"/>
                <w:numId w:val="0"/>
              </w:numPr>
              <w:spacing w:before="78" w:after="0" w:line="240" w:lineRule="auto"/>
              <w:ind w:left="136" w:right="107" w:hanging="13"/>
              <w:rPr>
                <w:color w:val="auto"/>
                <w:spacing w:val="-2"/>
                <w:highlight w:val="none"/>
                <w:lang w:eastAsia="zh-CN"/>
              </w:rPr>
            </w:pPr>
            <w:r>
              <w:rPr>
                <w:color w:val="auto"/>
                <w:spacing w:val="-3"/>
                <w:highlight w:val="none"/>
                <w:lang w:eastAsia="zh-CN"/>
              </w:rPr>
              <w:t>（4）配有高级工程师的得</w:t>
            </w:r>
            <w:r>
              <w:rPr>
                <w:color w:val="auto"/>
                <w:spacing w:val="-2"/>
                <w:highlight w:val="none"/>
                <w:lang w:eastAsia="zh-CN"/>
              </w:rPr>
              <w:t>1分。</w:t>
            </w:r>
          </w:p>
          <w:p>
            <w:pPr>
              <w:pStyle w:val="161"/>
              <w:numPr>
                <w:ilvl w:val="0"/>
                <w:numId w:val="0"/>
              </w:numPr>
              <w:spacing w:before="78" w:after="0" w:line="240" w:lineRule="auto"/>
              <w:ind w:left="136" w:right="107" w:hanging="13"/>
              <w:rPr>
                <w:color w:val="auto"/>
                <w:spacing w:val="-2"/>
                <w:highlight w:val="none"/>
              </w:rPr>
            </w:pPr>
            <w:r>
              <w:rPr>
                <w:color w:val="auto"/>
                <w:spacing w:val="-2"/>
                <w:highlight w:val="none"/>
                <w:lang w:eastAsia="zh-CN"/>
              </w:rPr>
              <w:t>注：上述人员可重复计分，须提供以上证书复印件、人员身份证复印件并加盖投标人公章，同时须提供社保部门出具</w:t>
            </w:r>
            <w:r>
              <w:rPr>
                <w:color w:val="auto"/>
                <w:spacing w:val="-2"/>
                <w:highlight w:val="none"/>
              </w:rPr>
              <w:t>的上述人员</w:t>
            </w:r>
            <w:r>
              <w:rPr>
                <w:color w:val="auto"/>
                <w:spacing w:val="-2"/>
                <w:highlight w:val="none"/>
                <w:lang w:eastAsia="zh-CN"/>
              </w:rPr>
              <w:t>至投标截止时间前至少近3</w:t>
            </w:r>
            <w:r>
              <w:rPr>
                <w:color w:val="auto"/>
                <w:spacing w:val="-2"/>
                <w:highlight w:val="none"/>
              </w:rPr>
              <w:t>个月在本单位缴纳社保证明并加盖</w:t>
            </w:r>
            <w:r>
              <w:rPr>
                <w:color w:val="auto"/>
                <w:spacing w:val="-2"/>
                <w:highlight w:val="none"/>
                <w:lang w:eastAsia="zh-CN"/>
              </w:rPr>
              <w:t>投标人</w:t>
            </w:r>
            <w:r>
              <w:rPr>
                <w:color w:val="auto"/>
                <w:spacing w:val="-2"/>
                <w:highlight w:val="none"/>
              </w:rPr>
              <w:t>公章，否则不得分）</w:t>
            </w:r>
          </w:p>
          <w:p>
            <w:pPr>
              <w:pStyle w:val="161"/>
              <w:numPr>
                <w:ilvl w:val="0"/>
                <w:numId w:val="0"/>
              </w:numPr>
              <w:spacing w:before="78" w:after="0" w:line="240" w:lineRule="auto"/>
              <w:ind w:left="136" w:right="107" w:hanging="13"/>
              <w:rPr>
                <w:color w:val="auto"/>
                <w:spacing w:val="-2"/>
                <w:highlight w:val="none"/>
                <w:lang w:eastAsia="zh-CN"/>
              </w:rPr>
            </w:pPr>
            <w:r>
              <w:rPr>
                <w:color w:val="auto"/>
                <w:spacing w:val="-2"/>
                <w:highlight w:val="none"/>
                <w:lang w:eastAsia="zh-CN"/>
              </w:rPr>
              <w:t>2、拟派项目经理承担过医疗机构的 HIS、电子病历、集成平台等核心系统案例的，每提供一个案例得2分，满分6分。</w:t>
            </w:r>
          </w:p>
          <w:p>
            <w:pPr>
              <w:pStyle w:val="161"/>
              <w:numPr>
                <w:ilvl w:val="0"/>
                <w:numId w:val="0"/>
              </w:numPr>
              <w:spacing w:before="78" w:after="0" w:line="240" w:lineRule="auto"/>
              <w:ind w:left="136" w:leftChars="0" w:right="107" w:rightChars="0" w:hanging="13" w:firstLineChars="0"/>
              <w:rPr>
                <w:rFonts w:hint="eastAsia" w:cs="仿宋"/>
                <w:color w:val="auto"/>
                <w:sz w:val="24"/>
                <w:highlight w:val="none"/>
                <w:lang w:val="en-US" w:eastAsia="zh-CN"/>
              </w:rPr>
            </w:pPr>
            <w:r>
              <w:rPr>
                <w:color w:val="auto"/>
                <w:spacing w:val="-2"/>
                <w:highlight w:val="none"/>
                <w:lang w:eastAsia="zh-CN"/>
              </w:rPr>
              <w:t>注：须提供完整合同（合同中须体现项目经理姓名）复印件，并提供项目经理至投标截止时间前至少近3</w:t>
            </w:r>
            <w:r>
              <w:rPr>
                <w:color w:val="auto"/>
                <w:spacing w:val="-2"/>
                <w:highlight w:val="none"/>
              </w:rPr>
              <w:t>个月在本单位缴纳社保证明并加盖</w:t>
            </w:r>
            <w:r>
              <w:rPr>
                <w:color w:val="auto"/>
                <w:spacing w:val="-2"/>
                <w:highlight w:val="none"/>
                <w:lang w:eastAsia="zh-CN"/>
              </w:rPr>
              <w:t>投标人</w:t>
            </w:r>
            <w:r>
              <w:rPr>
                <w:color w:val="auto"/>
                <w:spacing w:val="-2"/>
                <w:highlight w:val="none"/>
              </w:rPr>
              <w:t>公章，</w:t>
            </w:r>
            <w:r>
              <w:rPr>
                <w:color w:val="auto"/>
                <w:spacing w:val="-2"/>
                <w:highlight w:val="none"/>
                <w:lang w:eastAsia="zh-CN"/>
              </w:rPr>
              <w:t>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jc w:val="center"/>
        </w:trPr>
        <w:tc>
          <w:tcPr>
            <w:tcW w:w="1076" w:type="dxa"/>
            <w:vMerge w:val="restart"/>
            <w:vAlign w:val="center"/>
          </w:tcPr>
          <w:p>
            <w:pPr>
              <w:pStyle w:val="161"/>
              <w:spacing w:line="240" w:lineRule="auto"/>
              <w:ind w:left="128" w:leftChars="0" w:right="0" w:rightChars="0" w:firstLine="0" w:firstLineChars="0"/>
              <w:jc w:val="center"/>
              <w:rPr>
                <w:rFonts w:hint="default"/>
                <w:color w:val="auto"/>
                <w:spacing w:val="-8"/>
                <w:highlight w:val="none"/>
                <w:lang w:val="en-US" w:eastAsia="zh-CN"/>
              </w:rPr>
            </w:pPr>
            <w:r>
              <w:rPr>
                <w:color w:val="auto"/>
                <w:spacing w:val="-8"/>
                <w:highlight w:val="none"/>
                <w:lang w:eastAsia="zh-CN"/>
              </w:rPr>
              <w:t>服务部分（</w:t>
            </w:r>
            <w:r>
              <w:rPr>
                <w:rFonts w:hint="eastAsia"/>
                <w:color w:val="auto"/>
                <w:spacing w:val="-8"/>
                <w:highlight w:val="none"/>
                <w:lang w:val="en-US" w:eastAsia="zh-CN"/>
              </w:rPr>
              <w:t>14</w:t>
            </w:r>
            <w:r>
              <w:rPr>
                <w:color w:val="auto"/>
                <w:spacing w:val="-8"/>
                <w:highlight w:val="none"/>
                <w:lang w:eastAsia="zh-CN"/>
              </w:rPr>
              <w:t>分）</w:t>
            </w:r>
          </w:p>
        </w:tc>
        <w:tc>
          <w:tcPr>
            <w:tcW w:w="931" w:type="dxa"/>
            <w:vAlign w:val="center"/>
          </w:tcPr>
          <w:p>
            <w:pPr>
              <w:pStyle w:val="161"/>
              <w:spacing w:before="78" w:after="0" w:line="240" w:lineRule="auto"/>
              <w:ind w:left="184" w:leftChars="0" w:right="0" w:rightChars="0" w:firstLine="0" w:firstLineChars="0"/>
              <w:jc w:val="center"/>
              <w:rPr>
                <w:color w:val="auto"/>
                <w:spacing w:val="-5"/>
                <w:highlight w:val="none"/>
              </w:rPr>
            </w:pPr>
            <w:r>
              <w:rPr>
                <w:color w:val="auto"/>
                <w:spacing w:val="-5"/>
                <w:highlight w:val="none"/>
              </w:rPr>
              <w:t>售后服务方案</w:t>
            </w:r>
          </w:p>
        </w:tc>
        <w:tc>
          <w:tcPr>
            <w:tcW w:w="795" w:type="dxa"/>
            <w:vAlign w:val="center"/>
          </w:tcPr>
          <w:p>
            <w:pPr>
              <w:pStyle w:val="161"/>
              <w:spacing w:before="78" w:after="0" w:line="240" w:lineRule="auto"/>
              <w:ind w:left="184" w:leftChars="0" w:right="0" w:rightChars="0" w:firstLine="0" w:firstLineChars="0"/>
              <w:jc w:val="center"/>
              <w:rPr>
                <w:rFonts w:hint="default"/>
                <w:color w:val="auto"/>
                <w:spacing w:val="-5"/>
                <w:highlight w:val="none"/>
                <w:lang w:val="en-US" w:eastAsia="zh-CN"/>
              </w:rPr>
            </w:pPr>
            <w:r>
              <w:rPr>
                <w:rFonts w:hint="eastAsia"/>
                <w:color w:val="auto"/>
                <w:spacing w:val="-5"/>
                <w:highlight w:val="none"/>
                <w:lang w:val="en-US" w:eastAsia="zh-CN"/>
              </w:rPr>
              <w:t>6</w:t>
            </w:r>
            <w:r>
              <w:rPr>
                <w:color w:val="auto"/>
                <w:spacing w:val="-5"/>
                <w:highlight w:val="none"/>
                <w:lang w:eastAsia="zh-CN"/>
              </w:rPr>
              <w:t>分</w:t>
            </w:r>
          </w:p>
        </w:tc>
        <w:tc>
          <w:tcPr>
            <w:tcW w:w="7170" w:type="dxa"/>
            <w:vAlign w:val="top"/>
          </w:tcPr>
          <w:p>
            <w:pPr>
              <w:pStyle w:val="161"/>
              <w:spacing w:before="311" w:after="0" w:line="240" w:lineRule="auto"/>
              <w:ind w:left="121" w:leftChars="0" w:right="107" w:rightChars="0" w:firstLine="1" w:firstLineChars="0"/>
              <w:rPr>
                <w:rFonts w:hint="eastAsia" w:ascii="仿宋" w:hAnsi="仿宋" w:eastAsia="仿宋" w:cs="仿宋"/>
                <w:color w:val="auto"/>
                <w:sz w:val="24"/>
                <w:highlight w:val="none"/>
              </w:rPr>
            </w:pPr>
            <w:r>
              <w:rPr>
                <w:color w:val="auto"/>
                <w:spacing w:val="2"/>
                <w:highlight w:val="none"/>
              </w:rPr>
              <w:t>根据</w:t>
            </w:r>
            <w:r>
              <w:rPr>
                <w:color w:val="auto"/>
                <w:spacing w:val="2"/>
                <w:highlight w:val="none"/>
                <w:lang w:eastAsia="zh-CN"/>
              </w:rPr>
              <w:t>投标人</w:t>
            </w:r>
            <w:r>
              <w:rPr>
                <w:color w:val="auto"/>
                <w:spacing w:val="2"/>
                <w:highlight w:val="none"/>
              </w:rPr>
              <w:t>所提供的售后服务方案进行综合</w:t>
            </w:r>
            <w:r>
              <w:rPr>
                <w:color w:val="auto"/>
                <w:spacing w:val="-2"/>
                <w:highlight w:val="none"/>
              </w:rPr>
              <w:t>评审</w:t>
            </w:r>
            <w:r>
              <w:rPr>
                <w:color w:val="auto"/>
                <w:spacing w:val="-2"/>
                <w:highlight w:val="none"/>
                <w:lang w:eastAsia="zh-CN"/>
              </w:rPr>
              <w:t>，</w:t>
            </w:r>
            <w:r>
              <w:rPr>
                <w:color w:val="auto"/>
                <w:spacing w:val="2"/>
                <w:highlight w:val="none"/>
              </w:rPr>
              <w:t>包括售后服务体系、服务响应时间、维护服务承诺</w:t>
            </w:r>
            <w:r>
              <w:rPr>
                <w:color w:val="auto"/>
                <w:spacing w:val="2"/>
                <w:highlight w:val="none"/>
                <w:lang w:eastAsia="zh-CN"/>
              </w:rPr>
              <w:t>、培训方案</w:t>
            </w:r>
            <w:r>
              <w:rPr>
                <w:color w:val="auto"/>
                <w:highlight w:val="none"/>
                <w:lang w:eastAsia="zh-CN"/>
              </w:rPr>
              <w:t>等4项内容，每项内容满分1.5分，每有一处瑕疵或不足扣</w:t>
            </w:r>
            <w:r>
              <w:rPr>
                <w:rFonts w:hint="eastAsia"/>
                <w:color w:val="auto"/>
                <w:highlight w:val="none"/>
                <w:lang w:val="en-US" w:eastAsia="zh-CN"/>
              </w:rPr>
              <w:t>0.5</w:t>
            </w:r>
            <w:r>
              <w:rPr>
                <w:color w:val="auto"/>
                <w:highlight w:val="none"/>
                <w:lang w:eastAsia="zh-CN"/>
              </w:rPr>
              <w:t>分，</w:t>
            </w:r>
            <w:r>
              <w:rPr>
                <w:color w:val="auto"/>
                <w:highlight w:val="none"/>
                <w:lang w:eastAsia="zh-CN"/>
              </w:rPr>
              <w:t>未提供对应内容不得分</w:t>
            </w:r>
            <w:r>
              <w:rPr>
                <w:color w:val="auto"/>
                <w:spacing w:val="-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1076" w:type="dxa"/>
            <w:vMerge w:val="continue"/>
            <w:vAlign w:val="center"/>
          </w:tcPr>
          <w:p>
            <w:pPr>
              <w:pStyle w:val="161"/>
              <w:spacing w:line="240" w:lineRule="auto"/>
              <w:ind w:left="128" w:leftChars="0" w:right="0" w:rightChars="0" w:firstLine="0" w:firstLineChars="0"/>
              <w:jc w:val="center"/>
              <w:rPr>
                <w:rFonts w:hint="eastAsia"/>
                <w:color w:val="auto"/>
                <w:spacing w:val="-8"/>
                <w:highlight w:val="none"/>
                <w:lang w:val="en-US" w:eastAsia="zh-CN"/>
              </w:rPr>
            </w:pPr>
          </w:p>
        </w:tc>
        <w:tc>
          <w:tcPr>
            <w:tcW w:w="931" w:type="dxa"/>
            <w:vAlign w:val="center"/>
          </w:tcPr>
          <w:p>
            <w:pPr>
              <w:pStyle w:val="161"/>
              <w:spacing w:before="78" w:after="0" w:line="240" w:lineRule="auto"/>
              <w:ind w:left="184" w:leftChars="0" w:right="0" w:rightChars="0" w:firstLine="0" w:firstLineChars="0"/>
              <w:jc w:val="center"/>
              <w:rPr>
                <w:rFonts w:hint="default" w:eastAsia="仿宋"/>
                <w:color w:val="auto"/>
                <w:spacing w:val="-5"/>
                <w:highlight w:val="none"/>
                <w:lang w:val="en-US" w:eastAsia="zh-CN"/>
              </w:rPr>
            </w:pPr>
            <w:r>
              <w:rPr>
                <w:color w:val="auto"/>
                <w:spacing w:val="-5"/>
                <w:highlight w:val="none"/>
                <w:lang w:eastAsia="zh-CN"/>
              </w:rPr>
              <w:t>质保期</w:t>
            </w:r>
          </w:p>
        </w:tc>
        <w:tc>
          <w:tcPr>
            <w:tcW w:w="795" w:type="dxa"/>
            <w:vAlign w:val="center"/>
          </w:tcPr>
          <w:p>
            <w:pPr>
              <w:pStyle w:val="161"/>
              <w:spacing w:before="78" w:after="0" w:line="240" w:lineRule="auto"/>
              <w:ind w:left="184" w:leftChars="0" w:right="0" w:rightChars="0" w:firstLine="0" w:firstLineChars="0"/>
              <w:jc w:val="center"/>
              <w:rPr>
                <w:rFonts w:hint="eastAsia" w:ascii="仿宋" w:hAnsi="仿宋" w:eastAsia="仿宋" w:cs="仿宋"/>
                <w:color w:val="auto"/>
                <w:spacing w:val="-5"/>
                <w:highlight w:val="none"/>
                <w:lang w:val="en-US" w:eastAsia="zh-CN"/>
              </w:rPr>
            </w:pPr>
            <w:r>
              <w:rPr>
                <w:color w:val="auto"/>
                <w:spacing w:val="-5"/>
                <w:highlight w:val="none"/>
                <w:lang w:eastAsia="zh-CN"/>
              </w:rPr>
              <w:t>5分</w:t>
            </w:r>
          </w:p>
        </w:tc>
        <w:tc>
          <w:tcPr>
            <w:tcW w:w="7170" w:type="dxa"/>
            <w:vAlign w:val="top"/>
          </w:tcPr>
          <w:p>
            <w:pPr>
              <w:pStyle w:val="161"/>
              <w:spacing w:before="311" w:after="0" w:line="240" w:lineRule="auto"/>
              <w:ind w:left="0" w:leftChars="0" w:right="107" w:rightChars="0" w:firstLine="0" w:firstLineChars="0"/>
              <w:rPr>
                <w:rFonts w:hint="eastAsia" w:ascii="仿宋" w:hAnsi="仿宋" w:eastAsia="仿宋" w:cs="仿宋"/>
                <w:color w:val="auto"/>
                <w:spacing w:val="2"/>
                <w:highlight w:val="none"/>
                <w:lang w:val="en-US" w:eastAsia="zh-CN"/>
              </w:rPr>
            </w:pPr>
            <w:r>
              <w:rPr>
                <w:color w:val="auto"/>
                <w:highlight w:val="none"/>
                <w:lang w:eastAsia="zh-CN"/>
              </w:rPr>
              <w:t>投标人所提供质保期满足招标文件要求的不得分，软件部分每增加1年原厂服务期加3分，最多加3分；硬件部分每增加1年原厂质保期加1分，最多加2分。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076" w:type="dxa"/>
            <w:vMerge w:val="continue"/>
            <w:vAlign w:val="center"/>
          </w:tcPr>
          <w:p>
            <w:pPr>
              <w:pStyle w:val="161"/>
              <w:spacing w:line="240" w:lineRule="auto"/>
              <w:ind w:left="128" w:leftChars="0" w:right="0" w:rightChars="0" w:firstLine="0" w:firstLineChars="0"/>
              <w:jc w:val="center"/>
              <w:rPr>
                <w:rFonts w:hint="eastAsia"/>
                <w:color w:val="auto"/>
                <w:spacing w:val="-8"/>
                <w:highlight w:val="none"/>
                <w:lang w:val="en-US" w:eastAsia="zh-CN"/>
              </w:rPr>
            </w:pPr>
          </w:p>
        </w:tc>
        <w:tc>
          <w:tcPr>
            <w:tcW w:w="931" w:type="dxa"/>
            <w:vAlign w:val="center"/>
          </w:tcPr>
          <w:p>
            <w:pPr>
              <w:pStyle w:val="161"/>
              <w:spacing w:before="78" w:after="0" w:line="240" w:lineRule="auto"/>
              <w:ind w:left="184" w:leftChars="0" w:right="0" w:rightChars="0" w:firstLine="0" w:firstLineChars="0"/>
              <w:jc w:val="center"/>
              <w:rPr>
                <w:rFonts w:hint="default"/>
                <w:color w:val="auto"/>
                <w:spacing w:val="-5"/>
                <w:highlight w:val="none"/>
                <w:lang w:val="en-US" w:eastAsia="zh-CN"/>
              </w:rPr>
            </w:pPr>
            <w:r>
              <w:rPr>
                <w:color w:val="auto"/>
                <w:spacing w:val="-5"/>
                <w:highlight w:val="none"/>
                <w:lang w:eastAsia="zh-CN"/>
              </w:rPr>
              <w:t>质保期满后的运维费用</w:t>
            </w:r>
          </w:p>
        </w:tc>
        <w:tc>
          <w:tcPr>
            <w:tcW w:w="795" w:type="dxa"/>
            <w:vAlign w:val="center"/>
          </w:tcPr>
          <w:p>
            <w:pPr>
              <w:pStyle w:val="161"/>
              <w:spacing w:before="78" w:after="0" w:line="240" w:lineRule="auto"/>
              <w:ind w:left="184" w:leftChars="0" w:right="0" w:rightChars="0" w:firstLine="0" w:firstLineChars="0"/>
              <w:jc w:val="center"/>
              <w:rPr>
                <w:rFonts w:hint="default" w:ascii="仿宋" w:hAnsi="仿宋" w:eastAsia="仿宋" w:cs="仿宋"/>
                <w:color w:val="auto"/>
                <w:spacing w:val="-5"/>
                <w:highlight w:val="none"/>
                <w:lang w:val="en-US" w:eastAsia="zh-CN"/>
              </w:rPr>
            </w:pPr>
            <w:r>
              <w:rPr>
                <w:rFonts w:hint="eastAsia"/>
                <w:color w:val="auto"/>
                <w:spacing w:val="-5"/>
                <w:highlight w:val="none"/>
                <w:lang w:val="en-US" w:eastAsia="zh-CN"/>
              </w:rPr>
              <w:t>3</w:t>
            </w:r>
            <w:r>
              <w:rPr>
                <w:color w:val="auto"/>
                <w:spacing w:val="-5"/>
                <w:highlight w:val="none"/>
                <w:lang w:eastAsia="zh-CN"/>
              </w:rPr>
              <w:t>分</w:t>
            </w:r>
          </w:p>
        </w:tc>
        <w:tc>
          <w:tcPr>
            <w:tcW w:w="7170" w:type="dxa"/>
            <w:vAlign w:val="top"/>
          </w:tcPr>
          <w:p>
            <w:pPr>
              <w:pStyle w:val="161"/>
              <w:numPr>
                <w:ilvl w:val="0"/>
                <w:numId w:val="0"/>
              </w:numPr>
              <w:spacing w:before="78" w:after="0" w:line="240" w:lineRule="auto"/>
              <w:ind w:left="136" w:right="107" w:hanging="13"/>
              <w:rPr>
                <w:color w:val="auto"/>
                <w:spacing w:val="-2"/>
                <w:highlight w:val="none"/>
                <w:lang w:eastAsia="zh-CN"/>
              </w:rPr>
            </w:pPr>
            <w:r>
              <w:rPr>
                <w:color w:val="auto"/>
                <w:highlight w:val="none"/>
                <w:lang w:eastAsia="zh-CN"/>
              </w:rPr>
              <w:t>投</w:t>
            </w:r>
            <w:r>
              <w:rPr>
                <w:color w:val="auto"/>
                <w:spacing w:val="2"/>
                <w:highlight w:val="none"/>
                <w:lang w:eastAsia="zh-CN"/>
              </w:rPr>
              <w:t>标人针对服务期满后的运维费用按照本项目软件总额的百分比进行报价，</w:t>
            </w:r>
            <w:r>
              <w:rPr>
                <w:color w:val="auto"/>
                <w:spacing w:val="-2"/>
                <w:highlight w:val="none"/>
                <w:lang w:eastAsia="zh-CN"/>
              </w:rPr>
              <w:t>所报运维费用不得超过本项目软件总额的10%，否则视为无效报价。</w:t>
            </w:r>
          </w:p>
          <w:p>
            <w:pPr>
              <w:pStyle w:val="161"/>
              <w:numPr>
                <w:ilvl w:val="0"/>
                <w:numId w:val="0"/>
              </w:numPr>
              <w:spacing w:before="78" w:after="0" w:line="240" w:lineRule="auto"/>
              <w:ind w:left="136" w:right="107" w:hanging="13"/>
              <w:rPr>
                <w:color w:val="auto"/>
                <w:spacing w:val="-2"/>
                <w:highlight w:val="none"/>
                <w:lang w:eastAsia="zh-CN"/>
              </w:rPr>
            </w:pPr>
            <w:r>
              <w:rPr>
                <w:color w:val="auto"/>
                <w:spacing w:val="-2"/>
                <w:highlight w:val="none"/>
                <w:lang w:eastAsia="zh-CN"/>
              </w:rPr>
              <w:t>投标人所报运维费用最低的报价为评标基准价，其价格分为满分。其他投标人的</w:t>
            </w:r>
            <w:r>
              <w:rPr>
                <w:color w:val="auto"/>
                <w:spacing w:val="-5"/>
                <w:highlight w:val="none"/>
                <w:lang w:eastAsia="zh-CN"/>
              </w:rPr>
              <w:t>运维费用得</w:t>
            </w:r>
            <w:r>
              <w:rPr>
                <w:color w:val="auto"/>
                <w:spacing w:val="-2"/>
                <w:highlight w:val="none"/>
                <w:lang w:eastAsia="zh-CN"/>
              </w:rPr>
              <w:t>分统一按照下列公式计算：</w:t>
            </w:r>
          </w:p>
          <w:p>
            <w:pPr>
              <w:pStyle w:val="161"/>
              <w:numPr>
                <w:ilvl w:val="0"/>
                <w:numId w:val="0"/>
              </w:numPr>
              <w:spacing w:before="78" w:after="0" w:line="240" w:lineRule="auto"/>
              <w:ind w:left="136" w:leftChars="0" w:right="107" w:rightChars="0" w:hanging="13" w:firstLineChars="0"/>
              <w:rPr>
                <w:rFonts w:hint="eastAsia" w:cs="仿宋"/>
                <w:color w:val="auto"/>
                <w:sz w:val="24"/>
                <w:szCs w:val="24"/>
                <w:highlight w:val="none"/>
                <w:lang w:val="en-US" w:eastAsia="zh-CN"/>
              </w:rPr>
            </w:pPr>
            <w:r>
              <w:rPr>
                <w:color w:val="auto"/>
                <w:spacing w:val="-5"/>
                <w:highlight w:val="none"/>
                <w:lang w:eastAsia="zh-CN"/>
              </w:rPr>
              <w:t>运维费用</w:t>
            </w:r>
            <w:r>
              <w:rPr>
                <w:color w:val="auto"/>
                <w:spacing w:val="-2"/>
                <w:highlight w:val="none"/>
                <w:lang w:eastAsia="zh-CN"/>
              </w:rPr>
              <w:t xml:space="preserve">得分= </w:t>
            </w:r>
            <w:r>
              <w:rPr>
                <w:color w:val="auto"/>
                <w:spacing w:val="2"/>
                <w:highlight w:val="none"/>
                <w:lang w:eastAsia="zh-CN"/>
              </w:rPr>
              <w:t>(评标基</w:t>
            </w:r>
            <w:r>
              <w:rPr>
                <w:color w:val="auto"/>
                <w:spacing w:val="-3"/>
                <w:highlight w:val="none"/>
              </w:rPr>
              <w:t>准价／</w:t>
            </w:r>
            <w:r>
              <w:rPr>
                <w:color w:val="auto"/>
                <w:spacing w:val="-3"/>
                <w:highlight w:val="none"/>
                <w:lang w:eastAsia="zh-CN"/>
              </w:rPr>
              <w:t>所投</w:t>
            </w:r>
            <w:r>
              <w:rPr>
                <w:color w:val="auto"/>
                <w:spacing w:val="-5"/>
                <w:highlight w:val="none"/>
                <w:lang w:eastAsia="zh-CN"/>
              </w:rPr>
              <w:t>运维费用</w:t>
            </w:r>
            <w:r>
              <w:rPr>
                <w:color w:val="auto"/>
                <w:spacing w:val="-3"/>
                <w:highlight w:val="none"/>
              </w:rPr>
              <w:t>)×价格分值</w:t>
            </w:r>
            <w:r>
              <w:rPr>
                <w:color w:val="auto"/>
                <w:spacing w:val="-3"/>
                <w:highlight w:val="none"/>
                <w:lang w:eastAsia="zh-CN"/>
              </w:rPr>
              <w:t>。</w:t>
            </w:r>
          </w:p>
        </w:tc>
      </w:tr>
    </w:tbl>
    <w:p>
      <w:pPr>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val="0"/>
          <w:color w:val="auto"/>
          <w:sz w:val="28"/>
          <w:szCs w:val="28"/>
          <w:highlight w:val="none"/>
          <w:lang w:val="en-US" w:eastAsia="zh-CN"/>
        </w:rPr>
        <w:t>2.2</w:t>
      </w:r>
      <w:r>
        <w:rPr>
          <w:rFonts w:hint="eastAsia" w:ascii="仿宋" w:hAnsi="仿宋" w:eastAsia="仿宋" w:cs="仿宋"/>
          <w:b/>
          <w:bCs w:val="0"/>
          <w:color w:val="auto"/>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最终价格＝响应报价×9</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给予监狱企业产品的价格</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评审价格＝监狱企业产品的报价*（1-</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给予符合规定的残疾人福利性企业产品价格</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%的扣除，用扣除后的价格参与评审，即评审价格=残疾人福利性企业产品报价*（1-</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委员会根据招标文件确定的评审办法，按照评审后综合得分由高到低排序</w:t>
      </w:r>
      <w:r>
        <w:rPr>
          <w:rFonts w:hint="eastAsia" w:ascii="仿宋" w:hAnsi="仿宋" w:eastAsia="仿宋" w:cs="仿宋"/>
          <w:color w:val="auto"/>
          <w:sz w:val="28"/>
          <w:szCs w:val="28"/>
          <w:highlight w:val="none"/>
          <w:lang w:eastAsia="zh-CN"/>
        </w:rPr>
        <w:t>。综合</w:t>
      </w:r>
      <w:r>
        <w:rPr>
          <w:rFonts w:hint="eastAsia" w:ascii="仿宋" w:hAnsi="仿宋" w:eastAsia="仿宋" w:cs="仿宋"/>
          <w:color w:val="auto"/>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06" w:name="_Toc332979559"/>
      <w:bookmarkStart w:id="207" w:name="_Toc12613"/>
      <w:bookmarkStart w:id="208" w:name="_Toc6117"/>
      <w:bookmarkStart w:id="209" w:name="_Toc3404"/>
      <w:r>
        <w:rPr>
          <w:rFonts w:hint="eastAsia" w:ascii="仿宋" w:hAnsi="仿宋" w:eastAsia="仿宋" w:cs="仿宋"/>
          <w:color w:val="auto"/>
          <w:sz w:val="28"/>
          <w:szCs w:val="28"/>
          <w:highlight w:val="none"/>
        </w:rPr>
        <w:t>五、废标</w:t>
      </w:r>
      <w:bookmarkEnd w:id="206"/>
      <w:bookmarkEnd w:id="207"/>
      <w:bookmarkEnd w:id="208"/>
      <w:bookmarkEnd w:id="209"/>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Style w:val="61"/>
          <w:rFonts w:hint="eastAsia" w:ascii="仿宋" w:hAnsi="仿宋" w:eastAsia="仿宋" w:cs="仿宋"/>
          <w:color w:val="auto"/>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61"/>
          <w:rFonts w:hint="eastAsia" w:ascii="仿宋" w:hAnsi="仿宋" w:eastAsia="仿宋" w:cs="仿宋"/>
          <w:color w:val="auto"/>
          <w:sz w:val="28"/>
          <w:szCs w:val="28"/>
          <w:highlight w:val="none"/>
        </w:rPr>
      </w:pPr>
      <w:r>
        <w:rPr>
          <w:rStyle w:val="61"/>
          <w:rFonts w:hint="eastAsia" w:ascii="仿宋" w:hAnsi="仿宋" w:eastAsia="仿宋" w:cs="仿宋"/>
          <w:color w:val="auto"/>
          <w:sz w:val="28"/>
          <w:szCs w:val="28"/>
          <w:highlight w:val="none"/>
        </w:rPr>
        <w:t>（一）在投标截止时间后参加投标的</w:t>
      </w:r>
      <w:r>
        <w:rPr>
          <w:rStyle w:val="61"/>
          <w:rFonts w:hint="eastAsia" w:ascii="仿宋" w:hAnsi="仿宋" w:eastAsia="仿宋" w:cs="仿宋"/>
          <w:color w:val="auto"/>
          <w:sz w:val="28"/>
          <w:szCs w:val="28"/>
          <w:highlight w:val="none"/>
          <w:lang w:val="en-US" w:eastAsia="zh-CN"/>
        </w:rPr>
        <w:t>供应商少于3</w:t>
      </w:r>
      <w:r>
        <w:rPr>
          <w:rStyle w:val="61"/>
          <w:rFonts w:hint="eastAsia" w:ascii="仿宋" w:hAnsi="仿宋" w:eastAsia="仿宋" w:cs="仿宋"/>
          <w:color w:val="auto"/>
          <w:sz w:val="28"/>
          <w:szCs w:val="28"/>
          <w:highlight w:val="none"/>
        </w:rPr>
        <w:t>家</w:t>
      </w:r>
      <w:r>
        <w:rPr>
          <w:rStyle w:val="61"/>
          <w:rFonts w:hint="eastAsia" w:ascii="仿宋" w:hAnsi="仿宋" w:eastAsia="仿宋" w:cs="仿宋"/>
          <w:color w:val="auto"/>
          <w:sz w:val="28"/>
          <w:szCs w:val="28"/>
          <w:highlight w:val="none"/>
          <w:lang w:val="en-US" w:eastAsia="zh-CN"/>
        </w:rPr>
        <w:t>的</w:t>
      </w:r>
      <w:r>
        <w:rPr>
          <w:rStyle w:val="61"/>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Style w:val="61"/>
          <w:rFonts w:hint="eastAsia" w:ascii="仿宋" w:hAnsi="仿宋" w:eastAsia="仿宋" w:cs="仿宋"/>
          <w:color w:val="auto"/>
          <w:sz w:val="28"/>
          <w:szCs w:val="28"/>
          <w:highlight w:val="none"/>
        </w:rPr>
      </w:pPr>
      <w:r>
        <w:rPr>
          <w:rStyle w:val="61"/>
          <w:rFonts w:hint="eastAsia" w:ascii="仿宋" w:hAnsi="仿宋" w:eastAsia="仿宋" w:cs="仿宋"/>
          <w:color w:val="auto"/>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61"/>
          <w:rFonts w:hint="eastAsia" w:ascii="仿宋" w:hAnsi="仿宋" w:eastAsia="仿宋" w:cs="仿宋"/>
          <w:color w:val="auto"/>
          <w:sz w:val="28"/>
          <w:szCs w:val="28"/>
          <w:highlight w:val="none"/>
        </w:rPr>
      </w:pPr>
      <w:r>
        <w:rPr>
          <w:rStyle w:val="61"/>
          <w:rFonts w:hint="eastAsia" w:ascii="仿宋" w:hAnsi="仿宋" w:eastAsia="仿宋" w:cs="仿宋"/>
          <w:color w:val="auto"/>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61"/>
          <w:rFonts w:hint="eastAsia" w:ascii="仿宋" w:hAnsi="仿宋" w:eastAsia="仿宋" w:cs="仿宋"/>
          <w:color w:val="auto"/>
          <w:sz w:val="28"/>
          <w:szCs w:val="28"/>
          <w:highlight w:val="none"/>
        </w:rPr>
      </w:pPr>
      <w:r>
        <w:rPr>
          <w:rStyle w:val="61"/>
          <w:rFonts w:hint="eastAsia" w:ascii="仿宋" w:hAnsi="仿宋" w:eastAsia="仿宋" w:cs="仿宋"/>
          <w:color w:val="auto"/>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Style w:val="61"/>
          <w:rFonts w:hint="eastAsia" w:ascii="仿宋" w:hAnsi="仿宋" w:eastAsia="仿宋" w:cs="仿宋"/>
          <w:color w:val="auto"/>
          <w:sz w:val="28"/>
          <w:szCs w:val="28"/>
          <w:highlight w:val="none"/>
        </w:rPr>
        <w:t>（五）法律、法规以及招标文件规定的其他废标情形。</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10" w:name="_Toc332979560"/>
      <w:bookmarkStart w:id="211" w:name="_Toc27249"/>
      <w:bookmarkStart w:id="212" w:name="_Toc206"/>
      <w:bookmarkStart w:id="213" w:name="_Toc325620719"/>
      <w:bookmarkStart w:id="214" w:name="_Toc10557"/>
      <w:r>
        <w:rPr>
          <w:rFonts w:hint="eastAsia" w:ascii="仿宋" w:hAnsi="仿宋" w:eastAsia="仿宋" w:cs="仿宋"/>
          <w:color w:val="auto"/>
          <w:sz w:val="28"/>
          <w:szCs w:val="28"/>
          <w:highlight w:val="none"/>
        </w:rPr>
        <w:t>六、中标通知书</w:t>
      </w:r>
      <w:bookmarkEnd w:id="210"/>
      <w:bookmarkEnd w:id="211"/>
      <w:bookmarkEnd w:id="212"/>
      <w:bookmarkEnd w:id="213"/>
      <w:bookmarkEnd w:id="214"/>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评审结束后，由</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委托采购代理机构向中标人签发《中标通知书》。</w:t>
      </w:r>
    </w:p>
    <w:p>
      <w:pPr>
        <w:pStyle w:val="2"/>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bookmarkStart w:id="215" w:name="_Toc7131"/>
      <w:bookmarkStart w:id="216" w:name="_Toc29849"/>
      <w:bookmarkStart w:id="217" w:name="_Toc21375"/>
      <w:r>
        <w:rPr>
          <w:rFonts w:hint="eastAsia" w:ascii="仿宋" w:hAnsi="仿宋" w:eastAsia="仿宋" w:cs="仿宋"/>
          <w:color w:val="auto"/>
          <w:sz w:val="28"/>
          <w:szCs w:val="28"/>
          <w:highlight w:val="none"/>
        </w:rPr>
        <w:t>第四部分 授予合同</w:t>
      </w:r>
      <w:bookmarkEnd w:id="182"/>
      <w:bookmarkEnd w:id="183"/>
      <w:bookmarkEnd w:id="184"/>
      <w:bookmarkEnd w:id="185"/>
      <w:bookmarkEnd w:id="186"/>
      <w:bookmarkEnd w:id="187"/>
      <w:bookmarkEnd w:id="215"/>
      <w:bookmarkEnd w:id="216"/>
      <w:bookmarkEnd w:id="217"/>
    </w:p>
    <w:p>
      <w:pPr>
        <w:pStyle w:val="3"/>
        <w:pageBreakBefore w:val="0"/>
        <w:kinsoku/>
        <w:overflowPunct/>
        <w:topLinePunct w:val="0"/>
        <w:bidi w:val="0"/>
        <w:snapToGrid/>
        <w:spacing w:line="360" w:lineRule="auto"/>
        <w:rPr>
          <w:rStyle w:val="61"/>
          <w:rFonts w:hint="eastAsia" w:ascii="仿宋" w:hAnsi="仿宋" w:eastAsia="仿宋" w:cs="仿宋"/>
          <w:b/>
          <w:bCs w:val="0"/>
          <w:color w:val="auto"/>
          <w:sz w:val="28"/>
          <w:szCs w:val="28"/>
          <w:highlight w:val="none"/>
          <w:lang w:val="en-US" w:eastAsia="zh-CN" w:bidi="ar-SA"/>
        </w:rPr>
      </w:pPr>
      <w:bookmarkStart w:id="218" w:name="_Toc8163"/>
      <w:bookmarkStart w:id="219" w:name="_Toc4152"/>
      <w:bookmarkStart w:id="220" w:name="_Toc325620721"/>
      <w:bookmarkStart w:id="221" w:name="_Toc30641"/>
      <w:bookmarkStart w:id="222" w:name="_Toc356490386"/>
      <w:bookmarkStart w:id="223" w:name="_Toc356491325"/>
      <w:r>
        <w:rPr>
          <w:rStyle w:val="61"/>
          <w:rFonts w:hint="eastAsia" w:ascii="仿宋" w:hAnsi="仿宋" w:eastAsia="仿宋" w:cs="仿宋"/>
          <w:b/>
          <w:bCs w:val="0"/>
          <w:color w:val="auto"/>
          <w:sz w:val="28"/>
          <w:szCs w:val="28"/>
          <w:highlight w:val="none"/>
          <w:lang w:val="en-US" w:eastAsia="zh-CN" w:bidi="ar-SA"/>
        </w:rPr>
        <w:t>一、签订合同</w:t>
      </w:r>
      <w:bookmarkEnd w:id="218"/>
      <w:bookmarkEnd w:id="219"/>
      <w:bookmarkEnd w:id="220"/>
      <w:bookmarkEnd w:id="221"/>
      <w:bookmarkEnd w:id="222"/>
      <w:bookmarkEnd w:id="223"/>
    </w:p>
    <w:p>
      <w:pPr>
        <w:pageBreakBefore w:val="0"/>
        <w:kinsoku/>
        <w:overflowPunct/>
        <w:topLinePunct w:val="0"/>
        <w:bidi w:val="0"/>
        <w:snapToGrid/>
        <w:spacing w:line="360" w:lineRule="auto"/>
        <w:ind w:firstLine="560" w:firstLineChars="200"/>
        <w:outlineLvl w:val="9"/>
        <w:rPr>
          <w:rStyle w:val="61"/>
          <w:rFonts w:hint="eastAsia" w:ascii="仿宋" w:hAnsi="仿宋" w:eastAsia="仿宋" w:cs="仿宋"/>
          <w:b w:val="0"/>
          <w:bCs/>
          <w:color w:val="auto"/>
          <w:sz w:val="28"/>
          <w:szCs w:val="28"/>
          <w:highlight w:val="none"/>
          <w:lang w:val="en-US" w:eastAsia="zh-CN" w:bidi="ar-SA"/>
        </w:rPr>
      </w:pPr>
      <w:bookmarkStart w:id="224" w:name="_Toc88"/>
      <w:bookmarkStart w:id="225" w:name="_Toc3313"/>
      <w:bookmarkStart w:id="226" w:name="_Toc7493"/>
      <w:bookmarkStart w:id="227" w:name="_Toc19586"/>
      <w:bookmarkStart w:id="228" w:name="_Toc25947"/>
      <w:bookmarkStart w:id="229" w:name="_Toc32207"/>
      <w:r>
        <w:rPr>
          <w:rStyle w:val="61"/>
          <w:rFonts w:hint="eastAsia" w:ascii="仿宋" w:hAnsi="仿宋" w:eastAsia="仿宋" w:cs="仿宋"/>
          <w:b w:val="0"/>
          <w:bCs/>
          <w:color w:val="auto"/>
          <w:sz w:val="28"/>
          <w:szCs w:val="28"/>
          <w:highlight w:val="none"/>
          <w:lang w:val="en-US" w:eastAsia="zh-CN" w:bidi="ar-SA"/>
        </w:rPr>
        <w:t>《中标通知书》发出后30日内，按照招标文件确定的事项签订合同。合同签订的内容不能超出招标文件的实质性内容。</w:t>
      </w:r>
      <w:bookmarkEnd w:id="224"/>
      <w:bookmarkEnd w:id="225"/>
      <w:bookmarkEnd w:id="226"/>
      <w:bookmarkEnd w:id="227"/>
      <w:bookmarkEnd w:id="228"/>
      <w:bookmarkEnd w:id="229"/>
    </w:p>
    <w:p>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8"/>
          <w:szCs w:val="28"/>
          <w:highlight w:val="none"/>
        </w:rPr>
      </w:pPr>
      <w:bookmarkStart w:id="230" w:name="_Toc29321"/>
      <w:bookmarkStart w:id="231" w:name="_Toc356491326"/>
      <w:bookmarkStart w:id="232" w:name="_Toc325620722"/>
      <w:bookmarkStart w:id="233" w:name="_Toc10427"/>
      <w:bookmarkStart w:id="234" w:name="_Toc27885"/>
      <w:bookmarkStart w:id="235" w:name="_Toc356490387"/>
      <w:r>
        <w:rPr>
          <w:rFonts w:hint="eastAsia" w:ascii="仿宋" w:hAnsi="仿宋" w:eastAsia="仿宋" w:cs="仿宋"/>
          <w:b/>
          <w:bCs/>
          <w:color w:val="auto"/>
          <w:kern w:val="0"/>
          <w:sz w:val="28"/>
          <w:szCs w:val="28"/>
          <w:highlight w:val="none"/>
          <w:lang w:val="en-US" w:eastAsia="zh-CN" w:bidi="ar-SA"/>
        </w:rPr>
        <w:t>二、</w:t>
      </w:r>
      <w:r>
        <w:rPr>
          <w:rFonts w:hint="eastAsia" w:ascii="仿宋" w:hAnsi="仿宋" w:eastAsia="仿宋" w:cs="仿宋"/>
          <w:color w:val="auto"/>
          <w:sz w:val="28"/>
          <w:szCs w:val="28"/>
          <w:highlight w:val="none"/>
        </w:rPr>
        <w:t>合同格式</w:t>
      </w:r>
      <w:bookmarkEnd w:id="230"/>
      <w:bookmarkEnd w:id="231"/>
      <w:bookmarkEnd w:id="232"/>
      <w:bookmarkEnd w:id="233"/>
      <w:bookmarkEnd w:id="234"/>
      <w:bookmarkEnd w:id="235"/>
    </w:p>
    <w:p>
      <w:pPr>
        <w:numPr>
          <w:ilvl w:val="0"/>
          <w:numId w:val="0"/>
        </w:numPr>
        <w:rPr>
          <w:rFonts w:hint="eastAsia"/>
          <w:color w:val="auto"/>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b/>
          <w:bCs w:val="0"/>
          <w:color w:val="auto"/>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41"/>
          <w:rFonts w:hint="eastAsia" w:ascii="仿宋" w:hAnsi="仿宋" w:eastAsia="仿宋" w:cs="仿宋"/>
          <w:bCs w:val="0"/>
          <w:color w:val="auto"/>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41"/>
          <w:rFonts w:hint="eastAsia" w:ascii="仿宋" w:hAnsi="仿宋" w:eastAsia="仿宋" w:cs="仿宋"/>
          <w:bCs w:val="0"/>
          <w:color w:val="auto"/>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color w:val="auto"/>
          <w:sz w:val="28"/>
          <w:szCs w:val="28"/>
          <w:highlight w:val="none"/>
          <w:u w:val="single"/>
        </w:rPr>
      </w:pPr>
      <w:r>
        <w:rPr>
          <w:rStyle w:val="41"/>
          <w:rFonts w:hint="eastAsia" w:ascii="仿宋" w:hAnsi="仿宋" w:eastAsia="仿宋" w:cs="仿宋"/>
          <w:bCs w:val="0"/>
          <w:color w:val="auto"/>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color w:val="auto"/>
          <w:sz w:val="28"/>
          <w:szCs w:val="28"/>
          <w:highlight w:val="none"/>
          <w:u w:val="single"/>
        </w:rPr>
      </w:pPr>
      <w:r>
        <w:rPr>
          <w:rStyle w:val="41"/>
          <w:rFonts w:hint="eastAsia" w:ascii="仿宋" w:hAnsi="仿宋" w:eastAsia="仿宋" w:cs="仿宋"/>
          <w:bCs w:val="0"/>
          <w:color w:val="auto"/>
          <w:sz w:val="28"/>
          <w:szCs w:val="28"/>
          <w:highlight w:val="none"/>
        </w:rPr>
        <w:t>合同编号</w:t>
      </w:r>
      <w:r>
        <w:rPr>
          <w:rFonts w:hint="eastAsia" w:ascii="仿宋" w:hAnsi="仿宋" w:eastAsia="仿宋" w:cs="仿宋"/>
          <w:b/>
          <w:bCs w:val="0"/>
          <w:color w:val="auto"/>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color w:val="auto"/>
          <w:sz w:val="28"/>
          <w:szCs w:val="28"/>
          <w:highlight w:val="none"/>
          <w:u w:val="single"/>
        </w:rPr>
      </w:pPr>
      <w:r>
        <w:rPr>
          <w:rStyle w:val="41"/>
          <w:rFonts w:hint="eastAsia" w:ascii="仿宋" w:hAnsi="仿宋" w:eastAsia="仿宋" w:cs="仿宋"/>
          <w:bCs w:val="0"/>
          <w:color w:val="auto"/>
          <w:sz w:val="28"/>
          <w:szCs w:val="28"/>
          <w:highlight w:val="none"/>
        </w:rPr>
        <w:t xml:space="preserve">        采购编号</w:t>
      </w:r>
      <w:r>
        <w:rPr>
          <w:rFonts w:hint="eastAsia" w:ascii="仿宋" w:hAnsi="仿宋" w:eastAsia="仿宋" w:cs="仿宋"/>
          <w:b/>
          <w:bCs w:val="0"/>
          <w:color w:val="auto"/>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color w:val="auto"/>
          <w:sz w:val="28"/>
          <w:szCs w:val="28"/>
          <w:highlight w:val="none"/>
          <w:u w:val="singl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（甲方）所需</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Cs w:val="0"/>
          <w:color w:val="auto"/>
          <w:sz w:val="28"/>
          <w:szCs w:val="28"/>
          <w:highlight w:val="none"/>
        </w:rPr>
        <w:t>（项目名称）</w:t>
      </w:r>
      <w:r>
        <w:rPr>
          <w:rFonts w:hint="eastAsia" w:ascii="仿宋" w:hAnsi="仿宋" w:eastAsia="仿宋" w:cs="仿宋"/>
          <w:color w:val="auto"/>
          <w:sz w:val="28"/>
          <w:szCs w:val="28"/>
          <w:highlight w:val="none"/>
        </w:rPr>
        <w:t>经</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以（项目编号）招标文件在国内以公开招标的方式进行采购。经评审委员会确定</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（乙方）为中标人</w:t>
      </w:r>
      <w:r>
        <w:rPr>
          <w:rFonts w:hint="eastAsia" w:ascii="仿宋" w:hAnsi="仿宋" w:eastAsia="仿宋" w:cs="仿宋"/>
          <w:bCs w:val="0"/>
          <w:color w:val="auto"/>
          <w:sz w:val="28"/>
          <w:szCs w:val="28"/>
          <w:highlight w:val="none"/>
        </w:rPr>
        <w:t>。</w:t>
      </w:r>
      <w:r>
        <w:rPr>
          <w:rFonts w:hint="eastAsia" w:ascii="仿宋" w:hAnsi="仿宋" w:eastAsia="仿宋" w:cs="仿宋"/>
          <w:color w:val="auto"/>
          <w:sz w:val="28"/>
          <w:szCs w:val="28"/>
          <w:highlight w:val="none"/>
        </w:rPr>
        <w:t>甲乙两方根据《中华人民共和国</w:t>
      </w:r>
      <w:r>
        <w:rPr>
          <w:rFonts w:hint="eastAsia" w:ascii="仿宋" w:hAnsi="仿宋" w:eastAsia="仿宋" w:cs="仿宋"/>
          <w:color w:val="auto"/>
          <w:sz w:val="28"/>
          <w:szCs w:val="28"/>
          <w:highlight w:val="none"/>
          <w:lang w:eastAsia="zh-CN"/>
        </w:rPr>
        <w:t>政府采购法</w:t>
      </w:r>
      <w:r>
        <w:rPr>
          <w:rFonts w:hint="eastAsia" w:ascii="仿宋" w:hAnsi="仿宋" w:eastAsia="仿宋" w:cs="仿宋"/>
          <w:color w:val="auto"/>
          <w:sz w:val="28"/>
          <w:szCs w:val="28"/>
          <w:highlight w:val="none"/>
        </w:rPr>
        <w:t>》、《中华人民共和国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rPr>
        <w:t>二、</w:t>
      </w:r>
      <w:r>
        <w:rPr>
          <w:rFonts w:hint="eastAsia" w:ascii="仿宋" w:hAnsi="仿宋" w:eastAsia="仿宋" w:cs="仿宋"/>
          <w:b/>
          <w:bCs w:val="0"/>
          <w:color w:val="auto"/>
          <w:kern w:val="0"/>
          <w:sz w:val="28"/>
          <w:szCs w:val="28"/>
          <w:highlight w:val="none"/>
          <w:lang w:val="en-US" w:eastAsia="zh-CN"/>
        </w:rPr>
        <w:t>服务</w:t>
      </w:r>
      <w:r>
        <w:rPr>
          <w:rFonts w:hint="eastAsia" w:ascii="仿宋" w:hAnsi="仿宋" w:eastAsia="仿宋" w:cs="仿宋"/>
          <w:b/>
          <w:bCs w:val="0"/>
          <w:color w:val="auto"/>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color w:val="auto"/>
          <w:kern w:val="0"/>
          <w:sz w:val="28"/>
          <w:szCs w:val="28"/>
          <w:highlight w:val="none"/>
        </w:rPr>
      </w:pPr>
      <w:r>
        <w:rPr>
          <w:rFonts w:hint="eastAsia" w:ascii="仿宋" w:hAnsi="仿宋" w:eastAsia="仿宋" w:cs="仿宋"/>
          <w:b/>
          <w:bCs w:val="0"/>
          <w:color w:val="auto"/>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总金额</w:t>
      </w:r>
      <w:r>
        <w:rPr>
          <w:rFonts w:hint="eastAsia" w:ascii="仿宋" w:hAnsi="仿宋" w:eastAsia="仿宋" w:cs="仿宋"/>
          <w:color w:val="auto"/>
          <w:sz w:val="28"/>
          <w:szCs w:val="28"/>
          <w:highlight w:val="none"/>
        </w:rPr>
        <w:t>：</w:t>
      </w:r>
      <w:r>
        <w:rPr>
          <w:rFonts w:hint="eastAsia" w:ascii="仿宋" w:hAnsi="仿宋" w:eastAsia="仿宋" w:cs="仿宋"/>
          <w:color w:val="auto"/>
          <w:kern w:val="0"/>
          <w:sz w:val="28"/>
          <w:szCs w:val="28"/>
          <w:highlight w:val="none"/>
        </w:rPr>
        <w:t>人民币：小写：</w:t>
      </w:r>
      <w:r>
        <w:rPr>
          <w:rFonts w:hint="eastAsia" w:ascii="仿宋" w:hAnsi="仿宋" w:eastAsia="仿宋" w:cs="仿宋"/>
          <w:b/>
          <w:color w:val="auto"/>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color w:val="auto"/>
          <w:sz w:val="28"/>
          <w:szCs w:val="28"/>
          <w:highlight w:val="none"/>
          <w:u w:val="singl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大写：</w:t>
      </w:r>
      <w:r>
        <w:rPr>
          <w:rFonts w:hint="eastAsia" w:ascii="仿宋" w:hAnsi="仿宋" w:eastAsia="仿宋" w:cs="仿宋"/>
          <w:b/>
          <w:color w:val="auto"/>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16"/>
        <w:pageBreakBefore w:val="0"/>
        <w:numPr>
          <w:ilvl w:val="0"/>
          <w:numId w:val="5"/>
        </w:numPr>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p>
    <w:p>
      <w:pPr>
        <w:pageBreakBefore w:val="0"/>
        <w:kinsoku/>
        <w:overflowPunct/>
        <w:topLinePunct w:val="0"/>
        <w:bidi w:val="0"/>
        <w:snapToGrid/>
        <w:spacing w:line="360" w:lineRule="auto"/>
        <w:ind w:firstLine="560" w:firstLineChars="200"/>
        <w:rPr>
          <w:rFonts w:hint="eastAsia" w:ascii="仿宋" w:hAnsi="仿宋" w:eastAsia="仿宋" w:cs="仿宋"/>
          <w:b w:val="0"/>
          <w:color w:val="auto"/>
          <w:szCs w:val="28"/>
          <w:highlight w:val="none"/>
        </w:rPr>
      </w:pPr>
      <w:r>
        <w:rPr>
          <w:rFonts w:hint="eastAsia" w:ascii="仿宋" w:hAnsi="仿宋" w:eastAsia="仿宋" w:cs="仿宋"/>
          <w:b w:val="0"/>
          <w:bCs/>
          <w:color w:val="auto"/>
          <w:szCs w:val="28"/>
          <w:highlight w:val="none"/>
          <w:lang w:eastAsia="zh-CN"/>
        </w:rPr>
        <w:t>本</w:t>
      </w:r>
      <w:r>
        <w:rPr>
          <w:rFonts w:hint="eastAsia" w:ascii="仿宋" w:hAnsi="仿宋" w:eastAsia="仿宋" w:cs="仿宋"/>
          <w:b w:val="0"/>
          <w:color w:val="auto"/>
          <w:szCs w:val="28"/>
          <w:highlight w:val="none"/>
        </w:rPr>
        <w:t>项目</w:t>
      </w:r>
      <w:r>
        <w:rPr>
          <w:rFonts w:hint="eastAsia" w:ascii="仿宋" w:hAnsi="仿宋" w:eastAsia="仿宋" w:cs="仿宋"/>
          <w:b w:val="0"/>
          <w:bCs/>
          <w:color w:val="auto"/>
          <w:szCs w:val="28"/>
          <w:highlight w:val="none"/>
          <w:lang w:eastAsia="zh-CN"/>
        </w:rPr>
        <w:t>费</w:t>
      </w:r>
      <w:r>
        <w:rPr>
          <w:rFonts w:hint="eastAsia" w:ascii="仿宋" w:hAnsi="仿宋" w:eastAsia="仿宋" w:cs="仿宋"/>
          <w:b w:val="0"/>
          <w:color w:val="auto"/>
          <w:szCs w:val="28"/>
          <w:highlight w:val="none"/>
          <w:lang w:eastAsia="zh-CN"/>
        </w:rPr>
        <w:t>用</w:t>
      </w:r>
      <w:r>
        <w:rPr>
          <w:rFonts w:hint="eastAsia" w:ascii="仿宋" w:hAnsi="仿宋" w:eastAsia="仿宋" w:cs="仿宋"/>
          <w:b w:val="0"/>
          <w:color w:val="auto"/>
          <w:szCs w:val="28"/>
          <w:highlight w:val="none"/>
        </w:rPr>
        <w:t>由医院或第三方支付；如由第三方支付，医院与中标厂商和第三方签订三方协议，约定由第三方付款。</w:t>
      </w:r>
    </w:p>
    <w:p>
      <w:pPr>
        <w:pageBreakBefore w:val="0"/>
        <w:kinsoku/>
        <w:overflowPunct/>
        <w:topLinePunct w:val="0"/>
        <w:bidi w:val="0"/>
        <w:snapToGrid/>
        <w:spacing w:line="360" w:lineRule="auto"/>
        <w:ind w:firstLine="560" w:firstLineChars="200"/>
        <w:rPr>
          <w:rFonts w:hint="eastAsia" w:ascii="仿宋" w:hAnsi="仿宋" w:eastAsia="仿宋" w:cs="仿宋"/>
          <w:b w:val="0"/>
          <w:color w:val="auto"/>
          <w:szCs w:val="28"/>
          <w:highlight w:val="none"/>
        </w:rPr>
      </w:pPr>
      <w:r>
        <w:rPr>
          <w:rFonts w:hint="eastAsia" w:ascii="仿宋" w:hAnsi="仿宋" w:eastAsia="仿宋" w:cs="仿宋"/>
          <w:b w:val="0"/>
          <w:color w:val="auto"/>
          <w:szCs w:val="28"/>
          <w:highlight w:val="none"/>
        </w:rPr>
        <w:t>（1）</w:t>
      </w:r>
      <w:r>
        <w:rPr>
          <w:rFonts w:hint="eastAsia" w:ascii="仿宋" w:hAnsi="仿宋" w:eastAsia="仿宋" w:cs="仿宋"/>
          <w:b w:val="0"/>
          <w:color w:val="auto"/>
          <w:szCs w:val="28"/>
          <w:highlight w:val="none"/>
          <w:lang w:eastAsia="zh-CN"/>
        </w:rPr>
        <w:t>核心系统切换上线，且运行</w:t>
      </w:r>
      <w:r>
        <w:rPr>
          <w:rFonts w:hint="eastAsia" w:ascii="仿宋" w:hAnsi="仿宋" w:eastAsia="仿宋" w:cs="仿宋"/>
          <w:b w:val="0"/>
          <w:color w:val="auto"/>
          <w:szCs w:val="28"/>
          <w:highlight w:val="none"/>
          <w:lang w:val="en-US" w:eastAsia="zh-CN"/>
        </w:rPr>
        <w:t>1个月后</w:t>
      </w:r>
      <w:r>
        <w:rPr>
          <w:rFonts w:hint="eastAsia" w:ascii="仿宋" w:hAnsi="仿宋" w:eastAsia="仿宋" w:cs="仿宋"/>
          <w:b w:val="0"/>
          <w:color w:val="auto"/>
          <w:szCs w:val="28"/>
          <w:highlight w:val="none"/>
        </w:rPr>
        <w:t xml:space="preserve">，支付项目总额的 </w:t>
      </w:r>
      <w:r>
        <w:rPr>
          <w:rFonts w:hint="eastAsia" w:ascii="仿宋" w:hAnsi="仿宋" w:eastAsia="仿宋" w:cs="仿宋"/>
          <w:b w:val="0"/>
          <w:color w:val="auto"/>
          <w:szCs w:val="28"/>
          <w:highlight w:val="none"/>
          <w:lang w:val="en-US" w:eastAsia="zh-CN"/>
        </w:rPr>
        <w:t>50</w:t>
      </w:r>
      <w:r>
        <w:rPr>
          <w:rFonts w:hint="eastAsia" w:ascii="仿宋" w:hAnsi="仿宋" w:eastAsia="仿宋" w:cs="仿宋"/>
          <w:b w:val="0"/>
          <w:color w:val="auto"/>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b w:val="0"/>
          <w:color w:val="auto"/>
          <w:szCs w:val="28"/>
          <w:highlight w:val="none"/>
        </w:rPr>
      </w:pPr>
      <w:r>
        <w:rPr>
          <w:rFonts w:hint="eastAsia" w:ascii="仿宋" w:hAnsi="仿宋" w:eastAsia="仿宋" w:cs="仿宋"/>
          <w:b w:val="0"/>
          <w:color w:val="auto"/>
          <w:szCs w:val="28"/>
          <w:highlight w:val="none"/>
        </w:rPr>
        <w:t>（2）</w:t>
      </w:r>
      <w:r>
        <w:rPr>
          <w:rFonts w:hint="eastAsia" w:ascii="仿宋" w:hAnsi="仿宋" w:eastAsia="仿宋" w:cs="仿宋"/>
          <w:b w:val="0"/>
          <w:color w:val="auto"/>
          <w:szCs w:val="28"/>
          <w:highlight w:val="none"/>
          <w:lang w:eastAsia="zh-CN"/>
        </w:rPr>
        <w:t>全部系统上线，且平稳运行</w:t>
      </w:r>
      <w:r>
        <w:rPr>
          <w:rFonts w:hint="eastAsia" w:ascii="仿宋" w:hAnsi="仿宋" w:eastAsia="仿宋" w:cs="仿宋"/>
          <w:b w:val="0"/>
          <w:color w:val="auto"/>
          <w:szCs w:val="28"/>
          <w:highlight w:val="none"/>
          <w:lang w:val="en-US" w:eastAsia="zh-CN"/>
        </w:rPr>
        <w:t>6个月后，</w:t>
      </w:r>
      <w:r>
        <w:rPr>
          <w:rFonts w:hint="eastAsia" w:ascii="仿宋" w:hAnsi="仿宋" w:eastAsia="仿宋" w:cs="仿宋"/>
          <w:b w:val="0"/>
          <w:color w:val="auto"/>
          <w:szCs w:val="28"/>
          <w:highlight w:val="none"/>
        </w:rPr>
        <w:t>支付项目总额的1</w:t>
      </w:r>
      <w:r>
        <w:rPr>
          <w:rFonts w:hint="eastAsia" w:ascii="仿宋" w:hAnsi="仿宋" w:eastAsia="仿宋" w:cs="仿宋"/>
          <w:b w:val="0"/>
          <w:color w:val="auto"/>
          <w:szCs w:val="28"/>
          <w:highlight w:val="none"/>
          <w:lang w:val="en-US" w:eastAsia="zh-CN"/>
        </w:rPr>
        <w:t>0</w:t>
      </w:r>
      <w:r>
        <w:rPr>
          <w:rFonts w:hint="eastAsia" w:ascii="仿宋" w:hAnsi="仿宋" w:eastAsia="仿宋" w:cs="仿宋"/>
          <w:b w:val="0"/>
          <w:color w:val="auto"/>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b w:val="0"/>
          <w:color w:val="auto"/>
          <w:szCs w:val="28"/>
          <w:highlight w:val="none"/>
        </w:rPr>
      </w:pPr>
      <w:r>
        <w:rPr>
          <w:rFonts w:hint="eastAsia" w:ascii="仿宋" w:hAnsi="仿宋" w:eastAsia="仿宋" w:cs="仿宋"/>
          <w:b w:val="0"/>
          <w:color w:val="auto"/>
          <w:szCs w:val="28"/>
          <w:highlight w:val="none"/>
        </w:rPr>
        <w:t>（3）</w:t>
      </w:r>
      <w:r>
        <w:rPr>
          <w:rFonts w:hint="eastAsia" w:ascii="仿宋" w:hAnsi="仿宋" w:eastAsia="仿宋" w:cs="仿宋"/>
          <w:b w:val="0"/>
          <w:color w:val="auto"/>
          <w:szCs w:val="28"/>
          <w:highlight w:val="none"/>
          <w:lang w:eastAsia="zh-CN"/>
        </w:rPr>
        <w:t>医院</w:t>
      </w:r>
      <w:r>
        <w:rPr>
          <w:rFonts w:hint="eastAsia" w:ascii="仿宋" w:hAnsi="仿宋" w:eastAsia="仿宋" w:cs="仿宋"/>
          <w:b w:val="0"/>
          <w:color w:val="auto"/>
          <w:szCs w:val="28"/>
          <w:highlight w:val="none"/>
        </w:rPr>
        <w:t>通过电子病历系统功能与应用水平分级评价5级</w:t>
      </w:r>
      <w:r>
        <w:rPr>
          <w:rFonts w:hint="eastAsia" w:ascii="仿宋" w:hAnsi="仿宋" w:eastAsia="仿宋" w:cs="仿宋"/>
          <w:b w:val="0"/>
          <w:color w:val="auto"/>
          <w:szCs w:val="28"/>
          <w:highlight w:val="none"/>
          <w:lang w:eastAsia="zh-CN"/>
        </w:rPr>
        <w:t>后</w:t>
      </w:r>
      <w:r>
        <w:rPr>
          <w:rFonts w:hint="eastAsia" w:ascii="仿宋" w:hAnsi="仿宋" w:eastAsia="仿宋" w:cs="仿宋"/>
          <w:b w:val="0"/>
          <w:color w:val="auto"/>
          <w:szCs w:val="28"/>
          <w:highlight w:val="none"/>
        </w:rPr>
        <w:t>，支付项目总额的</w:t>
      </w:r>
      <w:r>
        <w:rPr>
          <w:rFonts w:hint="eastAsia" w:ascii="仿宋" w:hAnsi="仿宋" w:eastAsia="仿宋" w:cs="仿宋"/>
          <w:b w:val="0"/>
          <w:color w:val="auto"/>
          <w:szCs w:val="28"/>
          <w:highlight w:val="none"/>
          <w:lang w:val="en-US" w:eastAsia="zh-CN"/>
        </w:rPr>
        <w:t>20</w:t>
      </w:r>
      <w:r>
        <w:rPr>
          <w:rFonts w:hint="eastAsia" w:ascii="仿宋" w:hAnsi="仿宋" w:eastAsia="仿宋" w:cs="仿宋"/>
          <w:b w:val="0"/>
          <w:color w:val="auto"/>
          <w:szCs w:val="28"/>
          <w:highlight w:val="none"/>
        </w:rPr>
        <w:t>%</w:t>
      </w:r>
      <w:r>
        <w:rPr>
          <w:rFonts w:hint="eastAsia" w:ascii="仿宋" w:hAnsi="仿宋" w:eastAsia="仿宋" w:cs="仿宋"/>
          <w:b w:val="0"/>
          <w:color w:val="auto"/>
          <w:szCs w:val="28"/>
          <w:highlight w:val="none"/>
          <w:lang w:eastAsia="zh-CN"/>
        </w:rPr>
        <w:t>；</w:t>
      </w:r>
      <w:r>
        <w:rPr>
          <w:rFonts w:hint="eastAsia" w:ascii="仿宋" w:hAnsi="仿宋" w:eastAsia="仿宋" w:cs="仿宋"/>
          <w:b w:val="0"/>
          <w:color w:val="auto"/>
          <w:szCs w:val="28"/>
          <w:highlight w:val="none"/>
          <w:lang w:val="en-US" w:eastAsia="zh-CN"/>
        </w:rPr>
        <w:t>通过</w:t>
      </w:r>
      <w:r>
        <w:rPr>
          <w:rFonts w:hint="eastAsia" w:ascii="仿宋" w:hAnsi="仿宋" w:eastAsia="仿宋" w:cs="仿宋"/>
          <w:b w:val="0"/>
          <w:color w:val="auto"/>
          <w:szCs w:val="28"/>
          <w:highlight w:val="none"/>
          <w:lang w:eastAsia="zh-Hans"/>
        </w:rPr>
        <w:t>医院信息互联互通标准化成熟度测评</w:t>
      </w:r>
      <w:r>
        <w:rPr>
          <w:rFonts w:hint="eastAsia" w:ascii="仿宋" w:hAnsi="仿宋" w:eastAsia="仿宋" w:cs="仿宋"/>
          <w:b w:val="0"/>
          <w:color w:val="auto"/>
          <w:szCs w:val="28"/>
          <w:highlight w:val="none"/>
          <w:lang w:val="en-US" w:eastAsia="zh-CN"/>
        </w:rPr>
        <w:t>五乙后，支付项目总额的10%。</w:t>
      </w:r>
    </w:p>
    <w:p>
      <w:pPr>
        <w:pageBreakBefore w:val="0"/>
        <w:kinsoku/>
        <w:overflowPunct/>
        <w:topLinePunct w:val="0"/>
        <w:bidi w:val="0"/>
        <w:snapToGrid/>
        <w:spacing w:line="360" w:lineRule="auto"/>
        <w:ind w:firstLine="560" w:firstLineChars="200"/>
        <w:rPr>
          <w:rFonts w:hint="eastAsia" w:ascii="仿宋" w:hAnsi="仿宋" w:eastAsia="仿宋" w:cs="仿宋"/>
          <w:b w:val="0"/>
          <w:color w:val="auto"/>
          <w:szCs w:val="28"/>
          <w:highlight w:val="none"/>
        </w:rPr>
      </w:pPr>
      <w:r>
        <w:rPr>
          <w:rFonts w:hint="eastAsia" w:ascii="仿宋" w:hAnsi="仿宋" w:eastAsia="仿宋" w:cs="仿宋"/>
          <w:b w:val="0"/>
          <w:color w:val="auto"/>
          <w:szCs w:val="28"/>
          <w:highlight w:val="none"/>
        </w:rPr>
        <w:t>（4）</w:t>
      </w:r>
      <w:r>
        <w:rPr>
          <w:rFonts w:hint="eastAsia" w:ascii="仿宋" w:hAnsi="仿宋" w:eastAsia="仿宋" w:cs="仿宋"/>
          <w:b w:val="0"/>
          <w:color w:val="auto"/>
          <w:szCs w:val="28"/>
          <w:highlight w:val="none"/>
          <w:lang w:eastAsia="zh-CN"/>
        </w:rPr>
        <w:t>项目</w:t>
      </w:r>
      <w:r>
        <w:rPr>
          <w:rFonts w:hint="eastAsia" w:ascii="仿宋" w:hAnsi="仿宋" w:eastAsia="仿宋" w:cs="仿宋"/>
          <w:b w:val="0"/>
          <w:color w:val="auto"/>
          <w:szCs w:val="28"/>
          <w:highlight w:val="none"/>
        </w:rPr>
        <w:t>维保到期</w:t>
      </w:r>
      <w:r>
        <w:rPr>
          <w:rFonts w:hint="eastAsia" w:ascii="仿宋" w:hAnsi="仿宋" w:eastAsia="仿宋" w:cs="仿宋"/>
          <w:b w:val="0"/>
          <w:color w:val="auto"/>
          <w:szCs w:val="28"/>
          <w:highlight w:val="none"/>
          <w:lang w:eastAsia="zh-CN"/>
        </w:rPr>
        <w:t>且</w:t>
      </w:r>
      <w:r>
        <w:rPr>
          <w:rFonts w:hint="eastAsia" w:ascii="仿宋" w:hAnsi="仿宋" w:eastAsia="仿宋" w:cs="仿宋"/>
          <w:b w:val="0"/>
          <w:color w:val="auto"/>
          <w:szCs w:val="28"/>
          <w:highlight w:val="none"/>
        </w:rPr>
        <w:t>验收合格后，支付项目总额的1</w:t>
      </w:r>
      <w:r>
        <w:rPr>
          <w:rFonts w:hint="eastAsia" w:ascii="仿宋" w:hAnsi="仿宋" w:eastAsia="仿宋" w:cs="仿宋"/>
          <w:b w:val="0"/>
          <w:color w:val="auto"/>
          <w:szCs w:val="28"/>
          <w:highlight w:val="none"/>
          <w:lang w:val="en-US" w:eastAsia="zh-CN"/>
        </w:rPr>
        <w:t>0</w:t>
      </w:r>
      <w:r>
        <w:rPr>
          <w:rFonts w:hint="eastAsia" w:ascii="仿宋" w:hAnsi="仿宋" w:eastAsia="仿宋" w:cs="仿宋"/>
          <w:b w:val="0"/>
          <w:color w:val="auto"/>
          <w:szCs w:val="28"/>
          <w:highlight w:val="none"/>
        </w:rPr>
        <w:t>%。</w:t>
      </w:r>
    </w:p>
    <w:p>
      <w:pPr>
        <w:pStyle w:val="16"/>
        <w:pageBreakBefore w:val="0"/>
        <w:numPr>
          <w:ilvl w:val="0"/>
          <w:numId w:val="5"/>
        </w:numPr>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工期</w:t>
      </w:r>
      <w:r>
        <w:rPr>
          <w:rFonts w:hint="eastAsia" w:ascii="仿宋" w:hAnsi="仿宋" w:eastAsia="仿宋" w:cs="仿宋"/>
          <w:color w:val="auto"/>
          <w:sz w:val="28"/>
          <w:szCs w:val="28"/>
          <w:highlight w:val="none"/>
        </w:rPr>
        <w:t>：签订合同之日进场实施，4个月内完成中心院区和南部院区切换，稳定一个月后完成北院区上线（2024年4月底前）；后期持续深度完善10个月，总工期不超过18个月。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Style w:val="16"/>
        <w:pageBreakBefore w:val="0"/>
        <w:tabs>
          <w:tab w:val="left" w:pos="7689"/>
        </w:tabs>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color w:val="auto"/>
          <w:sz w:val="28"/>
          <w:szCs w:val="28"/>
          <w:highlight w:val="none"/>
        </w:rPr>
        <w:tab/>
      </w:r>
    </w:p>
    <w:p>
      <w:pPr>
        <w:pStyle w:val="16"/>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1、乙方应按招标文件、投标文件提供及时、快速、优质的售后服务。</w:t>
      </w:r>
    </w:p>
    <w:p>
      <w:pPr>
        <w:pStyle w:val="16"/>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本合同为附条件生效合同，除甲乙两方签章，还应满足以下条件时合同生效：</w:t>
      </w:r>
    </w:p>
    <w:p>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八</w:t>
      </w:r>
      <w:r>
        <w:rPr>
          <w:rFonts w:hint="eastAsia" w:ascii="仿宋" w:hAnsi="仿宋" w:eastAsia="仿宋" w:cs="仿宋"/>
          <w:b/>
          <w:bCs w:val="0"/>
          <w:color w:val="auto"/>
          <w:sz w:val="28"/>
          <w:szCs w:val="28"/>
          <w:highlight w:val="none"/>
        </w:rPr>
        <w:t>、违约条款</w:t>
      </w:r>
    </w:p>
    <w:p>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1</w:t>
      </w:r>
      <w:r>
        <w:rPr>
          <w:rFonts w:hint="eastAsia" w:ascii="仿宋" w:hAnsi="仿宋" w:eastAsia="仿宋" w:cs="仿宋"/>
          <w:bCs w:val="0"/>
          <w:color w:val="auto"/>
          <w:sz w:val="28"/>
          <w:szCs w:val="28"/>
          <w:highlight w:val="none"/>
        </w:rPr>
        <w:t>、乙方履行合同不符合规定，除应按合同约定及时调换外，在调换货物期间，应按调换货物金额每日0.3‰向甲方支付违约金。</w:t>
      </w:r>
    </w:p>
    <w:p>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2</w:t>
      </w:r>
      <w:r>
        <w:rPr>
          <w:rFonts w:hint="eastAsia" w:ascii="仿宋" w:hAnsi="仿宋" w:eastAsia="仿宋" w:cs="仿宋"/>
          <w:bCs w:val="0"/>
          <w:color w:val="auto"/>
          <w:sz w:val="28"/>
          <w:szCs w:val="28"/>
          <w:highlight w:val="none"/>
        </w:rPr>
        <w:t>、一方不按期履行合同，并经另一方提示后30日内仍不履行合同的，守约方有权解除合同，违约方要承担相应的赔偿责任。</w:t>
      </w:r>
    </w:p>
    <w:p>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3</w:t>
      </w:r>
      <w:r>
        <w:rPr>
          <w:rFonts w:hint="eastAsia" w:ascii="仿宋" w:hAnsi="仿宋" w:eastAsia="仿宋" w:cs="仿宋"/>
          <w:bCs w:val="0"/>
          <w:color w:val="auto"/>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4</w:t>
      </w:r>
      <w:r>
        <w:rPr>
          <w:rFonts w:hint="eastAsia" w:ascii="仿宋" w:hAnsi="仿宋" w:eastAsia="仿宋" w:cs="仿宋"/>
          <w:bCs w:val="0"/>
          <w:color w:val="auto"/>
          <w:sz w:val="28"/>
          <w:szCs w:val="28"/>
          <w:highlight w:val="none"/>
        </w:rPr>
        <w:t>、其它应承担的违约责任，以《中华人民共和国</w:t>
      </w:r>
      <w:r>
        <w:rPr>
          <w:rFonts w:hint="eastAsia" w:ascii="仿宋" w:hAnsi="仿宋" w:eastAsia="仿宋" w:cs="仿宋"/>
          <w:bCs w:val="0"/>
          <w:color w:val="auto"/>
          <w:sz w:val="28"/>
          <w:szCs w:val="28"/>
          <w:highlight w:val="none"/>
          <w:lang w:val="en-US" w:eastAsia="zh-CN"/>
        </w:rPr>
        <w:t>民法典</w:t>
      </w:r>
      <w:r>
        <w:rPr>
          <w:rFonts w:hint="eastAsia" w:ascii="仿宋" w:hAnsi="仿宋" w:eastAsia="仿宋" w:cs="仿宋"/>
          <w:bCs w:val="0"/>
          <w:color w:val="auto"/>
          <w:sz w:val="28"/>
          <w:szCs w:val="28"/>
          <w:highlight w:val="none"/>
        </w:rPr>
        <w:t>》和其它有关法律、法规规定为准，无相关规定的，双方协商解决。</w:t>
      </w:r>
    </w:p>
    <w:p>
      <w:pPr>
        <w:pStyle w:val="16"/>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5</w:t>
      </w:r>
      <w:r>
        <w:rPr>
          <w:rFonts w:hint="eastAsia" w:ascii="仿宋" w:hAnsi="仿宋" w:eastAsia="仿宋" w:cs="仿宋"/>
          <w:bCs w:val="0"/>
          <w:color w:val="auto"/>
          <w:sz w:val="28"/>
          <w:szCs w:val="28"/>
          <w:highlight w:val="none"/>
        </w:rPr>
        <w:t>、按照本合同规定应该偿付的违约金、赔偿金等，应当在明确责任后10日内，按银行规定或双方商定的结算办法付清，否则按逾期付款处理。</w:t>
      </w:r>
    </w:p>
    <w:p>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九</w:t>
      </w:r>
      <w:r>
        <w:rPr>
          <w:rFonts w:hint="eastAsia" w:ascii="仿宋" w:hAnsi="仿宋" w:eastAsia="仿宋" w:cs="仿宋"/>
          <w:b/>
          <w:bCs w:val="0"/>
          <w:color w:val="auto"/>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合同未履行部分是否继续履行、如何履行等问题，可由双方协商解决。</w:t>
      </w:r>
    </w:p>
    <w:p>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十、争议的解决方式</w:t>
      </w:r>
    </w:p>
    <w:p>
      <w:pPr>
        <w:pStyle w:val="16"/>
        <w:pageBreakBefore w:val="0"/>
        <w:kinsoku/>
        <w:overflowPunct/>
        <w:topLinePunct w:val="0"/>
        <w:bidi w:val="0"/>
        <w:snapToGrid/>
        <w:spacing w:line="360" w:lineRule="auto"/>
        <w:ind w:firstLine="560" w:firstLineChars="200"/>
        <w:rPr>
          <w:rFonts w:hint="eastAsia" w:ascii="仿宋" w:hAnsi="仿宋" w:eastAsia="仿宋" w:cs="仿宋"/>
          <w:b/>
          <w:bCs w:val="0"/>
          <w:color w:val="auto"/>
          <w:sz w:val="28"/>
          <w:szCs w:val="28"/>
          <w:highlight w:val="none"/>
        </w:rPr>
      </w:pPr>
      <w:r>
        <w:rPr>
          <w:rFonts w:hint="eastAsia" w:ascii="仿宋" w:hAnsi="仿宋" w:eastAsia="仿宋" w:cs="仿宋"/>
          <w:bCs w:val="0"/>
          <w:color w:val="auto"/>
          <w:sz w:val="28"/>
          <w:szCs w:val="28"/>
          <w:highlight w:val="none"/>
        </w:rPr>
        <w:t>合同发生纠纷时，双方应协商解决，协商不成可以采用下列方式解决：（1）提交仲裁委员会仲裁；（2）向人民法院起诉。</w:t>
      </w:r>
    </w:p>
    <w:p>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w:t>
      </w:r>
      <w:r>
        <w:rPr>
          <w:rFonts w:hint="eastAsia" w:ascii="仿宋" w:hAnsi="仿宋" w:eastAsia="仿宋" w:cs="仿宋"/>
          <w:b/>
          <w:bCs w:val="0"/>
          <w:color w:val="auto"/>
          <w:sz w:val="28"/>
          <w:szCs w:val="28"/>
          <w:highlight w:val="none"/>
          <w:lang w:val="en-US" w:eastAsia="zh-CN"/>
        </w:rPr>
        <w:t>一</w:t>
      </w:r>
      <w:r>
        <w:rPr>
          <w:rFonts w:hint="eastAsia" w:ascii="仿宋" w:hAnsi="仿宋" w:eastAsia="仿宋" w:cs="仿宋"/>
          <w:b/>
          <w:bCs w:val="0"/>
          <w:color w:val="auto"/>
          <w:sz w:val="28"/>
          <w:szCs w:val="28"/>
          <w:highlight w:val="none"/>
        </w:rPr>
        <w:t>、补充协议</w:t>
      </w:r>
    </w:p>
    <w:p>
      <w:pPr>
        <w:pStyle w:val="17"/>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合同未尽事宜，经双方协商可签订补充协议，所签订的补充协议与本合同具有同等的法律效力，补充协议的生效应符合本合同第八条的规定。</w:t>
      </w:r>
    </w:p>
    <w:p>
      <w:pPr>
        <w:pStyle w:val="16"/>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十</w:t>
      </w:r>
      <w:r>
        <w:rPr>
          <w:rFonts w:hint="eastAsia" w:ascii="仿宋" w:hAnsi="仿宋" w:eastAsia="仿宋" w:cs="仿宋"/>
          <w:b/>
          <w:bCs w:val="0"/>
          <w:color w:val="auto"/>
          <w:sz w:val="28"/>
          <w:szCs w:val="28"/>
          <w:highlight w:val="none"/>
          <w:lang w:val="en-US" w:eastAsia="zh-CN"/>
        </w:rPr>
        <w:t>二</w:t>
      </w:r>
      <w:r>
        <w:rPr>
          <w:rFonts w:hint="eastAsia" w:ascii="仿宋" w:hAnsi="仿宋" w:eastAsia="仿宋" w:cs="仿宋"/>
          <w:b/>
          <w:bCs w:val="0"/>
          <w:color w:val="auto"/>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份，甲方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份，乙方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color w:val="auto"/>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法定代表人或授权代理人：（签字）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开户单位：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开户银行：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lang w:val="en-US" w:eastAsia="zh-CN"/>
        </w:rPr>
        <w:t xml:space="preserve">账   </w:t>
      </w:r>
      <w:r>
        <w:rPr>
          <w:rFonts w:hint="eastAsia" w:ascii="仿宋" w:hAnsi="仿宋" w:eastAsia="仿宋" w:cs="仿宋"/>
          <w:bCs w:val="0"/>
          <w:color w:val="auto"/>
          <w:sz w:val="28"/>
          <w:szCs w:val="28"/>
          <w:highlight w:val="none"/>
        </w:rPr>
        <w:t xml:space="preserve">  号：                    </w:t>
      </w:r>
      <w:r>
        <w:rPr>
          <w:rFonts w:hint="eastAsia" w:ascii="仿宋" w:hAnsi="仿宋" w:eastAsia="仿宋" w:cs="仿宋"/>
          <w:bCs w:val="0"/>
          <w:color w:val="auto"/>
          <w:sz w:val="28"/>
          <w:szCs w:val="28"/>
          <w:highlight w:val="none"/>
          <w:lang w:val="en-US" w:eastAsia="zh-CN"/>
        </w:rPr>
        <w:t xml:space="preserve">        账</w:t>
      </w:r>
      <w:r>
        <w:rPr>
          <w:rFonts w:hint="eastAsia" w:ascii="仿宋" w:hAnsi="仿宋" w:eastAsia="仿宋" w:cs="仿宋"/>
          <w:bCs w:val="0"/>
          <w:color w:val="auto"/>
          <w:sz w:val="28"/>
          <w:szCs w:val="28"/>
          <w:highlight w:val="none"/>
        </w:rPr>
        <w:t>   号：</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地   址：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签订时间：</w:t>
      </w:r>
      <w:r>
        <w:rPr>
          <w:rFonts w:hint="eastAsia" w:ascii="仿宋" w:hAnsi="仿宋" w:eastAsia="仿宋" w:cs="仿宋"/>
          <w:bCs w:val="0"/>
          <w:color w:val="auto"/>
          <w:sz w:val="28"/>
          <w:szCs w:val="28"/>
          <w:highlight w:val="none"/>
          <w:lang w:eastAsia="zh-CN"/>
        </w:rPr>
        <w:t>2023年</w:t>
      </w:r>
      <w:r>
        <w:rPr>
          <w:rFonts w:hint="eastAsia" w:ascii="仿宋" w:hAnsi="仿宋" w:eastAsia="仿宋" w:cs="仿宋"/>
          <w:bCs w:val="0"/>
          <w:color w:val="auto"/>
          <w:sz w:val="28"/>
          <w:szCs w:val="28"/>
          <w:highlight w:val="none"/>
        </w:rPr>
        <w:t xml:space="preserve">  月  日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签订时间：</w:t>
      </w:r>
      <w:r>
        <w:rPr>
          <w:rFonts w:hint="eastAsia" w:ascii="仿宋" w:hAnsi="仿宋" w:eastAsia="仿宋" w:cs="仿宋"/>
          <w:bCs w:val="0"/>
          <w:color w:val="auto"/>
          <w:sz w:val="28"/>
          <w:szCs w:val="28"/>
          <w:highlight w:val="none"/>
          <w:lang w:eastAsia="zh-CN"/>
        </w:rPr>
        <w:t>2023年</w:t>
      </w:r>
      <w:r>
        <w:rPr>
          <w:rFonts w:hint="eastAsia" w:ascii="仿宋" w:hAnsi="仿宋" w:eastAsia="仿宋" w:cs="仿宋"/>
          <w:bCs w:val="0"/>
          <w:color w:val="auto"/>
          <w:sz w:val="28"/>
          <w:szCs w:val="28"/>
          <w:highlight w:val="none"/>
        </w:rPr>
        <w:t xml:space="preserve">  月  日</w:t>
      </w:r>
    </w:p>
    <w:p>
      <w:pPr>
        <w:pageBreakBefore w:val="0"/>
        <w:widowControl/>
        <w:kinsoku/>
        <w:overflowPunct/>
        <w:topLinePunct w:val="0"/>
        <w:bidi w:val="0"/>
        <w:snapToGrid/>
        <w:spacing w:line="360" w:lineRule="auto"/>
        <w:jc w:val="left"/>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 xml:space="preserve">电  话：                       </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电  话：</w:t>
      </w:r>
    </w:p>
    <w:p>
      <w:pPr>
        <w:tabs>
          <w:tab w:val="left" w:pos="955"/>
          <w:tab w:val="left" w:pos="1146"/>
        </w:tabs>
        <w:snapToGrid w:val="0"/>
        <w:spacing w:line="48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注：最终合同内容以采购人签署的合同为准。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如山东大学第二医院支付费用，与中标供应商签双方合同；如其他第三方支付费用，则签订三方协议，协议条款另定</w:t>
      </w:r>
      <w:r>
        <w:rPr>
          <w:rFonts w:hint="eastAsia" w:ascii="仿宋" w:hAnsi="仿宋" w:eastAsia="仿宋" w:cs="仿宋"/>
          <w:b/>
          <w:color w:val="auto"/>
          <w:sz w:val="24"/>
          <w:highlight w:val="none"/>
          <w:lang w:eastAsia="zh-CN"/>
        </w:rPr>
        <w:t>）</w:t>
      </w:r>
    </w:p>
    <w:p>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36" w:name="_Toc28705"/>
      <w:bookmarkStart w:id="237" w:name="_Toc7549"/>
      <w:bookmarkStart w:id="238" w:name="_Toc18865"/>
      <w:r>
        <w:rPr>
          <w:rFonts w:hint="eastAsia" w:ascii="仿宋" w:hAnsi="仿宋" w:eastAsia="仿宋" w:cs="仿宋"/>
          <w:b/>
          <w:bCs w:val="0"/>
          <w:color w:val="auto"/>
          <w:sz w:val="32"/>
          <w:szCs w:val="32"/>
          <w:highlight w:val="none"/>
        </w:rPr>
        <w:t>第五部分 项目说明及要求</w:t>
      </w:r>
      <w:bookmarkEnd w:id="236"/>
      <w:bookmarkEnd w:id="237"/>
      <w:bookmarkEnd w:id="238"/>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39" w:name="_Toc42877310"/>
      <w:bookmarkStart w:id="240" w:name="_Toc356491328"/>
      <w:bookmarkStart w:id="241" w:name="_Toc4764"/>
      <w:bookmarkStart w:id="242" w:name="_Toc407632791"/>
      <w:bookmarkStart w:id="243" w:name="_Toc25536"/>
      <w:bookmarkStart w:id="244" w:name="_Toc325620724"/>
      <w:bookmarkStart w:id="245" w:name="_Toc356490389"/>
      <w:bookmarkStart w:id="246" w:name="_Toc29518"/>
      <w:r>
        <w:rPr>
          <w:rFonts w:hint="eastAsia" w:ascii="仿宋" w:hAnsi="仿宋" w:eastAsia="仿宋" w:cs="仿宋"/>
          <w:color w:val="auto"/>
          <w:sz w:val="28"/>
          <w:szCs w:val="28"/>
          <w:highlight w:val="none"/>
        </w:rPr>
        <w:t>一、项目名称</w:t>
      </w:r>
      <w:bookmarkEnd w:id="239"/>
      <w:bookmarkEnd w:id="240"/>
      <w:bookmarkEnd w:id="241"/>
      <w:bookmarkEnd w:id="242"/>
      <w:bookmarkEnd w:id="243"/>
      <w:bookmarkEnd w:id="244"/>
      <w:bookmarkEnd w:id="245"/>
      <w:bookmarkEnd w:id="246"/>
      <w:bookmarkStart w:id="247" w:name="_Toc325620725"/>
    </w:p>
    <w:bookmarkEnd w:id="247"/>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bookmarkStart w:id="248" w:name="_Toc407632792"/>
      <w:bookmarkStart w:id="249" w:name="_Toc356490390"/>
      <w:bookmarkStart w:id="250" w:name="_Toc356491329"/>
      <w:r>
        <w:rPr>
          <w:rFonts w:hint="eastAsia" w:ascii="仿宋" w:hAnsi="仿宋" w:eastAsia="仿宋" w:cs="仿宋"/>
          <w:color w:val="auto"/>
          <w:sz w:val="28"/>
          <w:szCs w:val="28"/>
          <w:highlight w:val="none"/>
          <w:lang w:eastAsia="zh-CN"/>
        </w:rPr>
        <w:t>山东大学第二医院智慧医院一体化项目</w:t>
      </w:r>
    </w:p>
    <w:p>
      <w:pPr>
        <w:pStyle w:val="3"/>
        <w:pageBreakBefore w:val="0"/>
        <w:kinsoku/>
        <w:overflowPunct/>
        <w:topLinePunct w:val="0"/>
        <w:bidi w:val="0"/>
        <w:snapToGrid/>
        <w:spacing w:line="360" w:lineRule="auto"/>
        <w:rPr>
          <w:rFonts w:hint="eastAsia" w:ascii="仿宋" w:hAnsi="仿宋" w:eastAsia="仿宋" w:cs="仿宋"/>
          <w:b w:val="0"/>
          <w:color w:val="auto"/>
          <w:kern w:val="2"/>
          <w:sz w:val="28"/>
          <w:szCs w:val="28"/>
          <w:highlight w:val="none"/>
        </w:rPr>
      </w:pPr>
      <w:bookmarkStart w:id="251" w:name="_Toc42877311"/>
      <w:bookmarkStart w:id="252" w:name="_Toc20032"/>
      <w:bookmarkStart w:id="253" w:name="_Toc4908"/>
      <w:bookmarkStart w:id="254" w:name="_Toc2073"/>
      <w:r>
        <w:rPr>
          <w:rFonts w:hint="eastAsia" w:ascii="仿宋" w:hAnsi="仿宋" w:eastAsia="仿宋" w:cs="仿宋"/>
          <w:color w:val="auto"/>
          <w:sz w:val="28"/>
          <w:szCs w:val="28"/>
          <w:highlight w:val="none"/>
        </w:rPr>
        <w:t>二、项目说明</w:t>
      </w:r>
      <w:bookmarkEnd w:id="248"/>
      <w:bookmarkEnd w:id="249"/>
      <w:bookmarkEnd w:id="250"/>
      <w:bookmarkEnd w:id="251"/>
      <w:bookmarkEnd w:id="252"/>
      <w:bookmarkEnd w:id="253"/>
      <w:bookmarkEnd w:id="254"/>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bookmarkStart w:id="255" w:name="_Toc325620726"/>
      <w:bookmarkStart w:id="256" w:name="_Toc356491330"/>
      <w:bookmarkStart w:id="257" w:name="_Toc356490391"/>
      <w:r>
        <w:rPr>
          <w:rFonts w:hint="eastAsia" w:ascii="仿宋" w:hAnsi="仿宋" w:eastAsia="仿宋" w:cs="仿宋"/>
          <w:color w:val="auto"/>
          <w:sz w:val="28"/>
          <w:szCs w:val="28"/>
          <w:highlight w:val="none"/>
        </w:rPr>
        <w:t>1.本项目共</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个包，中标人不得对所投包内容分解后进行响应。</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lang w:eastAsia="zh-CN"/>
        </w:rPr>
        <w:t>项目报价</w:t>
      </w:r>
      <w:r>
        <w:rPr>
          <w:rFonts w:hint="eastAsia" w:ascii="仿宋" w:hAnsi="仿宋" w:eastAsia="仿宋" w:cs="仿宋"/>
          <w:color w:val="auto"/>
          <w:sz w:val="28"/>
          <w:szCs w:val="28"/>
          <w:highlight w:val="none"/>
        </w:rPr>
        <w:t>不得超过最高控制价，否则作无效报价处理。</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8" w:name="_Toc28365"/>
      <w:bookmarkStart w:id="259" w:name="_Toc4994"/>
      <w:bookmarkStart w:id="260" w:name="_Toc407632793"/>
      <w:bookmarkStart w:id="261" w:name="_Toc42877312"/>
      <w:bookmarkStart w:id="262" w:name="_Toc24750"/>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、商务条件</w:t>
      </w:r>
      <w:bookmarkEnd w:id="255"/>
      <w:bookmarkEnd w:id="256"/>
      <w:bookmarkEnd w:id="257"/>
      <w:bookmarkEnd w:id="258"/>
      <w:bookmarkEnd w:id="259"/>
      <w:bookmarkEnd w:id="260"/>
      <w:bookmarkEnd w:id="261"/>
      <w:bookmarkEnd w:id="262"/>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1、工期：签订合同之日进场实施，4个月内完成中心院区和南部院区切换，稳定一个月后完成北院区上线（2024年4月底前）；后期持续深度完善10个月，总工期不超过18个月。</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3、付款方式：本项目费用由医院或第三方支付；如由第三方支付，医院与中标厂商和第三方签订三方协议，约定由第三方付款。</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（1）核心系统切换上线，且运行1个月后，支付项目总额的 50%。</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（2）全部系统上线，且平稳运行6个月后，支付项目总额的10%。</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（3）医院通过电子病历系统功能与应用水平分级评价5级后，支付项目总额的20%；通过医院信息互联互通标准化成熟度测评五乙后，支付项目总额的10%。</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（4）项目维保到期且验收合格后，支付项目总额的10%。</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4、本项目预算：</w:t>
      </w:r>
      <w:bookmarkStart w:id="263" w:name="_Toc356490393"/>
      <w:bookmarkStart w:id="264" w:name="_Toc356491341"/>
      <w:r>
        <w:rPr>
          <w:rFonts w:hint="eastAsia" w:ascii="仿宋" w:hAnsi="仿宋" w:eastAsia="仿宋" w:cs="仿宋"/>
          <w:bCs w:val="0"/>
          <w:color w:val="auto"/>
          <w:sz w:val="28"/>
          <w:szCs w:val="28"/>
          <w:highlight w:val="none"/>
          <w:lang w:val="en-US" w:eastAsia="zh-CN"/>
        </w:rPr>
        <w:t>2500万元。</w:t>
      </w:r>
      <w:bookmarkStart w:id="265" w:name="_Toc16289"/>
      <w:bookmarkStart w:id="266" w:name="_Toc31810"/>
    </w:p>
    <w:p>
      <w:pPr>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四、</w:t>
      </w:r>
      <w:bookmarkEnd w:id="265"/>
      <w:bookmarkEnd w:id="266"/>
      <w:r>
        <w:rPr>
          <w:rFonts w:hint="eastAsia" w:ascii="仿宋" w:hAnsi="仿宋" w:eastAsia="仿宋" w:cs="仿宋"/>
          <w:b/>
          <w:bCs/>
          <w:color w:val="auto"/>
          <w:kern w:val="0"/>
          <w:sz w:val="28"/>
          <w:szCs w:val="28"/>
          <w:highlight w:val="none"/>
          <w:lang w:val="en-US" w:eastAsia="zh-CN" w:bidi="ar-SA"/>
        </w:rPr>
        <w:t>项目技术要求</w:t>
      </w:r>
    </w:p>
    <w:p>
      <w:pPr>
        <w:pStyle w:val="3"/>
        <w:numPr>
          <w:ilvl w:val="0"/>
          <w:numId w:val="0"/>
        </w:numPr>
        <w:tabs>
          <w:tab w:val="left" w:pos="576"/>
        </w:tabs>
        <w:ind w:left="576" w:leftChars="0" w:hanging="576" w:firstLineChars="0"/>
        <w:rPr>
          <w:rFonts w:hint="eastAsia" w:ascii="仿宋" w:hAnsi="仿宋" w:eastAsia="仿宋" w:cs="仿宋"/>
          <w:b/>
          <w:bCs/>
          <w:color w:val="auto"/>
          <w:kern w:val="0"/>
          <w:sz w:val="30"/>
          <w:szCs w:val="30"/>
          <w:highlight w:val="none"/>
          <w:lang w:val="en-US" w:eastAsia="zh-CN" w:bidi="hi-IN"/>
        </w:rPr>
      </w:pPr>
      <w:bookmarkStart w:id="267" w:name="_Toc5858"/>
      <w:bookmarkStart w:id="268" w:name="_Toc13868"/>
      <w:bookmarkStart w:id="269" w:name="_Toc23109"/>
      <w:bookmarkStart w:id="270" w:name="_Toc15105"/>
      <w:r>
        <w:rPr>
          <w:rFonts w:hint="eastAsia" w:ascii="仿宋" w:hAnsi="仿宋" w:eastAsia="仿宋" w:cs="仿宋"/>
          <w:b/>
          <w:bCs/>
          <w:color w:val="auto"/>
          <w:kern w:val="0"/>
          <w:sz w:val="30"/>
          <w:szCs w:val="30"/>
          <w:highlight w:val="none"/>
          <w:lang w:val="en-US" w:eastAsia="zh-CN" w:bidi="hi-IN"/>
        </w:rPr>
        <w:t>1.项目</w:t>
      </w:r>
      <w:bookmarkEnd w:id="267"/>
      <w:r>
        <w:rPr>
          <w:rFonts w:ascii="仿宋" w:hAnsi="仿宋" w:eastAsia="仿宋" w:cs="仿宋"/>
          <w:b/>
          <w:bCs/>
          <w:color w:val="auto"/>
          <w:kern w:val="0"/>
          <w:sz w:val="30"/>
          <w:szCs w:val="30"/>
          <w:highlight w:val="none"/>
          <w:lang w:val="en-US" w:eastAsia="zh-CN" w:bidi="hi-IN"/>
        </w:rPr>
        <w:t>概况及建设要求</w:t>
      </w:r>
      <w:bookmarkEnd w:id="268"/>
    </w:p>
    <w:p>
      <w:pPr>
        <w:pStyle w:val="3"/>
        <w:numPr>
          <w:ilvl w:val="0"/>
          <w:numId w:val="0"/>
        </w:numPr>
        <w:tabs>
          <w:tab w:val="left" w:pos="576"/>
        </w:tabs>
        <w:ind w:left="576" w:leftChars="0" w:hanging="576" w:firstLineChars="0"/>
        <w:rPr>
          <w:rFonts w:hint="eastAsia" w:ascii="仿宋" w:hAnsi="仿宋" w:eastAsia="仿宋" w:cs="仿宋"/>
          <w:color w:val="auto"/>
          <w:highlight w:val="none"/>
        </w:rPr>
      </w:pPr>
      <w:bookmarkStart w:id="271" w:name="_Toc18812"/>
      <w:bookmarkStart w:id="272" w:name="_Toc6459"/>
      <w:r>
        <w:rPr>
          <w:rFonts w:hint="eastAsia" w:ascii="仿宋" w:hAnsi="仿宋" w:eastAsia="仿宋" w:cs="仿宋"/>
          <w:b/>
          <w:bCs/>
          <w:color w:val="auto"/>
          <w:kern w:val="0"/>
          <w:sz w:val="30"/>
          <w:szCs w:val="30"/>
          <w:highlight w:val="none"/>
          <w:lang w:val="en-US" w:eastAsia="zh-CN" w:bidi="hi-IN"/>
        </w:rPr>
        <w:t>1.1</w:t>
      </w:r>
      <w:r>
        <w:rPr>
          <w:rFonts w:hint="eastAsia" w:ascii="仿宋" w:hAnsi="仿宋" w:eastAsia="仿宋" w:cs="仿宋"/>
          <w:color w:val="auto"/>
          <w:highlight w:val="none"/>
        </w:rPr>
        <w:t>项目背景</w:t>
      </w:r>
      <w:bookmarkEnd w:id="271"/>
      <w:bookmarkEnd w:id="272"/>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rPr>
      </w:pPr>
      <w:bookmarkStart w:id="273" w:name="_Toc20052"/>
      <w:bookmarkStart w:id="274" w:name="_Toc10929"/>
      <w:r>
        <w:rPr>
          <w:rFonts w:hint="eastAsia" w:ascii="仿宋" w:hAnsi="仿宋" w:eastAsia="仿宋" w:cs="仿宋"/>
          <w:b/>
          <w:bCs/>
          <w:color w:val="auto"/>
          <w:sz w:val="24"/>
          <w:szCs w:val="28"/>
          <w:highlight w:val="none"/>
          <w:lang w:val="en-US" w:eastAsia="zh-CN" w:bidi="hi-IN"/>
        </w:rPr>
        <w:t>1.1.1</w:t>
      </w:r>
      <w:r>
        <w:rPr>
          <w:rFonts w:hint="eastAsia" w:ascii="仿宋" w:hAnsi="仿宋" w:eastAsia="仿宋" w:cs="仿宋"/>
          <w:color w:val="auto"/>
          <w:highlight w:val="none"/>
        </w:rPr>
        <w:t>项目建设目标</w:t>
      </w:r>
      <w:bookmarkEnd w:id="273"/>
      <w:r>
        <w:rPr>
          <w:rFonts w:ascii="仿宋" w:hAnsi="仿宋" w:eastAsia="仿宋" w:cs="仿宋"/>
          <w:color w:val="auto"/>
          <w:highlight w:val="none"/>
          <w:lang w:eastAsia="zh-CN"/>
        </w:rPr>
        <w:t>及建设要求</w:t>
      </w:r>
      <w:bookmarkEnd w:id="274"/>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以公立医院高质量发展为指引，以山东大学第二医院（以下简称：山大二院）战略发展目标和国家医学中心建设为契机，为不断向“特色鲜明、国内一流、国际知名”医学中心坚实迈进奠定基础，按照医院战略目标、做好顶层设计，加强信息安全，应用新兴技术，着力推进医疗信息四个现代化。将医院建设成为学科特色鲜明、具有全球影响力的综合性研究型、创新型、教育型医院，按照电子病历系统功能应用水平</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级、医院信息互联互通标准化成熟度五级、医院智慧服务</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级、医院智慧管理三级标准规范。通过一体化项目建设实现山大</w:t>
      </w:r>
      <w:r>
        <w:rPr>
          <w:rFonts w:hint="eastAsia" w:ascii="仿宋" w:hAnsi="仿宋" w:eastAsia="仿宋" w:cs="仿宋"/>
          <w:color w:val="auto"/>
          <w:sz w:val="24"/>
          <w:highlight w:val="none"/>
          <w:lang w:eastAsia="zh-Hans"/>
        </w:rPr>
        <w:t>二院</w:t>
      </w:r>
      <w:r>
        <w:rPr>
          <w:rFonts w:hint="eastAsia" w:ascii="仿宋" w:hAnsi="仿宋" w:eastAsia="仿宋" w:cs="仿宋"/>
          <w:color w:val="auto"/>
          <w:sz w:val="24"/>
          <w:highlight w:val="none"/>
        </w:rPr>
        <w:t>内部信息系统的互联互通与数据共享，为患者、医护、管理人员提供更加优质的医疗信息化服务；</w:t>
      </w:r>
      <w:r>
        <w:rPr>
          <w:rFonts w:hint="eastAsia" w:ascii="仿宋" w:hAnsi="仿宋" w:eastAsia="仿宋" w:cs="仿宋"/>
          <w:color w:val="auto"/>
          <w:sz w:val="24"/>
          <w:highlight w:val="none"/>
          <w:lang w:eastAsia="zh-Hans"/>
        </w:rPr>
        <w:t>实现山大二院</w:t>
      </w:r>
      <w:r>
        <w:rPr>
          <w:rFonts w:hint="eastAsia" w:ascii="仿宋" w:hAnsi="仿宋" w:eastAsia="仿宋" w:cs="仿宋"/>
          <w:color w:val="auto"/>
          <w:sz w:val="24"/>
          <w:highlight w:val="none"/>
        </w:rPr>
        <w:t>医疗信息</w:t>
      </w:r>
      <w:r>
        <w:rPr>
          <w:rFonts w:hint="eastAsia" w:ascii="仿宋" w:hAnsi="仿宋" w:eastAsia="仿宋" w:cs="仿宋"/>
          <w:color w:val="auto"/>
          <w:sz w:val="24"/>
          <w:highlight w:val="none"/>
          <w:lang w:eastAsia="zh-Hans"/>
        </w:rPr>
        <w:t>系统的</w:t>
      </w:r>
      <w:r>
        <w:rPr>
          <w:rFonts w:hint="eastAsia" w:ascii="仿宋" w:hAnsi="仿宋" w:eastAsia="仿宋" w:cs="仿宋"/>
          <w:color w:val="auto"/>
          <w:sz w:val="24"/>
          <w:highlight w:val="none"/>
        </w:rPr>
        <w:t>标准化、</w:t>
      </w:r>
      <w:r>
        <w:rPr>
          <w:rFonts w:hint="eastAsia" w:ascii="仿宋" w:hAnsi="仿宋" w:eastAsia="仿宋" w:cs="仿宋"/>
          <w:color w:val="auto"/>
          <w:sz w:val="24"/>
          <w:highlight w:val="none"/>
          <w:lang w:eastAsia="zh-Hans"/>
        </w:rPr>
        <w:t>智慧化</w:t>
      </w:r>
      <w:r>
        <w:rPr>
          <w:rFonts w:hint="eastAsia" w:ascii="仿宋" w:hAnsi="仿宋" w:eastAsia="仿宋" w:cs="仿宋"/>
          <w:color w:val="auto"/>
          <w:sz w:val="24"/>
          <w:highlight w:val="none"/>
        </w:rPr>
        <w:t>、数字化</w:t>
      </w:r>
      <w:r>
        <w:rPr>
          <w:rFonts w:hint="eastAsia" w:ascii="仿宋" w:hAnsi="仿宋" w:eastAsia="仿宋" w:cs="仿宋"/>
          <w:color w:val="auto"/>
          <w:sz w:val="24"/>
          <w:highlight w:val="none"/>
          <w:lang w:eastAsia="zh-Hans"/>
        </w:rPr>
        <w:t>建设</w:t>
      </w:r>
      <w:r>
        <w:rPr>
          <w:rFonts w:hint="eastAsia" w:ascii="仿宋" w:hAnsi="仿宋" w:eastAsia="仿宋" w:cs="仿宋"/>
          <w:color w:val="auto"/>
          <w:sz w:val="24"/>
          <w:highlight w:val="none"/>
        </w:rPr>
        <w:t>，提升患者服务水平、医护诊疗效率、及</w:t>
      </w:r>
      <w:r>
        <w:rPr>
          <w:rFonts w:hint="eastAsia" w:ascii="仿宋" w:hAnsi="仿宋" w:eastAsia="仿宋" w:cs="仿宋"/>
          <w:color w:val="auto"/>
          <w:sz w:val="24"/>
          <w:highlight w:val="none"/>
          <w:lang w:eastAsia="zh-Hans"/>
        </w:rPr>
        <w:t>运营</w:t>
      </w:r>
      <w:r>
        <w:rPr>
          <w:rFonts w:hint="eastAsia" w:ascii="仿宋" w:hAnsi="仿宋" w:eastAsia="仿宋" w:cs="仿宋"/>
          <w:color w:val="auto"/>
          <w:sz w:val="24"/>
          <w:highlight w:val="none"/>
        </w:rPr>
        <w:t>精细化</w:t>
      </w:r>
      <w:r>
        <w:rPr>
          <w:rFonts w:hint="eastAsia" w:ascii="仿宋" w:hAnsi="仿宋" w:eastAsia="仿宋" w:cs="仿宋"/>
          <w:color w:val="auto"/>
          <w:sz w:val="24"/>
          <w:highlight w:val="none"/>
          <w:lang w:eastAsia="zh-Hans"/>
        </w:rPr>
        <w:t>高效</w:t>
      </w:r>
      <w:r>
        <w:rPr>
          <w:rFonts w:hint="eastAsia" w:ascii="仿宋" w:hAnsi="仿宋" w:eastAsia="仿宋" w:cs="仿宋"/>
          <w:color w:val="auto"/>
          <w:sz w:val="24"/>
          <w:highlight w:val="none"/>
        </w:rPr>
        <w:t>管理</w:t>
      </w:r>
      <w:r>
        <w:rPr>
          <w:rFonts w:hint="eastAsia" w:ascii="仿宋" w:hAnsi="仿宋" w:eastAsia="仿宋" w:cs="仿宋"/>
          <w:color w:val="auto"/>
          <w:sz w:val="24"/>
          <w:highlight w:val="none"/>
          <w:lang w:eastAsia="zh-Hans"/>
        </w:rPr>
        <w:t>。</w:t>
      </w:r>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lang w:eastAsia="zh-Hans"/>
        </w:rPr>
      </w:pPr>
      <w:bookmarkStart w:id="275" w:name="_Toc28505"/>
      <w:bookmarkStart w:id="276" w:name="_Toc4690"/>
      <w:r>
        <w:rPr>
          <w:rFonts w:hint="eastAsia" w:ascii="仿宋" w:hAnsi="仿宋" w:eastAsia="仿宋" w:cs="仿宋"/>
          <w:b/>
          <w:bCs/>
          <w:color w:val="auto"/>
          <w:sz w:val="24"/>
          <w:szCs w:val="28"/>
          <w:highlight w:val="none"/>
          <w:lang w:val="en-US" w:eastAsia="zh-Hans" w:bidi="hi-IN"/>
        </w:rPr>
        <w:t>1.1.2</w:t>
      </w:r>
      <w:r>
        <w:rPr>
          <w:rFonts w:hint="eastAsia" w:ascii="仿宋" w:hAnsi="仿宋" w:eastAsia="仿宋" w:cs="仿宋"/>
          <w:color w:val="auto"/>
          <w:highlight w:val="none"/>
        </w:rPr>
        <w:t>项目实施目的内容</w:t>
      </w:r>
      <w:bookmarkEnd w:id="275"/>
      <w:bookmarkEnd w:id="276"/>
    </w:p>
    <w:p>
      <w:pPr>
        <w:bidi w:val="0"/>
        <w:spacing w:line="360" w:lineRule="auto"/>
        <w:ind w:left="0" w:right="0" w:firstLine="480"/>
        <w:rPr>
          <w:rFonts w:ascii="仿宋" w:hAnsi="仿宋" w:eastAsia="仿宋" w:cs="仿宋"/>
          <w:color w:val="auto"/>
          <w:sz w:val="24"/>
          <w:highlight w:val="none"/>
        </w:rPr>
      </w:pPr>
      <w:r>
        <w:rPr>
          <w:rFonts w:ascii="仿宋" w:hAnsi="仿宋" w:eastAsia="仿宋" w:cs="仿宋"/>
          <w:color w:val="auto"/>
          <w:sz w:val="24"/>
          <w:highlight w:val="none"/>
          <w:lang w:eastAsia="zh-Hans"/>
        </w:rPr>
        <w:t>HIS</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门急诊结算模块、医保管理模块、住院登记结算模块、统一支付对账平台、公众号服务模块、全资源预约模块、排队叫号模块、医技收费模块、门急诊输液模块、手术计费模块、药库管理模块、门诊药房模块、住院药房模块</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lang w:eastAsia="zh-Hans"/>
        </w:rPr>
        <w:t>、CIS</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一体化门诊医生、一体化住院医生、一体化住院护士、病案及质控管理模块、危急值管理模块、医务管理模块、药事管理模块、临床辅助决策CDSS</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lang w:eastAsia="zh-Hans"/>
        </w:rPr>
        <w:t>、集成平台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基础平台模块 、数据中心模块 、数据应用模块</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lang w:eastAsia="zh-Hans"/>
        </w:rPr>
        <w:t>系统一体化功能建设提升优化，解决当前</w:t>
      </w:r>
      <w:r>
        <w:rPr>
          <w:rFonts w:ascii="仿宋" w:hAnsi="仿宋" w:eastAsia="仿宋" w:cs="仿宋"/>
          <w:color w:val="auto"/>
          <w:sz w:val="24"/>
          <w:highlight w:val="none"/>
        </w:rPr>
        <w:t>基础HIS、临床应用及管理CIS</w:t>
      </w:r>
      <w:r>
        <w:rPr>
          <w:rFonts w:ascii="仿宋" w:hAnsi="仿宋" w:eastAsia="仿宋" w:cs="仿宋"/>
          <w:color w:val="auto"/>
          <w:sz w:val="24"/>
          <w:highlight w:val="none"/>
          <w:lang w:eastAsia="zh-Hans"/>
        </w:rPr>
        <w:t>、集成平台、数据中心、科研等业务应用</w:t>
      </w:r>
      <w:r>
        <w:rPr>
          <w:rFonts w:ascii="仿宋" w:hAnsi="仿宋" w:eastAsia="仿宋" w:cs="仿宋"/>
          <w:color w:val="auto"/>
          <w:sz w:val="24"/>
          <w:highlight w:val="none"/>
        </w:rPr>
        <w:t>系统的一体化、标准化</w:t>
      </w:r>
      <w:r>
        <w:rPr>
          <w:rFonts w:ascii="仿宋" w:hAnsi="仿宋" w:eastAsia="仿宋" w:cs="仿宋"/>
          <w:color w:val="auto"/>
          <w:sz w:val="24"/>
          <w:highlight w:val="none"/>
          <w:lang w:eastAsia="zh-Hans"/>
        </w:rPr>
        <w:t>及效率</w:t>
      </w:r>
      <w:r>
        <w:rPr>
          <w:rFonts w:ascii="仿宋" w:hAnsi="仿宋" w:eastAsia="仿宋" w:cs="仿宋"/>
          <w:color w:val="auto"/>
          <w:sz w:val="24"/>
          <w:highlight w:val="none"/>
        </w:rPr>
        <w:t>提升</w:t>
      </w:r>
      <w:r>
        <w:rPr>
          <w:rFonts w:ascii="仿宋" w:hAnsi="仿宋" w:eastAsia="仿宋" w:cs="仿宋"/>
          <w:color w:val="auto"/>
          <w:sz w:val="24"/>
          <w:highlight w:val="none"/>
          <w:lang w:eastAsia="zh-Hans"/>
        </w:rPr>
        <w:t>，</w:t>
      </w:r>
      <w:r>
        <w:rPr>
          <w:rFonts w:hint="eastAsia" w:ascii="仿宋" w:hAnsi="仿宋" w:eastAsia="仿宋" w:cs="仿宋"/>
          <w:color w:val="auto"/>
          <w:sz w:val="24"/>
          <w:highlight w:val="none"/>
          <w:lang w:val="en-US" w:eastAsia="zh-CN"/>
        </w:rPr>
        <w:t>保障与原有业务系统平稳过渡</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lang w:eastAsia="zh-Hans"/>
        </w:rPr>
        <w:t>实现</w:t>
      </w:r>
      <w:r>
        <w:rPr>
          <w:rFonts w:ascii="仿宋" w:hAnsi="仿宋" w:eastAsia="仿宋" w:cs="仿宋"/>
          <w:color w:val="auto"/>
          <w:sz w:val="24"/>
          <w:highlight w:val="none"/>
        </w:rPr>
        <w:t>与</w:t>
      </w:r>
      <w:r>
        <w:rPr>
          <w:rFonts w:ascii="仿宋" w:hAnsi="仿宋" w:eastAsia="仿宋" w:cs="仿宋"/>
          <w:color w:val="auto"/>
          <w:sz w:val="24"/>
          <w:highlight w:val="none"/>
          <w:lang w:eastAsia="zh-Hans"/>
        </w:rPr>
        <w:t>医院业务</w:t>
      </w:r>
      <w:r>
        <w:rPr>
          <w:rFonts w:ascii="仿宋" w:hAnsi="仿宋" w:eastAsia="仿宋" w:cs="仿宋"/>
          <w:color w:val="auto"/>
          <w:sz w:val="24"/>
          <w:highlight w:val="none"/>
        </w:rPr>
        <w:t>系统</w:t>
      </w:r>
      <w:r>
        <w:rPr>
          <w:rFonts w:ascii="仿宋" w:hAnsi="仿宋" w:eastAsia="仿宋" w:cs="仿宋"/>
          <w:color w:val="auto"/>
          <w:sz w:val="24"/>
          <w:highlight w:val="none"/>
          <w:lang w:eastAsia="zh-Hans"/>
        </w:rPr>
        <w:t>PACS、LIS、RIS（超声、内镜、心彩等）、手麻系统等</w:t>
      </w:r>
      <w:r>
        <w:rPr>
          <w:rFonts w:ascii="仿宋" w:hAnsi="仿宋" w:eastAsia="仿宋" w:cs="仿宋"/>
          <w:color w:val="auto"/>
          <w:sz w:val="24"/>
          <w:highlight w:val="none"/>
        </w:rPr>
        <w:t>业务互联互通、数据共享。</w:t>
      </w:r>
    </w:p>
    <w:p>
      <w:pPr>
        <w:pStyle w:val="4"/>
        <w:numPr>
          <w:ilvl w:val="0"/>
          <w:numId w:val="0"/>
        </w:numPr>
        <w:tabs>
          <w:tab w:val="left" w:pos="720"/>
        </w:tabs>
        <w:bidi w:val="0"/>
        <w:ind w:left="720" w:hanging="720"/>
        <w:jc w:val="left"/>
        <w:rPr>
          <w:rFonts w:ascii="仿宋" w:hAnsi="仿宋" w:eastAsia="仿宋" w:cs="仿宋"/>
          <w:color w:val="auto"/>
          <w:highlight w:val="none"/>
          <w:lang w:eastAsia="zh-CN"/>
        </w:rPr>
      </w:pPr>
      <w:bookmarkStart w:id="277" w:name="_Toc31607"/>
      <w:r>
        <w:rPr>
          <w:rFonts w:ascii="仿宋" w:hAnsi="仿宋" w:eastAsia="仿宋" w:cs="仿宋"/>
          <w:b/>
          <w:bCs/>
          <w:color w:val="auto"/>
          <w:sz w:val="24"/>
          <w:szCs w:val="28"/>
          <w:highlight w:val="none"/>
          <w:lang w:val="en-US" w:eastAsia="zh-Hans" w:bidi="hi-IN"/>
        </w:rPr>
        <w:t>1.1.</w:t>
      </w:r>
      <w:r>
        <w:rPr>
          <w:rFonts w:ascii="仿宋" w:hAnsi="仿宋" w:eastAsia="仿宋" w:cs="仿宋"/>
          <w:b/>
          <w:bCs/>
          <w:color w:val="auto"/>
          <w:sz w:val="24"/>
          <w:szCs w:val="28"/>
          <w:highlight w:val="none"/>
          <w:lang w:val="en-US" w:eastAsia="zh-CN" w:bidi="hi-IN"/>
        </w:rPr>
        <w:t>3</w:t>
      </w:r>
      <w:r>
        <w:rPr>
          <w:rFonts w:ascii="仿宋" w:hAnsi="仿宋" w:eastAsia="仿宋" w:cs="仿宋"/>
          <w:color w:val="auto"/>
          <w:highlight w:val="none"/>
        </w:rPr>
        <w:t>项目</w:t>
      </w:r>
      <w:r>
        <w:rPr>
          <w:rFonts w:ascii="仿宋" w:hAnsi="仿宋" w:eastAsia="仿宋" w:cs="仿宋"/>
          <w:color w:val="auto"/>
          <w:highlight w:val="none"/>
          <w:lang w:eastAsia="zh-CN"/>
        </w:rPr>
        <w:t>建设标准</w:t>
      </w:r>
      <w:bookmarkEnd w:id="277"/>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系统</w:t>
      </w:r>
      <w:r>
        <w:rPr>
          <w:rFonts w:hint="eastAsia" w:ascii="仿宋" w:hAnsi="仿宋" w:eastAsia="仿宋" w:cs="仿宋"/>
          <w:color w:val="auto"/>
          <w:highlight w:val="none"/>
          <w:lang w:eastAsia="zh-Hans"/>
        </w:rPr>
        <w:t>遵循国家卫生主管部门相关医疗卫生信息化建设文件和标准规范要求，</w:t>
      </w:r>
      <w:r>
        <w:rPr>
          <w:rFonts w:hint="eastAsia" w:ascii="仿宋" w:hAnsi="仿宋" w:eastAsia="仿宋" w:cs="仿宋"/>
          <w:color w:val="auto"/>
          <w:highlight w:val="none"/>
        </w:rPr>
        <w:t>以下政策标准，以最新为准，包括但不限于以下文件和标准。</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国家及行业相关政策文件要求：</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1)国务院办公厅关于印发健康中国行动组织实施和考核方案的通知(国办发〔2019〕32号)；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2)关于印发国家健康医疗大数据标准、安全和服务管理办法（试行）的通知（国卫规划发〔2018〕23号）；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3)国务院办公厅关于促进“互联网+医疗健康”发展的意见（国办发〔2018〕26号）；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4)国务院办公厅关于促进和规范健康医疗大数据应用发展的指导意见(国办发〔2016〕47号)；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5)国务院办公厅关于推进分级诊疗制度建设的指导意见(国办发〔2015〕70号)；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6)国务院办公厅关于推进医疗联合体建设和发展的指导意见(国办发〔2017〕32号)；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7)国务院关于实施健康中国行动的意见(国发〔2019〕13号)；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8)关于深入推进“互联网+医疗健康”“五个一”服务行动的通知（国卫规划发〔2020〕22号）；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9)国家卫生健康委员会，国家中医药管理局关于深入开展“互联网+医疗健康”便民惠民活动的通知（国卫规划发〔2018〕22号）；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10)国卫办规划发〔2020〕14号关于加强全民健康信息标准化体系建设的意见（国卫办规划发〔2020〕14号）；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11)</w:t>
      </w:r>
      <w:r>
        <w:rPr>
          <w:rFonts w:hint="eastAsia" w:ascii="仿宋" w:hAnsi="仿宋" w:eastAsia="仿宋" w:cs="仿宋"/>
          <w:color w:val="auto"/>
          <w:highlight w:val="none"/>
        </w:rPr>
        <w:tab/>
      </w:r>
      <w:r>
        <w:rPr>
          <w:rFonts w:hint="eastAsia" w:ascii="仿宋" w:hAnsi="仿宋" w:eastAsia="仿宋" w:cs="仿宋"/>
          <w:color w:val="auto"/>
          <w:highlight w:val="none"/>
        </w:rPr>
        <w:t>中共中央关于制定国民经济和社会发展第十四个五年规划和二〇三五年远景目标的建议；</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12)中华人民共和国基本医疗卫生与健康促进法；</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13)“健康中国2030”规划纲要；</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14)健康中国行动（2019—2030年）;</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15)《关于进一步完善医疗卫生服务体系的意见》；</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医疗信息化建设标准和信息安全标准</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《病历书写基本规范》</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《电子病历基本规范（试行）》</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《中医电子病历基本规范（试行）》</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《中华人民共和国电子签名法》2005年（2019修正版）</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《电子认证服务管理办法》2009年中华人民共和国工业和信息化部令第1号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《卫生系统电子认证服务规范》</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《临床检验结果共享系统互操作性规范》</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《基于电子病历的医院信息平台建设技术解决方案》</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《政府会计制度》</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《三级医院医疗质量管理指标体系》</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《三级综合医院评审标准》</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《电子病历系统功能应用水平分级评价方法及标准（试行）》</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《基于电子病历的医院信息平台建设技术解决方案（1.0 版）》</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《国家医疗健康信息医院信息互联互通标准化成熟度测评方案（2020 年版）》国卫统信便函〔2020〕30号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《国家卫生信息化标准基础框架》</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《中国卫生信息标准基础数据集》</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《中国医院信息基本数据集标准》</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《卫生信息数据规范指南》</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《电子病历基本架构与数据标准》</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国际疾病分类 ICD-9 和 ICD-10 </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医学数字化影像通讯标准 DICOM 3</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临床术语标准——SNOMEDCT </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观测指标标识符逻辑命名和编码标准——LOINC </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医疗卫生领域信息交换标准——HL7 V3</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临床文档架构——CDA R2 </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医疗企业集成规范——IHE</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GB/T 28448-2019《信息安全技术 网络安全等级保护测评要求》</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GB/T 22239-2019《信息安全技术 网络安全等级保护基本要求》</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GB/T 25070-2019《信息安全技术 网络安全等级保护安全设计技术要求》</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《信息安全等级保护管理办法》 </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《商用密码应用安全性评估管理办法》（国家密码管理局令第3号）</w:t>
      </w:r>
    </w:p>
    <w:p>
      <w:pPr>
        <w:pStyle w:val="5"/>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《信息安全等级保护技术标准》三级</w:t>
      </w:r>
    </w:p>
    <w:p>
      <w:pPr>
        <w:pStyle w:val="4"/>
        <w:numPr>
          <w:ilvl w:val="0"/>
          <w:numId w:val="0"/>
        </w:numPr>
        <w:tabs>
          <w:tab w:val="left" w:pos="720"/>
        </w:tabs>
        <w:bidi w:val="0"/>
        <w:ind w:left="720" w:hanging="720"/>
        <w:jc w:val="left"/>
        <w:rPr>
          <w:rFonts w:hint="eastAsia" w:ascii="仿宋" w:hAnsi="仿宋" w:eastAsia="仿宋" w:cs="仿宋"/>
          <w:color w:val="auto"/>
          <w:highlight w:val="none"/>
          <w:lang w:eastAsia="zh-CN"/>
        </w:rPr>
      </w:pPr>
      <w:bookmarkStart w:id="278" w:name="_Toc20485"/>
      <w:r>
        <w:rPr>
          <w:rFonts w:hint="eastAsia" w:ascii="仿宋" w:hAnsi="仿宋" w:eastAsia="仿宋" w:cs="仿宋"/>
          <w:b/>
          <w:bCs/>
          <w:color w:val="auto"/>
          <w:sz w:val="24"/>
          <w:szCs w:val="28"/>
          <w:highlight w:val="none"/>
          <w:lang w:val="en-US" w:eastAsia="zh-Hans" w:bidi="hi-IN"/>
        </w:rPr>
        <w:t>1.1.</w:t>
      </w:r>
      <w:r>
        <w:rPr>
          <w:rFonts w:hint="eastAsia" w:ascii="仿宋" w:hAnsi="仿宋" w:eastAsia="仿宋" w:cs="仿宋"/>
          <w:b/>
          <w:bCs/>
          <w:color w:val="auto"/>
          <w:sz w:val="24"/>
          <w:szCs w:val="28"/>
          <w:highlight w:val="none"/>
          <w:lang w:val="en-US" w:eastAsia="zh-CN" w:bidi="hi-IN"/>
        </w:rPr>
        <w:t>4项目国产信创适配</w:t>
      </w:r>
      <w:bookmarkEnd w:id="278"/>
    </w:p>
    <w:p>
      <w:pPr>
        <w:pStyle w:val="5"/>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lang w:eastAsia="zh-CN"/>
        </w:rPr>
        <w:t>为</w:t>
      </w:r>
      <w:r>
        <w:rPr>
          <w:rFonts w:hint="eastAsia" w:ascii="仿宋" w:hAnsi="仿宋" w:eastAsia="仿宋" w:cs="仿宋"/>
          <w:color w:val="auto"/>
          <w:highlight w:val="none"/>
        </w:rPr>
        <w:t>满足未来发展需要，</w:t>
      </w:r>
      <w:r>
        <w:rPr>
          <w:rFonts w:hint="eastAsia" w:ascii="仿宋" w:hAnsi="仿宋" w:eastAsia="仿宋" w:cs="仿宋"/>
          <w:color w:val="auto"/>
          <w:highlight w:val="none"/>
          <w:lang w:eastAsia="zh-CN"/>
        </w:rPr>
        <w:t>系统</w:t>
      </w:r>
      <w:r>
        <w:rPr>
          <w:rFonts w:hint="eastAsia" w:ascii="仿宋" w:hAnsi="仿宋" w:eastAsia="仿宋" w:cs="仿宋"/>
          <w:color w:val="auto"/>
          <w:highlight w:val="none"/>
        </w:rPr>
        <w:t>在建设过程中应考虑兼容国产硬件服务器、国产操作系统、国产数据库管理系统、国产客户端操作系统、国产虚拟化/超融合平台等国产化基础软件的需求，供应商</w:t>
      </w:r>
      <w:r>
        <w:rPr>
          <w:rFonts w:hint="eastAsia" w:ascii="仿宋" w:hAnsi="仿宋" w:eastAsia="仿宋" w:cs="仿宋"/>
          <w:color w:val="auto"/>
          <w:highlight w:val="none"/>
          <w:lang w:val="en-US" w:eastAsia="zh-CN"/>
        </w:rPr>
        <w:t>必须</w:t>
      </w:r>
      <w:r>
        <w:rPr>
          <w:rFonts w:hint="eastAsia" w:ascii="仿宋" w:hAnsi="仿宋" w:eastAsia="仿宋" w:cs="仿宋"/>
          <w:color w:val="auto"/>
          <w:highlight w:val="none"/>
        </w:rPr>
        <w:t>具有此方面的能力和经验。</w:t>
      </w:r>
    </w:p>
    <w:p>
      <w:pPr>
        <w:pStyle w:val="4"/>
        <w:numPr>
          <w:ilvl w:val="0"/>
          <w:numId w:val="0"/>
        </w:numPr>
        <w:tabs>
          <w:tab w:val="left" w:pos="720"/>
        </w:tabs>
        <w:bidi w:val="0"/>
        <w:ind w:left="720" w:hanging="720"/>
        <w:jc w:val="left"/>
        <w:rPr>
          <w:rFonts w:hint="eastAsia" w:ascii="仿宋" w:hAnsi="仿宋" w:eastAsia="仿宋" w:cs="仿宋"/>
          <w:b/>
          <w:bCs/>
          <w:color w:val="auto"/>
          <w:sz w:val="24"/>
          <w:szCs w:val="28"/>
          <w:highlight w:val="none"/>
          <w:lang w:val="en-US" w:eastAsia="zh-CN" w:bidi="hi-IN"/>
        </w:rPr>
      </w:pPr>
      <w:bookmarkStart w:id="279" w:name="_Toc4628"/>
      <w:r>
        <w:rPr>
          <w:rFonts w:hint="eastAsia" w:ascii="仿宋" w:hAnsi="仿宋" w:eastAsia="仿宋" w:cs="仿宋"/>
          <w:b/>
          <w:bCs/>
          <w:color w:val="auto"/>
          <w:sz w:val="24"/>
          <w:szCs w:val="28"/>
          <w:highlight w:val="none"/>
          <w:lang w:val="en-US" w:eastAsia="zh-Hans" w:bidi="hi-IN"/>
        </w:rPr>
        <w:t>1.1.</w:t>
      </w:r>
      <w:r>
        <w:rPr>
          <w:rFonts w:hint="eastAsia" w:ascii="仿宋" w:hAnsi="仿宋" w:eastAsia="仿宋" w:cs="仿宋"/>
          <w:b/>
          <w:bCs/>
          <w:color w:val="auto"/>
          <w:sz w:val="24"/>
          <w:szCs w:val="28"/>
          <w:highlight w:val="none"/>
          <w:lang w:val="en-US" w:eastAsia="zh-CN" w:bidi="hi-IN"/>
        </w:rPr>
        <w:t>5项目安全要求</w:t>
      </w:r>
      <w:bookmarkEnd w:id="279"/>
    </w:p>
    <w:p>
      <w:pPr>
        <w:pStyle w:val="5"/>
        <w:spacing w:line="360" w:lineRule="auto"/>
        <w:ind w:left="0" w:right="0" w:firstLine="480"/>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lang w:eastAsia="zh-CN"/>
        </w:rPr>
        <w:t>服务厂商</w:t>
      </w:r>
      <w:r>
        <w:rPr>
          <w:rFonts w:hint="eastAsia" w:ascii="仿宋" w:hAnsi="仿宋" w:eastAsia="仿宋" w:cs="仿宋"/>
          <w:b/>
          <w:bCs/>
          <w:color w:val="auto"/>
          <w:szCs w:val="28"/>
          <w:highlight w:val="none"/>
        </w:rPr>
        <w:t>应具有健全的安全管理体系</w:t>
      </w:r>
      <w:r>
        <w:rPr>
          <w:rFonts w:hint="eastAsia" w:ascii="仿宋" w:hAnsi="仿宋" w:eastAsia="仿宋" w:cs="仿宋"/>
          <w:b/>
          <w:bCs/>
          <w:color w:val="auto"/>
          <w:szCs w:val="28"/>
          <w:highlight w:val="none"/>
          <w:lang w:eastAsia="zh-CN"/>
        </w:rPr>
        <w:t>、</w:t>
      </w:r>
      <w:r>
        <w:rPr>
          <w:rFonts w:hint="eastAsia" w:ascii="仿宋" w:hAnsi="仿宋" w:eastAsia="仿宋" w:cs="仿宋"/>
          <w:b/>
          <w:bCs/>
          <w:color w:val="auto"/>
          <w:szCs w:val="28"/>
          <w:highlight w:val="none"/>
        </w:rPr>
        <w:t>安全管理机构和规章制度，并具有国家认可的软件企业安全保障能力要求资质</w:t>
      </w:r>
      <w:r>
        <w:rPr>
          <w:rFonts w:hint="eastAsia" w:ascii="仿宋" w:hAnsi="仿宋" w:eastAsia="仿宋" w:cs="仿宋"/>
          <w:b/>
          <w:bCs/>
          <w:color w:val="auto"/>
          <w:szCs w:val="28"/>
          <w:highlight w:val="none"/>
          <w:lang w:eastAsia="zh-CN"/>
        </w:rPr>
        <w:t>。</w:t>
      </w:r>
      <w:r>
        <w:rPr>
          <w:rFonts w:hint="eastAsia" w:ascii="仿宋" w:hAnsi="仿宋" w:eastAsia="仿宋" w:cs="仿宋"/>
          <w:b/>
          <w:bCs/>
          <w:color w:val="auto"/>
          <w:sz w:val="24"/>
          <w:szCs w:val="28"/>
          <w:highlight w:val="none"/>
          <w:lang w:val="en-US" w:eastAsia="zh-CN" w:bidi="hi-IN"/>
        </w:rPr>
        <w:t>系统应遵循《</w:t>
      </w:r>
      <w:r>
        <w:rPr>
          <w:rFonts w:hint="eastAsia" w:ascii="仿宋" w:hAnsi="仿宋" w:eastAsia="仿宋" w:cs="仿宋"/>
          <w:b/>
          <w:bCs/>
          <w:color w:val="auto"/>
          <w:szCs w:val="28"/>
          <w:highlight w:val="none"/>
        </w:rPr>
        <w:t>医疗卫生机构网络安全管理办法</w:t>
      </w:r>
      <w:r>
        <w:rPr>
          <w:rFonts w:hint="eastAsia" w:ascii="仿宋" w:hAnsi="仿宋" w:eastAsia="仿宋" w:cs="仿宋"/>
          <w:b/>
          <w:bCs/>
          <w:color w:val="auto"/>
          <w:sz w:val="24"/>
          <w:szCs w:val="28"/>
          <w:highlight w:val="none"/>
          <w:lang w:val="en-US" w:eastAsia="zh-CN" w:bidi="hi-IN"/>
        </w:rPr>
        <w:t>》（2022年版）相关要求，</w:t>
      </w:r>
      <w:r>
        <w:rPr>
          <w:rFonts w:hint="eastAsia" w:ascii="仿宋" w:hAnsi="仿宋" w:eastAsia="仿宋" w:cs="仿宋"/>
          <w:b/>
          <w:bCs/>
          <w:color w:val="auto"/>
          <w:szCs w:val="28"/>
          <w:highlight w:val="none"/>
          <w:lang w:eastAsia="zh-CN"/>
        </w:rPr>
        <w:t>符合</w:t>
      </w:r>
      <w:r>
        <w:rPr>
          <w:rFonts w:hint="eastAsia" w:ascii="仿宋" w:hAnsi="仿宋" w:eastAsia="仿宋" w:cs="仿宋"/>
          <w:b/>
          <w:bCs/>
          <w:color w:val="auto"/>
          <w:szCs w:val="28"/>
          <w:highlight w:val="none"/>
        </w:rPr>
        <w:t>网络安全等级保护</w:t>
      </w:r>
      <w:r>
        <w:rPr>
          <w:rFonts w:hint="eastAsia" w:ascii="仿宋" w:hAnsi="仿宋" w:eastAsia="仿宋" w:cs="仿宋"/>
          <w:b/>
          <w:bCs/>
          <w:color w:val="auto"/>
          <w:szCs w:val="28"/>
          <w:highlight w:val="none"/>
          <w:lang w:val="en-US" w:eastAsia="zh-CN"/>
        </w:rPr>
        <w:t>2.0</w:t>
      </w:r>
      <w:r>
        <w:rPr>
          <w:rFonts w:hint="eastAsia" w:ascii="仿宋" w:hAnsi="仿宋" w:eastAsia="仿宋" w:cs="仿宋"/>
          <w:b/>
          <w:bCs/>
          <w:color w:val="auto"/>
          <w:szCs w:val="28"/>
          <w:highlight w:val="none"/>
        </w:rPr>
        <w:t>三级</w:t>
      </w:r>
      <w:r>
        <w:rPr>
          <w:rFonts w:hint="eastAsia" w:ascii="仿宋" w:hAnsi="仿宋" w:eastAsia="仿宋" w:cs="仿宋"/>
          <w:b/>
          <w:bCs/>
          <w:color w:val="auto"/>
          <w:szCs w:val="28"/>
          <w:highlight w:val="none"/>
          <w:lang w:eastAsia="zh-CN"/>
        </w:rPr>
        <w:t>和“</w:t>
      </w:r>
      <w:r>
        <w:rPr>
          <w:rFonts w:hint="eastAsia" w:ascii="仿宋" w:hAnsi="仿宋" w:eastAsia="仿宋" w:cs="仿宋"/>
          <w:b/>
          <w:bCs/>
          <w:color w:val="auto"/>
          <w:szCs w:val="28"/>
          <w:highlight w:val="none"/>
        </w:rPr>
        <w:t>密码应用安全性评估</w:t>
      </w:r>
      <w:r>
        <w:rPr>
          <w:rFonts w:hint="eastAsia" w:ascii="仿宋" w:hAnsi="仿宋" w:eastAsia="仿宋" w:cs="仿宋"/>
          <w:b/>
          <w:bCs/>
          <w:color w:val="auto"/>
          <w:szCs w:val="28"/>
          <w:highlight w:val="none"/>
          <w:lang w:eastAsia="zh-CN"/>
        </w:rPr>
        <w:t>”三级相关要求。</w:t>
      </w:r>
    </w:p>
    <w:p>
      <w:pPr>
        <w:pStyle w:val="4"/>
        <w:numPr>
          <w:ilvl w:val="0"/>
          <w:numId w:val="0"/>
        </w:numPr>
        <w:tabs>
          <w:tab w:val="left" w:pos="720"/>
        </w:tabs>
        <w:bidi w:val="0"/>
        <w:ind w:left="720" w:hanging="720"/>
        <w:jc w:val="left"/>
        <w:rPr>
          <w:rFonts w:hint="eastAsia" w:ascii="仿宋" w:hAnsi="仿宋" w:eastAsia="仿宋" w:cs="仿宋"/>
          <w:b/>
          <w:bCs/>
          <w:color w:val="auto"/>
          <w:sz w:val="24"/>
          <w:szCs w:val="28"/>
          <w:highlight w:val="none"/>
          <w:lang w:val="en-US" w:eastAsia="zh-CN" w:bidi="hi-IN"/>
        </w:rPr>
      </w:pPr>
      <w:bookmarkStart w:id="280" w:name="_Toc19822"/>
      <w:r>
        <w:rPr>
          <w:rFonts w:hint="eastAsia" w:ascii="仿宋" w:hAnsi="仿宋" w:eastAsia="仿宋" w:cs="仿宋"/>
          <w:b/>
          <w:bCs/>
          <w:color w:val="auto"/>
          <w:sz w:val="24"/>
          <w:szCs w:val="28"/>
          <w:highlight w:val="none"/>
          <w:lang w:val="en-US" w:eastAsia="zh-Hans" w:bidi="hi-IN"/>
        </w:rPr>
        <w:t>1.1.</w:t>
      </w:r>
      <w:r>
        <w:rPr>
          <w:rFonts w:hint="eastAsia" w:ascii="仿宋" w:hAnsi="仿宋" w:eastAsia="仿宋" w:cs="仿宋"/>
          <w:b/>
          <w:bCs/>
          <w:color w:val="auto"/>
          <w:sz w:val="24"/>
          <w:szCs w:val="28"/>
          <w:highlight w:val="none"/>
          <w:lang w:val="en-US" w:eastAsia="zh-CN" w:bidi="hi-IN"/>
        </w:rPr>
        <w:t>6项目其他要求</w:t>
      </w:r>
      <w:bookmarkEnd w:id="280"/>
    </w:p>
    <w:p>
      <w:pPr>
        <w:pStyle w:val="5"/>
        <w:spacing w:line="360" w:lineRule="auto"/>
        <w:ind w:left="0" w:right="0" w:firstLine="480"/>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en-US" w:eastAsia="zh-CN"/>
        </w:rPr>
        <w:t>服务厂商应具备由自研（非集成外包）HIS + 电子病历 + 集成平台等核心医疗业务系统承建的与本项目同档次医疗机构的成功案例（须提供客户盖章的证明材料）。</w:t>
      </w:r>
    </w:p>
    <w:p>
      <w:pPr>
        <w:pStyle w:val="5"/>
        <w:spacing w:line="360" w:lineRule="auto"/>
        <w:ind w:left="0" w:right="0" w:firstLine="480"/>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（2）为保障医院数据资产价值，集成平台数据中心应将医院历年所有信息系统产生医疗数据按相关标准汇入CDR和RDR中。</w:t>
      </w:r>
    </w:p>
    <w:p>
      <w:pPr>
        <w:pStyle w:val="5"/>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b/>
          <w:bCs/>
          <w:color w:val="auto"/>
          <w:szCs w:val="28"/>
          <w:highlight w:val="none"/>
          <w:lang w:val="en-US" w:eastAsia="zh-CN"/>
        </w:rPr>
        <w:t>（3）服务厂商须提供系统运维管理工具、数据库表结构说明、程序部署手册、系统操作手册等相关系统技术文档资料。</w:t>
      </w:r>
    </w:p>
    <w:p>
      <w:pPr>
        <w:pStyle w:val="5"/>
        <w:spacing w:line="360" w:lineRule="auto"/>
        <w:ind w:left="0" w:right="0" w:firstLine="480"/>
        <w:rPr>
          <w:rFonts w:hint="eastAsia" w:ascii="仿宋" w:hAnsi="仿宋" w:eastAsia="仿宋" w:cs="仿宋"/>
          <w:color w:val="auto"/>
          <w:sz w:val="24"/>
          <w:szCs w:val="24"/>
          <w:highlight w:val="none"/>
        </w:rPr>
      </w:pPr>
      <w:bookmarkStart w:id="281" w:name="_Toc5482"/>
      <w:bookmarkStart w:id="282" w:name="_Toc5308"/>
      <w:r>
        <w:rPr>
          <w:rFonts w:hint="eastAsia" w:ascii="仿宋" w:hAnsi="仿宋" w:eastAsia="仿宋" w:cs="仿宋"/>
          <w:b/>
          <w:bCs/>
          <w:color w:val="auto"/>
          <w:szCs w:val="28"/>
          <w:highlight w:val="none"/>
          <w:lang w:val="en-US" w:eastAsia="zh-CN"/>
        </w:rPr>
        <w:t>（4）驻场团队人员要求</w:t>
      </w:r>
    </w:p>
    <w:tbl>
      <w:tblPr>
        <w:tblStyle w:val="38"/>
        <w:tblW w:w="9310" w:type="dxa"/>
        <w:tblInd w:w="330" w:type="dxa"/>
        <w:tblLayout w:type="fixed"/>
        <w:tblCellMar>
          <w:top w:w="0" w:type="dxa"/>
          <w:left w:w="108" w:type="dxa"/>
          <w:bottom w:w="0" w:type="dxa"/>
          <w:right w:w="108" w:type="dxa"/>
        </w:tblCellMar>
      </w:tblPr>
      <w:tblGrid>
        <w:gridCol w:w="1335"/>
        <w:gridCol w:w="1770"/>
        <w:gridCol w:w="6205"/>
      </w:tblGrid>
      <w:tr>
        <w:tblPrEx>
          <w:tblCellMar>
            <w:top w:w="0" w:type="dxa"/>
            <w:left w:w="108" w:type="dxa"/>
            <w:bottom w:w="0" w:type="dxa"/>
            <w:right w:w="108" w:type="dxa"/>
          </w:tblCellMar>
        </w:tblPrEx>
        <w:trPr>
          <w:trHeight w:val="1002" w:hRule="atLeast"/>
        </w:trPr>
        <w:tc>
          <w:tcPr>
            <w:tcW w:w="1335" w:type="dxa"/>
            <w:tcBorders>
              <w:top w:val="single" w:color="000000" w:sz="4" w:space="0"/>
              <w:left w:val="single" w:color="000000" w:sz="4" w:space="0"/>
              <w:bottom w:val="single" w:color="auto" w:sz="4" w:space="0"/>
              <w:right w:val="single" w:color="000000" w:sz="4" w:space="0"/>
            </w:tcBorders>
            <w:vAlign w:val="top"/>
          </w:tcPr>
          <w:p>
            <w:pPr>
              <w:widowControl w:val="0"/>
              <w:bidi w:val="0"/>
              <w:spacing w:before="0" w:after="0" w:line="360" w:lineRule="auto"/>
              <w:jc w:val="center"/>
              <w:rPr>
                <w:rFonts w:hint="eastAsia" w:ascii="仿宋" w:hAnsi="仿宋" w:eastAsia="仿宋" w:cs="仿宋"/>
                <w:b/>
                <w:bCs/>
                <w:color w:val="auto"/>
                <w:position w:val="0"/>
                <w:sz w:val="24"/>
                <w:szCs w:val="24"/>
                <w:highlight w:val="none"/>
                <w:vertAlign w:val="baseline"/>
                <w:lang w:val="en-US" w:eastAsia="zh-CN"/>
              </w:rPr>
            </w:pPr>
            <w:r>
              <w:rPr>
                <w:rFonts w:hint="eastAsia" w:ascii="仿宋" w:hAnsi="仿宋" w:eastAsia="仿宋" w:cs="仿宋"/>
                <w:b/>
                <w:bCs/>
                <w:color w:val="auto"/>
                <w:position w:val="0"/>
                <w:sz w:val="24"/>
                <w:szCs w:val="24"/>
                <w:highlight w:val="none"/>
                <w:vertAlign w:val="baseline"/>
                <w:lang w:val="en-US" w:eastAsia="zh-CN"/>
              </w:rPr>
              <w:t>阶段</w:t>
            </w:r>
          </w:p>
        </w:tc>
        <w:tc>
          <w:tcPr>
            <w:tcW w:w="1770" w:type="dxa"/>
            <w:tcBorders>
              <w:top w:val="single" w:color="000000" w:sz="4" w:space="0"/>
              <w:left w:val="single" w:color="000000" w:sz="4" w:space="0"/>
              <w:bottom w:val="single" w:color="auto" w:sz="4" w:space="0"/>
              <w:right w:val="single" w:color="000000" w:sz="4" w:space="0"/>
            </w:tcBorders>
            <w:vAlign w:val="top"/>
          </w:tcPr>
          <w:p>
            <w:pPr>
              <w:widowControl w:val="0"/>
              <w:bidi w:val="0"/>
              <w:spacing w:before="0" w:after="0" w:line="360" w:lineRule="auto"/>
              <w:jc w:val="center"/>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b/>
                <w:bCs/>
                <w:color w:val="auto"/>
                <w:position w:val="0"/>
                <w:sz w:val="24"/>
                <w:szCs w:val="24"/>
                <w:highlight w:val="none"/>
                <w:vertAlign w:val="baseline"/>
                <w:lang w:val="en-US" w:eastAsia="zh-CN"/>
              </w:rPr>
              <w:t>角色</w:t>
            </w:r>
          </w:p>
        </w:tc>
        <w:tc>
          <w:tcPr>
            <w:tcW w:w="6205" w:type="dxa"/>
            <w:tcBorders>
              <w:top w:val="single" w:color="000000" w:sz="4" w:space="0"/>
              <w:left w:val="single" w:color="000000" w:sz="4" w:space="0"/>
              <w:bottom w:val="single" w:color="000000" w:sz="4" w:space="0"/>
              <w:right w:val="single" w:color="000000" w:sz="4" w:space="0"/>
            </w:tcBorders>
            <w:vAlign w:val="top"/>
          </w:tcPr>
          <w:p>
            <w:pPr>
              <w:widowControl w:val="0"/>
              <w:bidi w:val="0"/>
              <w:spacing w:before="0" w:after="0" w:line="360" w:lineRule="auto"/>
              <w:jc w:val="center"/>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b/>
                <w:bCs/>
                <w:color w:val="auto"/>
                <w:position w:val="0"/>
                <w:sz w:val="24"/>
                <w:szCs w:val="24"/>
                <w:highlight w:val="none"/>
                <w:vertAlign w:val="baseline"/>
                <w:lang w:val="en-US" w:eastAsia="zh-CN"/>
              </w:rPr>
              <w:t>能力</w:t>
            </w:r>
          </w:p>
        </w:tc>
      </w:tr>
      <w:tr>
        <w:tblPrEx>
          <w:tblCellMar>
            <w:top w:w="0" w:type="dxa"/>
            <w:left w:w="108" w:type="dxa"/>
            <w:bottom w:w="0" w:type="dxa"/>
            <w:right w:w="108" w:type="dxa"/>
          </w:tblCellMar>
        </w:tblPrEx>
        <w:trPr>
          <w:trHeight w:val="1002" w:hRule="atLeast"/>
        </w:trPr>
        <w:tc>
          <w:tcPr>
            <w:tcW w:w="1335" w:type="dxa"/>
            <w:vMerge w:val="restart"/>
            <w:tcBorders>
              <w:top w:val="single" w:color="auto" w:sz="4" w:space="0"/>
              <w:left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b/>
                <w:bCs/>
                <w:color w:val="auto"/>
                <w:position w:val="0"/>
                <w:sz w:val="24"/>
                <w:szCs w:val="24"/>
                <w:highlight w:val="none"/>
                <w:vertAlign w:val="baseline"/>
                <w:lang w:val="en-US" w:eastAsia="zh-CN"/>
              </w:rPr>
            </w:pPr>
            <w:r>
              <w:rPr>
                <w:rFonts w:hint="eastAsia" w:ascii="仿宋" w:hAnsi="仿宋" w:eastAsia="仿宋" w:cs="仿宋"/>
                <w:b/>
                <w:bCs/>
                <w:color w:val="auto"/>
                <w:position w:val="0"/>
                <w:sz w:val="24"/>
                <w:szCs w:val="24"/>
                <w:highlight w:val="none"/>
                <w:vertAlign w:val="baseline"/>
                <w:lang w:val="en-US" w:eastAsia="zh-CN"/>
              </w:rPr>
              <w:t>建设阶段</w:t>
            </w:r>
          </w:p>
        </w:tc>
        <w:tc>
          <w:tcPr>
            <w:tcW w:w="1770" w:type="dxa"/>
            <w:tcBorders>
              <w:top w:val="single" w:color="auto"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项目经理</w:t>
            </w:r>
          </w:p>
        </w:tc>
        <w:tc>
          <w:tcPr>
            <w:tcW w:w="6205" w:type="dxa"/>
            <w:tcBorders>
              <w:top w:val="single" w:color="000000" w:sz="4" w:space="0"/>
              <w:left w:val="single" w:color="000000" w:sz="4" w:space="0"/>
              <w:bottom w:val="single" w:color="000000" w:sz="4" w:space="0"/>
              <w:right w:val="single" w:color="000000" w:sz="4" w:space="0"/>
            </w:tcBorders>
            <w:vAlign w:val="top"/>
          </w:tcPr>
          <w:p>
            <w:pPr>
              <w:widowControl w:val="0"/>
              <w:bidi w:val="0"/>
              <w:spacing w:before="0" w:after="0" w:line="360" w:lineRule="auto"/>
              <w:jc w:val="left"/>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项目经理的确定需与院方沟通确定，一旦确定后未经院方同意不得随意更换；如因不可控因素需要更换，必须选派同等资格的人选。</w:t>
            </w:r>
          </w:p>
        </w:tc>
      </w:tr>
      <w:tr>
        <w:tblPrEx>
          <w:tblCellMar>
            <w:top w:w="0" w:type="dxa"/>
            <w:left w:w="108" w:type="dxa"/>
            <w:bottom w:w="0" w:type="dxa"/>
            <w:right w:w="108" w:type="dxa"/>
          </w:tblCellMar>
        </w:tblPrEx>
        <w:trPr>
          <w:trHeight w:val="345"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b/>
                <w:bCs/>
                <w:color w:val="auto"/>
                <w:position w:val="0"/>
                <w:sz w:val="24"/>
                <w:szCs w:val="24"/>
                <w:highlight w:val="none"/>
                <w:vertAlign w:val="baseline"/>
                <w:lang w:val="en-US" w:eastAsia="zh-CN"/>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团队成员</w:t>
            </w:r>
          </w:p>
        </w:tc>
        <w:tc>
          <w:tcPr>
            <w:tcW w:w="6205" w:type="dxa"/>
            <w:tcBorders>
              <w:top w:val="single" w:color="000000" w:sz="4" w:space="0"/>
              <w:left w:val="single" w:color="000000" w:sz="4" w:space="0"/>
              <w:bottom w:val="single" w:color="000000" w:sz="4" w:space="0"/>
              <w:right w:val="single" w:color="000000" w:sz="4" w:space="0"/>
            </w:tcBorders>
          </w:tcPr>
          <w:p>
            <w:pPr>
              <w:widowControl w:val="0"/>
              <w:bidi w:val="0"/>
              <w:spacing w:before="0" w:after="0" w:line="360" w:lineRule="auto"/>
              <w:jc w:val="left"/>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人数：常规情况20及以上，系统切换上线期间60人及以上；</w:t>
            </w:r>
          </w:p>
          <w:p>
            <w:pPr>
              <w:widowControl w:val="0"/>
              <w:bidi w:val="0"/>
              <w:spacing w:before="0" w:after="0" w:line="360" w:lineRule="auto"/>
              <w:jc w:val="left"/>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经验：本公司工作2年以上，团队成员配置合理、分工明确、专业齐全；均有本公司相关产品上线切换经验；其中研发工程师和技术架构人员不少于总人数的40%；</w:t>
            </w:r>
          </w:p>
        </w:tc>
      </w:tr>
      <w:tr>
        <w:tblPrEx>
          <w:tblCellMar>
            <w:top w:w="0" w:type="dxa"/>
            <w:left w:w="108" w:type="dxa"/>
            <w:bottom w:w="0" w:type="dxa"/>
            <w:right w:w="108" w:type="dxa"/>
          </w:tblCellMar>
        </w:tblPrEx>
        <w:trPr>
          <w:trHeight w:val="1002" w:hRule="atLeast"/>
        </w:trPr>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b/>
                <w:bCs/>
                <w:color w:val="auto"/>
                <w:position w:val="0"/>
                <w:sz w:val="24"/>
                <w:szCs w:val="24"/>
                <w:highlight w:val="none"/>
                <w:vertAlign w:val="baseline"/>
                <w:lang w:val="en-US" w:eastAsia="zh-CN"/>
              </w:rPr>
            </w:pPr>
            <w:r>
              <w:rPr>
                <w:rFonts w:hint="eastAsia" w:ascii="仿宋" w:hAnsi="仿宋" w:eastAsia="仿宋" w:cs="仿宋"/>
                <w:b/>
                <w:bCs/>
                <w:color w:val="auto"/>
                <w:position w:val="0"/>
                <w:sz w:val="24"/>
                <w:szCs w:val="24"/>
                <w:highlight w:val="none"/>
                <w:vertAlign w:val="baseline"/>
                <w:lang w:val="en-US" w:eastAsia="zh-CN"/>
              </w:rPr>
              <w:t>运维阶段</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项目经理</w:t>
            </w:r>
          </w:p>
        </w:tc>
        <w:tc>
          <w:tcPr>
            <w:tcW w:w="6205" w:type="dxa"/>
            <w:tcBorders>
              <w:top w:val="single" w:color="000000" w:sz="4" w:space="0"/>
              <w:left w:val="single" w:color="000000" w:sz="4" w:space="0"/>
              <w:bottom w:val="single" w:color="000000" w:sz="4" w:space="0"/>
              <w:right w:val="single" w:color="000000" w:sz="4" w:space="0"/>
            </w:tcBorders>
          </w:tcPr>
          <w:p>
            <w:pPr>
              <w:widowControl w:val="0"/>
              <w:bidi w:val="0"/>
              <w:spacing w:before="0" w:after="0" w:line="360" w:lineRule="auto"/>
              <w:jc w:val="left"/>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项目经理的确定需与院方沟通确定，一旦确定后未经院方同意不得随意更换；如因不可控因素需要更换，必须选派同等资格的人选。</w:t>
            </w:r>
          </w:p>
        </w:tc>
      </w:tr>
      <w:tr>
        <w:tblPrEx>
          <w:tblCellMar>
            <w:top w:w="0" w:type="dxa"/>
            <w:left w:w="108" w:type="dxa"/>
            <w:bottom w:w="0" w:type="dxa"/>
            <w:right w:w="108" w:type="dxa"/>
          </w:tblCellMar>
        </w:tblPrEx>
        <w:trPr>
          <w:trHeight w:val="1179" w:hRule="atLeast"/>
        </w:trPr>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position w:val="0"/>
                <w:sz w:val="24"/>
                <w:szCs w:val="24"/>
                <w:highlight w:val="none"/>
                <w:vertAlign w:val="baseline"/>
                <w:lang w:val="en-US" w:eastAsia="zh-CN"/>
              </w:rPr>
            </w:pP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团队成员</w:t>
            </w:r>
          </w:p>
        </w:tc>
        <w:tc>
          <w:tcPr>
            <w:tcW w:w="6205" w:type="dxa"/>
            <w:tcBorders>
              <w:top w:val="single" w:color="000000" w:sz="4" w:space="0"/>
              <w:left w:val="single" w:color="000000" w:sz="4" w:space="0"/>
              <w:bottom w:val="single" w:color="000000" w:sz="4" w:space="0"/>
              <w:right w:val="single" w:color="000000" w:sz="4" w:space="0"/>
            </w:tcBorders>
          </w:tcPr>
          <w:p>
            <w:pPr>
              <w:widowControl w:val="0"/>
              <w:bidi w:val="0"/>
              <w:spacing w:before="0" w:after="0" w:line="360" w:lineRule="auto"/>
              <w:jc w:val="left"/>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人数：5及以上</w:t>
            </w:r>
          </w:p>
          <w:p>
            <w:pPr>
              <w:widowControl w:val="0"/>
              <w:bidi w:val="0"/>
              <w:spacing w:before="0" w:after="0" w:line="360" w:lineRule="auto"/>
              <w:jc w:val="left"/>
              <w:rPr>
                <w:rFonts w:hint="eastAsia" w:ascii="仿宋" w:hAnsi="仿宋" w:eastAsia="仿宋" w:cs="仿宋"/>
                <w:color w:val="auto"/>
                <w:position w:val="0"/>
                <w:sz w:val="24"/>
                <w:szCs w:val="24"/>
                <w:highlight w:val="none"/>
                <w:vertAlign w:val="baseline"/>
                <w:lang w:val="en-US" w:eastAsia="zh-CN"/>
              </w:rPr>
            </w:pPr>
            <w:r>
              <w:rPr>
                <w:rFonts w:hint="eastAsia" w:ascii="仿宋" w:hAnsi="仿宋" w:eastAsia="仿宋" w:cs="仿宋"/>
                <w:color w:val="auto"/>
                <w:position w:val="0"/>
                <w:sz w:val="24"/>
                <w:szCs w:val="24"/>
                <w:highlight w:val="none"/>
                <w:vertAlign w:val="baseline"/>
                <w:lang w:val="en-US" w:eastAsia="zh-CN"/>
              </w:rPr>
              <w:t>经验：本公司工作1年以上，团队成员配置合理、分工明确、专业齐全；均有本公司相关产品运维服务经验；其中研发工程师不少于总人数30%；</w:t>
            </w:r>
          </w:p>
        </w:tc>
      </w:tr>
    </w:tbl>
    <w:p>
      <w:pPr>
        <w:pStyle w:val="5"/>
        <w:numPr>
          <w:ilvl w:val="0"/>
          <w:numId w:val="0"/>
        </w:numPr>
        <w:ind w:left="0" w:right="0" w:firstLine="0"/>
        <w:rPr>
          <w:rFonts w:hint="eastAsia" w:ascii="仿宋" w:hAnsi="仿宋" w:eastAsia="仿宋" w:cs="仿宋"/>
          <w:color w:val="auto"/>
          <w:sz w:val="24"/>
          <w:szCs w:val="24"/>
          <w:highlight w:val="none"/>
          <w:lang w:val="en-US" w:eastAsia="zh-CN"/>
        </w:rPr>
      </w:pPr>
    </w:p>
    <w:p>
      <w:pPr>
        <w:pStyle w:val="5"/>
        <w:spacing w:line="360" w:lineRule="auto"/>
        <w:ind w:left="0" w:right="0" w:firstLine="480"/>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（5）培训服务要求</w:t>
      </w:r>
    </w:p>
    <w:tbl>
      <w:tblPr>
        <w:tblStyle w:val="38"/>
        <w:tblW w:w="8874" w:type="dxa"/>
        <w:jc w:val="center"/>
        <w:tblLayout w:type="fixed"/>
        <w:tblCellMar>
          <w:top w:w="0" w:type="dxa"/>
          <w:left w:w="108" w:type="dxa"/>
          <w:bottom w:w="0" w:type="dxa"/>
          <w:right w:w="108" w:type="dxa"/>
        </w:tblCellMar>
      </w:tblPr>
      <w:tblGrid>
        <w:gridCol w:w="1257"/>
        <w:gridCol w:w="1929"/>
        <w:gridCol w:w="3850"/>
        <w:gridCol w:w="1838"/>
      </w:tblGrid>
      <w:tr>
        <w:tblPrEx>
          <w:tblCellMar>
            <w:top w:w="0" w:type="dxa"/>
            <w:left w:w="108" w:type="dxa"/>
            <w:bottom w:w="0" w:type="dxa"/>
            <w:right w:w="108" w:type="dxa"/>
          </w:tblCellMar>
        </w:tblPrEx>
        <w:trPr>
          <w:trHeight w:val="366"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val="0"/>
              <w:bidi w:val="0"/>
              <w:spacing w:before="0" w:after="0"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阶段</w:t>
            </w:r>
          </w:p>
        </w:tc>
        <w:tc>
          <w:tcPr>
            <w:tcW w:w="19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val="0"/>
              <w:bidi w:val="0"/>
              <w:spacing w:before="0" w:after="0"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c>
          <w:tcPr>
            <w:tcW w:w="38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val="0"/>
              <w:bidi w:val="0"/>
              <w:spacing w:before="0" w:after="0"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目的</w:t>
            </w:r>
          </w:p>
        </w:tc>
        <w:tc>
          <w:tcPr>
            <w:tcW w:w="18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val="0"/>
              <w:bidi w:val="0"/>
              <w:spacing w:before="0" w:after="0"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对象</w:t>
            </w:r>
          </w:p>
        </w:tc>
      </w:tr>
      <w:tr>
        <w:tblPrEx>
          <w:tblCellMar>
            <w:top w:w="0" w:type="dxa"/>
            <w:left w:w="108" w:type="dxa"/>
            <w:bottom w:w="0" w:type="dxa"/>
            <w:right w:w="108" w:type="dxa"/>
          </w:tblCellMar>
        </w:tblPrEx>
        <w:trPr>
          <w:trHeight w:val="2145" w:hRule="atLeast"/>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第一阶段</w:t>
            </w:r>
          </w:p>
        </w:tc>
        <w:tc>
          <w:tcPr>
            <w:tcW w:w="1929"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系统设计、操作、维护</w:t>
            </w:r>
          </w:p>
        </w:tc>
        <w:tc>
          <w:tcPr>
            <w:tcW w:w="3850"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这一阶段的培训的目的是为</w:t>
            </w:r>
            <w:r>
              <w:rPr>
                <w:rFonts w:hint="eastAsia" w:ascii="仿宋" w:hAnsi="仿宋" w:eastAsia="仿宋" w:cs="仿宋"/>
                <w:color w:val="auto"/>
                <w:sz w:val="24"/>
                <w:szCs w:val="24"/>
                <w:highlight w:val="none"/>
                <w:lang w:val="en-US" w:eastAsia="zh-CN"/>
              </w:rPr>
              <w:t>山东大学第二</w:t>
            </w:r>
            <w:r>
              <w:rPr>
                <w:rFonts w:hint="eastAsia" w:ascii="仿宋" w:hAnsi="仿宋" w:eastAsia="仿宋" w:cs="仿宋"/>
                <w:color w:val="auto"/>
                <w:sz w:val="24"/>
                <w:szCs w:val="24"/>
                <w:highlight w:val="none"/>
              </w:rPr>
              <w:t>医院培养一批建设医院管理信息系统的骨干力量。</w:t>
            </w:r>
            <w:r>
              <w:rPr>
                <w:rFonts w:hint="eastAsia" w:ascii="仿宋" w:hAnsi="仿宋" w:eastAsia="仿宋" w:cs="仿宋"/>
                <w:color w:val="auto"/>
                <w:sz w:val="24"/>
                <w:szCs w:val="24"/>
                <w:highlight w:val="none"/>
                <w:lang w:val="en-US" w:eastAsia="zh-CN"/>
              </w:rPr>
              <w:t>采用一对一或现场演示方式，</w:t>
            </w:r>
            <w:r>
              <w:rPr>
                <w:rFonts w:hint="eastAsia" w:ascii="仿宋" w:hAnsi="仿宋" w:eastAsia="仿宋" w:cs="仿宋"/>
                <w:color w:val="auto"/>
                <w:sz w:val="24"/>
                <w:szCs w:val="24"/>
                <w:highlight w:val="none"/>
              </w:rPr>
              <w:t>通过培训</w:t>
            </w:r>
            <w:r>
              <w:rPr>
                <w:rFonts w:hint="eastAsia" w:ascii="仿宋" w:hAnsi="仿宋" w:eastAsia="仿宋" w:cs="仿宋"/>
                <w:color w:val="auto"/>
                <w:sz w:val="24"/>
                <w:szCs w:val="24"/>
                <w:highlight w:val="none"/>
                <w:lang w:eastAsia="zh-CN"/>
              </w:rPr>
              <w:t>使</w:t>
            </w:r>
            <w:r>
              <w:rPr>
                <w:rFonts w:hint="eastAsia" w:ascii="仿宋" w:hAnsi="仿宋" w:eastAsia="仿宋" w:cs="仿宋"/>
                <w:color w:val="auto"/>
                <w:sz w:val="24"/>
                <w:szCs w:val="24"/>
                <w:highlight w:val="none"/>
              </w:rPr>
              <w:t>他们不只自己要会操作，而且还要具有培训操作人员的能力和解决常见问题的能力。</w:t>
            </w:r>
          </w:p>
        </w:tc>
        <w:tc>
          <w:tcPr>
            <w:tcW w:w="1838"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山东大学第二医院信息中心</w:t>
            </w:r>
            <w:r>
              <w:rPr>
                <w:rFonts w:hint="eastAsia" w:ascii="仿宋" w:hAnsi="仿宋" w:eastAsia="仿宋" w:cs="仿宋"/>
                <w:color w:val="auto"/>
                <w:sz w:val="24"/>
                <w:szCs w:val="24"/>
                <w:highlight w:val="none"/>
              </w:rPr>
              <w:t>及各相关科室的业务代表</w:t>
            </w:r>
          </w:p>
        </w:tc>
      </w:tr>
      <w:tr>
        <w:tblPrEx>
          <w:tblCellMar>
            <w:top w:w="0" w:type="dxa"/>
            <w:left w:w="108" w:type="dxa"/>
            <w:bottom w:w="0" w:type="dxa"/>
            <w:right w:w="108" w:type="dxa"/>
          </w:tblCellMar>
        </w:tblPrEx>
        <w:trPr>
          <w:trHeight w:val="1433" w:hRule="atLeast"/>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第二阶段</w:t>
            </w:r>
          </w:p>
        </w:tc>
        <w:tc>
          <w:tcPr>
            <w:tcW w:w="1929"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系统操作</w:t>
            </w:r>
          </w:p>
        </w:tc>
        <w:tc>
          <w:tcPr>
            <w:tcW w:w="3850"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这一阶段主要针对一线操作人员，</w:t>
            </w:r>
            <w:r>
              <w:rPr>
                <w:rFonts w:hint="eastAsia" w:ascii="仿宋" w:hAnsi="仿宋" w:eastAsia="仿宋" w:cs="仿宋"/>
                <w:color w:val="auto"/>
                <w:sz w:val="24"/>
                <w:szCs w:val="24"/>
                <w:highlight w:val="none"/>
                <w:lang w:val="en-US" w:eastAsia="zh-CN"/>
              </w:rPr>
              <w:t>采用线上线下相结合方式，</w:t>
            </w:r>
            <w:r>
              <w:rPr>
                <w:rFonts w:hint="eastAsia" w:ascii="仿宋" w:hAnsi="仿宋" w:eastAsia="仿宋" w:cs="仿宋"/>
                <w:color w:val="auto"/>
                <w:sz w:val="24"/>
                <w:szCs w:val="24"/>
                <w:highlight w:val="none"/>
              </w:rPr>
              <w:t>经过这阶段的培训使其能够充分理解新系统功能与现有业务的对照，且熟练掌握日常操作</w:t>
            </w:r>
          </w:p>
        </w:tc>
        <w:tc>
          <w:tcPr>
            <w:tcW w:w="1838"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山东大学第二医</w:t>
            </w:r>
            <w:r>
              <w:rPr>
                <w:rFonts w:hint="eastAsia" w:ascii="仿宋" w:hAnsi="仿宋" w:eastAsia="仿宋" w:cs="仿宋"/>
                <w:color w:val="auto"/>
                <w:sz w:val="24"/>
                <w:szCs w:val="24"/>
                <w:highlight w:val="none"/>
                <w:lang w:val="en-US" w:eastAsia="zh-CN"/>
              </w:rPr>
              <w:t>一体化</w:t>
            </w:r>
            <w:r>
              <w:rPr>
                <w:rFonts w:hint="eastAsia" w:ascii="仿宋" w:hAnsi="仿宋" w:eastAsia="仿宋" w:cs="仿宋"/>
                <w:color w:val="auto"/>
                <w:sz w:val="24"/>
                <w:szCs w:val="24"/>
                <w:highlight w:val="none"/>
              </w:rPr>
              <w:t>系统具体操作员</w:t>
            </w:r>
          </w:p>
        </w:tc>
      </w:tr>
      <w:tr>
        <w:tblPrEx>
          <w:tblCellMar>
            <w:top w:w="0" w:type="dxa"/>
            <w:left w:w="108" w:type="dxa"/>
            <w:bottom w:w="0" w:type="dxa"/>
            <w:right w:w="108" w:type="dxa"/>
          </w:tblCellMar>
        </w:tblPrEx>
        <w:trPr>
          <w:trHeight w:val="1444" w:hRule="atLeast"/>
          <w:jc w:val="center"/>
        </w:trPr>
        <w:tc>
          <w:tcPr>
            <w:tcW w:w="1257"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第三阶段</w:t>
            </w:r>
          </w:p>
        </w:tc>
        <w:tc>
          <w:tcPr>
            <w:tcW w:w="1929"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系统操作</w:t>
            </w:r>
          </w:p>
        </w:tc>
        <w:tc>
          <w:tcPr>
            <w:tcW w:w="3850"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这一阶段是强化培训，即上线前的全面、系统、高效的培训，</w:t>
            </w:r>
            <w:r>
              <w:rPr>
                <w:rFonts w:hint="eastAsia" w:ascii="仿宋" w:hAnsi="仿宋" w:eastAsia="仿宋" w:cs="仿宋"/>
                <w:color w:val="auto"/>
                <w:sz w:val="24"/>
                <w:szCs w:val="24"/>
                <w:highlight w:val="none"/>
                <w:lang w:val="en-US" w:eastAsia="zh-CN"/>
              </w:rPr>
              <w:t>采用集中培训方式，</w:t>
            </w:r>
            <w:r>
              <w:rPr>
                <w:rFonts w:hint="eastAsia" w:ascii="仿宋" w:hAnsi="仿宋" w:eastAsia="仿宋" w:cs="仿宋"/>
                <w:color w:val="auto"/>
                <w:sz w:val="24"/>
                <w:szCs w:val="24"/>
                <w:highlight w:val="none"/>
              </w:rPr>
              <w:t>安排大型的培训教室，尽可能多的让用户参加。</w:t>
            </w:r>
          </w:p>
        </w:tc>
        <w:tc>
          <w:tcPr>
            <w:tcW w:w="1838" w:type="dxa"/>
            <w:tcBorders>
              <w:top w:val="single" w:color="000000" w:sz="4" w:space="0"/>
              <w:left w:val="single" w:color="000000" w:sz="4" w:space="0"/>
              <w:bottom w:val="single" w:color="000000" w:sz="4" w:space="0"/>
              <w:right w:val="single" w:color="000000" w:sz="4" w:space="0"/>
            </w:tcBorders>
            <w:vAlign w:val="center"/>
          </w:tcPr>
          <w:p>
            <w:pPr>
              <w:widowControl w:val="0"/>
              <w:bidi w:val="0"/>
              <w:spacing w:before="0"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山东大学第二医</w:t>
            </w:r>
            <w:r>
              <w:rPr>
                <w:rFonts w:hint="eastAsia" w:ascii="仿宋" w:hAnsi="仿宋" w:eastAsia="仿宋" w:cs="仿宋"/>
                <w:color w:val="auto"/>
                <w:sz w:val="24"/>
                <w:szCs w:val="24"/>
                <w:highlight w:val="none"/>
                <w:lang w:val="en-US" w:eastAsia="zh-CN"/>
              </w:rPr>
              <w:t>全院相关</w:t>
            </w:r>
            <w:r>
              <w:rPr>
                <w:rFonts w:hint="eastAsia" w:ascii="仿宋" w:hAnsi="仿宋" w:eastAsia="仿宋" w:cs="仿宋"/>
                <w:color w:val="auto"/>
                <w:sz w:val="24"/>
                <w:szCs w:val="24"/>
                <w:highlight w:val="none"/>
              </w:rPr>
              <w:t>人员</w:t>
            </w:r>
          </w:p>
        </w:tc>
      </w:tr>
    </w:tbl>
    <w:p>
      <w:pPr>
        <w:pStyle w:val="3"/>
        <w:numPr>
          <w:ilvl w:val="0"/>
          <w:numId w:val="0"/>
        </w:numPr>
        <w:tabs>
          <w:tab w:val="left" w:pos="576"/>
        </w:tabs>
        <w:ind w:left="576" w:leftChars="0" w:hanging="576" w:firstLineChars="0"/>
        <w:rPr>
          <w:rFonts w:hint="eastAsia" w:ascii="仿宋" w:hAnsi="仿宋" w:eastAsia="仿宋" w:cs="仿宋"/>
          <w:color w:val="auto"/>
          <w:highlight w:val="none"/>
        </w:rPr>
      </w:pPr>
      <w:r>
        <w:rPr>
          <w:rFonts w:hint="eastAsia" w:ascii="仿宋" w:hAnsi="仿宋" w:eastAsia="仿宋" w:cs="仿宋"/>
          <w:b/>
          <w:bCs/>
          <w:color w:val="auto"/>
          <w:kern w:val="0"/>
          <w:sz w:val="30"/>
          <w:szCs w:val="30"/>
          <w:highlight w:val="none"/>
          <w:lang w:val="en-US" w:eastAsia="zh-CN" w:bidi="hi-IN"/>
        </w:rPr>
        <w:t>1.2</w:t>
      </w:r>
      <w:r>
        <w:rPr>
          <w:rFonts w:hint="eastAsia" w:ascii="仿宋" w:hAnsi="仿宋" w:eastAsia="仿宋" w:cs="仿宋"/>
          <w:color w:val="auto"/>
          <w:highlight w:val="none"/>
        </w:rPr>
        <w:t>项目合作期限</w:t>
      </w:r>
      <w:bookmarkEnd w:id="281"/>
      <w:bookmarkEnd w:id="282"/>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lang w:eastAsia="zh-Hans"/>
        </w:rPr>
      </w:pPr>
      <w:bookmarkStart w:id="283" w:name="_Toc29721"/>
      <w:bookmarkStart w:id="284" w:name="_Toc6384"/>
      <w:r>
        <w:rPr>
          <w:rFonts w:hint="eastAsia" w:ascii="仿宋" w:hAnsi="仿宋" w:eastAsia="仿宋" w:cs="仿宋"/>
          <w:b/>
          <w:bCs/>
          <w:color w:val="auto"/>
          <w:sz w:val="24"/>
          <w:szCs w:val="28"/>
          <w:highlight w:val="none"/>
          <w:lang w:val="en-US" w:eastAsia="zh-Hans" w:bidi="hi-IN"/>
        </w:rPr>
        <w:t>1.2.1</w:t>
      </w:r>
      <w:r>
        <w:rPr>
          <w:rFonts w:hint="eastAsia" w:ascii="仿宋" w:hAnsi="仿宋" w:eastAsia="仿宋" w:cs="仿宋"/>
          <w:color w:val="auto"/>
          <w:highlight w:val="none"/>
        </w:rPr>
        <w:t>项目进度</w:t>
      </w:r>
      <w:r>
        <w:rPr>
          <w:rFonts w:hint="eastAsia" w:ascii="仿宋" w:hAnsi="仿宋" w:eastAsia="仿宋" w:cs="仿宋"/>
          <w:color w:val="auto"/>
          <w:highlight w:val="none"/>
          <w:lang w:val="en-US" w:eastAsia="zh-CN"/>
        </w:rPr>
        <w:t>要求</w:t>
      </w:r>
      <w:bookmarkEnd w:id="283"/>
      <w:bookmarkEnd w:id="284"/>
    </w:p>
    <w:p>
      <w:pPr>
        <w:spacing w:line="360" w:lineRule="auto"/>
        <w:ind w:left="0" w:right="0" w:firstLine="48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工期：签订合同之日进场实施，</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Hans"/>
        </w:rPr>
        <w:t>个月内完成</w:t>
      </w:r>
      <w:r>
        <w:rPr>
          <w:rFonts w:hint="eastAsia" w:ascii="仿宋" w:hAnsi="仿宋" w:eastAsia="仿宋" w:cs="仿宋"/>
          <w:color w:val="auto"/>
          <w:sz w:val="24"/>
          <w:highlight w:val="none"/>
        </w:rPr>
        <w:t>中心院区和南部院区切换，稳定一个月后完成北院区上线（202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月底前）；后期持续深度完善10个月，总工期不超过18个月</w:t>
      </w:r>
      <w:r>
        <w:rPr>
          <w:rFonts w:hint="eastAsia" w:ascii="仿宋" w:hAnsi="仿宋" w:eastAsia="仿宋" w:cs="仿宋"/>
          <w:color w:val="auto"/>
          <w:sz w:val="24"/>
          <w:highlight w:val="none"/>
          <w:lang w:eastAsia="zh-Hans"/>
        </w:rPr>
        <w:t>。</w:t>
      </w:r>
    </w:p>
    <w:p>
      <w:pPr>
        <w:spacing w:line="360" w:lineRule="auto"/>
        <w:ind w:left="0" w:right="0" w:firstLine="480"/>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Hans"/>
        </w:rPr>
        <w:t>服务地点：山东大学第二医院。</w:t>
      </w:r>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lang w:eastAsia="zh-Hans"/>
        </w:rPr>
      </w:pPr>
      <w:bookmarkStart w:id="285" w:name="_Toc27500"/>
      <w:bookmarkStart w:id="286" w:name="_Toc24731"/>
      <w:r>
        <w:rPr>
          <w:rFonts w:hint="eastAsia" w:ascii="仿宋" w:hAnsi="仿宋" w:eastAsia="仿宋" w:cs="仿宋"/>
          <w:b/>
          <w:bCs/>
          <w:color w:val="auto"/>
          <w:sz w:val="24"/>
          <w:szCs w:val="28"/>
          <w:highlight w:val="none"/>
          <w:lang w:val="en-US" w:eastAsia="zh-Hans" w:bidi="hi-IN"/>
        </w:rPr>
        <w:t>1.2.2</w:t>
      </w:r>
      <w:r>
        <w:rPr>
          <w:rFonts w:hint="eastAsia" w:ascii="仿宋" w:hAnsi="仿宋" w:eastAsia="仿宋" w:cs="仿宋"/>
          <w:color w:val="auto"/>
          <w:highlight w:val="none"/>
          <w:lang w:eastAsia="zh-CN"/>
        </w:rPr>
        <w:t>项目验收</w:t>
      </w:r>
      <w:r>
        <w:rPr>
          <w:rFonts w:hint="eastAsia" w:ascii="仿宋" w:hAnsi="仿宋" w:eastAsia="仿宋" w:cs="仿宋"/>
          <w:color w:val="auto"/>
          <w:highlight w:val="none"/>
          <w:lang w:val="en-US" w:eastAsia="zh-CN"/>
        </w:rPr>
        <w:t>要求</w:t>
      </w:r>
      <w:bookmarkEnd w:id="285"/>
      <w:bookmarkEnd w:id="286"/>
    </w:p>
    <w:p>
      <w:pPr>
        <w:spacing w:line="360" w:lineRule="auto"/>
        <w:ind w:left="0" w:right="0" w:firstLine="48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在系统正式交付运行前，对系统进行比较全面、彻底的检验审查，杜绝不稳定、不可靠、运行结果不正确的事故，特别不能存在导致数据损坏、安全失控、系统崩溃等的严重错误。</w:t>
      </w:r>
    </w:p>
    <w:p>
      <w:pPr>
        <w:spacing w:line="360" w:lineRule="auto"/>
        <w:ind w:left="0" w:right="0" w:firstLine="48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试运行：系统正常试运行期不少于</w:t>
      </w: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Hans"/>
        </w:rPr>
        <w:t>个月。</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Hans"/>
        </w:rPr>
        <w:t>验收要求：</w:t>
      </w:r>
    </w:p>
    <w:p>
      <w:pPr>
        <w:numPr>
          <w:ilvl w:val="0"/>
          <w:numId w:val="0"/>
        </w:numPr>
        <w:tabs>
          <w:tab w:val="left" w:pos="840"/>
        </w:tabs>
        <w:spacing w:line="360" w:lineRule="auto"/>
        <w:ind w:right="0" w:rightChars="0"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满足医院业务需求、并持续运行稳定三个月以上</w:t>
      </w:r>
      <w:r>
        <w:rPr>
          <w:rFonts w:hint="eastAsia" w:ascii="仿宋" w:hAnsi="仿宋" w:eastAsia="仿宋" w:cs="仿宋"/>
          <w:color w:val="auto"/>
          <w:sz w:val="24"/>
          <w:highlight w:val="none"/>
          <w:lang w:eastAsia="zh-CN"/>
        </w:rPr>
        <w:t>；</w:t>
      </w:r>
    </w:p>
    <w:p>
      <w:pPr>
        <w:numPr>
          <w:ilvl w:val="0"/>
          <w:numId w:val="0"/>
        </w:numPr>
        <w:tabs>
          <w:tab w:val="left" w:pos="840"/>
        </w:tabs>
        <w:spacing w:line="360" w:lineRule="auto"/>
        <w:ind w:right="0" w:rightChars="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通过电子病历五级相关功能与数据质量测评要求；</w:t>
      </w:r>
    </w:p>
    <w:p>
      <w:pPr>
        <w:numPr>
          <w:ilvl w:val="0"/>
          <w:numId w:val="0"/>
        </w:numPr>
        <w:tabs>
          <w:tab w:val="left" w:pos="840"/>
        </w:tabs>
        <w:spacing w:line="360" w:lineRule="auto"/>
        <w:ind w:right="0" w:rightChars="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通过互联互通五乙相关测评交互标准要求。</w:t>
      </w:r>
    </w:p>
    <w:p>
      <w:pPr>
        <w:numPr>
          <w:ilvl w:val="2"/>
          <w:numId w:val="0"/>
        </w:numPr>
        <w:ind w:left="720" w:leftChars="0" w:hanging="720" w:firstLineChars="0"/>
        <w:rPr>
          <w:rFonts w:hint="eastAsia" w:ascii="仿宋" w:hAnsi="仿宋" w:eastAsia="仿宋" w:cs="仿宋"/>
          <w:color w:val="auto"/>
          <w:sz w:val="24"/>
          <w:highlight w:val="none"/>
          <w:lang w:eastAsia="zh-Hans"/>
        </w:rPr>
      </w:pPr>
      <w:r>
        <w:rPr>
          <w:rFonts w:hint="eastAsia" w:ascii="仿宋" w:hAnsi="仿宋" w:eastAsia="仿宋" w:cs="仿宋"/>
          <w:color w:val="auto"/>
          <w:sz w:val="24"/>
          <w:szCs w:val="20"/>
          <w:highlight w:val="none"/>
          <w:lang w:val="en-US" w:eastAsia="zh-Hans" w:bidi="hi-IN"/>
        </w:rPr>
        <w:t>1.2.3</w:t>
      </w:r>
      <w:r>
        <w:rPr>
          <w:rFonts w:hint="eastAsia" w:ascii="仿宋" w:hAnsi="仿宋" w:eastAsia="仿宋" w:cs="仿宋"/>
          <w:color w:val="auto"/>
          <w:highlight w:val="none"/>
        </w:rPr>
        <w:t>质量保证及售后服务要求</w:t>
      </w:r>
    </w:p>
    <w:p>
      <w:pPr>
        <w:spacing w:line="360" w:lineRule="auto"/>
        <w:ind w:left="0" w:right="0" w:firstLine="48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val="en-US" w:eastAsia="zh-CN"/>
        </w:rPr>
        <w:t>1、服务期：软件原厂</w:t>
      </w:r>
      <w:r>
        <w:rPr>
          <w:rFonts w:hint="eastAsia" w:ascii="仿宋" w:hAnsi="仿宋" w:eastAsia="仿宋" w:cs="仿宋"/>
          <w:color w:val="auto"/>
          <w:sz w:val="24"/>
          <w:szCs w:val="24"/>
          <w:highlight w:val="none"/>
        </w:rPr>
        <w:t>3年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质保期：硬件原厂5年质保（技术参数中有特殊要求的按技术参数中执行）</w:t>
      </w:r>
      <w:r>
        <w:rPr>
          <w:rFonts w:hint="eastAsia" w:ascii="仿宋" w:hAnsi="仿宋" w:eastAsia="仿宋" w:cs="仿宋"/>
          <w:color w:val="auto"/>
          <w:sz w:val="24"/>
          <w:szCs w:val="24"/>
          <w:highlight w:val="none"/>
        </w:rPr>
        <w:t>。</w:t>
      </w:r>
    </w:p>
    <w:p>
      <w:pPr>
        <w:spacing w:line="360" w:lineRule="auto"/>
        <w:ind w:left="0" w:right="0" w:firstLine="48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2、售后服务要求：服务厂商需要提供常年24小时热线服务和长期的免费技术支持。对用户的服务通知，应在接报后</w:t>
      </w:r>
      <w:r>
        <w:rPr>
          <w:rFonts w:hint="eastAsia" w:ascii="仿宋" w:hAnsi="仿宋" w:eastAsia="仿宋" w:cs="仿宋"/>
          <w:color w:val="auto"/>
          <w:sz w:val="24"/>
          <w:szCs w:val="24"/>
          <w:highlight w:val="none"/>
        </w:rPr>
        <w:t>15分钟</w:t>
      </w:r>
      <w:r>
        <w:rPr>
          <w:rFonts w:hint="eastAsia" w:ascii="仿宋" w:hAnsi="仿宋" w:eastAsia="仿宋" w:cs="仿宋"/>
          <w:color w:val="auto"/>
          <w:sz w:val="24"/>
          <w:szCs w:val="24"/>
          <w:highlight w:val="none"/>
          <w:lang w:eastAsia="zh-Hans"/>
        </w:rPr>
        <w:t>内作出故障响应，</w:t>
      </w:r>
      <w:r>
        <w:rPr>
          <w:rFonts w:hint="eastAsia" w:ascii="仿宋" w:hAnsi="仿宋" w:eastAsia="仿宋" w:cs="仿宋"/>
          <w:color w:val="auto"/>
          <w:sz w:val="24"/>
          <w:szCs w:val="24"/>
          <w:highlight w:val="none"/>
        </w:rPr>
        <w:t>半</w:t>
      </w:r>
      <w:r>
        <w:rPr>
          <w:rFonts w:hint="eastAsia" w:ascii="仿宋" w:hAnsi="仿宋" w:eastAsia="仿宋" w:cs="仿宋"/>
          <w:color w:val="auto"/>
          <w:sz w:val="24"/>
          <w:szCs w:val="24"/>
          <w:highlight w:val="none"/>
          <w:lang w:eastAsia="zh-Hans"/>
        </w:rPr>
        <w:t>小时内到达现场，</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Hans"/>
        </w:rPr>
        <w:t>小时内修复解决问题，恢复系统正常运行，除特殊情况外。</w:t>
      </w:r>
    </w:p>
    <w:p>
      <w:pPr>
        <w:spacing w:line="360" w:lineRule="auto"/>
        <w:ind w:left="0" w:right="0" w:firstLine="48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3、软件服务厂商在服务期（</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Hans"/>
        </w:rPr>
        <w:t>年，满</w:t>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eastAsia="zh-Hans"/>
        </w:rPr>
        <w:t>个自然月）内，软件服务厂商提供本地化驻场服务</w:t>
      </w:r>
      <w:r>
        <w:rPr>
          <w:rFonts w:hint="eastAsia" w:ascii="仿宋" w:hAnsi="仿宋" w:eastAsia="仿宋" w:cs="仿宋"/>
          <w:color w:val="auto"/>
          <w:sz w:val="24"/>
          <w:szCs w:val="24"/>
          <w:highlight w:val="none"/>
        </w:rPr>
        <w:t>，完善处理项目相关系统需求问题，支撑医院建设发展中涉及项目相关系统的改造和版本升级</w:t>
      </w:r>
      <w:r>
        <w:rPr>
          <w:rFonts w:hint="eastAsia" w:ascii="仿宋" w:hAnsi="仿宋" w:eastAsia="仿宋" w:cs="仿宋"/>
          <w:color w:val="auto"/>
          <w:sz w:val="24"/>
          <w:szCs w:val="24"/>
          <w:highlight w:val="none"/>
          <w:lang w:eastAsia="zh-Hans"/>
        </w:rPr>
        <w:t>。</w:t>
      </w:r>
    </w:p>
    <w:p>
      <w:pPr>
        <w:spacing w:line="360" w:lineRule="auto"/>
        <w:ind w:left="0" w:right="0"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Hans"/>
        </w:rPr>
        <w:t>4、软件服务厂商在</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Hans"/>
        </w:rPr>
        <w:t>年，满</w:t>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eastAsia="zh-Hans"/>
        </w:rPr>
        <w:t>个自然月）后，针对影响系统正常运行的故障响应时间不得超过1小时，日常维护响应时间不得超过4小时。对于电话咨询无法解决的问题，经</w:t>
      </w:r>
      <w:r>
        <w:rPr>
          <w:rFonts w:hint="eastAsia" w:ascii="仿宋" w:hAnsi="仿宋" w:eastAsia="仿宋" w:cs="仿宋"/>
          <w:color w:val="auto"/>
          <w:sz w:val="24"/>
          <w:szCs w:val="24"/>
          <w:highlight w:val="none"/>
        </w:rPr>
        <w:t>信息中心</w:t>
      </w:r>
      <w:r>
        <w:rPr>
          <w:rFonts w:hint="eastAsia" w:ascii="仿宋" w:hAnsi="仿宋" w:eastAsia="仿宋" w:cs="仿宋"/>
          <w:color w:val="auto"/>
          <w:sz w:val="24"/>
          <w:szCs w:val="24"/>
          <w:highlight w:val="none"/>
          <w:lang w:eastAsia="zh-Hans"/>
        </w:rPr>
        <w:t>授权通过远程登录到网络系统进行的故障诊断和排除。远程登录也未能排除故障的，必须安排人员提供上门服务。</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软件服务厂商</w:t>
      </w:r>
      <w:r>
        <w:rPr>
          <w:rFonts w:hint="eastAsia" w:ascii="仿宋" w:hAnsi="仿宋" w:eastAsia="仿宋" w:cs="仿宋"/>
          <w:color w:val="auto"/>
          <w:sz w:val="24"/>
          <w:szCs w:val="24"/>
          <w:highlight w:val="none"/>
          <w:lang w:val="en-US" w:eastAsia="zh-Hans"/>
        </w:rPr>
        <w:t>在</w:t>
      </w: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年，满</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lang w:val="en-US" w:eastAsia="zh-Hans"/>
        </w:rPr>
        <w:t>个自然月）后，</w:t>
      </w:r>
      <w:r>
        <w:rPr>
          <w:rFonts w:hint="eastAsia" w:ascii="仿宋" w:hAnsi="仿宋" w:eastAsia="仿宋" w:cs="仿宋"/>
          <w:color w:val="auto"/>
          <w:sz w:val="24"/>
          <w:szCs w:val="24"/>
          <w:highlight w:val="none"/>
          <w:lang w:val="en-US" w:eastAsia="zh-CN"/>
        </w:rPr>
        <w:t>根据项目实际情况需要，签订持续驻场运维服务，运维费用不得超过本项目软件总额的10%，此费用进行竞报，不报此费用视为无效投标。</w:t>
      </w:r>
    </w:p>
    <w:p>
      <w:pPr>
        <w:pStyle w:val="2"/>
        <w:numPr>
          <w:ilvl w:val="0"/>
          <w:numId w:val="0"/>
        </w:numPr>
        <w:tabs>
          <w:tab w:val="left" w:pos="432"/>
          <w:tab w:val="left" w:pos="709"/>
        </w:tabs>
        <w:ind w:left="432" w:leftChars="0" w:hanging="432" w:firstLineChars="0"/>
        <w:jc w:val="left"/>
        <w:rPr>
          <w:rFonts w:hint="eastAsia" w:ascii="仿宋" w:hAnsi="仿宋" w:eastAsia="仿宋" w:cs="仿宋"/>
          <w:color w:val="auto"/>
          <w:highlight w:val="none"/>
        </w:rPr>
      </w:pPr>
      <w:bookmarkStart w:id="287" w:name="_Toc20"/>
      <w:bookmarkStart w:id="288" w:name="_Toc20058"/>
      <w:r>
        <w:rPr>
          <w:rFonts w:hint="eastAsia" w:ascii="仿宋" w:hAnsi="仿宋" w:eastAsia="仿宋" w:cs="仿宋"/>
          <w:b/>
          <w:bCs/>
          <w:color w:val="auto"/>
          <w:kern w:val="2"/>
          <w:sz w:val="32"/>
          <w:szCs w:val="32"/>
          <w:highlight w:val="none"/>
          <w:lang w:val="en-US" w:eastAsia="zh-CN" w:bidi="hi-IN"/>
        </w:rPr>
        <w:t>2.</w:t>
      </w:r>
      <w:r>
        <w:rPr>
          <w:rFonts w:hint="eastAsia" w:ascii="仿宋" w:hAnsi="仿宋" w:eastAsia="仿宋" w:cs="仿宋"/>
          <w:color w:val="auto"/>
          <w:highlight w:val="none"/>
        </w:rPr>
        <w:t>系统</w:t>
      </w:r>
      <w:bookmarkEnd w:id="287"/>
      <w:r>
        <w:rPr>
          <w:rFonts w:ascii="仿宋" w:hAnsi="仿宋" w:eastAsia="仿宋" w:cs="仿宋"/>
          <w:color w:val="auto"/>
          <w:highlight w:val="none"/>
          <w:lang w:eastAsia="zh-CN"/>
        </w:rPr>
        <w:t>整体要求</w:t>
      </w:r>
      <w:bookmarkEnd w:id="288"/>
    </w:p>
    <w:p>
      <w:pPr>
        <w:pStyle w:val="3"/>
        <w:numPr>
          <w:ilvl w:val="0"/>
          <w:numId w:val="0"/>
        </w:numPr>
        <w:tabs>
          <w:tab w:val="left" w:pos="576"/>
        </w:tabs>
        <w:ind w:left="576" w:leftChars="0" w:hanging="576" w:firstLineChars="0"/>
        <w:rPr>
          <w:rFonts w:hint="eastAsia" w:ascii="仿宋" w:hAnsi="仿宋" w:eastAsia="仿宋" w:cs="仿宋"/>
          <w:color w:val="auto"/>
          <w:sz w:val="24"/>
          <w:highlight w:val="none"/>
        </w:rPr>
      </w:pPr>
      <w:bookmarkStart w:id="289" w:name="_Toc13977"/>
      <w:bookmarkStart w:id="290" w:name="_Toc28508"/>
      <w:r>
        <w:rPr>
          <w:rFonts w:hint="eastAsia" w:ascii="仿宋" w:hAnsi="仿宋" w:eastAsia="仿宋" w:cs="仿宋"/>
          <w:b/>
          <w:bCs/>
          <w:color w:val="auto"/>
          <w:kern w:val="0"/>
          <w:sz w:val="24"/>
          <w:szCs w:val="30"/>
          <w:highlight w:val="none"/>
          <w:lang w:val="en-US" w:eastAsia="zh-CN" w:bidi="hi-IN"/>
        </w:rPr>
        <w:t>2.1</w:t>
      </w:r>
      <w:r>
        <w:rPr>
          <w:rFonts w:hint="eastAsia" w:ascii="仿宋" w:hAnsi="仿宋" w:eastAsia="仿宋" w:cs="仿宋"/>
          <w:color w:val="auto"/>
          <w:highlight w:val="none"/>
        </w:rPr>
        <w:t>系统需求</w:t>
      </w:r>
      <w:bookmarkEnd w:id="289"/>
      <w:bookmarkEnd w:id="290"/>
    </w:p>
    <w:p>
      <w:pPr>
        <w:spacing w:line="360" w:lineRule="auto"/>
        <w:ind w:left="0" w:right="0" w:firstLine="48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包含业务规则、功能性需求和非功能性需求等内容</w:t>
      </w:r>
      <w:r>
        <w:rPr>
          <w:rFonts w:hint="eastAsia" w:ascii="仿宋" w:hAnsi="仿宋" w:eastAsia="仿宋" w:cs="仿宋"/>
          <w:color w:val="auto"/>
          <w:sz w:val="24"/>
          <w:highlight w:val="none"/>
          <w:lang w:eastAsia="zh-CN"/>
        </w:rPr>
        <w:t>。</w:t>
      </w:r>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rPr>
      </w:pPr>
      <w:bookmarkStart w:id="291" w:name="_Toc25637"/>
      <w:bookmarkStart w:id="292" w:name="_Toc18542"/>
      <w:r>
        <w:rPr>
          <w:rFonts w:hint="eastAsia" w:ascii="仿宋" w:hAnsi="仿宋" w:eastAsia="仿宋" w:cs="仿宋"/>
          <w:b/>
          <w:bCs/>
          <w:color w:val="auto"/>
          <w:sz w:val="24"/>
          <w:szCs w:val="28"/>
          <w:highlight w:val="none"/>
          <w:lang w:val="en-US" w:eastAsia="zh-CN" w:bidi="hi-IN"/>
        </w:rPr>
        <w:t>2.1.1</w:t>
      </w:r>
      <w:r>
        <w:rPr>
          <w:rFonts w:hint="eastAsia" w:ascii="仿宋" w:hAnsi="仿宋" w:eastAsia="仿宋" w:cs="仿宋"/>
          <w:color w:val="auto"/>
          <w:highlight w:val="none"/>
        </w:rPr>
        <w:t>医院高质量发展的要求</w:t>
      </w:r>
      <w:bookmarkEnd w:id="291"/>
      <w:bookmarkEnd w:id="292"/>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数字技术极大程度上促进了社会的发展和进步，《国民经济和社会发展第十四个五年规划和2035年远景目标纲要（草案）》的多项部署中可以看到，在“数字中国”“健康中国”“高质量发展”等国家战略的指引下，数字化将为医疗领域的发展变革提供加速动力，并释放出惠民利民的巨大能量。</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2021年6月，国务院办公厅发布《关于推动公立医院高质量发展的意见》，2021年10月，国家卫健委发布《关于印发公立医院高质量发展促进行动（2021-2025年）的通知》，2021年11月，山东省卫健委发布《关于推动公立医院高质量发展的若干措施》。相关国家与山东省的政策文件明确部署了公立医院高质量发展的总体要求和重点任务，对医疗机构的发展与建设提出了更高的要求。</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山大二院将本着学科优势凸显、医学科技创新活跃、医教体系完善，成为产出医学创新成果的基地和培养医学菁英的摇篮，支撑国家医学中心与济南市先行区建设贡献力量。在健康中国建设全面推进，医院胸怀“国家队”医院的责任担当，肩负大学直属医院的历史使命，坚持“综合型、特色型、引领型、人文型、国际化”发展定位，以“三步走”发展战略为指引，扎实推进“1237”行动计划，不断向“特色鲜明、国内一流、国际知名”医学中心坚实迈进。</w:t>
      </w:r>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rPr>
      </w:pPr>
      <w:bookmarkStart w:id="293" w:name="_Toc7890"/>
      <w:bookmarkStart w:id="294" w:name="_Toc22072"/>
      <w:r>
        <w:rPr>
          <w:rFonts w:hint="eastAsia" w:ascii="仿宋" w:hAnsi="仿宋" w:eastAsia="仿宋" w:cs="仿宋"/>
          <w:b/>
          <w:bCs/>
          <w:color w:val="auto"/>
          <w:sz w:val="24"/>
          <w:szCs w:val="28"/>
          <w:highlight w:val="none"/>
          <w:lang w:val="en-US" w:eastAsia="zh-CN" w:bidi="hi-IN"/>
        </w:rPr>
        <w:t>2.1.2</w:t>
      </w:r>
      <w:r>
        <w:rPr>
          <w:rFonts w:hint="eastAsia" w:ascii="仿宋" w:hAnsi="仿宋" w:eastAsia="仿宋" w:cs="仿宋"/>
          <w:color w:val="auto"/>
          <w:highlight w:val="none"/>
        </w:rPr>
        <w:t>多院区一体化管理转变</w:t>
      </w:r>
      <w:bookmarkEnd w:id="293"/>
      <w:bookmarkEnd w:id="294"/>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2024年随着先行区北院区项目的完工，医院面临着医疗资源与患者扩增所带来的各项要求与改变，主要包括以下几个方面：</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临床业务扩增</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以往业务更多以中心院区为主，转变为多院区后，在诊疗及多个重点综合学科建设方面需要更多专业的信息化支撑及个性化定制。同时基于国家对于综合医院的电子病历评审与互联互通评测等临床考察内容的要求，临床应用建设亟待对标评审要求以进一步提升。</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患者全程服务</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随着北院区临床业务的扩增，需要医院的业务流程与管理模式与信息化建设相辅相成，搭建便民服务信息平台，提供就诊信息服务、提示与指引帮助，实施各类诊疗预约，实现 “一站式”“诊区制”服务和“最多跑一次”等服务需求，优化就诊流程，缩短等待时间，改善床边护理水平，为患者提供便捷舒适的就医体验。</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多院区一体化</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为满足多院区管理要求，需要在满足各院区个性化业务需求基础上，以电子病历为核心、多院区同质化管理为原则，支持不同院区间多种业务应用与连通模式，实现各院区间临床医疗、运营管理的业务连通与资源共享。面向患者可以提供同质化的医疗服务、一致化的服务体验，面向医护提供一致化的系统使用体验以及院区间医疗活动协同，面向管理部门提供一体化的管理服务能力。</w:t>
      </w:r>
    </w:p>
    <w:p>
      <w:pPr>
        <w:pStyle w:val="3"/>
        <w:numPr>
          <w:ilvl w:val="0"/>
          <w:numId w:val="0"/>
        </w:numPr>
        <w:tabs>
          <w:tab w:val="left" w:pos="576"/>
        </w:tabs>
        <w:ind w:left="576" w:leftChars="0" w:hanging="576" w:firstLineChars="0"/>
        <w:rPr>
          <w:rFonts w:hint="eastAsia" w:ascii="仿宋" w:hAnsi="仿宋" w:eastAsia="仿宋" w:cs="仿宋"/>
          <w:color w:val="auto"/>
          <w:highlight w:val="none"/>
          <w:lang w:val="en-US" w:eastAsia="zh-CN"/>
        </w:rPr>
      </w:pPr>
      <w:bookmarkStart w:id="295" w:name="_Toc610"/>
      <w:bookmarkStart w:id="296" w:name="_Toc30892"/>
      <w:r>
        <w:rPr>
          <w:rFonts w:hint="eastAsia" w:ascii="仿宋" w:hAnsi="仿宋" w:eastAsia="仿宋" w:cs="仿宋"/>
          <w:b/>
          <w:bCs/>
          <w:color w:val="auto"/>
          <w:kern w:val="0"/>
          <w:sz w:val="30"/>
          <w:szCs w:val="30"/>
          <w:highlight w:val="none"/>
          <w:lang w:val="en-US" w:eastAsia="zh-CN" w:bidi="hi-IN"/>
        </w:rPr>
        <w:t>2.2</w:t>
      </w:r>
      <w:r>
        <w:rPr>
          <w:rFonts w:hint="eastAsia" w:ascii="仿宋" w:hAnsi="仿宋" w:eastAsia="仿宋" w:cs="仿宋"/>
          <w:color w:val="auto"/>
          <w:highlight w:val="none"/>
        </w:rPr>
        <w:t>系统架构</w:t>
      </w:r>
      <w:bookmarkEnd w:id="295"/>
      <w:bookmarkEnd w:id="296"/>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rPr>
      </w:pPr>
      <w:bookmarkStart w:id="297" w:name="_Toc16600"/>
      <w:bookmarkStart w:id="298" w:name="_Toc11464"/>
      <w:r>
        <w:rPr>
          <w:rFonts w:hint="eastAsia" w:ascii="仿宋" w:hAnsi="仿宋" w:eastAsia="仿宋" w:cs="仿宋"/>
          <w:b/>
          <w:bCs/>
          <w:color w:val="auto"/>
          <w:sz w:val="24"/>
          <w:szCs w:val="28"/>
          <w:highlight w:val="none"/>
          <w:lang w:val="en-US" w:eastAsia="zh-CN" w:bidi="hi-IN"/>
        </w:rPr>
        <w:t>2.2.1</w:t>
      </w:r>
      <w:r>
        <w:rPr>
          <w:rFonts w:hint="eastAsia" w:ascii="仿宋" w:hAnsi="仿宋" w:eastAsia="仿宋" w:cs="仿宋"/>
          <w:color w:val="auto"/>
          <w:highlight w:val="none"/>
          <w:lang w:val="en-US" w:eastAsia="zh-CN"/>
        </w:rPr>
        <w:t>整体战略规划</w:t>
      </w:r>
      <w:bookmarkEnd w:id="297"/>
      <w:bookmarkEnd w:id="298"/>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以公立医院高质量发展为指引，以山大二院医院战略发展目标和国家医学中心建设为契机，为不断向“特色鲜明、国内一流、国际知名”医学中心坚实迈进奠定基础，按照确定战略目标、做好顶层设计，融合人才队伍、争取资金保障，加强信息安全，应用新兴技术，着力推进医疗信息四个现代化：</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全面数字化：提高全员数字化意识，普及管理、业务、服务等全方位数字化，推动数字医院建设进程；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全面标准化：推进数据字典标准化、数据交互标准化、项目管理规范化，为医疗科研大数据打下坚实的基础；</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全面云化：推进ICT基础设施上云、移动办公、云桌面，打造便捷高效数字工作平台；</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全面国产化：推进服务器、操作系统、数据库、应用软件国产化程度，构建自助可控的数字化底座；</w:t>
      </w:r>
    </w:p>
    <w:p>
      <w:pPr>
        <w:ind w:left="0" w:right="0" w:firstLine="48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drawing>
          <wp:inline distT="0" distB="0" distL="114300" distR="114300">
            <wp:extent cx="5745480" cy="3531870"/>
            <wp:effectExtent l="0" t="0" r="762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l="-12" t="-21" r="-12" b="-21"/>
                    <a:stretch>
                      <a:fillRect/>
                    </a:stretch>
                  </pic:blipFill>
                  <pic:spPr>
                    <a:xfrm>
                      <a:off x="0" y="0"/>
                      <a:ext cx="5745480" cy="3531870"/>
                    </a:xfrm>
                    <a:prstGeom prst="rect">
                      <a:avLst/>
                    </a:prstGeom>
                    <a:solidFill>
                      <a:srgbClr val="FFFFFF"/>
                    </a:solidFill>
                    <a:ln>
                      <a:noFill/>
                    </a:ln>
                  </pic:spPr>
                </pic:pic>
              </a:graphicData>
            </a:graphic>
          </wp:inline>
        </w:drawing>
      </w:r>
    </w:p>
    <w:p>
      <w:pPr>
        <w:ind w:left="0" w:right="0" w:firstLine="480"/>
        <w:rPr>
          <w:rFonts w:hint="eastAsia" w:ascii="仿宋" w:hAnsi="仿宋" w:eastAsia="仿宋" w:cs="仿宋"/>
          <w:color w:val="auto"/>
          <w:sz w:val="24"/>
          <w:highlight w:val="none"/>
          <w:lang w:eastAsia="zh-CN"/>
        </w:rPr>
      </w:pPr>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rPr>
      </w:pPr>
      <w:bookmarkStart w:id="299" w:name="_Toc317"/>
      <w:bookmarkStart w:id="300" w:name="_Toc7730"/>
      <w:r>
        <w:rPr>
          <w:rFonts w:hint="eastAsia" w:ascii="仿宋" w:hAnsi="仿宋" w:eastAsia="仿宋" w:cs="仿宋"/>
          <w:b/>
          <w:bCs/>
          <w:color w:val="auto"/>
          <w:sz w:val="24"/>
          <w:szCs w:val="28"/>
          <w:highlight w:val="none"/>
          <w:lang w:val="en-US" w:eastAsia="zh-CN" w:bidi="hi-IN"/>
        </w:rPr>
        <w:t>2.2.2</w:t>
      </w:r>
      <w:r>
        <w:rPr>
          <w:rFonts w:hint="eastAsia" w:ascii="仿宋" w:hAnsi="仿宋" w:eastAsia="仿宋" w:cs="仿宋"/>
          <w:color w:val="auto"/>
          <w:highlight w:val="none"/>
        </w:rPr>
        <w:t>设计前瞻性</w:t>
      </w:r>
      <w:bookmarkEnd w:id="299"/>
      <w:bookmarkEnd w:id="300"/>
    </w:p>
    <w:p>
      <w:pPr>
        <w:spacing w:line="360" w:lineRule="auto"/>
        <w:ind w:left="0" w:right="0" w:firstLine="48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构建一体化医院基础信息系统，以HIS、CIS和集成平台为基本底座，进行院内流程整合、信息整合，实现系统数据结构稳定、功能服务稳定、对外接口稳定，为业务模式扩展和全局系统稳定提供基础，并作为整个医院信息系统的核心和根基，打造未来10年医院数字化发展的坚实底座。</w:t>
      </w:r>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rPr>
      </w:pPr>
      <w:bookmarkStart w:id="301" w:name="_Toc10222"/>
      <w:bookmarkStart w:id="302" w:name="_Toc32613"/>
      <w:r>
        <w:rPr>
          <w:rFonts w:hint="eastAsia" w:ascii="仿宋" w:hAnsi="仿宋" w:eastAsia="仿宋" w:cs="仿宋"/>
          <w:b/>
          <w:bCs/>
          <w:color w:val="auto"/>
          <w:sz w:val="24"/>
          <w:szCs w:val="28"/>
          <w:highlight w:val="none"/>
          <w:lang w:val="en-US" w:eastAsia="zh-CN" w:bidi="hi-IN"/>
        </w:rPr>
        <w:t>2.2.3</w:t>
      </w:r>
      <w:r>
        <w:rPr>
          <w:rFonts w:hint="eastAsia" w:ascii="仿宋" w:hAnsi="仿宋" w:eastAsia="仿宋" w:cs="仿宋"/>
          <w:color w:val="auto"/>
          <w:highlight w:val="none"/>
          <w:lang w:val="en-US" w:eastAsia="zh-CN"/>
        </w:rPr>
        <w:t>架构先进性</w:t>
      </w:r>
      <w:bookmarkEnd w:id="301"/>
      <w:bookmarkEnd w:id="302"/>
    </w:p>
    <w:p>
      <w:pPr>
        <w:pStyle w:val="147"/>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医院标准化新建的信息系统技术架构的技术栈大部分采用主流、稳定的互联网架构，打造灵活敏捷的分布式服务架构。将原来医疗以及健康行业普遍的C/S单体架构，即客户端+数据库模式创造性的跃迁到架构，构建三层架构用于处理重用业务处理逻辑和界面表示逻辑，提高系统的伸缩性。</w:t>
      </w:r>
    </w:p>
    <w:p>
      <w:pPr>
        <w:pStyle w:val="4"/>
        <w:numPr>
          <w:ilvl w:val="0"/>
          <w:numId w:val="0"/>
        </w:numPr>
        <w:tabs>
          <w:tab w:val="left" w:pos="720"/>
        </w:tabs>
        <w:ind w:left="720" w:leftChars="0" w:hanging="720" w:firstLineChars="0"/>
        <w:rPr>
          <w:rFonts w:hint="eastAsia" w:ascii="仿宋" w:hAnsi="仿宋" w:eastAsia="仿宋" w:cs="仿宋"/>
          <w:color w:val="auto"/>
          <w:sz w:val="24"/>
          <w:highlight w:val="none"/>
        </w:rPr>
      </w:pPr>
      <w:bookmarkStart w:id="303" w:name="_Toc26039"/>
      <w:bookmarkStart w:id="304" w:name="_Toc9310"/>
      <w:r>
        <w:rPr>
          <w:rFonts w:hint="eastAsia" w:ascii="仿宋" w:hAnsi="仿宋" w:eastAsia="仿宋" w:cs="仿宋"/>
          <w:b/>
          <w:bCs/>
          <w:color w:val="auto"/>
          <w:sz w:val="24"/>
          <w:szCs w:val="28"/>
          <w:highlight w:val="none"/>
          <w:lang w:val="en-US" w:eastAsia="zh-CN" w:bidi="hi-IN"/>
        </w:rPr>
        <w:t>2.2.4</w:t>
      </w:r>
      <w:r>
        <w:rPr>
          <w:rFonts w:hint="eastAsia" w:ascii="仿宋" w:hAnsi="仿宋" w:eastAsia="仿宋" w:cs="仿宋"/>
          <w:color w:val="auto"/>
          <w:highlight w:val="none"/>
        </w:rPr>
        <w:t>硬件架构及网络拓扑图</w:t>
      </w:r>
      <w:bookmarkEnd w:id="303"/>
      <w:bookmarkEnd w:id="304"/>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系统详细网络拓扑图，并将资产投入中网络设备、安全设备、服务器等购置的计算机设备的位置明确标注。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highlight w:val="none"/>
        </w:rPr>
        <w:drawing>
          <wp:inline distT="0" distB="0" distL="114300" distR="114300">
            <wp:extent cx="6113145" cy="4023995"/>
            <wp:effectExtent l="0" t="0" r="190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l="-12" t="-20" r="-12" b="-20"/>
                    <a:stretch>
                      <a:fillRect/>
                    </a:stretch>
                  </pic:blipFill>
                  <pic:spPr>
                    <a:xfrm>
                      <a:off x="0" y="0"/>
                      <a:ext cx="6113145" cy="4023995"/>
                    </a:xfrm>
                    <a:prstGeom prst="rect">
                      <a:avLst/>
                    </a:prstGeom>
                    <a:solidFill>
                      <a:srgbClr val="FFFFFF"/>
                    </a:solidFill>
                    <a:ln>
                      <a:noFill/>
                    </a:ln>
                  </pic:spPr>
                </pic:pic>
              </a:graphicData>
            </a:graphic>
          </wp:inline>
        </w:drawing>
      </w:r>
    </w:p>
    <w:p>
      <w:pPr>
        <w:spacing w:line="360" w:lineRule="auto"/>
        <w:ind w:left="0" w:right="0" w:firstLine="48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考虑到医院日门诊量和住院人数较大，并且每年都有一定的增长，对医院核心业务系统如HIS/CIS/平台等就有着更高的要求，对系统的反应速度和不间断服务方面要能达到很高的要求，做到秒级反应和7*24小时不间断服务，确保医院业务网络安全、稳定运行，也确保医院核心业务系统三级等保的测评通过</w:t>
      </w:r>
      <w:r>
        <w:rPr>
          <w:rFonts w:hint="eastAsia" w:ascii="仿宋" w:hAnsi="仿宋" w:eastAsia="仿宋" w:cs="仿宋"/>
          <w:color w:val="auto"/>
          <w:sz w:val="24"/>
          <w:highlight w:val="none"/>
          <w:lang w:eastAsia="zh-CN"/>
        </w:rPr>
        <w:t>。</w:t>
      </w:r>
    </w:p>
    <w:p>
      <w:pPr>
        <w:pStyle w:val="2"/>
        <w:numPr>
          <w:ilvl w:val="0"/>
          <w:numId w:val="0"/>
        </w:numPr>
        <w:tabs>
          <w:tab w:val="left" w:pos="432"/>
          <w:tab w:val="left" w:pos="709"/>
        </w:tabs>
        <w:ind w:left="432" w:leftChars="0" w:hanging="432" w:firstLineChars="0"/>
        <w:jc w:val="left"/>
        <w:rPr>
          <w:rFonts w:hint="eastAsia" w:ascii="仿宋" w:hAnsi="仿宋" w:eastAsia="仿宋" w:cs="仿宋"/>
          <w:color w:val="auto"/>
          <w:highlight w:val="none"/>
          <w:lang w:eastAsia="zh-CN"/>
        </w:rPr>
      </w:pPr>
      <w:bookmarkStart w:id="305" w:name="_Toc1911"/>
      <w:bookmarkStart w:id="306" w:name="_Toc29681"/>
      <w:r>
        <w:rPr>
          <w:rFonts w:hint="eastAsia" w:ascii="仿宋" w:hAnsi="仿宋" w:eastAsia="仿宋" w:cs="仿宋"/>
          <w:b/>
          <w:bCs/>
          <w:color w:val="auto"/>
          <w:kern w:val="2"/>
          <w:sz w:val="32"/>
          <w:szCs w:val="32"/>
          <w:highlight w:val="none"/>
          <w:lang w:val="en-US" w:eastAsia="zh-CN" w:bidi="hi-IN"/>
        </w:rPr>
        <w:t>3.</w:t>
      </w:r>
      <w:r>
        <w:rPr>
          <w:rFonts w:hint="eastAsia" w:ascii="仿宋" w:hAnsi="仿宋" w:eastAsia="仿宋" w:cs="仿宋"/>
          <w:color w:val="auto"/>
          <w:highlight w:val="none"/>
        </w:rPr>
        <w:t>系统功能模块详细</w:t>
      </w:r>
      <w:bookmarkEnd w:id="305"/>
      <w:r>
        <w:rPr>
          <w:rFonts w:hint="eastAsia" w:ascii="仿宋" w:hAnsi="仿宋" w:eastAsia="仿宋" w:cs="仿宋"/>
          <w:color w:val="auto"/>
          <w:highlight w:val="none"/>
          <w:lang w:val="en-US" w:eastAsia="zh-CN"/>
        </w:rPr>
        <w:t>要求</w:t>
      </w:r>
      <w:bookmarkEnd w:id="306"/>
    </w:p>
    <w:p>
      <w:pPr>
        <w:pStyle w:val="3"/>
        <w:numPr>
          <w:ilvl w:val="0"/>
          <w:numId w:val="0"/>
        </w:numPr>
        <w:tabs>
          <w:tab w:val="left" w:pos="576"/>
          <w:tab w:val="left" w:pos="720"/>
        </w:tabs>
        <w:ind w:left="576" w:leftChars="0" w:hanging="576" w:firstLineChars="0"/>
        <w:rPr>
          <w:rFonts w:hint="eastAsia"/>
          <w:color w:val="auto"/>
          <w:highlight w:val="none"/>
          <w:lang w:val="en-US" w:eastAsia="zh-CN"/>
        </w:rPr>
      </w:pPr>
      <w:bookmarkStart w:id="307" w:name="_Toc10469"/>
      <w:bookmarkStart w:id="308" w:name="_Toc5916"/>
      <w:r>
        <w:rPr>
          <w:rFonts w:hint="eastAsia"/>
          <w:color w:val="auto"/>
          <w:sz w:val="24"/>
          <w:szCs w:val="32"/>
          <w:highlight w:val="none"/>
          <w:lang w:val="en-US" w:eastAsia="zh-CN"/>
        </w:rPr>
        <w:t>注：以下功能模块中“要求支持”的功能和“支持”功能均为具备和必备功能。</w:t>
      </w:r>
      <w:bookmarkEnd w:id="307"/>
    </w:p>
    <w:p>
      <w:pPr>
        <w:pStyle w:val="3"/>
        <w:numPr>
          <w:ilvl w:val="0"/>
          <w:numId w:val="0"/>
        </w:numPr>
        <w:tabs>
          <w:tab w:val="left" w:pos="576"/>
          <w:tab w:val="left" w:pos="720"/>
        </w:tabs>
        <w:ind w:left="576" w:leftChars="0" w:hanging="576" w:firstLineChars="0"/>
        <w:rPr>
          <w:rFonts w:hint="eastAsia" w:ascii="仿宋" w:hAnsi="仿宋" w:eastAsia="仿宋" w:cs="仿宋"/>
          <w:color w:val="auto"/>
          <w:highlight w:val="none"/>
        </w:rPr>
      </w:pPr>
      <w:bookmarkStart w:id="309" w:name="_Toc16786"/>
      <w:r>
        <w:rPr>
          <w:rFonts w:hint="eastAsia" w:ascii="仿宋" w:hAnsi="仿宋" w:eastAsia="仿宋" w:cs="仿宋"/>
          <w:b/>
          <w:bCs/>
          <w:color w:val="auto"/>
          <w:kern w:val="0"/>
          <w:sz w:val="30"/>
          <w:szCs w:val="30"/>
          <w:highlight w:val="none"/>
          <w:lang w:val="en-US" w:eastAsia="zh-CN" w:bidi="hi-IN"/>
        </w:rPr>
        <w:t>3.1</w:t>
      </w:r>
      <w:r>
        <w:rPr>
          <w:rFonts w:hint="eastAsia" w:ascii="仿宋" w:hAnsi="仿宋" w:eastAsia="仿宋" w:cs="仿宋"/>
          <w:color w:val="auto"/>
          <w:highlight w:val="none"/>
        </w:rPr>
        <w:t>HIS系统</w:t>
      </w:r>
      <w:bookmarkEnd w:id="308"/>
      <w:bookmarkEnd w:id="309"/>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10" w:name="_Toc3493"/>
      <w:bookmarkStart w:id="311" w:name="_Toc14030"/>
      <w:r>
        <w:rPr>
          <w:rFonts w:hint="eastAsia" w:ascii="仿宋" w:hAnsi="仿宋" w:eastAsia="仿宋" w:cs="仿宋"/>
          <w:b/>
          <w:bCs/>
          <w:color w:val="auto"/>
          <w:sz w:val="28"/>
          <w:szCs w:val="28"/>
          <w:highlight w:val="none"/>
          <w:lang w:val="en-US" w:eastAsia="zh-CN" w:bidi="hi-IN"/>
        </w:rPr>
        <w:t>3.1.1</w:t>
      </w:r>
      <w:r>
        <w:rPr>
          <w:rFonts w:hint="eastAsia" w:ascii="仿宋" w:hAnsi="仿宋" w:eastAsia="仿宋" w:cs="仿宋"/>
          <w:color w:val="auto"/>
          <w:highlight w:val="none"/>
        </w:rPr>
        <w:t>门急诊结算模块</w:t>
      </w:r>
      <w:bookmarkEnd w:id="310"/>
      <w:bookmarkEnd w:id="311"/>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3.1.1.1</w:t>
      </w:r>
      <w:r>
        <w:rPr>
          <w:rFonts w:hint="eastAsia" w:ascii="仿宋" w:hAnsi="仿宋" w:eastAsia="仿宋" w:cs="仿宋"/>
          <w:color w:val="auto"/>
          <w:highlight w:val="none"/>
        </w:rPr>
        <w:t xml:space="preserve"> 档案管理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档案管理系统用来完成患者电子信息的采集管理工作，通过该系统用户可以进行快捷，准确，有效的患者信息管理。要求提供建卡、基本信息采集、数据质量控制、患者主索引注册、患者信息修改、卡信息合并、患者信息查询、卡管理等等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3.1.1.1.1</w:t>
      </w:r>
      <w:r>
        <w:rPr>
          <w:rFonts w:hint="eastAsia" w:ascii="仿宋" w:hAnsi="仿宋" w:eastAsia="仿宋" w:cs="仿宋"/>
          <w:b w:val="0"/>
          <w:bCs w:val="0"/>
          <w:color w:val="auto"/>
          <w:sz w:val="24"/>
          <w:szCs w:val="24"/>
          <w:highlight w:val="none"/>
        </w:rPr>
        <w:t>建卡</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要求窗口建卡模块可以通过读取患者医保卡、身份证等有效证件或各类身份证明介质信息快速准确的完成患者基本信息的采集操作。</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采集的基本信息要求包含：患者姓名、性别、年龄、出生日期、联系电话、家庭住址、身份证、患者类型、指纹、患者照片信息等。</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付方式有现金，微信，支付宝，银行卡等。为了方便患者进行信息采集登记，减少窗口压力。要求系统能够支持除窗口建卡以外的自助机，APP，微信等多种建卡渠道，能协助患者在线自助完成开卡建档等工作。</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3.1.1.1.2</w:t>
      </w:r>
      <w:r>
        <w:rPr>
          <w:rFonts w:hint="eastAsia" w:ascii="仿宋" w:hAnsi="仿宋" w:eastAsia="仿宋" w:cs="仿宋"/>
          <w:b w:val="0"/>
          <w:bCs w:val="0"/>
          <w:color w:val="auto"/>
          <w:sz w:val="24"/>
          <w:szCs w:val="24"/>
          <w:highlight w:val="none"/>
        </w:rPr>
        <w:t>基本信息采集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通过居民健康卡、身份证、军官证、驾驶证、护照等身份证件识别和人工录入患者个人信息，包括姓名、性别、民族、籍贯、出生地、出生日期、婚姻、户籍地址、现住址、工作单位、职业、联系电话（本人）、联系电话（家属）等方式进行基本信息采集，并且要求支持通过社保卡号、商业保险号等保险类别识别患者的医保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3.1.1.1.3</w:t>
      </w:r>
      <w:r>
        <w:rPr>
          <w:rFonts w:hint="eastAsia" w:ascii="仿宋" w:hAnsi="仿宋" w:eastAsia="仿宋" w:cs="仿宋"/>
          <w:b w:val="0"/>
          <w:bCs w:val="0"/>
          <w:color w:val="auto"/>
          <w:sz w:val="24"/>
          <w:szCs w:val="24"/>
          <w:highlight w:val="none"/>
        </w:rPr>
        <w:t>数据质量控制</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要求可通过校验和跟踪实现对数据质量问题的管理，要求支持从数据格式、数据值域、数据间的逻辑关系等角度做质量审核。</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要求可按照空值校验、重复校验、格式校验、一致性校验和逻辑校验等审核规则对患者基本信息数据进行质量控制。</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3.1.1.1.4</w:t>
      </w:r>
      <w:r>
        <w:rPr>
          <w:rFonts w:hint="eastAsia" w:ascii="仿宋" w:hAnsi="仿宋" w:eastAsia="仿宋" w:cs="仿宋"/>
          <w:b w:val="0"/>
          <w:bCs w:val="0"/>
          <w:color w:val="auto"/>
          <w:sz w:val="24"/>
          <w:szCs w:val="24"/>
          <w:highlight w:val="none"/>
        </w:rPr>
        <w:t>患者主索引注册</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要求支持根据录入的患者基本信息，调用集成平台EMPI注册生成患者在院的唯一主索引，作为患者在本院就诊的唯一标识，并支持与院内各系统之间进行关联，并且可以关联患者历次就诊的诊疗信息。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3.1.1.1.5</w:t>
      </w:r>
      <w:r>
        <w:rPr>
          <w:rFonts w:hint="eastAsia" w:ascii="仿宋" w:hAnsi="仿宋" w:eastAsia="仿宋" w:cs="仿宋"/>
          <w:b w:val="0"/>
          <w:bCs w:val="0"/>
          <w:color w:val="auto"/>
          <w:sz w:val="24"/>
          <w:szCs w:val="24"/>
          <w:highlight w:val="none"/>
        </w:rPr>
        <w:t>患者信息修改</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要求信息修改模块支持在患者基本信息发生变化时，同步变更院内电子档案信息。</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要求支持针对系统中患者基本信息发生的变更做详细的日志记录，自动记录相应的操作内容、操作人员和操作日期，用于对操作的追溯和审计。实现患者基本信息的变更管理。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3.1.1.1.6</w:t>
      </w:r>
      <w:r>
        <w:rPr>
          <w:rFonts w:hint="eastAsia" w:ascii="仿宋" w:hAnsi="仿宋" w:eastAsia="仿宋" w:cs="仿宋"/>
          <w:b w:val="0"/>
          <w:bCs w:val="0"/>
          <w:color w:val="auto"/>
          <w:sz w:val="24"/>
          <w:szCs w:val="24"/>
          <w:highlight w:val="none"/>
        </w:rPr>
        <w:t>卡信息合并</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患者电子档案信息因特殊原因导致同一患者在院内有多个档案记录时，要求支持将患者基本信息做信息合并处理，保留患者需要的档案信息，做到患者在医院内存在唯一档案信息，更加方便对档案信息的灵活管理，并且要求提供卡信息合并操作的操作日志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3.1.1.1.7</w:t>
      </w:r>
      <w:r>
        <w:rPr>
          <w:rFonts w:hint="eastAsia" w:ascii="仿宋" w:hAnsi="仿宋" w:eastAsia="仿宋" w:cs="仿宋"/>
          <w:b w:val="0"/>
          <w:bCs w:val="0"/>
          <w:color w:val="auto"/>
          <w:sz w:val="24"/>
          <w:szCs w:val="24"/>
          <w:highlight w:val="none"/>
        </w:rPr>
        <w:t>患者信息查询</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要求支持对患者基本信息进行多条件组合查询，以及对患者基本信息进行多维度统计，并且要求提供对查询和统计结果的导出功能。</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要求该系统模块可以支持自助机，APP，微信、互联网医院等多渠道，能协助患者在线完成自己院内卡信息的查询。</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3.1.1.1.8</w:t>
      </w:r>
      <w:r>
        <w:rPr>
          <w:rFonts w:hint="eastAsia" w:ascii="仿宋" w:hAnsi="仿宋" w:eastAsia="仿宋" w:cs="仿宋"/>
          <w:b w:val="0"/>
          <w:bCs w:val="0"/>
          <w:color w:val="auto"/>
          <w:sz w:val="24"/>
          <w:szCs w:val="24"/>
          <w:highlight w:val="none"/>
        </w:rPr>
        <w:t>封装接口服务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要求完成档案管理相关功能接口封装服务，与我院目前正在使用的其他系统交互对接。</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3.1.1.2</w:t>
      </w:r>
      <w:r>
        <w:rPr>
          <w:rFonts w:hint="eastAsia" w:ascii="仿宋" w:hAnsi="仿宋" w:eastAsia="仿宋" w:cs="仿宋"/>
          <w:color w:val="auto"/>
          <w:highlight w:val="none"/>
        </w:rPr>
        <w:t xml:space="preserve"> 账户管理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3.1.1.2.1</w:t>
      </w:r>
      <w:r>
        <w:rPr>
          <w:rFonts w:hint="eastAsia" w:ascii="仿宋" w:hAnsi="仿宋" w:eastAsia="仿宋" w:cs="仿宋"/>
          <w:b w:val="0"/>
          <w:bCs w:val="0"/>
          <w:color w:val="auto"/>
          <w:sz w:val="24"/>
          <w:szCs w:val="24"/>
          <w:highlight w:val="none"/>
        </w:rPr>
        <w:t>账户创建</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系统可以根据患者信息进行账户创建，支持患者通过自助机，APP，微信、互联网医院等多渠道进行账户创建。</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3.1.1.2.2</w:t>
      </w:r>
      <w:r>
        <w:rPr>
          <w:rFonts w:hint="eastAsia" w:ascii="仿宋" w:hAnsi="仿宋" w:eastAsia="仿宋" w:cs="仿宋"/>
          <w:b w:val="0"/>
          <w:bCs w:val="0"/>
          <w:color w:val="auto"/>
          <w:sz w:val="24"/>
          <w:szCs w:val="24"/>
          <w:highlight w:val="none"/>
        </w:rPr>
        <w:t>诊疗卡管理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要求支持卡的登记、查询、挂失、解挂、注销等；卡类型包括：医保卡、身份证、就诊卡、电子医保凭证、电子健康卡等多介质。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3.1.1.2.3</w:t>
      </w:r>
      <w:r>
        <w:rPr>
          <w:rFonts w:hint="eastAsia" w:ascii="仿宋" w:hAnsi="仿宋" w:eastAsia="仿宋" w:cs="仿宋"/>
          <w:b w:val="0"/>
          <w:bCs w:val="0"/>
          <w:color w:val="auto"/>
          <w:sz w:val="24"/>
          <w:szCs w:val="24"/>
          <w:highlight w:val="none"/>
        </w:rPr>
        <w:t>账户管理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要求支持账户开户、查询、冻结、解冻、销户、修改账户密码等。</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3.1.1.2.4</w:t>
      </w:r>
      <w:r>
        <w:rPr>
          <w:rFonts w:hint="eastAsia" w:ascii="仿宋" w:hAnsi="仿宋" w:eastAsia="仿宋" w:cs="仿宋"/>
          <w:b w:val="0"/>
          <w:bCs w:val="0"/>
          <w:color w:val="auto"/>
          <w:sz w:val="24"/>
          <w:szCs w:val="24"/>
          <w:highlight w:val="none"/>
        </w:rPr>
        <w:t>账户充值管理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要求支持一站式服务，支持就诊卡充值预交金，在患者就诊、取药、医技科室做诊疗时支持读卡或读码方式消费。</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3.1.1.2.5</w:t>
      </w:r>
      <w:r>
        <w:rPr>
          <w:rFonts w:hint="eastAsia" w:ascii="仿宋" w:hAnsi="仿宋" w:eastAsia="仿宋" w:cs="仿宋"/>
          <w:b w:val="0"/>
          <w:bCs w:val="0"/>
          <w:color w:val="auto"/>
          <w:sz w:val="24"/>
          <w:szCs w:val="24"/>
          <w:highlight w:val="none"/>
        </w:rPr>
        <w:t>门诊预交金退款</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患者在就诊结束后，要求支持可以将储存在就诊卡中的钱退回。</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3.1.1.2.6</w:t>
      </w:r>
      <w:r>
        <w:rPr>
          <w:rFonts w:hint="eastAsia" w:ascii="仿宋" w:hAnsi="仿宋" w:eastAsia="仿宋" w:cs="仿宋"/>
          <w:b w:val="0"/>
          <w:bCs w:val="0"/>
          <w:color w:val="auto"/>
          <w:sz w:val="24"/>
          <w:szCs w:val="24"/>
          <w:highlight w:val="none"/>
        </w:rPr>
        <w:t>账户结算</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患者在就诊结束后，要求支持可以做账户结算、退卡。</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3.1.1.2.7</w:t>
      </w:r>
      <w:r>
        <w:rPr>
          <w:rFonts w:hint="eastAsia" w:ascii="仿宋" w:hAnsi="仿宋" w:eastAsia="仿宋" w:cs="仿宋"/>
          <w:b w:val="0"/>
          <w:bCs w:val="0"/>
          <w:color w:val="auto"/>
          <w:sz w:val="24"/>
          <w:szCs w:val="24"/>
          <w:highlight w:val="none"/>
        </w:rPr>
        <w:t>账户异常处理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提供对业务过程中产生异常而未能完成收费或退费的业务进行撤销、完成的操作。</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3.1.1.2.8</w:t>
      </w:r>
      <w:r>
        <w:rPr>
          <w:rFonts w:hint="eastAsia" w:ascii="仿宋" w:hAnsi="仿宋" w:eastAsia="仿宋" w:cs="仿宋"/>
          <w:b w:val="0"/>
          <w:bCs w:val="0"/>
          <w:color w:val="auto"/>
          <w:sz w:val="24"/>
          <w:szCs w:val="24"/>
          <w:highlight w:val="none"/>
        </w:rPr>
        <w:t>账户封装管理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要求支持基于患者主索引的患者账户封装服务，对患者的身份证、诊疗卡、医保卡、电子医保凭证、电子健康卡等相关信息进行统一管理，实现账户的封装。</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3.1.1.2.9</w:t>
      </w:r>
      <w:r>
        <w:rPr>
          <w:rFonts w:hint="eastAsia" w:ascii="仿宋" w:hAnsi="仿宋" w:eastAsia="仿宋" w:cs="仿宋"/>
          <w:b w:val="0"/>
          <w:bCs w:val="0"/>
          <w:color w:val="auto"/>
          <w:sz w:val="24"/>
          <w:szCs w:val="24"/>
          <w:highlight w:val="none"/>
        </w:rPr>
        <w:t>封装接口服务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要求完成账户管理相关功能接口封装服务，与我院目前正在使用的其他系统交互对接。</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3.1.1.3</w:t>
      </w:r>
      <w:r>
        <w:rPr>
          <w:rFonts w:hint="eastAsia" w:ascii="仿宋" w:hAnsi="仿宋" w:eastAsia="仿宋" w:cs="仿宋"/>
          <w:color w:val="auto"/>
          <w:highlight w:val="none"/>
        </w:rPr>
        <w:t>收费结算</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3.1.1.3.1</w:t>
      </w:r>
      <w:r>
        <w:rPr>
          <w:rFonts w:hint="eastAsia" w:ascii="仿宋" w:hAnsi="仿宋" w:eastAsia="仿宋" w:cs="仿宋"/>
          <w:b w:val="0"/>
          <w:bCs w:val="0"/>
          <w:color w:val="auto"/>
          <w:sz w:val="24"/>
          <w:szCs w:val="24"/>
          <w:highlight w:val="none"/>
        </w:rPr>
        <w:t>门诊费用结算</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要求支持根据不同患者类别，自动确定收费比例，计算患者自付金额与记账金额，并可将结算完毕的药品处方同步传送给对应药房的摆药机。</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要求支持患者通过线上线下等多种支付方式完成结算。要求支持根据不同患者类别打印不同格式的发票。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3.1.1.3.2</w:t>
      </w:r>
      <w:r>
        <w:rPr>
          <w:rFonts w:hint="eastAsia" w:ascii="仿宋" w:hAnsi="仿宋" w:eastAsia="仿宋" w:cs="仿宋"/>
          <w:b w:val="0"/>
          <w:bCs w:val="0"/>
          <w:color w:val="auto"/>
          <w:sz w:val="24"/>
          <w:szCs w:val="24"/>
          <w:highlight w:val="none"/>
        </w:rPr>
        <w:t>补录费用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要求支持收费员给患者补录费用，如做检验、检查需要的导管，材料等。</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3.1.1.3.3</w:t>
      </w:r>
      <w:r>
        <w:rPr>
          <w:rFonts w:hint="eastAsia" w:ascii="仿宋" w:hAnsi="仿宋" w:eastAsia="仿宋" w:cs="仿宋"/>
          <w:b w:val="0"/>
          <w:bCs w:val="0"/>
          <w:color w:val="auto"/>
          <w:sz w:val="24"/>
          <w:szCs w:val="24"/>
          <w:highlight w:val="none"/>
        </w:rPr>
        <w:t>锁定就诊</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要求同一个病人的门诊收费结算界面和医生医嘱录入界面不能同时操作，病人缴费过程中不允许医生开医嘱。</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3.1.1.3.4</w:t>
      </w:r>
      <w:r>
        <w:rPr>
          <w:rFonts w:hint="eastAsia" w:ascii="仿宋" w:hAnsi="仿宋" w:eastAsia="仿宋" w:cs="仿宋"/>
          <w:b w:val="0"/>
          <w:bCs w:val="0"/>
          <w:color w:val="auto"/>
          <w:sz w:val="24"/>
          <w:szCs w:val="24"/>
          <w:highlight w:val="none"/>
        </w:rPr>
        <w:t>跳号</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要求支持提供发票因为某些原因（例如卡纸、破损）导致该发票不能继续使用时，进行发票的作废功能。</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支持在HIS系统中将此发票号作废，同时要求HIS系统中的号码跟实际发票号一致。</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3.1.1.3.5</w:t>
      </w:r>
      <w:r>
        <w:rPr>
          <w:rFonts w:hint="eastAsia" w:ascii="仿宋" w:hAnsi="仿宋" w:eastAsia="仿宋" w:cs="仿宋"/>
          <w:b w:val="0"/>
          <w:bCs w:val="0"/>
          <w:color w:val="auto"/>
          <w:sz w:val="24"/>
          <w:szCs w:val="24"/>
          <w:highlight w:val="none"/>
        </w:rPr>
        <w:t>门诊收费异常处理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要求提供对收费或退费过程中产生异常而未能完成收费或退费的业务进行撤销、完成的操作。</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3.1.1.3.6</w:t>
      </w:r>
      <w:r>
        <w:rPr>
          <w:rFonts w:hint="eastAsia" w:ascii="仿宋" w:hAnsi="仿宋" w:eastAsia="仿宋" w:cs="仿宋"/>
          <w:b w:val="0"/>
          <w:bCs w:val="0"/>
          <w:color w:val="auto"/>
          <w:sz w:val="24"/>
          <w:szCs w:val="24"/>
          <w:highlight w:val="none"/>
        </w:rPr>
        <w:t>发票集中打印</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要求提供对患者在科室卡消费、自助机、APP上缴费，或医保患者结算时先自费垫付但没有打印发票的费用进行医保报销且打印发票。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3.1.1.3.7</w:t>
      </w:r>
      <w:r>
        <w:rPr>
          <w:rFonts w:hint="eastAsia" w:ascii="仿宋" w:hAnsi="仿宋" w:eastAsia="仿宋" w:cs="仿宋"/>
          <w:b w:val="0"/>
          <w:bCs w:val="0"/>
          <w:color w:val="auto"/>
          <w:sz w:val="24"/>
          <w:szCs w:val="24"/>
          <w:highlight w:val="none"/>
        </w:rPr>
        <w:t>退费申请</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要求支持可由原开单科室医生或超级管理员对患者已经缴费且未执行、未发药的医嘱做退费申请，以便后面进行退费。</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3.1.1.3.8</w:t>
      </w:r>
      <w:r>
        <w:rPr>
          <w:rFonts w:hint="eastAsia" w:ascii="仿宋" w:hAnsi="仿宋" w:eastAsia="仿宋" w:cs="仿宋"/>
          <w:b w:val="0"/>
          <w:bCs w:val="0"/>
          <w:color w:val="auto"/>
          <w:sz w:val="24"/>
          <w:szCs w:val="24"/>
          <w:highlight w:val="none"/>
        </w:rPr>
        <w:t>退费审核</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要求可以支持由负责审核的专员进行审核或者撤销，审核通过则可以后续退费。门诊退费。</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要求支持退费可以由收费处直接退费，也支持经过医生停医嘱以及财务人员的审批后再退费。</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要求支持按票据号、登记号、就诊卡号等方式查询患者缴费信息。</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要求支持非收费员补录的医嘱退费需院内相关部门确认后方可执行退费，而收费员补录的医嘱可直接退费。</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要求支持线上线下等多种退款途径。</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3.1.1.3.9</w:t>
      </w:r>
      <w:r>
        <w:rPr>
          <w:rFonts w:hint="eastAsia" w:ascii="仿宋" w:hAnsi="仿宋" w:eastAsia="仿宋" w:cs="仿宋"/>
          <w:b w:val="0"/>
          <w:bCs w:val="0"/>
          <w:color w:val="auto"/>
          <w:sz w:val="24"/>
          <w:szCs w:val="24"/>
          <w:highlight w:val="none"/>
        </w:rPr>
        <w:t>医保业务处理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要求支持与本区域医保中心提供的相关接口对接，要求包括登记信息上传、费用上传、费用预结算、费用结算、结算取消、医保数据对照、医保对账等。</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3.1.1.3.10</w:t>
      </w:r>
      <w:r>
        <w:rPr>
          <w:rFonts w:hint="eastAsia" w:ascii="仿宋" w:hAnsi="仿宋" w:eastAsia="仿宋" w:cs="仿宋"/>
          <w:b w:val="0"/>
          <w:bCs w:val="0"/>
          <w:color w:val="auto"/>
          <w:sz w:val="24"/>
          <w:szCs w:val="24"/>
          <w:highlight w:val="none"/>
        </w:rPr>
        <w:t>门诊收据查询</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要求支持按患者、收费员、日期、结算费别等条件查询收费、退费、打印发票的明细，方便核对。</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3.1.1.3.11</w:t>
      </w:r>
      <w:r>
        <w:rPr>
          <w:rFonts w:hint="eastAsia" w:ascii="仿宋" w:hAnsi="仿宋" w:eastAsia="仿宋" w:cs="仿宋"/>
          <w:b w:val="0"/>
          <w:bCs w:val="0"/>
          <w:color w:val="auto"/>
          <w:sz w:val="24"/>
          <w:szCs w:val="24"/>
          <w:highlight w:val="none"/>
        </w:rPr>
        <w:t>患者费用清单</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要求支持在门诊收据查询界面，提供打印患者费用清单功能。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3.1.1.3.12</w:t>
      </w:r>
      <w:r>
        <w:rPr>
          <w:rFonts w:hint="eastAsia" w:ascii="仿宋" w:hAnsi="仿宋" w:eastAsia="仿宋" w:cs="仿宋"/>
          <w:b w:val="0"/>
          <w:bCs w:val="0"/>
          <w:color w:val="auto"/>
          <w:sz w:val="24"/>
          <w:szCs w:val="24"/>
          <w:highlight w:val="none"/>
        </w:rPr>
        <w:t>门诊发票管理</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要求提供发票购入、发放、转交功能。要求支持财务科对购入的发票进行管理，将购入的发票发放给办理收费员。</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要求支持未使用的发票可以转交给其他收费员。</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3.1.1.3.13</w:t>
      </w:r>
      <w:r>
        <w:rPr>
          <w:rFonts w:hint="eastAsia" w:ascii="仿宋" w:hAnsi="仿宋" w:eastAsia="仿宋" w:cs="仿宋"/>
          <w:b w:val="0"/>
          <w:bCs w:val="0"/>
          <w:color w:val="auto"/>
          <w:sz w:val="24"/>
          <w:szCs w:val="24"/>
          <w:highlight w:val="none"/>
        </w:rPr>
        <w:t>封装接口服务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要求完成收费结算相关功能接口封装服务，与我院目前正在使用的其他系统交互对接。</w:t>
      </w:r>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3.1.1.4</w:t>
      </w:r>
      <w:r>
        <w:rPr>
          <w:rFonts w:hint="eastAsia" w:ascii="仿宋" w:hAnsi="仿宋" w:eastAsia="仿宋" w:cs="仿宋"/>
          <w:color w:val="auto"/>
          <w:highlight w:val="none"/>
        </w:rPr>
        <w:t>电子发票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电子票据管理系统是实现对诊疗业务产生的票据进行电子化管理的系统。</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3.1.1.4.1</w:t>
      </w:r>
      <w:r>
        <w:rPr>
          <w:rFonts w:hint="eastAsia" w:ascii="仿宋" w:hAnsi="仿宋" w:eastAsia="仿宋" w:cs="仿宋"/>
          <w:b w:val="0"/>
          <w:bCs w:val="0"/>
          <w:color w:val="auto"/>
          <w:sz w:val="24"/>
          <w:szCs w:val="24"/>
          <w:highlight w:val="none"/>
        </w:rPr>
        <w:t>开具电子票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要求实现医院挂号、门/急诊收费结算时开具电子票，以及批量开具电子票。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3.1.1.4.2</w:t>
      </w:r>
      <w:r>
        <w:rPr>
          <w:rFonts w:hint="eastAsia" w:ascii="仿宋" w:hAnsi="仿宋" w:eastAsia="仿宋" w:cs="仿宋"/>
          <w:b w:val="0"/>
          <w:bCs w:val="0"/>
          <w:color w:val="auto"/>
          <w:sz w:val="24"/>
          <w:szCs w:val="24"/>
          <w:highlight w:val="none"/>
        </w:rPr>
        <w:t>电子票冲红</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要求支持对已经开具电子票据后需要退费的场景，医院需要将患者的原电子票据进行冲红。以防票据重复使用。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3.1.1.4.3</w:t>
      </w:r>
      <w:r>
        <w:rPr>
          <w:rFonts w:hint="eastAsia" w:ascii="仿宋" w:hAnsi="仿宋" w:eastAsia="仿宋" w:cs="仿宋"/>
          <w:b w:val="0"/>
          <w:bCs w:val="0"/>
          <w:color w:val="auto"/>
          <w:sz w:val="24"/>
          <w:szCs w:val="24"/>
          <w:highlight w:val="none"/>
        </w:rPr>
        <w:t>换开纸质票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要求实现将生成的挂号电子票据、门诊电子票据、住院预交金电子票据、住院电子票据转换成对应业务的纸质票据，并打印。</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3.1.1.4.4</w:t>
      </w:r>
      <w:r>
        <w:rPr>
          <w:rFonts w:hint="eastAsia" w:ascii="仿宋" w:hAnsi="仿宋" w:eastAsia="仿宋" w:cs="仿宋"/>
          <w:b w:val="0"/>
          <w:bCs w:val="0"/>
          <w:color w:val="auto"/>
          <w:sz w:val="24"/>
          <w:szCs w:val="24"/>
          <w:highlight w:val="none"/>
        </w:rPr>
        <w:t>作废纸质票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要求支持患者开具纸质票具有损坏或者不能正常使时，医院需要将原纸质票据作废。如果产生退费，需要先作废纸质票据后在冲红对应电子票，以防票据重复使用。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3.1.1.4.5</w:t>
      </w:r>
      <w:r>
        <w:rPr>
          <w:rFonts w:hint="eastAsia" w:ascii="仿宋" w:hAnsi="仿宋" w:eastAsia="仿宋" w:cs="仿宋"/>
          <w:b w:val="0"/>
          <w:bCs w:val="0"/>
          <w:color w:val="auto"/>
          <w:sz w:val="24"/>
          <w:szCs w:val="24"/>
          <w:highlight w:val="none"/>
        </w:rPr>
        <w:t>票据结果查询</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要求支持医院和患者可以查询已开具票据详细信息。医院可以查询票据交易是否正常，并将电子票具通过二维码形式推送给患者，患者通过扫描二维码查看电子票据信息。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3.1.1.4.6</w:t>
      </w:r>
      <w:r>
        <w:rPr>
          <w:rFonts w:hint="eastAsia" w:ascii="仿宋" w:hAnsi="仿宋" w:eastAsia="仿宋" w:cs="仿宋"/>
          <w:b w:val="0"/>
          <w:bCs w:val="0"/>
          <w:color w:val="auto"/>
          <w:sz w:val="24"/>
          <w:szCs w:val="24"/>
          <w:highlight w:val="none"/>
        </w:rPr>
        <w:t>票据资源池管理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要求支持医院票据的购入和发放。财务科对购入的发票进行管理，可将购入的发票发放给的收费员。</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3.1.1.4.7</w:t>
      </w:r>
      <w:r>
        <w:rPr>
          <w:rFonts w:hint="eastAsia" w:ascii="仿宋" w:hAnsi="仿宋" w:eastAsia="仿宋" w:cs="仿宋"/>
          <w:b w:val="0"/>
          <w:bCs w:val="0"/>
          <w:color w:val="auto"/>
          <w:sz w:val="24"/>
          <w:szCs w:val="24"/>
          <w:highlight w:val="none"/>
        </w:rPr>
        <w:t>对账</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要求实现医院票据信息与财政厅票据信息的核对，包含总账核对与票据明细信息核对。</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3.1.1.4.8</w:t>
      </w:r>
      <w:r>
        <w:rPr>
          <w:rFonts w:hint="eastAsia" w:ascii="仿宋" w:hAnsi="仿宋" w:eastAsia="仿宋" w:cs="仿宋"/>
          <w:b w:val="0"/>
          <w:bCs w:val="0"/>
          <w:color w:val="auto"/>
          <w:sz w:val="24"/>
          <w:szCs w:val="24"/>
          <w:highlight w:val="none"/>
        </w:rPr>
        <w:t>封装接口服务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要求完成与我院目前正在使用的电子发票系统接口封装服务。</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3.1.1.5</w:t>
      </w:r>
      <w:r>
        <w:rPr>
          <w:rFonts w:hint="eastAsia" w:ascii="仿宋" w:hAnsi="仿宋" w:eastAsia="仿宋" w:cs="仿宋"/>
          <w:color w:val="auto"/>
          <w:highlight w:val="none"/>
        </w:rPr>
        <w:t>结账管理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3.1.1.5.1</w:t>
      </w:r>
      <w:r>
        <w:rPr>
          <w:rFonts w:hint="eastAsia" w:ascii="仿宋" w:hAnsi="仿宋" w:eastAsia="仿宋" w:cs="仿宋"/>
          <w:b w:val="0"/>
          <w:bCs w:val="0"/>
          <w:color w:val="auto"/>
          <w:sz w:val="24"/>
          <w:szCs w:val="24"/>
          <w:highlight w:val="none"/>
        </w:rPr>
        <w:t>收费员日结</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要求支持收费员在下班前、交账时做结账。</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要求提供报表和建卡、挂号、退号、门诊预交金充值退款、门诊收费退费等业务明细。方便收费员对自己手中的款项和票据进行核对，并给财务交账。</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3.1.1.5.2</w:t>
      </w:r>
      <w:r>
        <w:rPr>
          <w:rFonts w:hint="eastAsia" w:ascii="仿宋" w:hAnsi="仿宋" w:eastAsia="仿宋" w:cs="仿宋"/>
          <w:b w:val="0"/>
          <w:bCs w:val="0"/>
          <w:color w:val="auto"/>
          <w:sz w:val="24"/>
          <w:szCs w:val="24"/>
          <w:highlight w:val="none"/>
        </w:rPr>
        <w:t>收费员日结汇总</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要求提供收费组长或财务对收费员交的账务进行核对并上交报表存档。</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3.1.1.6</w:t>
      </w:r>
      <w:r>
        <w:rPr>
          <w:rFonts w:hint="eastAsia" w:ascii="仿宋" w:hAnsi="仿宋" w:eastAsia="仿宋" w:cs="仿宋"/>
          <w:color w:val="auto"/>
          <w:highlight w:val="none"/>
        </w:rPr>
        <w:t>查询报表</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要求提供门急诊结算模块相关数据统计报表，包括但不局限于以下报表内容：</w:t>
      </w:r>
    </w:p>
    <w:p>
      <w:pPr>
        <w:pStyle w:val="148"/>
        <w:numPr>
          <w:ilvl w:val="0"/>
          <w:numId w:val="0"/>
        </w:numPr>
        <w:ind w:left="920" w:leftChars="0" w:right="0" w:rightChars="0" w:hanging="440" w:firstLineChars="0"/>
        <w:rPr>
          <w:rFonts w:hint="eastAsia" w:ascii="仿宋" w:hAnsi="仿宋" w:eastAsia="仿宋" w:cs="仿宋"/>
          <w:color w:val="auto"/>
          <w:highlight w:val="none"/>
        </w:rPr>
      </w:pPr>
      <w:r>
        <w:rPr>
          <w:rFonts w:hint="eastAsia" w:ascii="仿宋" w:hAnsi="仿宋" w:eastAsia="仿宋" w:cs="仿宋"/>
          <w:color w:val="auto"/>
          <w:highlight w:val="none"/>
        </w:rPr>
        <w:t>日汇总表：按收费贷方科目汇总和合计，以便收费员结帐。</w:t>
      </w:r>
    </w:p>
    <w:p>
      <w:pPr>
        <w:pStyle w:val="148"/>
        <w:numPr>
          <w:ilvl w:val="0"/>
          <w:numId w:val="0"/>
        </w:numPr>
        <w:ind w:left="920" w:leftChars="0" w:right="0" w:rightChars="0" w:hanging="440" w:firstLineChars="0"/>
        <w:rPr>
          <w:rFonts w:hint="eastAsia" w:ascii="仿宋" w:hAnsi="仿宋" w:eastAsia="仿宋" w:cs="仿宋"/>
          <w:color w:val="auto"/>
          <w:highlight w:val="none"/>
        </w:rPr>
      </w:pPr>
      <w:r>
        <w:rPr>
          <w:rFonts w:hint="eastAsia" w:ascii="仿宋" w:hAnsi="仿宋" w:eastAsia="仿宋" w:cs="仿宋"/>
          <w:color w:val="auto"/>
          <w:highlight w:val="none"/>
        </w:rPr>
        <w:t>日收费明细表：按收费借方和贷方科目打印，以便会计进行日记帐。</w:t>
      </w:r>
    </w:p>
    <w:p>
      <w:pPr>
        <w:pStyle w:val="148"/>
        <w:numPr>
          <w:ilvl w:val="0"/>
          <w:numId w:val="0"/>
        </w:numPr>
        <w:ind w:left="920" w:leftChars="0" w:right="0" w:rightChars="0" w:hanging="440" w:firstLineChars="0"/>
        <w:rPr>
          <w:rFonts w:hint="eastAsia" w:ascii="仿宋" w:hAnsi="仿宋" w:eastAsia="仿宋" w:cs="仿宋"/>
          <w:color w:val="auto"/>
          <w:highlight w:val="none"/>
        </w:rPr>
      </w:pPr>
      <w:r>
        <w:rPr>
          <w:rFonts w:hint="eastAsia" w:ascii="仿宋" w:hAnsi="仿宋" w:eastAsia="仿宋" w:cs="仿宋"/>
          <w:color w:val="auto"/>
          <w:highlight w:val="none"/>
        </w:rPr>
        <w:t>日收费存根：按收费凭证内容打印，以便会计存档。</w:t>
      </w:r>
    </w:p>
    <w:p>
      <w:pPr>
        <w:pStyle w:val="148"/>
        <w:numPr>
          <w:ilvl w:val="0"/>
          <w:numId w:val="0"/>
        </w:numPr>
        <w:ind w:left="920" w:leftChars="0" w:right="0" w:rightChars="0" w:hanging="440" w:firstLineChars="0"/>
        <w:rPr>
          <w:rFonts w:hint="eastAsia" w:ascii="仿宋" w:hAnsi="仿宋" w:eastAsia="仿宋" w:cs="仿宋"/>
          <w:color w:val="auto"/>
          <w:highlight w:val="none"/>
        </w:rPr>
      </w:pPr>
      <w:r>
        <w:rPr>
          <w:rFonts w:hint="eastAsia" w:ascii="仿宋" w:hAnsi="仿宋" w:eastAsia="仿宋" w:cs="仿宋"/>
          <w:color w:val="auto"/>
          <w:highlight w:val="none"/>
        </w:rPr>
        <w:t>日科室核算表：包括一级科室和检查治疗科室工作量统计。</w:t>
      </w:r>
    </w:p>
    <w:p>
      <w:pPr>
        <w:pStyle w:val="148"/>
        <w:numPr>
          <w:ilvl w:val="0"/>
          <w:numId w:val="0"/>
        </w:numPr>
        <w:ind w:left="920" w:leftChars="0" w:right="0" w:rightChars="0" w:hanging="440" w:firstLineChars="0"/>
        <w:rPr>
          <w:rFonts w:hint="eastAsia" w:ascii="仿宋" w:hAnsi="仿宋" w:eastAsia="仿宋" w:cs="仿宋"/>
          <w:color w:val="auto"/>
          <w:highlight w:val="none"/>
        </w:rPr>
      </w:pPr>
      <w:r>
        <w:rPr>
          <w:rFonts w:hint="eastAsia" w:ascii="仿宋" w:hAnsi="仿宋" w:eastAsia="仿宋" w:cs="仿宋"/>
          <w:color w:val="auto"/>
          <w:highlight w:val="none"/>
        </w:rPr>
        <w:t>全院月收入汇总表：包括医疗门诊收入和药品门诊收入统计汇总。</w:t>
      </w:r>
    </w:p>
    <w:p>
      <w:pPr>
        <w:pStyle w:val="148"/>
        <w:numPr>
          <w:ilvl w:val="0"/>
          <w:numId w:val="0"/>
        </w:numPr>
        <w:ind w:left="920" w:leftChars="0" w:right="0" w:rightChars="0" w:hanging="440" w:firstLineChars="0"/>
        <w:rPr>
          <w:rFonts w:hint="eastAsia" w:ascii="仿宋" w:hAnsi="仿宋" w:eastAsia="仿宋" w:cs="仿宋"/>
          <w:color w:val="auto"/>
          <w:highlight w:val="none"/>
        </w:rPr>
      </w:pPr>
      <w:r>
        <w:rPr>
          <w:rFonts w:hint="eastAsia" w:ascii="仿宋" w:hAnsi="仿宋" w:eastAsia="仿宋" w:cs="仿宋"/>
          <w:color w:val="auto"/>
          <w:highlight w:val="none"/>
        </w:rPr>
        <w:t>全院月科室核算表：包括一级科室和检查治疗科室工作量统计汇总。</w:t>
      </w:r>
    </w:p>
    <w:p>
      <w:pPr>
        <w:pStyle w:val="148"/>
        <w:numPr>
          <w:ilvl w:val="0"/>
          <w:numId w:val="0"/>
        </w:numPr>
        <w:ind w:left="920" w:leftChars="0" w:right="0" w:rightChars="0" w:hanging="440" w:firstLineChars="0"/>
        <w:rPr>
          <w:rFonts w:hint="eastAsia" w:ascii="仿宋" w:hAnsi="仿宋" w:eastAsia="仿宋" w:cs="仿宋"/>
          <w:color w:val="auto"/>
          <w:highlight w:val="none"/>
        </w:rPr>
      </w:pPr>
      <w:r>
        <w:rPr>
          <w:rFonts w:hint="eastAsia" w:ascii="仿宋" w:hAnsi="仿宋" w:eastAsia="仿宋" w:cs="仿宋"/>
          <w:color w:val="auto"/>
          <w:highlight w:val="none"/>
        </w:rPr>
        <w:t>合同医疗单位月费用统计汇总表：按治疗费用和药品费用科目进行统计汇总。</w:t>
      </w:r>
    </w:p>
    <w:p>
      <w:pPr>
        <w:pStyle w:val="148"/>
        <w:numPr>
          <w:ilvl w:val="0"/>
          <w:numId w:val="0"/>
        </w:numPr>
        <w:ind w:left="920" w:leftChars="0" w:right="0" w:rightChars="0" w:hanging="440" w:firstLineChars="0"/>
        <w:rPr>
          <w:rFonts w:hint="eastAsia" w:ascii="仿宋" w:hAnsi="仿宋" w:eastAsia="仿宋" w:cs="仿宋"/>
          <w:color w:val="auto"/>
          <w:highlight w:val="none"/>
        </w:rPr>
      </w:pPr>
      <w:r>
        <w:rPr>
          <w:rFonts w:hint="eastAsia" w:ascii="仿宋" w:hAnsi="仿宋" w:eastAsia="仿宋" w:cs="仿宋"/>
          <w:color w:val="auto"/>
          <w:highlight w:val="none"/>
        </w:rPr>
        <w:t>全院门诊月、季、年收费核算分析报表。</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12" w:name="_Toc16260"/>
      <w:bookmarkStart w:id="313" w:name="_Toc28942"/>
      <w:r>
        <w:rPr>
          <w:rFonts w:hint="eastAsia" w:ascii="仿宋" w:hAnsi="仿宋" w:eastAsia="仿宋" w:cs="仿宋"/>
          <w:b/>
          <w:bCs/>
          <w:color w:val="auto"/>
          <w:sz w:val="28"/>
          <w:szCs w:val="28"/>
          <w:highlight w:val="none"/>
          <w:lang w:val="en-US" w:eastAsia="zh-CN" w:bidi="hi-IN"/>
        </w:rPr>
        <w:t>3.1.2</w:t>
      </w:r>
      <w:r>
        <w:rPr>
          <w:rFonts w:hint="eastAsia" w:ascii="仿宋" w:hAnsi="仿宋" w:eastAsia="仿宋" w:cs="仿宋"/>
          <w:color w:val="auto"/>
          <w:highlight w:val="none"/>
        </w:rPr>
        <w:t>医保管理模块</w:t>
      </w:r>
      <w:bookmarkEnd w:id="312"/>
      <w:bookmarkEnd w:id="313"/>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0"/>
          <w:highlight w:val="none"/>
          <w:lang w:val="en-US" w:eastAsia="zh-CN" w:bidi="hi-IN"/>
        </w:rPr>
        <w:t>3.1.2.1</w:t>
      </w:r>
      <w:r>
        <w:rPr>
          <w:rFonts w:hint="eastAsia" w:ascii="仿宋" w:hAnsi="仿宋" w:eastAsia="仿宋" w:cs="仿宋"/>
          <w:color w:val="auto"/>
          <w:highlight w:val="none"/>
        </w:rPr>
        <w:t>医保目录</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3.1.2.1.1</w:t>
      </w:r>
      <w:r>
        <w:rPr>
          <w:rFonts w:hint="eastAsia" w:ascii="仿宋" w:hAnsi="仿宋" w:eastAsia="仿宋" w:cs="仿宋"/>
          <w:b w:val="0"/>
          <w:bCs w:val="0"/>
          <w:color w:val="auto"/>
          <w:sz w:val="24"/>
          <w:highlight w:val="none"/>
        </w:rPr>
        <w:t>医保目录下载</w:t>
      </w:r>
    </w:p>
    <w:p>
      <w:pPr>
        <w:pStyle w:val="148"/>
        <w:spacing w:before="0" w:after="0" w:line="300" w:lineRule="auto"/>
        <w:contextualSpacing/>
        <w:rPr>
          <w:rFonts w:hint="eastAsia" w:ascii="仿宋" w:hAnsi="仿宋" w:eastAsia="仿宋" w:cs="仿宋"/>
          <w:color w:val="auto"/>
          <w:highlight w:val="none"/>
        </w:rPr>
      </w:pPr>
      <w:r>
        <w:rPr>
          <w:rFonts w:hint="eastAsia" w:ascii="仿宋" w:hAnsi="仿宋" w:eastAsia="仿宋" w:cs="仿宋"/>
          <w:color w:val="auto"/>
          <w:highlight w:val="none"/>
        </w:rPr>
        <w:t>支持医保目录初始化更新的功能；</w:t>
      </w:r>
    </w:p>
    <w:p>
      <w:pPr>
        <w:pStyle w:val="148"/>
        <w:spacing w:before="0" w:after="0" w:line="300" w:lineRule="auto"/>
        <w:contextualSpacing/>
        <w:rPr>
          <w:rFonts w:hint="eastAsia" w:ascii="仿宋" w:hAnsi="仿宋" w:eastAsia="仿宋" w:cs="仿宋"/>
          <w:color w:val="auto"/>
          <w:highlight w:val="none"/>
        </w:rPr>
      </w:pPr>
      <w:r>
        <w:rPr>
          <w:rFonts w:hint="eastAsia" w:ascii="仿宋" w:hAnsi="仿宋" w:eastAsia="仿宋" w:cs="仿宋"/>
          <w:color w:val="auto"/>
          <w:highlight w:val="none"/>
        </w:rPr>
        <w:t>支持医保目录增量更新的功能；</w:t>
      </w:r>
    </w:p>
    <w:p>
      <w:pPr>
        <w:pStyle w:val="148"/>
        <w:spacing w:before="0" w:after="0" w:line="300" w:lineRule="auto"/>
        <w:contextualSpacing/>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支持不同交易业务类型目录查询功能。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3.1.2.1.2</w:t>
      </w:r>
      <w:r>
        <w:rPr>
          <w:rFonts w:hint="eastAsia" w:ascii="仿宋" w:hAnsi="仿宋" w:eastAsia="仿宋" w:cs="仿宋"/>
          <w:b w:val="0"/>
          <w:bCs w:val="0"/>
          <w:color w:val="auto"/>
          <w:sz w:val="24"/>
          <w:highlight w:val="none"/>
        </w:rPr>
        <w:t>药品目录</w:t>
      </w:r>
      <w:r>
        <w:rPr>
          <w:rFonts w:hint="eastAsia" w:ascii="仿宋" w:hAnsi="仿宋" w:eastAsia="仿宋" w:cs="仿宋"/>
          <w:b w:val="0"/>
          <w:bCs w:val="0"/>
          <w:color w:val="auto"/>
          <w:sz w:val="24"/>
          <w:highlight w:val="none"/>
          <w:lang w:eastAsia="zh-CN"/>
        </w:rPr>
        <w:t>查询编辑</w:t>
      </w:r>
    </w:p>
    <w:p>
      <w:pPr>
        <w:pStyle w:val="148"/>
        <w:spacing w:before="0" w:after="0" w:line="300" w:lineRule="auto"/>
        <w:contextualSpacing/>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支持查看药品目录的功能</w:t>
      </w:r>
      <w:r>
        <w:rPr>
          <w:rFonts w:hint="eastAsia" w:ascii="仿宋" w:hAnsi="仿宋" w:eastAsia="仿宋" w:cs="仿宋"/>
          <w:color w:val="auto"/>
          <w:highlight w:val="none"/>
          <w:lang w:eastAsia="zh-CN"/>
        </w:rPr>
        <w:t>，包括医保对应关系、不同性质医保患者报销比例、药品限制条件等内容</w:t>
      </w:r>
      <w:r>
        <w:rPr>
          <w:rFonts w:hint="eastAsia" w:ascii="仿宋" w:hAnsi="仿宋" w:eastAsia="仿宋" w:cs="仿宋"/>
          <w:color w:val="auto"/>
          <w:highlight w:val="none"/>
        </w:rPr>
        <w:t>；支持对药品限制使用说明进行编辑维护的功能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支持按不同的状态查询药品的功能。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3.1.2.1.3</w:t>
      </w:r>
      <w:r>
        <w:rPr>
          <w:rFonts w:hint="eastAsia" w:ascii="仿宋" w:hAnsi="仿宋" w:eastAsia="仿宋" w:cs="仿宋"/>
          <w:b w:val="0"/>
          <w:bCs w:val="0"/>
          <w:color w:val="auto"/>
          <w:sz w:val="24"/>
          <w:highlight w:val="none"/>
        </w:rPr>
        <w:t>材料目录</w:t>
      </w:r>
      <w:r>
        <w:rPr>
          <w:rFonts w:hint="eastAsia" w:ascii="仿宋" w:hAnsi="仿宋" w:eastAsia="仿宋" w:cs="仿宋"/>
          <w:b w:val="0"/>
          <w:bCs w:val="0"/>
          <w:color w:val="auto"/>
          <w:sz w:val="24"/>
          <w:highlight w:val="none"/>
          <w:lang w:eastAsia="zh-CN"/>
        </w:rPr>
        <w:t>查询</w:t>
      </w:r>
    </w:p>
    <w:p>
      <w:pPr>
        <w:pStyle w:val="148"/>
        <w:spacing w:before="0" w:after="0" w:line="300" w:lineRule="auto"/>
        <w:contextualSpacing/>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支持查看</w:t>
      </w:r>
      <w:r>
        <w:rPr>
          <w:rFonts w:hint="eastAsia" w:ascii="仿宋" w:hAnsi="仿宋" w:eastAsia="仿宋" w:cs="仿宋"/>
          <w:color w:val="auto"/>
          <w:highlight w:val="none"/>
          <w:lang w:val="en-US" w:eastAsia="zh-CN"/>
        </w:rPr>
        <w:t>材料</w:t>
      </w:r>
      <w:r>
        <w:rPr>
          <w:rFonts w:hint="eastAsia" w:ascii="仿宋" w:hAnsi="仿宋" w:eastAsia="仿宋" w:cs="仿宋"/>
          <w:color w:val="auto"/>
          <w:highlight w:val="none"/>
        </w:rPr>
        <w:t>目录的功能</w:t>
      </w:r>
      <w:r>
        <w:rPr>
          <w:rFonts w:hint="eastAsia" w:ascii="仿宋" w:hAnsi="仿宋" w:eastAsia="仿宋" w:cs="仿宋"/>
          <w:color w:val="auto"/>
          <w:highlight w:val="none"/>
          <w:lang w:eastAsia="zh-CN"/>
        </w:rPr>
        <w:t>，包括医保对应关系、不同性质医保患者报销比例、材料规格型号等内容；</w:t>
      </w:r>
      <w:r>
        <w:rPr>
          <w:rFonts w:hint="eastAsia" w:ascii="仿宋" w:hAnsi="仿宋" w:eastAsia="仿宋" w:cs="仿宋"/>
          <w:color w:val="auto"/>
          <w:highlight w:val="none"/>
        </w:rPr>
        <w:t>支持按不同的状态查询</w:t>
      </w:r>
      <w:r>
        <w:rPr>
          <w:rFonts w:hint="eastAsia" w:ascii="仿宋" w:hAnsi="仿宋" w:eastAsia="仿宋" w:cs="仿宋"/>
          <w:color w:val="auto"/>
          <w:highlight w:val="none"/>
          <w:lang w:eastAsia="zh-CN"/>
        </w:rPr>
        <w:t>材料</w:t>
      </w:r>
      <w:r>
        <w:rPr>
          <w:rFonts w:hint="eastAsia" w:ascii="仿宋" w:hAnsi="仿宋" w:eastAsia="仿宋" w:cs="仿宋"/>
          <w:color w:val="auto"/>
          <w:highlight w:val="none"/>
        </w:rPr>
        <w:t>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3.1.2.1.4</w:t>
      </w:r>
      <w:r>
        <w:rPr>
          <w:rFonts w:hint="eastAsia" w:ascii="仿宋" w:hAnsi="仿宋" w:eastAsia="仿宋" w:cs="仿宋"/>
          <w:b w:val="0"/>
          <w:bCs w:val="0"/>
          <w:color w:val="auto"/>
          <w:sz w:val="24"/>
          <w:highlight w:val="none"/>
        </w:rPr>
        <w:t>诊疗</w:t>
      </w:r>
      <w:r>
        <w:rPr>
          <w:rFonts w:hint="eastAsia" w:ascii="仿宋" w:hAnsi="仿宋" w:eastAsia="仿宋" w:cs="仿宋"/>
          <w:b w:val="0"/>
          <w:bCs w:val="0"/>
          <w:color w:val="auto"/>
          <w:sz w:val="24"/>
          <w:highlight w:val="none"/>
          <w:lang w:eastAsia="zh-CN"/>
        </w:rPr>
        <w:t>服务项目查询</w:t>
      </w:r>
    </w:p>
    <w:p>
      <w:pPr>
        <w:pStyle w:val="148"/>
        <w:spacing w:before="0" w:after="0" w:line="300" w:lineRule="auto"/>
        <w:contextualSpacing/>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w:t>
      </w:r>
      <w:r>
        <w:rPr>
          <w:rFonts w:hint="eastAsia" w:ascii="仿宋" w:hAnsi="仿宋" w:eastAsia="仿宋" w:cs="仿宋"/>
          <w:color w:val="auto"/>
          <w:highlight w:val="none"/>
          <w:lang w:eastAsia="zh-CN"/>
        </w:rPr>
        <w:t>查看诊疗服务项目目录的功能，包括医保对应关系、不同性质医保患者报销比例等内容；</w:t>
      </w:r>
      <w:r>
        <w:rPr>
          <w:rFonts w:hint="eastAsia" w:ascii="仿宋" w:hAnsi="仿宋" w:eastAsia="仿宋" w:cs="仿宋"/>
          <w:color w:val="auto"/>
          <w:highlight w:val="none"/>
        </w:rPr>
        <w:t>支持按不同的状态查询项目的功能。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lang w:val="en-US" w:eastAsia="zh-CN"/>
        </w:rPr>
      </w:pPr>
      <w:r>
        <w:rPr>
          <w:rFonts w:hint="eastAsia" w:ascii="仿宋" w:hAnsi="仿宋" w:eastAsia="仿宋" w:cs="仿宋"/>
          <w:b/>
          <w:bCs/>
          <w:color w:val="auto"/>
          <w:sz w:val="28"/>
          <w:szCs w:val="28"/>
          <w:highlight w:val="none"/>
          <w:lang w:val="en-US" w:eastAsia="zh-CN" w:bidi="hi-IN"/>
        </w:rPr>
        <w:t>3.1.2.1.5</w:t>
      </w:r>
      <w:r>
        <w:rPr>
          <w:rFonts w:hint="eastAsia" w:ascii="仿宋" w:hAnsi="仿宋" w:eastAsia="仿宋" w:cs="仿宋"/>
          <w:b w:val="0"/>
          <w:bCs w:val="0"/>
          <w:color w:val="auto"/>
          <w:sz w:val="24"/>
          <w:highlight w:val="none"/>
        </w:rPr>
        <w:t>医保</w:t>
      </w:r>
      <w:r>
        <w:rPr>
          <w:rFonts w:hint="eastAsia" w:ascii="仿宋" w:hAnsi="仿宋" w:eastAsia="仿宋" w:cs="仿宋"/>
          <w:b w:val="0"/>
          <w:bCs w:val="0"/>
          <w:color w:val="auto"/>
          <w:sz w:val="24"/>
          <w:highlight w:val="none"/>
          <w:lang w:val="en-US" w:eastAsia="zh-CN"/>
        </w:rPr>
        <w:t>三大</w:t>
      </w:r>
      <w:r>
        <w:rPr>
          <w:rFonts w:hint="eastAsia" w:ascii="仿宋" w:hAnsi="仿宋" w:eastAsia="仿宋" w:cs="仿宋"/>
          <w:b w:val="0"/>
          <w:bCs w:val="0"/>
          <w:color w:val="auto"/>
          <w:sz w:val="24"/>
          <w:highlight w:val="none"/>
        </w:rPr>
        <w:t>目录</w:t>
      </w:r>
      <w:r>
        <w:rPr>
          <w:rFonts w:hint="eastAsia" w:ascii="仿宋" w:hAnsi="仿宋" w:eastAsia="仿宋" w:cs="仿宋"/>
          <w:b w:val="0"/>
          <w:bCs w:val="0"/>
          <w:color w:val="auto"/>
          <w:sz w:val="24"/>
          <w:highlight w:val="none"/>
          <w:lang w:eastAsia="zh-CN"/>
        </w:rPr>
        <w:t>智能</w:t>
      </w:r>
      <w:r>
        <w:rPr>
          <w:rFonts w:hint="eastAsia" w:ascii="仿宋" w:hAnsi="仿宋" w:eastAsia="仿宋" w:cs="仿宋"/>
          <w:b w:val="0"/>
          <w:bCs w:val="0"/>
          <w:color w:val="auto"/>
          <w:sz w:val="24"/>
          <w:highlight w:val="none"/>
          <w:lang w:val="en-US" w:eastAsia="zh-CN"/>
        </w:rPr>
        <w:t>比对</w:t>
      </w:r>
    </w:p>
    <w:p>
      <w:pPr>
        <w:pStyle w:val="148"/>
        <w:spacing w:before="0" w:after="0" w:line="300" w:lineRule="auto"/>
        <w:contextualSpacing/>
        <w:rPr>
          <w:rFonts w:hint="eastAsia" w:ascii="仿宋" w:hAnsi="仿宋" w:eastAsia="仿宋" w:cs="仿宋"/>
          <w:b w:val="0"/>
          <w:bCs w:val="0"/>
          <w:color w:val="auto"/>
          <w:sz w:val="24"/>
          <w:highlight w:val="none"/>
        </w:rPr>
      </w:pPr>
      <w:r>
        <w:rPr>
          <w:rFonts w:hint="eastAsia" w:ascii="仿宋" w:hAnsi="仿宋" w:eastAsia="仿宋" w:cs="仿宋"/>
          <w:color w:val="auto"/>
          <w:highlight w:val="none"/>
          <w:lang w:val="en-US" w:eastAsia="zh-CN"/>
        </w:rPr>
        <w:t>在本地库中嵌入国家医保代码库信息，</w:t>
      </w:r>
      <w:r>
        <w:rPr>
          <w:rFonts w:hint="eastAsia" w:ascii="仿宋" w:hAnsi="仿宋" w:eastAsia="仿宋" w:cs="仿宋"/>
          <w:color w:val="auto"/>
          <w:highlight w:val="none"/>
          <w:lang w:eastAsia="zh-CN"/>
        </w:rPr>
        <w:t>支持药品、材料、诊疗服务项目与国家库医保代码对应关系的智能</w:t>
      </w:r>
      <w:r>
        <w:rPr>
          <w:rFonts w:hint="eastAsia" w:ascii="仿宋" w:hAnsi="仿宋" w:eastAsia="仿宋" w:cs="仿宋"/>
          <w:color w:val="auto"/>
          <w:highlight w:val="none"/>
          <w:lang w:val="en-US" w:eastAsia="zh-CN"/>
        </w:rPr>
        <w:t>比对</w:t>
      </w:r>
      <w:r>
        <w:rPr>
          <w:rFonts w:hint="eastAsia" w:ascii="仿宋" w:hAnsi="仿宋" w:eastAsia="仿宋" w:cs="仿宋"/>
          <w:color w:val="auto"/>
          <w:highlight w:val="none"/>
          <w:lang w:eastAsia="zh-CN"/>
        </w:rPr>
        <w:t>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3.1.2.1.6</w:t>
      </w:r>
      <w:r>
        <w:rPr>
          <w:rFonts w:hint="eastAsia" w:ascii="仿宋" w:hAnsi="仿宋" w:eastAsia="仿宋" w:cs="仿宋"/>
          <w:b w:val="0"/>
          <w:bCs w:val="0"/>
          <w:color w:val="auto"/>
          <w:sz w:val="24"/>
          <w:highlight w:val="none"/>
        </w:rPr>
        <w:t>剂型代码对照</w:t>
      </w:r>
    </w:p>
    <w:p>
      <w:pPr>
        <w:pStyle w:val="148"/>
        <w:spacing w:before="0" w:after="0" w:line="300" w:lineRule="auto"/>
        <w:contextualSpacing/>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支持剂型内容对照的功能。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3.1.2.1.7</w:t>
      </w:r>
      <w:r>
        <w:rPr>
          <w:rFonts w:hint="eastAsia" w:ascii="仿宋" w:hAnsi="仿宋" w:eastAsia="仿宋" w:cs="仿宋"/>
          <w:b w:val="0"/>
          <w:bCs w:val="0"/>
          <w:color w:val="auto"/>
          <w:sz w:val="24"/>
          <w:highlight w:val="none"/>
        </w:rPr>
        <w:t>频次代码对照</w:t>
      </w:r>
    </w:p>
    <w:p>
      <w:pPr>
        <w:pStyle w:val="148"/>
        <w:spacing w:before="0" w:after="0" w:line="300" w:lineRule="auto"/>
        <w:contextualSpacing/>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支持频次代码对照功能。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3.1.2.1.8</w:t>
      </w:r>
      <w:r>
        <w:rPr>
          <w:rFonts w:hint="eastAsia" w:ascii="仿宋" w:hAnsi="仿宋" w:eastAsia="仿宋" w:cs="仿宋"/>
          <w:b w:val="0"/>
          <w:bCs w:val="0"/>
          <w:color w:val="auto"/>
          <w:sz w:val="24"/>
          <w:highlight w:val="none"/>
        </w:rPr>
        <w:t>国家疾病字典</w:t>
      </w:r>
    </w:p>
    <w:p>
      <w:pPr>
        <w:pStyle w:val="148"/>
        <w:spacing w:before="0" w:after="0" w:line="300" w:lineRule="auto"/>
        <w:contextualSpacing/>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支持查看国家疾病字典目录的功能。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3.1.2.1.9</w:t>
      </w:r>
      <w:r>
        <w:rPr>
          <w:rFonts w:hint="eastAsia" w:ascii="仿宋" w:hAnsi="仿宋" w:eastAsia="仿宋" w:cs="仿宋"/>
          <w:b w:val="0"/>
          <w:bCs w:val="0"/>
          <w:color w:val="auto"/>
          <w:sz w:val="24"/>
          <w:highlight w:val="none"/>
        </w:rPr>
        <w:t>疾病目录对照</w:t>
      </w:r>
    </w:p>
    <w:p>
      <w:pPr>
        <w:pStyle w:val="148"/>
        <w:spacing w:before="0" w:after="0" w:line="300" w:lineRule="auto"/>
        <w:contextualSpacing/>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支持疾病目录对照的功能。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3.1.2.1.10</w:t>
      </w:r>
      <w:r>
        <w:rPr>
          <w:rFonts w:hint="eastAsia" w:ascii="仿宋" w:hAnsi="仿宋" w:eastAsia="仿宋" w:cs="仿宋"/>
          <w:b w:val="0"/>
          <w:bCs w:val="0"/>
          <w:color w:val="auto"/>
          <w:sz w:val="24"/>
          <w:highlight w:val="none"/>
        </w:rPr>
        <w:t>科室代码对照</w:t>
      </w:r>
    </w:p>
    <w:p>
      <w:pPr>
        <w:pStyle w:val="148"/>
        <w:spacing w:before="46" w:after="46"/>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支持科室代码对照的功能。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3.1.2.1.11</w:t>
      </w:r>
      <w:r>
        <w:rPr>
          <w:rFonts w:hint="eastAsia" w:ascii="仿宋" w:hAnsi="仿宋" w:eastAsia="仿宋" w:cs="仿宋"/>
          <w:b w:val="0"/>
          <w:bCs w:val="0"/>
          <w:color w:val="auto"/>
          <w:sz w:val="24"/>
          <w:highlight w:val="none"/>
        </w:rPr>
        <w:t>封装接口服务</w:t>
      </w:r>
    </w:p>
    <w:p>
      <w:pPr>
        <w:snapToGrid w:val="0"/>
        <w:spacing w:before="0" w:after="0" w:line="30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要求完成医保目录相关功能接口封装服务，与我院目前正在使用的其他系统交互对接。</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szCs w:val="20"/>
          <w:highlight w:val="none"/>
          <w:lang w:val="en-US" w:eastAsia="zh-CN" w:bidi="hi-IN"/>
        </w:rPr>
        <w:t>3.1.2.2</w:t>
      </w:r>
      <w:r>
        <w:rPr>
          <w:rFonts w:hint="eastAsia" w:ascii="仿宋" w:hAnsi="仿宋" w:eastAsia="仿宋" w:cs="仿宋"/>
          <w:color w:val="auto"/>
          <w:highlight w:val="none"/>
        </w:rPr>
        <w:t>医保审核</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3.1.2.2.1</w:t>
      </w:r>
      <w:r>
        <w:rPr>
          <w:rFonts w:hint="eastAsia" w:ascii="仿宋" w:hAnsi="仿宋" w:eastAsia="仿宋" w:cs="仿宋"/>
          <w:b w:val="0"/>
          <w:bCs w:val="0"/>
          <w:color w:val="auto"/>
          <w:sz w:val="24"/>
          <w:highlight w:val="none"/>
        </w:rPr>
        <w:t>人工审核</w:t>
      </w:r>
    </w:p>
    <w:p>
      <w:pPr>
        <w:pStyle w:val="148"/>
        <w:spacing w:before="46" w:after="46"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highlight w:val="none"/>
        </w:rPr>
        <w:t>支持门诊、住院患者的医保审核功能。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3.1.2.2.2</w:t>
      </w:r>
      <w:r>
        <w:rPr>
          <w:rFonts w:hint="eastAsia" w:ascii="仿宋" w:hAnsi="仿宋" w:eastAsia="仿宋" w:cs="仿宋"/>
          <w:b w:val="0"/>
          <w:bCs w:val="0"/>
          <w:color w:val="auto"/>
          <w:sz w:val="24"/>
          <w:highlight w:val="none"/>
          <w:lang w:val="en-US" w:eastAsia="zh-CN"/>
        </w:rPr>
        <w:t>智能审核</w:t>
      </w:r>
    </w:p>
    <w:p>
      <w:pPr>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rPr>
        <w:t xml:space="preserve">    支持门诊、住院患者的医保智能审核功能，支持规则库的维护功能。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3.1.2.2.3</w:t>
      </w:r>
      <w:r>
        <w:rPr>
          <w:rFonts w:hint="eastAsia" w:ascii="仿宋" w:hAnsi="仿宋" w:eastAsia="仿宋" w:cs="仿宋"/>
          <w:b w:val="0"/>
          <w:bCs w:val="0"/>
          <w:color w:val="auto"/>
          <w:sz w:val="24"/>
          <w:highlight w:val="none"/>
          <w:lang w:val="en-US" w:eastAsia="zh-CN"/>
        </w:rPr>
        <w:t>门诊审核需实现的其他功能</w:t>
      </w:r>
    </w:p>
    <w:p>
      <w:pPr>
        <w:snapToGrid w:val="0"/>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门急诊划价收费系统：保留医保下拉菜单内医保审核、医保结算类型修改、医保补核（已收费）、已审核医保查询、门规审核费用统计（按科室）、门规审核费用统计（按医生）、门规审核费用统计（按病种）职工门规患者费用查询 所有功能 以及电子病历查询功能。（备注：因医保局已将门规已改名为门慢，以上功能模块可以将统一改名为：门慢审核费用统计（按科室）、门慢审核费用统计（按医生）、门慢审核费用统计（按病种）职工门慢患者费用查询）</w:t>
      </w:r>
    </w:p>
    <w:p>
      <w:pPr>
        <w:snapToGrid w:val="0"/>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2、住院病人入出院收费结算系统：保留业务下拉菜单内的病人管理（医保用）、查询下拉菜单内的住院病人查询，医保下拉菜单内的入院审核、急诊转入院、住院病人性质变动功能的所有功能。</w:t>
      </w:r>
    </w:p>
    <w:p>
      <w:pPr>
        <w:snapToGrid w:val="0"/>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3、患者使用电子医保凭证直接建档，无需借助一卡通或者身份证。</w:t>
      </w:r>
    </w:p>
    <w:p>
      <w:pPr>
        <w:snapToGrid w:val="0"/>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4、除人工窗口外，支持患者使用医保卡或者医保电子凭证在自主机医保建档，显示正确医保性质。</w:t>
      </w:r>
    </w:p>
    <w:p>
      <w:pPr>
        <w:snapToGrid w:val="0"/>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5、支持患者使用医保卡或电子医保卡内的个账金额在诊室直接就诊，无需到收费窗口充值。</w:t>
      </w:r>
    </w:p>
    <w:p>
      <w:pPr>
        <w:snapToGrid w:val="0"/>
        <w:spacing w:line="360" w:lineRule="auto"/>
        <w:ind w:left="0" w:right="0" w:firstLine="480"/>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6、门诊统筹不足14天筹弹框提示（包括其他医院的就诊信息）。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3.1.2.2.4</w:t>
      </w:r>
      <w:r>
        <w:rPr>
          <w:rFonts w:hint="eastAsia" w:ascii="仿宋" w:hAnsi="仿宋" w:eastAsia="仿宋" w:cs="仿宋"/>
          <w:b w:val="0"/>
          <w:bCs w:val="0"/>
          <w:color w:val="auto"/>
          <w:sz w:val="24"/>
          <w:highlight w:val="none"/>
          <w:lang w:val="en-US" w:eastAsia="zh-CN"/>
        </w:rPr>
        <w:t>住院审核需实现的其他功能</w:t>
      </w:r>
    </w:p>
    <w:p>
      <w:p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1、医生生成限制用药医嘱时，his系统能够显示限制用药的限制条件，并能以红色醒目标识。</w:t>
      </w:r>
    </w:p>
    <w:p>
      <w:p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2、未及时办理医保登记的住院患者，his系统能够弹窗提示及时办理医保登记手续</w:t>
      </w:r>
    </w:p>
    <w:p>
      <w:p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3、住院医保患者收取医保目录外费用时（药品、材料、诊疗），his系统能够提示或阻止。</w:t>
      </w:r>
    </w:p>
    <w:p>
      <w:p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4、住院结算系统中菜单“医保”下“病历审核查询”保留原有界面功能，便于审核。</w:t>
      </w:r>
    </w:p>
    <w:p>
      <w:p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5、住院结算系统中菜单“新医保”下“费用上传生成凭单”保留原有界面功能。工伤、生育患者保留原系统操作功能</w:t>
      </w:r>
    </w:p>
    <w:p>
      <w:p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6、住院结算系统中菜单“新医保”下“费用上传生成凭单”下“患者费用明细”保留原有界面功能。</w:t>
      </w:r>
    </w:p>
    <w:p>
      <w:p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7、住院结算系统中菜单“查询”下“住院病人查询”保留原有界面功能</w:t>
      </w:r>
    </w:p>
    <w:p>
      <w:pPr>
        <w:numPr>
          <w:ilvl w:val="0"/>
          <w:numId w:val="6"/>
        </w:num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信息表的内容可参照现有模式，方便各种类型医保患者结算。</w:t>
      </w:r>
    </w:p>
    <w:p>
      <w:p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9、急诊转住院的病人，有急诊费用时，his系统能够显示，方便审核并上传急诊费用</w:t>
      </w:r>
    </w:p>
    <w:p>
      <w:pPr>
        <w:snapToGrid w:val="0"/>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10、以上功能显示限制用药建议参照现有模式，用红色显示，点击后能够查看限制条件，并能够根据患者情况修改医保比例。</w:t>
      </w:r>
    </w:p>
    <w:p>
      <w:pPr>
        <w:snapToGrid w:val="0"/>
        <w:spacing w:line="360" w:lineRule="auto"/>
        <w:ind w:left="0" w:right="0" w:firstLine="48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11、所有提交审核的医保病历，均能够查询到提交医保审核的时间、提交人员，以及审核通过的时间。</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3.1.2.2.5</w:t>
      </w:r>
      <w:r>
        <w:rPr>
          <w:rFonts w:hint="eastAsia" w:ascii="仿宋" w:hAnsi="仿宋" w:eastAsia="仿宋" w:cs="仿宋"/>
          <w:b w:val="0"/>
          <w:bCs w:val="0"/>
          <w:color w:val="auto"/>
          <w:sz w:val="24"/>
          <w:highlight w:val="none"/>
        </w:rPr>
        <w:t>数据上传</w:t>
      </w:r>
    </w:p>
    <w:p>
      <w:pPr>
        <w:pStyle w:val="148"/>
        <w:spacing w:before="46" w:after="46"/>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支持按照医保相关要求进行数据上传功能。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3.1.2.2.6</w:t>
      </w:r>
      <w:r>
        <w:rPr>
          <w:rFonts w:hint="eastAsia" w:ascii="仿宋" w:hAnsi="仿宋" w:eastAsia="仿宋" w:cs="仿宋"/>
          <w:b w:val="0"/>
          <w:bCs w:val="0"/>
          <w:color w:val="auto"/>
          <w:sz w:val="24"/>
          <w:highlight w:val="none"/>
        </w:rPr>
        <w:t>医保交易查询</w:t>
      </w:r>
    </w:p>
    <w:p>
      <w:pPr>
        <w:pStyle w:val="148"/>
        <w:spacing w:before="46" w:after="46"/>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支持按时间段查看医保交易数据的功能。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3.1.2.2.7</w:t>
      </w:r>
      <w:r>
        <w:rPr>
          <w:rFonts w:hint="eastAsia" w:ascii="仿宋" w:hAnsi="仿宋" w:eastAsia="仿宋" w:cs="仿宋"/>
          <w:b w:val="0"/>
          <w:bCs w:val="0"/>
          <w:color w:val="auto"/>
          <w:sz w:val="24"/>
          <w:highlight w:val="none"/>
        </w:rPr>
        <w:t>医保交易结算冲正</w:t>
      </w:r>
    </w:p>
    <w:p>
      <w:pPr>
        <w:pStyle w:val="148"/>
        <w:spacing w:before="46" w:after="46"/>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支持交易记录进行结算、取消结算的功能；支持对交易记录进行冲正的功能。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3.1.2.2.8</w:t>
      </w:r>
      <w:r>
        <w:rPr>
          <w:rFonts w:hint="eastAsia" w:ascii="仿宋" w:hAnsi="仿宋" w:eastAsia="仿宋" w:cs="仿宋"/>
          <w:b w:val="0"/>
          <w:bCs w:val="0"/>
          <w:color w:val="auto"/>
          <w:sz w:val="24"/>
          <w:highlight w:val="none"/>
        </w:rPr>
        <w:t>医保业务</w:t>
      </w:r>
    </w:p>
    <w:p>
      <w:pPr>
        <w:pStyle w:val="148"/>
        <w:spacing w:before="46" w:after="46"/>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支持门诊、住院医保业务如门诊慢病、住院入出院、医保结算、结算清单上传、医嘱、病案首页等诊疗信息上传。注：也可集成在其它系统。</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3.1.2.2.9</w:t>
      </w:r>
      <w:r>
        <w:rPr>
          <w:rFonts w:hint="eastAsia" w:ascii="仿宋" w:hAnsi="仿宋" w:eastAsia="仿宋" w:cs="仿宋"/>
          <w:b w:val="0"/>
          <w:bCs w:val="0"/>
          <w:color w:val="auto"/>
          <w:sz w:val="24"/>
          <w:highlight w:val="none"/>
        </w:rPr>
        <w:t>封装接口服务</w:t>
      </w:r>
    </w:p>
    <w:p>
      <w:pPr>
        <w:snapToGrid w:val="0"/>
        <w:spacing w:before="0" w:after="0" w:line="300" w:lineRule="auto"/>
        <w:ind w:left="0" w:right="0" w:firstLine="480"/>
        <w:contextualSpacing/>
        <w:rPr>
          <w:rFonts w:hint="eastAsia" w:ascii="仿宋" w:hAnsi="仿宋" w:eastAsia="仿宋" w:cs="仿宋"/>
          <w:b w:val="0"/>
          <w:bCs w:val="0"/>
          <w:color w:val="auto"/>
          <w:sz w:val="24"/>
          <w:highlight w:val="none"/>
        </w:rPr>
      </w:pPr>
      <w:r>
        <w:rPr>
          <w:rFonts w:hint="eastAsia" w:ascii="仿宋" w:hAnsi="仿宋" w:eastAsia="仿宋" w:cs="仿宋"/>
          <w:color w:val="auto"/>
          <w:kern w:val="0"/>
          <w:sz w:val="24"/>
          <w:highlight w:val="none"/>
        </w:rPr>
        <w:t>要求完成医保审核相关功能接口封装服务，与我院目前正在使用的其他系统交互对接。</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3.1.2.2.10</w:t>
      </w:r>
      <w:r>
        <w:rPr>
          <w:rFonts w:hint="eastAsia" w:ascii="仿宋" w:hAnsi="仿宋" w:eastAsia="仿宋" w:cs="仿宋"/>
          <w:b w:val="0"/>
          <w:bCs w:val="0"/>
          <w:color w:val="auto"/>
          <w:sz w:val="24"/>
          <w:highlight w:val="none"/>
        </w:rPr>
        <w:t>业务周期对账</w:t>
      </w:r>
    </w:p>
    <w:p>
      <w:pPr>
        <w:pStyle w:val="148"/>
        <w:spacing w:before="46" w:after="46"/>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 xml:space="preserve">支持按门诊、住院业务类别进行检索交易数据的功能；支持按对账状态检索业务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3.1.2.2.11</w:t>
      </w:r>
      <w:r>
        <w:rPr>
          <w:rFonts w:hint="eastAsia" w:ascii="仿宋" w:hAnsi="仿宋" w:eastAsia="仿宋" w:cs="仿宋"/>
          <w:b w:val="0"/>
          <w:bCs w:val="0"/>
          <w:color w:val="auto"/>
          <w:sz w:val="24"/>
          <w:highlight w:val="none"/>
        </w:rPr>
        <w:t>周期数据的功能</w:t>
      </w:r>
    </w:p>
    <w:p>
      <w:pPr>
        <w:pStyle w:val="148"/>
        <w:spacing w:before="46" w:after="46"/>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支持对交易记录进行对账处理的功能。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3.1.2.2.12</w:t>
      </w:r>
      <w:r>
        <w:rPr>
          <w:rFonts w:hint="eastAsia" w:ascii="仿宋" w:hAnsi="仿宋" w:eastAsia="仿宋" w:cs="仿宋"/>
          <w:b w:val="0"/>
          <w:bCs w:val="0"/>
          <w:color w:val="auto"/>
          <w:sz w:val="24"/>
          <w:highlight w:val="none"/>
        </w:rPr>
        <w:t>医保日对账</w:t>
      </w:r>
    </w:p>
    <w:p>
      <w:pPr>
        <w:pStyle w:val="148"/>
        <w:spacing w:before="46" w:after="46"/>
        <w:rPr>
          <w:rFonts w:hint="eastAsia" w:ascii="仿宋" w:hAnsi="仿宋" w:eastAsia="仿宋" w:cs="仿宋"/>
          <w:b w:val="0"/>
          <w:bCs w:val="0"/>
          <w:color w:val="auto"/>
          <w:sz w:val="24"/>
          <w:highlight w:val="none"/>
        </w:rPr>
      </w:pPr>
      <w:r>
        <w:rPr>
          <w:rFonts w:hint="eastAsia" w:ascii="仿宋" w:hAnsi="仿宋" w:eastAsia="仿宋" w:cs="仿宋"/>
          <w:color w:val="auto"/>
          <w:highlight w:val="none"/>
        </w:rPr>
        <w:t>支持按对账日进行对账的功能。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3.1.2.2.13</w:t>
      </w:r>
      <w:r>
        <w:rPr>
          <w:rFonts w:hint="eastAsia" w:ascii="仿宋" w:hAnsi="仿宋" w:eastAsia="仿宋" w:cs="仿宋"/>
          <w:b w:val="0"/>
          <w:bCs w:val="0"/>
          <w:color w:val="auto"/>
          <w:sz w:val="24"/>
          <w:highlight w:val="none"/>
        </w:rPr>
        <w:t>医保月对账</w:t>
      </w:r>
    </w:p>
    <w:p>
      <w:pPr>
        <w:pStyle w:val="148"/>
        <w:spacing w:before="46" w:after="46"/>
        <w:rPr>
          <w:rFonts w:hint="eastAsia" w:ascii="仿宋" w:hAnsi="仿宋" w:eastAsia="仿宋" w:cs="仿宋"/>
          <w:color w:val="auto"/>
          <w:sz w:val="24"/>
          <w:highlight w:val="none"/>
        </w:rPr>
      </w:pPr>
      <w:r>
        <w:rPr>
          <w:rFonts w:hint="eastAsia" w:ascii="仿宋" w:hAnsi="仿宋" w:eastAsia="仿宋" w:cs="仿宋"/>
          <w:color w:val="auto"/>
          <w:highlight w:val="none"/>
        </w:rPr>
        <w:t>支持按参保地类型进行检索数据的功能；支持对账、明细对账的功能；支持显示异常交易数据的功能。</w:t>
      </w:r>
    </w:p>
    <w:p>
      <w:pPr>
        <w:snapToGrid w:val="0"/>
        <w:spacing w:line="360" w:lineRule="auto"/>
        <w:ind w:left="0" w:right="0" w:firstLine="420"/>
        <w:rPr>
          <w:rFonts w:hint="eastAsia" w:ascii="仿宋" w:hAnsi="仿宋" w:eastAsia="仿宋" w:cs="仿宋"/>
          <w:color w:val="auto"/>
          <w:highlight w:val="none"/>
        </w:rPr>
      </w:pPr>
      <w:r>
        <w:rPr>
          <w:rFonts w:hint="eastAsia" w:ascii="仿宋" w:hAnsi="仿宋" w:eastAsia="仿宋" w:cs="仿宋"/>
          <w:color w:val="auto"/>
          <w:sz w:val="24"/>
          <w:highlight w:val="none"/>
        </w:rPr>
        <w:t>医保对账实现医保各个项目如居民大病保险、优抚补助等能按照时间段查询功能，实现HIS系统和地纬系统对应项目的数据一致。</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3.1.2.3</w:t>
      </w:r>
      <w:r>
        <w:rPr>
          <w:rFonts w:hint="eastAsia" w:ascii="仿宋" w:hAnsi="仿宋" w:eastAsia="仿宋" w:cs="仿宋"/>
          <w:color w:val="auto"/>
          <w:highlight w:val="none"/>
        </w:rPr>
        <w:t>医保补审</w:t>
      </w:r>
    </w:p>
    <w:p>
      <w:pPr>
        <w:pStyle w:val="148"/>
        <w:spacing w:before="46" w:after="46"/>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要求支持门诊医保修改处方类型及人工审核功能。</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8"/>
          <w:szCs w:val="21"/>
          <w:highlight w:val="none"/>
          <w:lang w:val="en-US" w:eastAsia="zh-CN" w:bidi="hi-IN"/>
        </w:rPr>
        <w:t xml:space="preserve">3.1.2.4 </w:t>
      </w:r>
      <w:r>
        <w:rPr>
          <w:rFonts w:hint="eastAsia" w:ascii="仿宋" w:hAnsi="仿宋" w:eastAsia="仿宋" w:cs="仿宋"/>
          <w:color w:val="auto"/>
          <w:highlight w:val="none"/>
          <w:lang w:val="en-US" w:eastAsia="zh-CN"/>
        </w:rPr>
        <w:t>DRG智能管理模块</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3.1.2.4.1</w:t>
      </w:r>
      <w:r>
        <w:rPr>
          <w:rFonts w:hint="eastAsia" w:ascii="仿宋" w:hAnsi="仿宋" w:eastAsia="仿宋" w:cs="仿宋"/>
          <w:b w:val="0"/>
          <w:bCs w:val="0"/>
          <w:color w:val="auto"/>
          <w:sz w:val="24"/>
          <w:highlight w:val="none"/>
          <w:lang w:val="en-US" w:eastAsia="zh-CN"/>
        </w:rPr>
        <w:t>医保结算清单智能管理模块</w:t>
      </w:r>
    </w:p>
    <w:p>
      <w:pPr>
        <w:snapToGrid w:val="0"/>
        <w:spacing w:line="360" w:lineRule="auto"/>
        <w:ind w:left="0" w:right="0" w:firstLine="480"/>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DRG医保结算清单上传前实现可编辑，并可与相关分组器相关联进行入组提示；对于DRG医保结算清单上无治疗的诊断，能智能化提示临床和管理人员。或在临床端实现双通路上传，即根据病案及医保结算清单的不同要求，编辑两套信息分别上传病案室及医保办。</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szCs w:val="28"/>
          <w:highlight w:val="none"/>
          <w:lang w:val="en-US" w:eastAsia="zh-CN" w:bidi="hi-IN"/>
        </w:rPr>
        <w:t>3.1.2.4.2</w:t>
      </w:r>
      <w:r>
        <w:rPr>
          <w:rFonts w:hint="eastAsia" w:ascii="仿宋" w:hAnsi="仿宋" w:eastAsia="仿宋" w:cs="仿宋"/>
          <w:b w:val="0"/>
          <w:bCs w:val="0"/>
          <w:color w:val="auto"/>
          <w:sz w:val="24"/>
          <w:highlight w:val="none"/>
          <w:lang w:val="en-US" w:eastAsia="zh-CN"/>
        </w:rPr>
        <w:t>DRG运行情况实时显示模块</w:t>
      </w:r>
    </w:p>
    <w:p>
      <w:pPr>
        <w:snapToGrid w:val="0"/>
        <w:spacing w:line="360" w:lineRule="auto"/>
        <w:ind w:left="0" w:right="0" w:firstLine="480"/>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lang w:val="en-US" w:eastAsia="zh-CN"/>
        </w:rPr>
        <w:t>医保结算清单生成后，将该病例的预分组结果，结余超支，高低倍率等情况实时累计到患者出院科室，实时显示，方便医保办整体把握。</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szCs w:val="28"/>
          <w:highlight w:val="none"/>
          <w:lang w:val="en-US" w:eastAsia="zh-CN" w:bidi="hi-IN"/>
        </w:rPr>
        <w:t>3.1.2.4.3</w:t>
      </w:r>
      <w:r>
        <w:rPr>
          <w:rFonts w:hint="eastAsia" w:ascii="仿宋" w:hAnsi="仿宋" w:eastAsia="仿宋" w:cs="仿宋"/>
          <w:b w:val="0"/>
          <w:bCs w:val="0"/>
          <w:color w:val="auto"/>
          <w:sz w:val="24"/>
          <w:highlight w:val="none"/>
          <w:lang w:val="en-US" w:eastAsia="zh-CN"/>
        </w:rPr>
        <w:t>DRG智能审核模块</w:t>
      </w:r>
    </w:p>
    <w:p>
      <w:pPr>
        <w:snapToGrid w:val="0"/>
        <w:spacing w:line="360" w:lineRule="auto"/>
        <w:ind w:left="0" w:right="0" w:firstLine="0"/>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 xml:space="preserve">    支持DRG审核规则库的维护功能，实现对DRG分解住院、高套分组等违规情形的智能审核功能。</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3.1.2.5</w:t>
      </w:r>
      <w:r>
        <w:rPr>
          <w:rFonts w:hint="eastAsia" w:ascii="仿宋" w:hAnsi="仿宋" w:eastAsia="仿宋" w:cs="仿宋"/>
          <w:color w:val="auto"/>
          <w:highlight w:val="none"/>
          <w:lang w:val="en-US" w:eastAsia="zh-CN"/>
        </w:rPr>
        <w:t>配合国家及地方各项医保政策落地，支持适时新增模块</w:t>
      </w:r>
    </w:p>
    <w:p>
      <w:pPr>
        <w:pStyle w:val="148"/>
        <w:spacing w:before="46" w:after="46"/>
        <w:rPr>
          <w:rFonts w:hint="eastAsia" w:ascii="仿宋" w:hAnsi="仿宋" w:eastAsia="仿宋" w:cs="仿宋"/>
          <w:color w:val="auto"/>
          <w:highlight w:val="none"/>
        </w:rPr>
      </w:pPr>
      <w:r>
        <w:rPr>
          <w:rFonts w:hint="eastAsia" w:ascii="仿宋" w:hAnsi="仿宋" w:eastAsia="仿宋" w:cs="仿宋"/>
          <w:color w:val="auto"/>
          <w:highlight w:val="none"/>
        </w:rPr>
        <w:t>国家码贯标工作、鲁医保接口对接、家庭共济账户、配合医保飞检、医保电子处方流转、门诊统筹弹框提示、电子医保凭证全流程、手机移动支付对接、生育联网结算走门诊统筹等各种医保政策的落地和接口对接改造。</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14" w:name="_Toc13037"/>
      <w:bookmarkStart w:id="315" w:name="_Toc4633"/>
      <w:r>
        <w:rPr>
          <w:rFonts w:hint="eastAsia" w:ascii="仿宋" w:hAnsi="仿宋" w:eastAsia="仿宋" w:cs="仿宋"/>
          <w:b/>
          <w:bCs/>
          <w:color w:val="auto"/>
          <w:sz w:val="28"/>
          <w:szCs w:val="28"/>
          <w:highlight w:val="none"/>
          <w:lang w:val="en-US" w:eastAsia="zh-CN" w:bidi="hi-IN"/>
        </w:rPr>
        <w:t>3.1.3</w:t>
      </w:r>
      <w:r>
        <w:rPr>
          <w:rFonts w:hint="eastAsia" w:ascii="仿宋" w:hAnsi="仿宋" w:eastAsia="仿宋" w:cs="仿宋"/>
          <w:color w:val="auto"/>
          <w:highlight w:val="none"/>
        </w:rPr>
        <w:t>住院登记结算模块</w:t>
      </w:r>
      <w:bookmarkEnd w:id="314"/>
      <w:bookmarkEnd w:id="315"/>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3.1.3.1</w:t>
      </w:r>
      <w:r>
        <w:rPr>
          <w:rFonts w:hint="eastAsia" w:ascii="仿宋" w:hAnsi="仿宋" w:eastAsia="仿宋" w:cs="仿宋"/>
          <w:color w:val="auto"/>
          <w:highlight w:val="none"/>
        </w:rPr>
        <w:t>住院登记</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3.1.3.1.1</w:t>
      </w:r>
      <w:r>
        <w:rPr>
          <w:rFonts w:hint="eastAsia" w:ascii="仿宋" w:hAnsi="仿宋" w:eastAsia="仿宋" w:cs="仿宋"/>
          <w:b w:val="0"/>
          <w:bCs w:val="0"/>
          <w:color w:val="auto"/>
          <w:sz w:val="24"/>
          <w:szCs w:val="24"/>
          <w:highlight w:val="none"/>
        </w:rPr>
        <w:t>入院登记</w:t>
      </w:r>
    </w:p>
    <w:p>
      <w:pPr>
        <w:pStyle w:val="148"/>
        <w:spacing w:before="0" w:after="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要求支持为患者完善基本信息，并建立入院档案生成住院号。复诊患者，要求可通过患者主索引读取相关信息</w:t>
      </w:r>
      <w:r>
        <w:rPr>
          <w:rFonts w:hint="eastAsia" w:ascii="仿宋" w:hAnsi="仿宋" w:eastAsia="仿宋" w:cs="仿宋"/>
          <w:color w:val="auto"/>
          <w:highlight w:val="none"/>
          <w:lang w:val="en-US" w:eastAsia="zh-CN"/>
        </w:rPr>
        <w:t>并</w:t>
      </w:r>
      <w:r>
        <w:rPr>
          <w:rFonts w:hint="eastAsia" w:ascii="仿宋" w:hAnsi="仿宋" w:eastAsia="仿宋" w:cs="仿宋"/>
          <w:color w:val="auto"/>
          <w:highlight w:val="none"/>
          <w:lang w:eastAsia="zh-CN"/>
        </w:rPr>
        <w:t>实现一号制</w:t>
      </w:r>
      <w:r>
        <w:rPr>
          <w:rFonts w:hint="eastAsia" w:ascii="仿宋" w:hAnsi="仿宋" w:eastAsia="仿宋" w:cs="仿宋"/>
          <w:color w:val="auto"/>
          <w:highlight w:val="none"/>
        </w:rPr>
        <w:t>。对于尚未入病区的患者，要求可以修改病区。要求支持登记需要预约床位的患者。</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3.1.3.1.2</w:t>
      </w:r>
      <w:r>
        <w:rPr>
          <w:rFonts w:hint="eastAsia" w:ascii="仿宋" w:hAnsi="仿宋" w:eastAsia="仿宋" w:cs="仿宋"/>
          <w:b w:val="0"/>
          <w:bCs w:val="0"/>
          <w:color w:val="auto"/>
          <w:sz w:val="24"/>
          <w:szCs w:val="24"/>
          <w:highlight w:val="none"/>
        </w:rPr>
        <w:t>医保登记</w:t>
      </w:r>
    </w:p>
    <w:p>
      <w:pPr>
        <w:pStyle w:val="148"/>
        <w:spacing w:before="0" w:after="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要求提供对已入院、需要做收费结算的医保患者进行医保登记的功能。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3.1.3.1.3</w:t>
      </w:r>
      <w:r>
        <w:rPr>
          <w:rFonts w:hint="eastAsia" w:ascii="仿宋" w:hAnsi="仿宋" w:eastAsia="仿宋" w:cs="仿宋"/>
          <w:b w:val="0"/>
          <w:bCs w:val="0"/>
          <w:color w:val="auto"/>
          <w:sz w:val="24"/>
          <w:szCs w:val="24"/>
          <w:highlight w:val="none"/>
        </w:rPr>
        <w:t>取消医保登记</w:t>
      </w:r>
    </w:p>
    <w:p>
      <w:pPr>
        <w:pStyle w:val="148"/>
        <w:spacing w:before="0" w:after="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要求提供对已进行过医保登记的医保患者，进行取消登记的功能。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3.1.3.1.4</w:t>
      </w:r>
      <w:r>
        <w:rPr>
          <w:rFonts w:hint="eastAsia" w:ascii="仿宋" w:hAnsi="仿宋" w:eastAsia="仿宋" w:cs="仿宋"/>
          <w:b w:val="0"/>
          <w:bCs w:val="0"/>
          <w:color w:val="auto"/>
          <w:sz w:val="24"/>
          <w:szCs w:val="24"/>
          <w:highlight w:val="none"/>
        </w:rPr>
        <w:t>退院</w:t>
      </w:r>
    </w:p>
    <w:p>
      <w:pPr>
        <w:pStyle w:val="148"/>
        <w:spacing w:before="0" w:after="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要求对尚未入病区的患者，可以取消患者的入院状态。如已分配了病区和床位，但没有发生实际费用，可由病区先办理出区，再做退院。</w:t>
      </w:r>
      <w:r>
        <w:rPr>
          <w:rFonts w:hint="eastAsia" w:ascii="仿宋" w:hAnsi="仿宋" w:eastAsia="仿宋" w:cs="仿宋"/>
          <w:color w:val="auto"/>
          <w:highlight w:val="none"/>
          <w:lang w:val="en-US" w:eastAsia="zh-CN"/>
        </w:rPr>
        <w:t>支持住院处做无费用直接退院；</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3.1.3.1.5</w:t>
      </w:r>
      <w:r>
        <w:rPr>
          <w:rFonts w:hint="eastAsia" w:ascii="仿宋" w:hAnsi="仿宋" w:eastAsia="仿宋" w:cs="仿宋"/>
          <w:b w:val="0"/>
          <w:bCs w:val="0"/>
          <w:color w:val="auto"/>
          <w:sz w:val="24"/>
          <w:szCs w:val="24"/>
          <w:highlight w:val="none"/>
        </w:rPr>
        <w:t>患者信息修改</w:t>
      </w:r>
    </w:p>
    <w:p>
      <w:pPr>
        <w:pStyle w:val="148"/>
        <w:spacing w:before="0" w:after="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要求提供对患者基本信息、就诊信息修改功能。例如修改患者出生日期、费别等。</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3.1.3.1.6</w:t>
      </w:r>
      <w:r>
        <w:rPr>
          <w:rFonts w:hint="eastAsia" w:ascii="仿宋" w:hAnsi="仿宋" w:eastAsia="仿宋" w:cs="仿宋"/>
          <w:b w:val="0"/>
          <w:bCs w:val="0"/>
          <w:color w:val="auto"/>
          <w:sz w:val="24"/>
          <w:szCs w:val="24"/>
          <w:highlight w:val="none"/>
        </w:rPr>
        <w:t>患者信息修改查询</w:t>
      </w:r>
    </w:p>
    <w:p>
      <w:pPr>
        <w:pStyle w:val="148"/>
        <w:spacing w:before="0" w:after="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要求支持收费员可以查询患者信息所做的变更记录。</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3.1.3.1.7</w:t>
      </w:r>
      <w:r>
        <w:rPr>
          <w:rFonts w:hint="eastAsia" w:ascii="仿宋" w:hAnsi="仿宋" w:eastAsia="仿宋" w:cs="仿宋"/>
          <w:b w:val="0"/>
          <w:bCs w:val="0"/>
          <w:color w:val="auto"/>
          <w:sz w:val="24"/>
          <w:szCs w:val="24"/>
          <w:highlight w:val="none"/>
        </w:rPr>
        <w:t>封装接口服务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要求完成住院登记相关功能接口封装服务，与我院目前正在使用的其他系统交互对接。</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3.1.3.2</w:t>
      </w:r>
      <w:r>
        <w:rPr>
          <w:rFonts w:hint="eastAsia" w:ascii="仿宋" w:hAnsi="仿宋" w:eastAsia="仿宋" w:cs="仿宋"/>
          <w:color w:val="auto"/>
          <w:highlight w:val="none"/>
        </w:rPr>
        <w:t>缴款管理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3.1.3.2.1</w:t>
      </w:r>
      <w:r>
        <w:rPr>
          <w:rFonts w:hint="eastAsia" w:ascii="仿宋" w:hAnsi="仿宋" w:eastAsia="仿宋" w:cs="仿宋"/>
          <w:b w:val="0"/>
          <w:bCs w:val="0"/>
          <w:color w:val="auto"/>
          <w:sz w:val="24"/>
          <w:szCs w:val="24"/>
          <w:highlight w:val="none"/>
        </w:rPr>
        <w:t>押金收据管理</w:t>
      </w:r>
    </w:p>
    <w:p>
      <w:pPr>
        <w:pStyle w:val="148"/>
        <w:spacing w:before="0" w:after="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要求支持押金收据购入、发放、转交。</w:t>
      </w:r>
      <w:r>
        <w:rPr>
          <w:rFonts w:hint="eastAsia" w:ascii="仿宋" w:hAnsi="仿宋" w:eastAsia="仿宋" w:cs="仿宋"/>
          <w:color w:val="auto"/>
          <w:highlight w:val="none"/>
          <w:lang w:eastAsia="zh-CN"/>
        </w:rPr>
        <w:t>要求退院及特殊情况退款有明确标识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3.1.3.2.2</w:t>
      </w:r>
      <w:r>
        <w:rPr>
          <w:rFonts w:hint="eastAsia" w:ascii="仿宋" w:hAnsi="仿宋" w:eastAsia="仿宋" w:cs="仿宋"/>
          <w:b w:val="0"/>
          <w:bCs w:val="0"/>
          <w:color w:val="auto"/>
          <w:sz w:val="24"/>
          <w:szCs w:val="24"/>
          <w:highlight w:val="none"/>
        </w:rPr>
        <w:t>住院发票管理</w:t>
      </w:r>
    </w:p>
    <w:p>
      <w:pPr>
        <w:pStyle w:val="148"/>
        <w:spacing w:before="0" w:after="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要求支持发票购入、发放、转交。</w:t>
      </w:r>
      <w:r>
        <w:rPr>
          <w:rFonts w:hint="eastAsia" w:ascii="仿宋" w:hAnsi="仿宋" w:eastAsia="仿宋" w:cs="仿宋"/>
          <w:color w:val="auto"/>
          <w:highlight w:val="none"/>
          <w:lang w:eastAsia="zh-CN"/>
        </w:rPr>
        <w:t>要与我院现有电子票据实际情况相对接</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3.1.3.2.3</w:t>
      </w:r>
      <w:r>
        <w:rPr>
          <w:rFonts w:hint="eastAsia" w:ascii="仿宋" w:hAnsi="仿宋" w:eastAsia="仿宋" w:cs="仿宋"/>
          <w:b w:val="0"/>
          <w:bCs w:val="0"/>
          <w:color w:val="auto"/>
          <w:sz w:val="24"/>
          <w:szCs w:val="24"/>
          <w:highlight w:val="none"/>
        </w:rPr>
        <w:t>收押金</w:t>
      </w:r>
    </w:p>
    <w:p>
      <w:pPr>
        <w:pStyle w:val="148"/>
        <w:spacing w:before="0" w:after="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要求可以按照各种支付方式收取押金，如现金、支票、微信、支付宝、汇票等。</w:t>
      </w:r>
      <w:r>
        <w:rPr>
          <w:rFonts w:hint="eastAsia" w:ascii="仿宋" w:hAnsi="仿宋" w:eastAsia="仿宋" w:cs="仿宋"/>
          <w:color w:val="auto"/>
          <w:highlight w:val="none"/>
          <w:lang w:val="en-US" w:eastAsia="zh-CN"/>
        </w:rPr>
        <w:t>配合公众号实现线上</w:t>
      </w:r>
      <w:r>
        <w:rPr>
          <w:rFonts w:hint="eastAsia" w:ascii="仿宋" w:hAnsi="仿宋" w:eastAsia="仿宋" w:cs="仿宋"/>
          <w:color w:val="auto"/>
          <w:highlight w:val="none"/>
          <w:lang w:eastAsia="zh-CN"/>
        </w:rPr>
        <w:t>腕带付</w:t>
      </w:r>
      <w:r>
        <w:rPr>
          <w:rFonts w:hint="eastAsia" w:ascii="仿宋" w:hAnsi="仿宋" w:eastAsia="仿宋" w:cs="仿宋"/>
          <w:color w:val="auto"/>
          <w:highlight w:val="none"/>
          <w:lang w:val="en-US" w:eastAsia="zh-CN"/>
        </w:rPr>
        <w:t>和充交押金。</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3.1.3.2.4</w:t>
      </w:r>
      <w:r>
        <w:rPr>
          <w:rFonts w:hint="eastAsia" w:ascii="仿宋" w:hAnsi="仿宋" w:eastAsia="仿宋" w:cs="仿宋"/>
          <w:b w:val="0"/>
          <w:bCs w:val="0"/>
          <w:color w:val="auto"/>
          <w:sz w:val="24"/>
          <w:szCs w:val="24"/>
          <w:highlight w:val="none"/>
        </w:rPr>
        <w:t>封装接口服务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要求完成缴款管理相关功能接口封装服务，与我院目前正在使用的其他系统交互对接。</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3.1.3.3</w:t>
      </w:r>
      <w:r>
        <w:rPr>
          <w:rFonts w:hint="eastAsia" w:ascii="仿宋" w:hAnsi="仿宋" w:eastAsia="仿宋" w:cs="仿宋"/>
          <w:color w:val="auto"/>
          <w:highlight w:val="none"/>
        </w:rPr>
        <w:t>退款管理</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要求支持在押金没有结算的情况下，可以给病人退押金，并打印押金收据。</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要求支持作废重复打印押金收据。</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要求支持在押金收据打印异常的情况下，可以作废异常的押金收据，并重复打印新的押金收据；</w:t>
      </w:r>
    </w:p>
    <w:p>
      <w:pPr>
        <w:pStyle w:val="6"/>
        <w:numPr>
          <w:ilvl w:val="0"/>
          <w:numId w:val="0"/>
        </w:numPr>
        <w:tabs>
          <w:tab w:val="left" w:pos="1006"/>
        </w:tabs>
        <w:ind w:left="864" w:leftChars="0" w:hanging="864" w:firstLineChars="0"/>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0"/>
          <w:highlight w:val="none"/>
          <w:lang w:val="en-US" w:eastAsia="zh-CN" w:bidi="hi-IN"/>
        </w:rPr>
        <w:t>3.1.3.4</w:t>
      </w:r>
      <w:r>
        <w:rPr>
          <w:rFonts w:hint="eastAsia" w:ascii="仿宋" w:hAnsi="仿宋" w:eastAsia="仿宋" w:cs="仿宋"/>
          <w:color w:val="auto"/>
          <w:highlight w:val="none"/>
        </w:rPr>
        <w:t>费用</w:t>
      </w:r>
      <w:r>
        <w:rPr>
          <w:rFonts w:hint="eastAsia" w:ascii="仿宋" w:hAnsi="仿宋" w:eastAsia="仿宋" w:cs="仿宋"/>
          <w:color w:val="auto"/>
          <w:highlight w:val="none"/>
          <w:lang w:val="en-US" w:eastAsia="zh-CN"/>
        </w:rPr>
        <w:t>管理</w:t>
      </w:r>
    </w:p>
    <w:p>
      <w:pPr>
        <w:pStyle w:val="148"/>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ab/>
      </w:r>
      <w:r>
        <w:rPr>
          <w:rFonts w:hint="eastAsia" w:ascii="仿宋" w:hAnsi="仿宋" w:eastAsia="仿宋" w:cs="仿宋"/>
          <w:color w:val="auto"/>
          <w:highlight w:val="none"/>
          <w:lang w:val="en-US" w:eastAsia="zh-CN"/>
        </w:rPr>
        <w:t>支持住院处记账功能，根据住院号可以给患者录入相关费用。</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要求支持费用退费管理，要求系统保留原收费记录，并且将退费金额结算到当天（具有冲帐功能）。</w:t>
      </w:r>
      <w:r>
        <w:rPr>
          <w:rFonts w:hint="eastAsia" w:ascii="仿宋" w:hAnsi="仿宋" w:eastAsia="仿宋" w:cs="仿宋"/>
          <w:color w:val="auto"/>
          <w:highlight w:val="none"/>
          <w:lang w:eastAsia="zh-CN"/>
        </w:rPr>
        <w:t>退费权限只能在住院部，要有当日退费报表功能。</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3.1.3.5</w:t>
      </w:r>
      <w:r>
        <w:rPr>
          <w:rFonts w:hint="eastAsia" w:ascii="仿宋" w:hAnsi="仿宋" w:eastAsia="仿宋" w:cs="仿宋"/>
          <w:color w:val="auto"/>
          <w:highlight w:val="none"/>
        </w:rPr>
        <w:t>医技退费</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要求支持医技收费项目退费管理功能，要求系统保留原收费记录，并且将退费金额结算到当天（具有冲帐功能）。</w:t>
      </w:r>
      <w:r>
        <w:rPr>
          <w:rFonts w:hint="eastAsia" w:ascii="仿宋" w:hAnsi="仿宋" w:eastAsia="仿宋" w:cs="仿宋"/>
          <w:color w:val="auto"/>
          <w:highlight w:val="none"/>
          <w:lang w:eastAsia="zh-CN"/>
        </w:rPr>
        <w:t>退费权限只能在住院部，要有医技退费当日报表，与普通退费分开。</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3.1.3.6</w:t>
      </w:r>
      <w:r>
        <w:rPr>
          <w:rFonts w:hint="eastAsia" w:ascii="仿宋" w:hAnsi="仿宋" w:eastAsia="仿宋" w:cs="仿宋"/>
          <w:color w:val="auto"/>
          <w:highlight w:val="none"/>
        </w:rPr>
        <w:t>费用结算</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要求支持多种结算方式，要求实现与医保系统的接口封装服务，主要功能要求包括但不局限于以下内容：</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3.1.3.6.1</w:t>
      </w:r>
      <w:r>
        <w:rPr>
          <w:rFonts w:hint="eastAsia" w:ascii="仿宋" w:hAnsi="仿宋" w:eastAsia="仿宋" w:cs="仿宋"/>
          <w:b w:val="0"/>
          <w:bCs w:val="0"/>
          <w:color w:val="auto"/>
          <w:sz w:val="24"/>
          <w:szCs w:val="24"/>
          <w:highlight w:val="none"/>
        </w:rPr>
        <w:t>预结算</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根据病人的收费类别（包括医保、公医、本院职工、特殊比例等）预先计算本次住院的所有未结算医嘱的费用总额，折扣金额，记账金额，自付费用。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3.1.3.6.2</w:t>
      </w:r>
      <w:r>
        <w:rPr>
          <w:rFonts w:hint="eastAsia" w:ascii="仿宋" w:hAnsi="仿宋" w:eastAsia="仿宋" w:cs="仿宋"/>
          <w:b w:val="0"/>
          <w:bCs w:val="0"/>
          <w:color w:val="auto"/>
          <w:sz w:val="24"/>
          <w:szCs w:val="24"/>
          <w:highlight w:val="none"/>
        </w:rPr>
        <w:t>住院费用核查</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要求支持对费用有问题的医嘱或不合规的收费进行把控、调整、费用补查，减少因费用问题引起的不必要的医患矛盾。</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3.1.3.6.3</w:t>
      </w:r>
      <w:r>
        <w:rPr>
          <w:rFonts w:hint="eastAsia" w:ascii="仿宋" w:hAnsi="仿宋" w:eastAsia="仿宋" w:cs="仿宋"/>
          <w:b w:val="0"/>
          <w:bCs w:val="0"/>
          <w:color w:val="auto"/>
          <w:sz w:val="24"/>
          <w:szCs w:val="24"/>
          <w:highlight w:val="none"/>
        </w:rPr>
        <w:t>中途结算</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要求支持可以按某段时间或某些医嘱等规则拆分出一个账单进行结算。要求支持医保病人结算。</w:t>
      </w:r>
      <w:r>
        <w:rPr>
          <w:rFonts w:hint="eastAsia" w:ascii="仿宋" w:hAnsi="仿宋" w:eastAsia="仿宋" w:cs="仿宋"/>
          <w:color w:val="auto"/>
          <w:highlight w:val="none"/>
          <w:lang w:val="en-US" w:eastAsia="zh-CN"/>
        </w:rPr>
        <w:t>时间精确到秒级，避免出现时间和医嘱费用误差。</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3.1.3.6.4</w:t>
      </w:r>
      <w:r>
        <w:rPr>
          <w:rFonts w:hint="eastAsia" w:ascii="仿宋" w:hAnsi="仿宋" w:eastAsia="仿宋" w:cs="仿宋"/>
          <w:b w:val="0"/>
          <w:bCs w:val="0"/>
          <w:color w:val="auto"/>
          <w:sz w:val="24"/>
          <w:szCs w:val="24"/>
          <w:highlight w:val="none"/>
        </w:rPr>
        <w:t>“欠费/结存”结算</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年终由于涉及到结算本年度的账，要求支持后续产生的费用算入下一年。要求支持可以选择“欠费/结存”的支付方式来结算。</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3.1.3.6.5</w:t>
      </w:r>
      <w:r>
        <w:rPr>
          <w:rFonts w:hint="eastAsia" w:ascii="仿宋" w:hAnsi="仿宋" w:eastAsia="仿宋" w:cs="仿宋"/>
          <w:b w:val="0"/>
          <w:bCs w:val="0"/>
          <w:color w:val="auto"/>
          <w:sz w:val="24"/>
          <w:szCs w:val="24"/>
          <w:highlight w:val="none"/>
        </w:rPr>
        <w:t>欠费患者转出与补交</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要求支持对以“欠费/结存”结算的费用等后面患者来办理财务结算时，再“补交/退回”差额。</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3.1.3.6.6</w:t>
      </w:r>
      <w:r>
        <w:rPr>
          <w:rFonts w:hint="eastAsia" w:ascii="仿宋" w:hAnsi="仿宋" w:eastAsia="仿宋" w:cs="仿宋"/>
          <w:b w:val="0"/>
          <w:bCs w:val="0"/>
          <w:color w:val="auto"/>
          <w:sz w:val="24"/>
          <w:szCs w:val="24"/>
          <w:highlight w:val="none"/>
        </w:rPr>
        <w:t>出院结算</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核对病人帐单费用总额，自付金额和押金总额无误后，办理病人出院，可以对病人多退或少补选择一种或多种支付方式进行结算，打印出院发票，并做财务结算。</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3.1.3.6.7</w:t>
      </w:r>
      <w:r>
        <w:rPr>
          <w:rFonts w:hint="eastAsia" w:ascii="仿宋" w:hAnsi="仿宋" w:eastAsia="仿宋" w:cs="仿宋"/>
          <w:b w:val="0"/>
          <w:bCs w:val="0"/>
          <w:color w:val="auto"/>
          <w:sz w:val="24"/>
          <w:szCs w:val="24"/>
          <w:highlight w:val="none"/>
        </w:rPr>
        <w:t>已出院病人结算</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可以按要求调整打印票据。医保病人，医保办将保险结算费用有调整后，可重新打印票据。此项功能仅限于有权限人员操作。</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3.1.3.6.8</w:t>
      </w:r>
      <w:r>
        <w:rPr>
          <w:rFonts w:hint="eastAsia" w:ascii="仿宋" w:hAnsi="仿宋" w:eastAsia="仿宋" w:cs="仿宋"/>
          <w:b w:val="0"/>
          <w:bCs w:val="0"/>
          <w:color w:val="auto"/>
          <w:sz w:val="24"/>
          <w:szCs w:val="24"/>
          <w:highlight w:val="none"/>
        </w:rPr>
        <w:t>单项目结算</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对于费用较高的项目支持单独结算打印发票。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3.1.3.6.9</w:t>
      </w:r>
      <w:r>
        <w:rPr>
          <w:rFonts w:hint="eastAsia" w:ascii="仿宋" w:hAnsi="仿宋" w:eastAsia="仿宋" w:cs="仿宋"/>
          <w:b w:val="0"/>
          <w:bCs w:val="0"/>
          <w:color w:val="auto"/>
          <w:sz w:val="24"/>
          <w:szCs w:val="24"/>
          <w:highlight w:val="none"/>
        </w:rPr>
        <w:t>特殊收费类别结算</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无论病人是整个住院期间、还是其中一段时间是按照特殊收费类别，其结算发票可以按类别来分时间段打印，而且加收与正常收费部分的帐可以分开结算，打印发票。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3.1.3.6.10</w:t>
      </w:r>
      <w:r>
        <w:rPr>
          <w:rFonts w:hint="eastAsia" w:ascii="仿宋" w:hAnsi="仿宋" w:eastAsia="仿宋" w:cs="仿宋"/>
          <w:b w:val="0"/>
          <w:bCs w:val="0"/>
          <w:color w:val="auto"/>
          <w:sz w:val="24"/>
          <w:szCs w:val="24"/>
          <w:highlight w:val="none"/>
        </w:rPr>
        <w:t>支持本院职工结算</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对于本院职工能够按照自己本院制定的收费标准进行结算。</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3.1.3.6.11</w:t>
      </w:r>
      <w:r>
        <w:rPr>
          <w:rFonts w:hint="eastAsia" w:ascii="仿宋" w:hAnsi="仿宋" w:eastAsia="仿宋" w:cs="仿宋"/>
          <w:b w:val="0"/>
          <w:bCs w:val="0"/>
          <w:color w:val="auto"/>
          <w:sz w:val="24"/>
          <w:szCs w:val="24"/>
          <w:highlight w:val="none"/>
        </w:rPr>
        <w:t>封装接口服务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要求完成费用结算相关功能接口封装服务，与我院目前正在使用的其他系统交互对接。</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3.1.3.7</w:t>
      </w:r>
      <w:r>
        <w:rPr>
          <w:rFonts w:hint="eastAsia" w:ascii="仿宋" w:hAnsi="仿宋" w:eastAsia="仿宋" w:cs="仿宋"/>
          <w:color w:val="auto"/>
          <w:highlight w:val="none"/>
        </w:rPr>
        <w:t>取消结算</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要求支持如果病人出院结算后发现费用有错误，收款员可以取消病人出院结算，取消结算后，</w:t>
      </w:r>
      <w:r>
        <w:rPr>
          <w:rFonts w:hint="eastAsia" w:ascii="仿宋" w:hAnsi="仿宋" w:eastAsia="仿宋" w:cs="仿宋"/>
          <w:color w:val="auto"/>
          <w:highlight w:val="none"/>
          <w:lang w:val="en-US" w:eastAsia="zh-CN"/>
        </w:rPr>
        <w:t>重收归还押金，</w:t>
      </w:r>
      <w:r>
        <w:rPr>
          <w:rFonts w:hint="eastAsia" w:ascii="仿宋" w:hAnsi="仿宋" w:eastAsia="仿宋" w:cs="仿宋"/>
          <w:color w:val="auto"/>
          <w:highlight w:val="none"/>
        </w:rPr>
        <w:t>押金回到未结算的状态，然后医生对错误的医嘱调整后，收费员进行帐单，重新计算病人的费用总额，自付费用等，收费员确认费用无误后，重新办理病人出院结算，</w:t>
      </w:r>
      <w:r>
        <w:rPr>
          <w:rFonts w:hint="eastAsia" w:ascii="仿宋" w:hAnsi="仿宋" w:eastAsia="仿宋" w:cs="仿宋"/>
          <w:color w:val="auto"/>
          <w:highlight w:val="none"/>
          <w:lang w:val="en-US" w:eastAsia="zh-CN"/>
        </w:rPr>
        <w:t>控制好取消结算和重新结算的押金收取和退还，</w:t>
      </w:r>
      <w:r>
        <w:rPr>
          <w:rFonts w:hint="eastAsia" w:ascii="仿宋" w:hAnsi="仿宋" w:eastAsia="仿宋" w:cs="仿宋"/>
          <w:color w:val="auto"/>
          <w:highlight w:val="none"/>
        </w:rPr>
        <w:t>重新打印发票并打印费用明细单给病人。</w:t>
      </w:r>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3.1.3.8</w:t>
      </w:r>
      <w:r>
        <w:rPr>
          <w:rFonts w:hint="eastAsia" w:ascii="仿宋" w:hAnsi="仿宋" w:eastAsia="仿宋" w:cs="仿宋"/>
          <w:color w:val="auto"/>
          <w:highlight w:val="none"/>
        </w:rPr>
        <w:t>电子发票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要求实现住院交押金、住院收费结算时开具电子票，以及批量开具电子票。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3.1.3.8.1</w:t>
      </w:r>
      <w:r>
        <w:rPr>
          <w:rFonts w:hint="eastAsia" w:ascii="仿宋" w:hAnsi="仿宋" w:eastAsia="仿宋" w:cs="仿宋"/>
          <w:b w:val="0"/>
          <w:bCs w:val="0"/>
          <w:color w:val="auto"/>
          <w:sz w:val="24"/>
          <w:szCs w:val="24"/>
          <w:highlight w:val="none"/>
        </w:rPr>
        <w:t>电子票冲红</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要求支持对已经开具电子票据后需要退费的场景，医院需要将患者的原电子票据进行冲红。以防票据重复使用。急诊/日间转入院后，原门诊生成的急诊/日间电子票据也要冲红。</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3.1.3.8.2</w:t>
      </w:r>
      <w:r>
        <w:rPr>
          <w:rFonts w:hint="eastAsia" w:ascii="仿宋" w:hAnsi="仿宋" w:eastAsia="仿宋" w:cs="仿宋"/>
          <w:b w:val="0"/>
          <w:bCs w:val="0"/>
          <w:color w:val="auto"/>
          <w:sz w:val="24"/>
          <w:szCs w:val="24"/>
          <w:highlight w:val="none"/>
        </w:rPr>
        <w:t>换开纸质票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要求实现将生成的挂号电子票据、门诊电子票据、住院预交金电子票据、住院电子票据转换成对应业务的纸质票据，并打印。</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3.1.3.8.3</w:t>
      </w:r>
      <w:r>
        <w:rPr>
          <w:rFonts w:hint="eastAsia" w:ascii="仿宋" w:hAnsi="仿宋" w:eastAsia="仿宋" w:cs="仿宋"/>
          <w:b w:val="0"/>
          <w:bCs w:val="0"/>
          <w:color w:val="auto"/>
          <w:sz w:val="24"/>
          <w:szCs w:val="24"/>
          <w:highlight w:val="none"/>
        </w:rPr>
        <w:t>作废纸质票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要求支持患者开具纸质票具有损坏或者不能正常使时，医院需要将原纸质票据作废。如果产生退费，需要先作废纸质票据后在冲红对应电子票，以防票据重复使用。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3.1.3.8.4</w:t>
      </w:r>
      <w:r>
        <w:rPr>
          <w:rFonts w:hint="eastAsia" w:ascii="仿宋" w:hAnsi="仿宋" w:eastAsia="仿宋" w:cs="仿宋"/>
          <w:b w:val="0"/>
          <w:bCs w:val="0"/>
          <w:color w:val="auto"/>
          <w:sz w:val="24"/>
          <w:szCs w:val="24"/>
          <w:highlight w:val="none"/>
        </w:rPr>
        <w:t>票据结果查询</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要求支持医院和患者可以查询已开具票据详细信息。医院可以查询票据交易是否正常，并将电子票具通过二维码形式推送给患者，患者通过扫描二维码查看电子票据信息。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3.1.3.8.5</w:t>
      </w:r>
      <w:r>
        <w:rPr>
          <w:rFonts w:hint="eastAsia" w:ascii="仿宋" w:hAnsi="仿宋" w:eastAsia="仿宋" w:cs="仿宋"/>
          <w:b w:val="0"/>
          <w:bCs w:val="0"/>
          <w:color w:val="auto"/>
          <w:sz w:val="24"/>
          <w:szCs w:val="24"/>
          <w:highlight w:val="none"/>
        </w:rPr>
        <w:t>票据资源池管理</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要求支持医院票据的购入和发放。财务科对购入的发票进行管理，可将购入的发票发放给的收费员。</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3.1.3.8.6</w:t>
      </w:r>
      <w:r>
        <w:rPr>
          <w:rFonts w:hint="eastAsia" w:ascii="仿宋" w:hAnsi="仿宋" w:eastAsia="仿宋" w:cs="仿宋"/>
          <w:b w:val="0"/>
          <w:bCs w:val="0"/>
          <w:color w:val="auto"/>
          <w:sz w:val="24"/>
          <w:szCs w:val="24"/>
          <w:highlight w:val="none"/>
        </w:rPr>
        <w:t>对账</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要求实现医院票据信息与财政厅票据信息的核对，包含总账核对与票据明细信息核对。</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3.1.3.8.7</w:t>
      </w:r>
      <w:r>
        <w:rPr>
          <w:rFonts w:hint="eastAsia" w:ascii="仿宋" w:hAnsi="仿宋" w:eastAsia="仿宋" w:cs="仿宋"/>
          <w:b w:val="0"/>
          <w:bCs w:val="0"/>
          <w:color w:val="auto"/>
          <w:sz w:val="24"/>
          <w:szCs w:val="24"/>
          <w:highlight w:val="none"/>
        </w:rPr>
        <w:t>封装接口服务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要求完成与我院目前正在使用的电子发票系统接口封装服务。</w:t>
      </w:r>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3.1.3.9</w:t>
      </w:r>
      <w:r>
        <w:rPr>
          <w:rFonts w:hint="eastAsia" w:ascii="仿宋" w:hAnsi="仿宋" w:eastAsia="仿宋" w:cs="仿宋"/>
          <w:color w:val="auto"/>
          <w:highlight w:val="none"/>
        </w:rPr>
        <w:t>结账管理</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支持工作人员进行结账管理，要求支持收费员在下班前、交账时做结账。</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要求提供报表和收退押金、结算、取消结算等业务明细方便收费员对自己手中的款项和票据进行核对，并给财务交账。</w:t>
      </w:r>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3.1.3.10</w:t>
      </w:r>
      <w:r>
        <w:rPr>
          <w:rFonts w:hint="eastAsia" w:ascii="仿宋" w:hAnsi="仿宋" w:eastAsia="仿宋" w:cs="仿宋"/>
          <w:color w:val="auto"/>
          <w:highlight w:val="none"/>
        </w:rPr>
        <w:t>查询报表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按财务要求，要求支持收费员每日结账，生成个人日报表，包括当日病人预交金、入院病人预交费、在院病人各项费用、出院病人结帐和退款等等统计汇总，打印作为交账凭证。</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3.1.3.10.1</w:t>
      </w:r>
      <w:r>
        <w:rPr>
          <w:rFonts w:hint="eastAsia" w:ascii="仿宋" w:hAnsi="仿宋" w:eastAsia="仿宋" w:cs="仿宋"/>
          <w:b w:val="0"/>
          <w:bCs w:val="0"/>
          <w:color w:val="auto"/>
          <w:sz w:val="24"/>
          <w:szCs w:val="24"/>
          <w:highlight w:val="none"/>
        </w:rPr>
        <w:t>收款员日报表</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查询收费员办理的所有押金明细和出院发票明细，统计收费员的收押金总额，退押金总额（包括住院退押金，出院退押金），出院结算病人的费用总额等。作废票据作废号及冲红号体现、现金业务及手机支付业务超期需进行特殊退款体现在收款员个人日报。</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3.1.3.10.2</w:t>
      </w:r>
      <w:r>
        <w:rPr>
          <w:rFonts w:hint="eastAsia" w:ascii="仿宋" w:hAnsi="仿宋" w:eastAsia="仿宋" w:cs="仿宋"/>
          <w:b w:val="0"/>
          <w:bCs w:val="0"/>
          <w:color w:val="auto"/>
          <w:sz w:val="24"/>
          <w:szCs w:val="24"/>
          <w:highlight w:val="none"/>
        </w:rPr>
        <w:t>住院收费查询</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要求支持可以根据病人的就诊日期，病人的收费类别，科室，登记号，姓名等条件查询病人的未结算，已结算的账单信息。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3.1.3.10.3</w:t>
      </w:r>
      <w:r>
        <w:rPr>
          <w:rFonts w:hint="eastAsia" w:ascii="仿宋" w:hAnsi="仿宋" w:eastAsia="仿宋" w:cs="仿宋"/>
          <w:b w:val="0"/>
          <w:bCs w:val="0"/>
          <w:color w:val="auto"/>
          <w:sz w:val="24"/>
          <w:szCs w:val="24"/>
          <w:highlight w:val="none"/>
        </w:rPr>
        <w:t>收费员日结汇总</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要求支持提供收费组长或财务对收费员交的账务进行核对并上交报表存档。</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3.1.3.10.4</w:t>
      </w:r>
      <w:r>
        <w:rPr>
          <w:rFonts w:hint="eastAsia" w:ascii="仿宋" w:hAnsi="仿宋" w:eastAsia="仿宋" w:cs="仿宋"/>
          <w:b w:val="0"/>
          <w:bCs w:val="0"/>
          <w:color w:val="auto"/>
          <w:sz w:val="24"/>
          <w:szCs w:val="24"/>
          <w:highlight w:val="none"/>
        </w:rPr>
        <w:t>工作量统计</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月科室工作量统计：支持月科室、病房、药房、检查治疗科室工作量统计和费用汇总工作。</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年科室工作量统计：支持年度全院、科室、病房、药房、检查治疗科室工作量统计、费用汇总功能。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3.1.3.10.5</w:t>
      </w:r>
      <w:r>
        <w:rPr>
          <w:rFonts w:hint="eastAsia" w:ascii="仿宋" w:hAnsi="仿宋" w:eastAsia="仿宋" w:cs="仿宋"/>
          <w:b w:val="0"/>
          <w:bCs w:val="0"/>
          <w:color w:val="auto"/>
          <w:sz w:val="24"/>
          <w:szCs w:val="24"/>
          <w:highlight w:val="none"/>
        </w:rPr>
        <w:t>查询统计功能</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包括出入院病人查询统计、收费员工作量查询统计，药品、诊疗项目(名称、用量、使用者名称、单价等相关信息)查询、科室收入统计、患者住院信息查询、病人查询、结算查询和住院发票查询等。</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16" w:name="_Toc9874"/>
      <w:bookmarkStart w:id="317" w:name="_Toc8515"/>
      <w:r>
        <w:rPr>
          <w:rFonts w:hint="eastAsia" w:ascii="仿宋" w:hAnsi="仿宋" w:eastAsia="仿宋" w:cs="仿宋"/>
          <w:b/>
          <w:bCs/>
          <w:color w:val="auto"/>
          <w:sz w:val="28"/>
          <w:szCs w:val="28"/>
          <w:highlight w:val="none"/>
          <w:lang w:val="en-US" w:eastAsia="zh-CN" w:bidi="hi-IN"/>
        </w:rPr>
        <w:t>3.1.4</w:t>
      </w:r>
      <w:r>
        <w:rPr>
          <w:rFonts w:hint="eastAsia" w:ascii="仿宋" w:hAnsi="仿宋" w:eastAsia="仿宋" w:cs="仿宋"/>
          <w:color w:val="auto"/>
          <w:highlight w:val="none"/>
        </w:rPr>
        <w:t>统一支付对账平台</w:t>
      </w:r>
      <w:bookmarkEnd w:id="316"/>
      <w:bookmarkEnd w:id="317"/>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3.1.4.1</w:t>
      </w:r>
      <w:r>
        <w:rPr>
          <w:rFonts w:hint="eastAsia" w:ascii="仿宋" w:hAnsi="仿宋" w:eastAsia="仿宋" w:cs="仿宋"/>
          <w:color w:val="auto"/>
          <w:highlight w:val="none"/>
        </w:rPr>
        <w:t>支付渠道管理</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要求支持网站Web、手机App、自助终端、院内收费终端、微信公众号、支付宝服务窗以及银联、医保、商保等多种渠道。</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3.1.4.2</w:t>
      </w:r>
      <w:r>
        <w:rPr>
          <w:rFonts w:hint="eastAsia" w:ascii="仿宋" w:hAnsi="仿宋" w:eastAsia="仿宋" w:cs="仿宋"/>
          <w:color w:val="auto"/>
          <w:highlight w:val="none"/>
        </w:rPr>
        <w:t>支付接口管理</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要求医院支付宝账户、微信账户、银联账户、医保账户的关联，配置手机支付（小程序、APP、公众号）、条码付、扫码付权限。</w:t>
      </w:r>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3.1.4.3</w:t>
      </w:r>
      <w:r>
        <w:rPr>
          <w:rFonts w:hint="eastAsia" w:ascii="仿宋" w:hAnsi="仿宋" w:eastAsia="仿宋" w:cs="仿宋"/>
          <w:color w:val="auto"/>
          <w:highlight w:val="none"/>
        </w:rPr>
        <w:t>业务对账</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系统支持微信、支付宝钱包以及扫码、快捷支付、支付宝专用扫码支付、网上银行等，提供统一的业务对账功能。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3.1.4.3.1</w:t>
      </w:r>
      <w:r>
        <w:rPr>
          <w:rFonts w:hint="eastAsia" w:ascii="仿宋" w:hAnsi="仿宋" w:eastAsia="仿宋" w:cs="仿宋"/>
          <w:b w:val="0"/>
          <w:bCs w:val="0"/>
          <w:color w:val="auto"/>
          <w:sz w:val="24"/>
          <w:szCs w:val="24"/>
          <w:highlight w:val="none"/>
        </w:rPr>
        <w:t>HIS交易记录查询</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门诊交易与住院交易记录的统一查询，支持按日期、交易来源、业务类型、支付通道、交易状态进行分类查询等。</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3.1.4.3.2</w:t>
      </w:r>
      <w:r>
        <w:rPr>
          <w:rFonts w:hint="eastAsia" w:ascii="仿宋" w:hAnsi="仿宋" w:eastAsia="仿宋" w:cs="仿宋"/>
          <w:b w:val="0"/>
          <w:bCs w:val="0"/>
          <w:color w:val="auto"/>
          <w:sz w:val="24"/>
          <w:szCs w:val="24"/>
          <w:highlight w:val="none"/>
        </w:rPr>
        <w:t>其它交易记录查询</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针对于非HIS收费的交易记录查询，支持按日期、交易来源、业务类型、支付通道、交易状态进行分类查询。</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3.1.4.3.3</w:t>
      </w:r>
      <w:r>
        <w:rPr>
          <w:rFonts w:hint="eastAsia" w:ascii="仿宋" w:hAnsi="仿宋" w:eastAsia="仿宋" w:cs="仿宋"/>
          <w:b w:val="0"/>
          <w:bCs w:val="0"/>
          <w:color w:val="auto"/>
          <w:sz w:val="24"/>
          <w:szCs w:val="24"/>
          <w:highlight w:val="none"/>
        </w:rPr>
        <w:t>业务记录对账</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平台记录与业务系统（如HIS）订单交易记录对账</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3.1.4.3.4</w:t>
      </w:r>
      <w:r>
        <w:rPr>
          <w:rFonts w:hint="eastAsia" w:ascii="仿宋" w:hAnsi="仿宋" w:eastAsia="仿宋" w:cs="仿宋"/>
          <w:b w:val="0"/>
          <w:bCs w:val="0"/>
          <w:color w:val="auto"/>
          <w:sz w:val="24"/>
          <w:szCs w:val="24"/>
          <w:highlight w:val="none"/>
        </w:rPr>
        <w:t>异常订单监管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针对一些单边账、坏账进行预警、监控，一致性校验，系统自动对账。可以按照业务分类展示，并做好单边账处理的实效性（保证在第二个工作日内处理完）。</w:t>
      </w:r>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3.1.4.4</w:t>
      </w:r>
      <w:r>
        <w:rPr>
          <w:rFonts w:hint="eastAsia" w:ascii="仿宋" w:hAnsi="仿宋" w:eastAsia="仿宋" w:cs="仿宋"/>
          <w:color w:val="auto"/>
          <w:highlight w:val="none"/>
        </w:rPr>
        <w:t>支付对账</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 xml:space="preserve">支持包括微信、支付宝移动支付平台在内的多个渠道的账务对账功能。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3.1.4.4.1</w:t>
      </w:r>
      <w:r>
        <w:rPr>
          <w:rFonts w:hint="eastAsia" w:ascii="仿宋" w:hAnsi="仿宋" w:eastAsia="仿宋" w:cs="仿宋"/>
          <w:b w:val="0"/>
          <w:bCs w:val="0"/>
          <w:color w:val="auto"/>
          <w:sz w:val="24"/>
          <w:szCs w:val="24"/>
          <w:highlight w:val="none"/>
        </w:rPr>
        <w:t>支付渠道记录查询</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支持包括微信、支付宝、银联、医保等多个渠道的交易记录的统一查询，支持按日期、交易来源、业务类型、支付通道、交易状态进行分类查询等。</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3.1.4.4.2</w:t>
      </w:r>
      <w:r>
        <w:rPr>
          <w:rFonts w:hint="eastAsia" w:ascii="仿宋" w:hAnsi="仿宋" w:eastAsia="仿宋" w:cs="仿宋"/>
          <w:b w:val="0"/>
          <w:bCs w:val="0"/>
          <w:color w:val="auto"/>
          <w:sz w:val="24"/>
          <w:szCs w:val="24"/>
          <w:highlight w:val="none"/>
        </w:rPr>
        <w:t>业务记录对账</w:t>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平台记录与支付渠道订单交易记录对账</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3.1.4.4.3</w:t>
      </w:r>
      <w:r>
        <w:rPr>
          <w:rFonts w:hint="eastAsia" w:ascii="仿宋" w:hAnsi="仿宋" w:eastAsia="仿宋" w:cs="仿宋"/>
          <w:b w:val="0"/>
          <w:bCs w:val="0"/>
          <w:color w:val="auto"/>
          <w:sz w:val="24"/>
          <w:szCs w:val="24"/>
          <w:highlight w:val="none"/>
        </w:rPr>
        <w:t>异常订单监管</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针对一些单边账、坏账进行预警、监控，一致性校验，系统自动对账。可以按照支付渠道分类展示，并做好单边账处理的实效性（保证在第二个工作日内处理完）。</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3.1.4.5</w:t>
      </w:r>
      <w:r>
        <w:rPr>
          <w:rFonts w:hint="eastAsia" w:ascii="仿宋" w:hAnsi="仿宋" w:eastAsia="仿宋" w:cs="仿宋"/>
          <w:color w:val="auto"/>
          <w:highlight w:val="none"/>
        </w:rPr>
        <w:t>查询统计</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3.1.4.5.1</w:t>
      </w:r>
      <w:r>
        <w:rPr>
          <w:rFonts w:hint="eastAsia" w:ascii="仿宋" w:hAnsi="仿宋" w:eastAsia="仿宋" w:cs="仿宋"/>
          <w:b w:val="0"/>
          <w:bCs w:val="0"/>
          <w:color w:val="auto"/>
          <w:sz w:val="24"/>
          <w:szCs w:val="24"/>
          <w:highlight w:val="none"/>
        </w:rPr>
        <w:t>对账日报表</w:t>
      </w:r>
      <w:r>
        <w:rPr>
          <w:rFonts w:hint="eastAsia" w:ascii="仿宋" w:hAnsi="仿宋" w:eastAsia="仿宋" w:cs="仿宋"/>
          <w:b w:val="0"/>
          <w:bCs w:val="0"/>
          <w:color w:val="auto"/>
          <w:sz w:val="24"/>
          <w:szCs w:val="24"/>
          <w:highlight w:val="none"/>
        </w:rPr>
        <w:tab/>
      </w:r>
    </w:p>
    <w:p>
      <w:pPr>
        <w:snapToGrid w:val="0"/>
        <w:spacing w:before="0" w:after="0" w:line="360" w:lineRule="auto"/>
        <w:ind w:left="0" w:right="0" w:firstLine="480"/>
        <w:contextualSpacing/>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highlight w:val="none"/>
        </w:rPr>
        <w:t>每日对账后，会生成对账总结表，对交易数据与业务数据（来源于HIS）的对账情况进行汇总统计分析，针对于多收款、少收款、另补退、另补收的不平详情及财务平账记录进行记录。报表支持打印功能。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3.1.4.5.2</w:t>
      </w:r>
      <w:r>
        <w:rPr>
          <w:rFonts w:hint="eastAsia" w:ascii="仿宋" w:hAnsi="仿宋" w:eastAsia="仿宋" w:cs="仿宋"/>
          <w:b w:val="0"/>
          <w:bCs w:val="0"/>
          <w:color w:val="auto"/>
          <w:sz w:val="24"/>
          <w:szCs w:val="24"/>
          <w:highlight w:val="none"/>
        </w:rPr>
        <w:t>总交易报表</w:t>
      </w:r>
      <w:r>
        <w:rPr>
          <w:rFonts w:hint="eastAsia" w:ascii="仿宋" w:hAnsi="仿宋" w:eastAsia="仿宋" w:cs="仿宋"/>
          <w:b w:val="0"/>
          <w:bCs w:val="0"/>
          <w:color w:val="auto"/>
          <w:sz w:val="24"/>
          <w:szCs w:val="24"/>
          <w:highlight w:val="none"/>
        </w:rPr>
        <w:tab/>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查询一段时间内，按照支付通道（支付宝、微信、银联、医保）、交易来源（收费窗口、自助机、微信小程序等已接入的来源）、业务类型（住院预缴、预约挂号等已规划的业务类型）三个维度进行数据汇总统计分析；报表支持打印功能。</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18" w:name="_Toc13836"/>
      <w:bookmarkStart w:id="319" w:name="_Toc26880"/>
      <w:r>
        <w:rPr>
          <w:rFonts w:hint="eastAsia" w:ascii="仿宋" w:hAnsi="仿宋" w:eastAsia="仿宋" w:cs="仿宋"/>
          <w:b/>
          <w:bCs/>
          <w:color w:val="auto"/>
          <w:sz w:val="28"/>
          <w:szCs w:val="28"/>
          <w:highlight w:val="none"/>
          <w:lang w:val="en-US" w:eastAsia="zh-CN" w:bidi="hi-IN"/>
        </w:rPr>
        <w:t>3.1.5</w:t>
      </w:r>
      <w:r>
        <w:rPr>
          <w:rFonts w:hint="eastAsia" w:ascii="仿宋" w:hAnsi="仿宋" w:eastAsia="仿宋" w:cs="仿宋"/>
          <w:color w:val="auto"/>
          <w:highlight w:val="none"/>
        </w:rPr>
        <w:t>公众号服务</w:t>
      </w:r>
      <w:r>
        <w:rPr>
          <w:rFonts w:hint="eastAsia" w:ascii="仿宋" w:hAnsi="仿宋" w:eastAsia="仿宋" w:cs="仿宋"/>
          <w:color w:val="auto"/>
          <w:highlight w:val="none"/>
          <w:lang w:val="en-US" w:eastAsia="zh-CN"/>
        </w:rPr>
        <w:t>模块</w:t>
      </w:r>
      <w:bookmarkEnd w:id="318"/>
      <w:bookmarkEnd w:id="319"/>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3.1.5.1</w:t>
      </w:r>
      <w:r>
        <w:rPr>
          <w:rFonts w:hint="eastAsia" w:ascii="仿宋" w:hAnsi="仿宋" w:eastAsia="仿宋" w:cs="仿宋"/>
          <w:color w:val="auto"/>
          <w:highlight w:val="none"/>
        </w:rPr>
        <w:t>导医服务</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3.1.5.1.1</w:t>
      </w:r>
      <w:r>
        <w:rPr>
          <w:rFonts w:hint="eastAsia" w:ascii="仿宋" w:hAnsi="仿宋" w:eastAsia="仿宋" w:cs="仿宋"/>
          <w:b w:val="0"/>
          <w:bCs w:val="0"/>
          <w:color w:val="auto"/>
          <w:sz w:val="24"/>
          <w:szCs w:val="24"/>
          <w:highlight w:val="none"/>
        </w:rPr>
        <w:t>医疗资讯</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健康资讯：获取健康咨询服务，供患者查询了解相关疾病健康知识；</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医院介绍：通过平台获取医院官宣介绍信息；</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医院公告：通过平台获取医院新闻和公告信息；</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院内导诊：嵌入医院导航系统；</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科室介绍：通过平台获取医院特殊专科介绍信息；</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专家介绍：通过平台获取医院专家介绍信息；</w:t>
      </w:r>
    </w:p>
    <w:p>
      <w:pPr>
        <w:numPr>
          <w:ilvl w:val="0"/>
          <w:numId w:val="0"/>
        </w:numPr>
        <w:spacing w:line="360" w:lineRule="auto"/>
        <w:ind w:left="420" w:leftChars="0" w:hanging="420" w:firstLineChars="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医生排班：通过平台获取医院医生排班信息；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3.1.5.1.2</w:t>
      </w:r>
      <w:r>
        <w:rPr>
          <w:rFonts w:hint="eastAsia" w:ascii="仿宋" w:hAnsi="仿宋" w:eastAsia="仿宋" w:cs="仿宋"/>
          <w:b w:val="0"/>
          <w:bCs w:val="0"/>
          <w:color w:val="auto"/>
          <w:sz w:val="24"/>
          <w:szCs w:val="24"/>
          <w:highlight w:val="none"/>
        </w:rPr>
        <w:t>就医指南</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就诊导航：通过平台获取定位医院位置进而提供导航信息；</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就诊须知：通过平台获取医院就诊告知书；</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就诊流程：通过平台获取医院就诊流程说明书；</w:t>
      </w:r>
    </w:p>
    <w:p>
      <w:pPr>
        <w:numPr>
          <w:ilvl w:val="0"/>
          <w:numId w:val="0"/>
        </w:numPr>
        <w:spacing w:line="360" w:lineRule="auto"/>
        <w:ind w:left="420" w:leftChars="0" w:hanging="420" w:firstLineChars="0"/>
        <w:rPr>
          <w:rFonts w:hint="eastAsia" w:ascii="仿宋" w:hAnsi="仿宋" w:eastAsia="仿宋" w:cs="仿宋"/>
          <w:color w:val="auto"/>
          <w:highlight w:val="none"/>
        </w:rPr>
      </w:pPr>
      <w:r>
        <w:rPr>
          <w:rFonts w:hint="eastAsia" w:ascii="仿宋" w:hAnsi="仿宋" w:eastAsia="仿宋" w:cs="仿宋"/>
          <w:color w:val="auto"/>
          <w:sz w:val="24"/>
          <w:highlight w:val="none"/>
        </w:rPr>
        <w:t>智能推送：提供门诊就诊预约、检查预约、住院排床、变更通知、检查报告结果、手术通知、手术进程、欠费情况、检验检查危急值预警等内容。</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3.1.5.2</w:t>
      </w:r>
      <w:r>
        <w:rPr>
          <w:rFonts w:hint="eastAsia" w:ascii="仿宋" w:hAnsi="仿宋" w:eastAsia="仿宋" w:cs="仿宋"/>
          <w:color w:val="auto"/>
          <w:highlight w:val="none"/>
        </w:rPr>
        <w:t>诊疗服务</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3.1.5.2.1</w:t>
      </w:r>
      <w:r>
        <w:rPr>
          <w:rFonts w:hint="eastAsia" w:ascii="仿宋" w:hAnsi="仿宋" w:eastAsia="仿宋" w:cs="仿宋"/>
          <w:b w:val="0"/>
          <w:bCs w:val="0"/>
          <w:color w:val="auto"/>
          <w:sz w:val="24"/>
          <w:szCs w:val="24"/>
          <w:highlight w:val="none"/>
        </w:rPr>
        <w:t>诊前</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预约服务：具备包括预约登记、预约取消、预约资源同步、预约资源管理、分时段预约、患者信用管理等功能，提供实名制挂号、检查、检验、体检、日间手术、处置、住院等 预约服务。</w:t>
      </w:r>
    </w:p>
    <w:p>
      <w:pPr>
        <w:numPr>
          <w:ilvl w:val="0"/>
          <w:numId w:val="0"/>
        </w:numPr>
        <w:spacing w:line="360" w:lineRule="auto"/>
        <w:ind w:left="420" w:leftChars="0" w:hanging="420" w:firstLineChars="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在线问诊：在线图文/视频问诊</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3.1.5.2.2</w:t>
      </w:r>
      <w:r>
        <w:rPr>
          <w:rFonts w:hint="eastAsia" w:ascii="仿宋" w:hAnsi="仿宋" w:eastAsia="仿宋" w:cs="仿宋"/>
          <w:b w:val="0"/>
          <w:bCs w:val="0"/>
          <w:color w:val="auto"/>
          <w:sz w:val="24"/>
          <w:szCs w:val="24"/>
          <w:highlight w:val="none"/>
        </w:rPr>
        <w:t>诊中</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现场挂号：提供当日现场挂号功能；</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充值缴费：线上给院内账户充值；</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诊间结算：自费、医保结算；</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预约签到：提供门诊分诊、检验、检查、取药、门诊治疗、体检等排队叫号查询与签到服务。</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住院缴费：住院押金缴纳；</w:t>
      </w:r>
    </w:p>
    <w:p>
      <w:pPr>
        <w:numPr>
          <w:ilvl w:val="0"/>
          <w:numId w:val="0"/>
        </w:numPr>
        <w:spacing w:line="360" w:lineRule="auto"/>
        <w:ind w:left="420" w:leftChars="0" w:hanging="420" w:firstLineChars="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住院清单：查询患者住院费用明细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3.1.5.2.3</w:t>
      </w:r>
      <w:r>
        <w:rPr>
          <w:rFonts w:hint="eastAsia" w:ascii="仿宋" w:hAnsi="仿宋" w:eastAsia="仿宋" w:cs="仿宋"/>
          <w:b w:val="0"/>
          <w:bCs w:val="0"/>
          <w:color w:val="auto"/>
          <w:sz w:val="24"/>
          <w:szCs w:val="24"/>
          <w:highlight w:val="none"/>
        </w:rPr>
        <w:t>诊后</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检验报告：查询检验报告（门诊和住院）</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检查报告：查询检查报告及影像阅片（门诊和住院）；</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体检报告：查询体检报告；</w:t>
      </w:r>
    </w:p>
    <w:p>
      <w:pPr>
        <w:numPr>
          <w:ilvl w:val="0"/>
          <w:numId w:val="0"/>
        </w:numPr>
        <w:spacing w:line="360" w:lineRule="auto"/>
        <w:ind w:left="420" w:leftChars="0" w:hanging="42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电生理报告：查询电生理相关报告；</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以上报告，图片均可支持下载，转发，分享功能；</w:t>
      </w:r>
    </w:p>
    <w:p>
      <w:pPr>
        <w:numPr>
          <w:ilvl w:val="0"/>
          <w:numId w:val="0"/>
        </w:numPr>
        <w:spacing w:line="360" w:lineRule="auto"/>
        <w:ind w:left="420" w:leftChars="0" w:hanging="42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服务评价：评价医院服务，评价医务人员等满意度；</w:t>
      </w:r>
    </w:p>
    <w:p>
      <w:pPr>
        <w:numPr>
          <w:ilvl w:val="0"/>
          <w:numId w:val="0"/>
        </w:numPr>
        <w:spacing w:line="360" w:lineRule="auto"/>
        <w:ind w:left="420" w:leftChars="0" w:hanging="420" w:firstLineChars="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病案邮寄：嵌入医院现有病案邮寄模块；</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3.1.5.3</w:t>
      </w:r>
      <w:r>
        <w:rPr>
          <w:rFonts w:hint="eastAsia" w:ascii="仿宋" w:hAnsi="仿宋" w:eastAsia="仿宋" w:cs="仿宋"/>
          <w:color w:val="auto"/>
          <w:highlight w:val="none"/>
        </w:rPr>
        <w:t>个人中心</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3.1.5.3.1</w:t>
      </w:r>
      <w:r>
        <w:rPr>
          <w:rFonts w:hint="eastAsia" w:ascii="仿宋" w:hAnsi="仿宋" w:eastAsia="仿宋" w:cs="仿宋"/>
          <w:b w:val="0"/>
          <w:bCs w:val="0"/>
          <w:color w:val="auto"/>
          <w:sz w:val="24"/>
          <w:szCs w:val="24"/>
          <w:highlight w:val="none"/>
        </w:rPr>
        <w:t>登录注册</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注册：通过手机短信验证码注册</w:t>
      </w:r>
    </w:p>
    <w:p>
      <w:pPr>
        <w:numPr>
          <w:ilvl w:val="0"/>
          <w:numId w:val="0"/>
        </w:numPr>
        <w:spacing w:line="360" w:lineRule="auto"/>
        <w:ind w:left="420" w:leftChars="0" w:hanging="420" w:firstLineChars="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登录：通过手机短信验证码/密码登录</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3.1.5.3.2</w:t>
      </w:r>
      <w:r>
        <w:rPr>
          <w:rFonts w:hint="eastAsia" w:ascii="仿宋" w:hAnsi="仿宋" w:eastAsia="仿宋" w:cs="仿宋"/>
          <w:b w:val="0"/>
          <w:bCs w:val="0"/>
          <w:color w:val="auto"/>
          <w:sz w:val="24"/>
          <w:szCs w:val="24"/>
          <w:highlight w:val="none"/>
        </w:rPr>
        <w:t>就诊人</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门诊就诊卡：添加/绑定门诊卡</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住院号：绑定住院号</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电子健康卡：对接卫健委电子健康卡；</w:t>
      </w:r>
    </w:p>
    <w:p>
      <w:pPr>
        <w:numPr>
          <w:ilvl w:val="0"/>
          <w:numId w:val="0"/>
        </w:numPr>
        <w:spacing w:line="360" w:lineRule="auto"/>
        <w:ind w:left="420" w:leftChars="0" w:hanging="420" w:firstLineChars="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电子医保凭证：对接国家电子医保凭证；</w:t>
      </w:r>
      <w:r>
        <w:rPr>
          <w:rFonts w:hint="eastAsia" w:ascii="仿宋" w:hAnsi="仿宋" w:eastAsia="仿宋" w:cs="仿宋"/>
          <w:color w:val="auto"/>
          <w:sz w:val="24"/>
          <w:highlight w:val="none"/>
          <w:lang w:val="en-US" w:eastAsia="zh-CN"/>
        </w:rPr>
        <w:t>支持线上创建医保身份档案。</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3.1.5.3.3</w:t>
      </w:r>
      <w:r>
        <w:rPr>
          <w:rFonts w:hint="eastAsia" w:ascii="仿宋" w:hAnsi="仿宋" w:eastAsia="仿宋" w:cs="仿宋"/>
          <w:b w:val="0"/>
          <w:bCs w:val="0"/>
          <w:color w:val="auto"/>
          <w:sz w:val="24"/>
          <w:szCs w:val="24"/>
          <w:highlight w:val="none"/>
        </w:rPr>
        <w:t>综合查询</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挂号记录：预约挂号记录，可实现取消挂号；</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就诊记录：门诊就诊结算记录</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健康档案查询：所有就诊过程中医嘱及报告信息</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医疗收费目录：医院医疗服务价目查询</w:t>
      </w:r>
    </w:p>
    <w:p>
      <w:pPr>
        <w:numPr>
          <w:ilvl w:val="0"/>
          <w:numId w:val="0"/>
        </w:numPr>
        <w:spacing w:line="360" w:lineRule="auto"/>
        <w:ind w:left="420" w:leftChars="0" w:hanging="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住院充值记录：查询住院押金充缴记录</w:t>
      </w:r>
    </w:p>
    <w:p>
      <w:pPr>
        <w:numPr>
          <w:ilvl w:val="0"/>
          <w:numId w:val="0"/>
        </w:numPr>
        <w:spacing w:line="360" w:lineRule="auto"/>
        <w:ind w:left="420" w:leftChars="0" w:hanging="420" w:firstLineChars="0"/>
        <w:rPr>
          <w:rFonts w:hint="eastAsia" w:ascii="仿宋" w:hAnsi="仿宋" w:eastAsia="仿宋" w:cs="仿宋"/>
          <w:color w:val="auto"/>
          <w:highlight w:val="none"/>
        </w:rPr>
      </w:pPr>
      <w:r>
        <w:rPr>
          <w:rFonts w:hint="eastAsia" w:ascii="仿宋" w:hAnsi="仿宋" w:eastAsia="仿宋" w:cs="仿宋"/>
          <w:color w:val="auto"/>
          <w:sz w:val="24"/>
          <w:highlight w:val="none"/>
        </w:rPr>
        <w:t>门诊充值记录：查询门诊储值卡充缴记录</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20" w:name="_Toc17887"/>
      <w:bookmarkStart w:id="321" w:name="_Toc21564"/>
      <w:r>
        <w:rPr>
          <w:rFonts w:hint="eastAsia" w:ascii="仿宋" w:hAnsi="仿宋" w:eastAsia="仿宋" w:cs="仿宋"/>
          <w:b/>
          <w:bCs/>
          <w:color w:val="auto"/>
          <w:sz w:val="28"/>
          <w:szCs w:val="28"/>
          <w:highlight w:val="none"/>
          <w:lang w:val="en-US" w:eastAsia="zh-CN" w:bidi="hi-IN"/>
        </w:rPr>
        <w:t>3.1.6</w:t>
      </w:r>
      <w:r>
        <w:rPr>
          <w:rFonts w:hint="eastAsia" w:ascii="仿宋" w:hAnsi="仿宋" w:eastAsia="仿宋" w:cs="仿宋"/>
          <w:color w:val="auto"/>
          <w:highlight w:val="none"/>
        </w:rPr>
        <w:t>全资源预约模块</w:t>
      </w:r>
      <w:bookmarkEnd w:id="320"/>
      <w:bookmarkEnd w:id="321"/>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3.1.6.1</w:t>
      </w:r>
      <w:r>
        <w:rPr>
          <w:rFonts w:hint="eastAsia" w:ascii="仿宋" w:hAnsi="仿宋" w:eastAsia="仿宋" w:cs="仿宋"/>
          <w:color w:val="auto"/>
          <w:highlight w:val="none"/>
        </w:rPr>
        <w:t>挂号预约</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完成患者就诊登记缴费工作，为需要复诊和预约就诊的患者提供对应的就诊预约服务。同时通过系统的排班资源管理维护，可以为各个就诊渠道提供合理的就诊资源，方便患者从多个渠道进行就诊或预约就诊。要求系统模块可以支持自助机，APP，微信等多渠道接口实现线上直接挂号/取号、支付的流程，挂号成功后向患者推送相应的就诊信息。</w:t>
      </w:r>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3.1.6.2</w:t>
      </w:r>
      <w:r>
        <w:rPr>
          <w:rFonts w:hint="eastAsia" w:ascii="仿宋" w:hAnsi="仿宋" w:eastAsia="仿宋" w:cs="仿宋"/>
          <w:color w:val="auto"/>
          <w:highlight w:val="none"/>
        </w:rPr>
        <w:t>医生排班号源管理</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医生号源管理，医生排班停替诊管理，医生信息维护管理，预约短信发送，预约数据分类统计，向自助机、抖音、快手、官网、微信、支付宝、省平台等提供预约报道等接口。预约科室做到全院统一管理，排班支持多种模板，有合并的特色门诊（即一个挂号科室对外预约显示关联的特色门诊。</w:t>
      </w:r>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3.1.6.3</w:t>
      </w:r>
      <w:r>
        <w:rPr>
          <w:rFonts w:hint="eastAsia" w:ascii="仿宋" w:hAnsi="仿宋" w:eastAsia="仿宋" w:cs="仿宋"/>
          <w:color w:val="auto"/>
          <w:highlight w:val="none"/>
        </w:rPr>
        <w:t>医技预约</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医技检查预约平台系统根据不同检查项目之间的排斥关系及先后顺序等规则，在预约时做智能判断，对于不合适的预约安排会做相应提醒。具备检查护士预约、病区护士打印、预约统计、医生站自动预约、检查陪护管理等功能，满足预约流程中各个角色的不同需求。</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要求提供医技窗口服务台预约，自动预约、诊间预约、住院病区预约、住院病区预约、自助预约、移动端预约、登记功能、二次分诊功能、检查知识库规则配置、预约统计分析等功能。</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要求提供医技窗口服务台预约功能，要求支持预约窗口的医护人员能够根据患者就诊卡、登记号、姓名等信息查询患者的检查类医嘱。</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要求支持对资源预约数量和使用情况的查看和统计。</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要求支持检查申请的操作记录查询，从申请到预约、修改预约、取消预约、登记报到、检查完成、出报告等全流程监控。</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要求提供自动预约功能，要求支持根据时间规则、医学知识库规则，一键式自动批量预约患者的所有检查，智能规避检查时间冲突或医疗规则冲突。</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要求支持根据制定的规则，自动分配合适的检查时间。</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要求支持患者的多项检查在不冲突的情况下自动安排在同一天检查。</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要求提供诊间预约功能。</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要求支持诊间预约界面展示可用的预约时间段信息。</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要求可以取消已经预约好的检查或修改预约时间。</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要求提供住院病区预约功能，要求支持病区护士可以统一管理病区患者的所有检查项目，查看该病区所有患者的电子检查申请单。 </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要求支持病区护士可以对同一患者、多个患者的一批检查项目进行预约安排，可以对已预约检查就行取消、调整操作。</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要求支持打印病区检查预约通知单。</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要求可以查询本病区所有检查申请单的状态。</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要求可以查看病区当天所需进行检查的患者信息，可查看到患者的检查项目和检查状态等信息。</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要求支持预约成功后自动打印预约单。</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要求提供移动端预约功能。</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要求支持检查在未到检之前取消预约或者修改预约时间。</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要求提供自助机登记接口。</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要求提供二次分诊功能；对已放弃的号源系统可进行自动取消，并可以重新分配。</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要求提供检查知识库规则配置功能。</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要求支持资源规则维护，维护资源和检查项目的对应关系。</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要求支持维护检查项目的预约方式、注意事项等信息。</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要求支持维护资源的可预约诊区，实现分诊区预约。</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要求提供预约统计分析功能。</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要求支持按统计检查开单量、预约量数据，对开单检查量比、预约率、爽约率等指标进行展示和趋势分析。</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要求支持对门诊、医技、患者自助等各类预约来源渠道，进行统计分析。</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要求支持医技科室的检查部分，进行预约。</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要求支持患者过号，重排功能。</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要求支持患者自助预约时，将相关医技收费项目一并收取，患者无需再到分诊台。</w:t>
      </w:r>
    </w:p>
    <w:p>
      <w:pPr>
        <w:snapToGrid w:val="0"/>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要求支持出现或者金额不足时，提示患者缴费，并可跳转至缴费页面。</w:t>
      </w:r>
    </w:p>
    <w:p>
      <w:pPr>
        <w:snapToGrid w:val="0"/>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要求支持医技科室专家进行预约等医技科室的特殊需求。</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3.1.6.4</w:t>
      </w:r>
      <w:r>
        <w:rPr>
          <w:rFonts w:hint="eastAsia" w:ascii="仿宋" w:hAnsi="仿宋" w:eastAsia="仿宋" w:cs="仿宋"/>
          <w:color w:val="auto"/>
          <w:highlight w:val="none"/>
        </w:rPr>
        <w:t>床位预约</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要求对于开启了床位预约的病区，医生开住院证后，病人需先到床管中心进行登记排队。</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要求床管中心人员可以在预约管理界面为病人预约床位，要求系统支持根据病人病情进行排序，以便重症患者能优先安排床位。</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要求预约到床位后，床管中心通知病人指定日期来院，来院后需要进行住院登记。</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要求住院登记后患者会出现在预约病区的等候区，通过分床管理按预住院患者分配预约床位。</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要求支持病区床位管理可以实现护士对本病区床位的管理，包括锁定、释放等。系统中床位状态有空床、占用、锁定、包床、消毒、已预约等。</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要求系统支持医生开立出院/死亡医嘱时自动释放床位，不需要护士再手工释放。撤销/作废出院/死亡医嘱时如床位未被预约可以收回被释放的床位。</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3.1.6.5</w:t>
      </w:r>
      <w:r>
        <w:rPr>
          <w:rFonts w:hint="eastAsia" w:ascii="仿宋" w:hAnsi="仿宋" w:eastAsia="仿宋" w:cs="仿宋"/>
          <w:color w:val="auto"/>
          <w:highlight w:val="none"/>
        </w:rPr>
        <w:t>手术预约</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要求支持手术预约功能，医生可以为患者预约手术时间。</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要求提供必要检查、检验等信息约束手术预约功能。</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要求提供手术预约调整功能。</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要求提供与手术麻醉系统接口。</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22" w:name="_Toc11472"/>
      <w:bookmarkStart w:id="323" w:name="_Toc6943"/>
      <w:r>
        <w:rPr>
          <w:rFonts w:hint="eastAsia" w:ascii="仿宋" w:hAnsi="仿宋" w:eastAsia="仿宋" w:cs="仿宋"/>
          <w:b/>
          <w:bCs/>
          <w:color w:val="auto"/>
          <w:sz w:val="28"/>
          <w:szCs w:val="28"/>
          <w:highlight w:val="none"/>
          <w:lang w:val="en-US" w:eastAsia="zh-CN" w:bidi="hi-IN"/>
        </w:rPr>
        <w:t>3.1.7</w:t>
      </w:r>
      <w:r>
        <w:rPr>
          <w:rFonts w:hint="eastAsia" w:ascii="仿宋" w:hAnsi="仿宋" w:eastAsia="仿宋" w:cs="仿宋"/>
          <w:color w:val="auto"/>
          <w:highlight w:val="none"/>
        </w:rPr>
        <w:t>排队叫号模块</w:t>
      </w:r>
      <w:bookmarkEnd w:id="322"/>
      <w:bookmarkEnd w:id="323"/>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3.1.7.1</w:t>
      </w:r>
      <w:r>
        <w:rPr>
          <w:rFonts w:hint="eastAsia" w:ascii="仿宋" w:hAnsi="仿宋" w:eastAsia="仿宋" w:cs="仿宋"/>
          <w:color w:val="auto"/>
          <w:highlight w:val="none"/>
        </w:rPr>
        <w:t>诊间排队</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要求支持诊间排队功能，可实现二级分诊，门诊护士工作站收到医生工作站分诊请求信息后可根据患者流量分诊就诊患者，信息显示屏和语音呼叫两种信息提醒患者。</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3.1.7.1.1</w:t>
      </w:r>
      <w:r>
        <w:rPr>
          <w:rFonts w:hint="eastAsia" w:ascii="仿宋" w:hAnsi="仿宋" w:eastAsia="仿宋" w:cs="仿宋"/>
          <w:b w:val="0"/>
          <w:bCs w:val="0"/>
          <w:color w:val="auto"/>
          <w:sz w:val="24"/>
          <w:szCs w:val="24"/>
          <w:highlight w:val="none"/>
        </w:rPr>
        <w:t>叫号显示服务</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叫号显示服务采用多媒体终端作为控制硬件，</w:t>
      </w:r>
      <w:r>
        <w:rPr>
          <w:rFonts w:hint="eastAsia" w:ascii="仿宋" w:hAnsi="仿宋" w:eastAsia="仿宋" w:cs="仿宋"/>
          <w:color w:val="auto"/>
          <w:highlight w:val="none"/>
          <w:lang w:val="en-US" w:eastAsia="zh-CN"/>
        </w:rPr>
        <w:t>支持适配医院现有显示设备。</w:t>
      </w:r>
      <w:r>
        <w:rPr>
          <w:rFonts w:hint="eastAsia" w:ascii="仿宋" w:hAnsi="仿宋" w:eastAsia="仿宋" w:cs="仿宋"/>
          <w:color w:val="auto"/>
          <w:highlight w:val="none"/>
        </w:rPr>
        <w:t>要求可定制多种屏幕显示模板和显示方式；要求诊区显示屏，显示科室、诊室、出诊医生、当前就诊患者、等候患者等信息。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3.1.7.1.2</w:t>
      </w:r>
      <w:r>
        <w:rPr>
          <w:rFonts w:hint="eastAsia" w:ascii="仿宋" w:hAnsi="仿宋" w:eastAsia="仿宋" w:cs="仿宋"/>
          <w:b w:val="0"/>
          <w:bCs w:val="0"/>
          <w:color w:val="auto"/>
          <w:sz w:val="24"/>
          <w:szCs w:val="24"/>
          <w:highlight w:val="none"/>
        </w:rPr>
        <w:t>导诊排队叫号服务</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要求支持整体分诊排队叫号的数据管理，数据流量的监控，信息的查看与管理，各个终端的授权，各个叫号显示服务的远程管理。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3.1.7.1.3</w:t>
      </w:r>
      <w:r>
        <w:rPr>
          <w:rFonts w:hint="eastAsia" w:ascii="仿宋" w:hAnsi="仿宋" w:eastAsia="仿宋" w:cs="仿宋"/>
          <w:b w:val="0"/>
          <w:bCs w:val="0"/>
          <w:color w:val="auto"/>
          <w:sz w:val="24"/>
          <w:szCs w:val="24"/>
          <w:highlight w:val="none"/>
        </w:rPr>
        <w:t>排队叫号语音库控制系统</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要求支持中文、英文和数字的语音合成，叫号信息由计算机或语音设备将文本信息直接合成为语音信息。</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要求中文、英文和数字的合成语音没有明显的合成听觉感受，达到接近人类说话的效果；</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要求支持多语种混读。</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要求合成语音的阅读音量、基频、语速可调节。</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要求支持字、词、句的合成；要求支持多线程并发合成，满足大规模的语音合成需求。</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要求对数字的读法支持电报方式和数目方式，并可调节切换；可识别标点符号。</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要求排队叫号语音库控制系统包含语音合成平台、语音库。</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3.1.7.2</w:t>
      </w:r>
      <w:r>
        <w:rPr>
          <w:rFonts w:hint="eastAsia" w:ascii="仿宋" w:hAnsi="仿宋" w:eastAsia="仿宋" w:cs="仿宋"/>
          <w:color w:val="auto"/>
          <w:highlight w:val="none"/>
        </w:rPr>
        <w:t>医技排队</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检验检查科室可根据医生工作站所开具申请，依申请单时间顺序自动生成排队序号，工作人员可自行修改排队序号，提供信息显示屏和语音呼叫两种信息提醒患者。</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3.1.7.2.1</w:t>
      </w:r>
      <w:r>
        <w:rPr>
          <w:rFonts w:hint="eastAsia" w:ascii="仿宋" w:hAnsi="仿宋" w:eastAsia="仿宋" w:cs="仿宋"/>
          <w:b w:val="0"/>
          <w:bCs w:val="0"/>
          <w:color w:val="auto"/>
          <w:sz w:val="24"/>
          <w:szCs w:val="24"/>
          <w:highlight w:val="none"/>
        </w:rPr>
        <w:t>叫号显示服务</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叫号显示服务采用多媒体终端作为控制硬件，</w:t>
      </w:r>
      <w:r>
        <w:rPr>
          <w:rFonts w:hint="eastAsia" w:ascii="仿宋" w:hAnsi="仿宋" w:eastAsia="仿宋" w:cs="仿宋"/>
          <w:color w:val="auto"/>
          <w:highlight w:val="none"/>
          <w:lang w:val="en-US" w:eastAsia="zh-CN"/>
        </w:rPr>
        <w:t>支持适配医院现有显示设备。</w:t>
      </w:r>
      <w:r>
        <w:rPr>
          <w:rFonts w:hint="eastAsia" w:ascii="仿宋" w:hAnsi="仿宋" w:eastAsia="仿宋" w:cs="仿宋"/>
          <w:color w:val="auto"/>
          <w:highlight w:val="none"/>
        </w:rPr>
        <w:t>要求可定制多种屏幕显示模板和显示方式；要求诊区显示屏，显示科室、诊室、出诊医生、当前就诊患者、等候患者等信息。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3.1.7.2.2</w:t>
      </w:r>
      <w:r>
        <w:rPr>
          <w:rFonts w:hint="eastAsia" w:ascii="仿宋" w:hAnsi="仿宋" w:eastAsia="仿宋" w:cs="仿宋"/>
          <w:b w:val="0"/>
          <w:bCs w:val="0"/>
          <w:color w:val="auto"/>
          <w:sz w:val="24"/>
          <w:szCs w:val="24"/>
          <w:highlight w:val="none"/>
        </w:rPr>
        <w:t>导诊排队叫号服务</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要求支持整体分诊排队叫号的数据管理，数据流量的监控，信息的查看与管理，各个终端的授权，各个叫号显示服务的远程管理。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3.1.7.2.3</w:t>
      </w:r>
      <w:r>
        <w:rPr>
          <w:rFonts w:hint="eastAsia" w:ascii="仿宋" w:hAnsi="仿宋" w:eastAsia="仿宋" w:cs="仿宋"/>
          <w:b w:val="0"/>
          <w:bCs w:val="0"/>
          <w:color w:val="auto"/>
          <w:sz w:val="24"/>
          <w:szCs w:val="24"/>
          <w:highlight w:val="none"/>
        </w:rPr>
        <w:t>排队叫号语音库控制系统</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要求支持中文、英文和数字的语音合成，叫号信息由计算机或语音设备将文本信息直接合成为语音信息。</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要求中文、英文和数字的合成语音没有明显的合成听觉感受，达到接近人类说话的效果；</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要求支持多语种混读。</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要求合成语音的阅读音量、基频、语速可调节。</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要求支持字、词、句的合成；要求支持多线程并发合成，满足大规模的语音合成需求。</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要求对数字的读法支持电报方式和数目方式，并可调节切换；可识别标点符号。</w:t>
      </w:r>
    </w:p>
    <w:p>
      <w:pPr>
        <w:pStyle w:val="148"/>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要求排队叫号语音库控制系统包含语音合成平台、语音库。</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3.1.7.3</w:t>
      </w:r>
      <w:r>
        <w:rPr>
          <w:rFonts w:hint="eastAsia" w:ascii="仿宋" w:hAnsi="仿宋" w:eastAsia="仿宋" w:cs="仿宋"/>
          <w:color w:val="auto"/>
          <w:highlight w:val="none"/>
          <w:lang w:val="en-US" w:eastAsia="zh-CN"/>
        </w:rPr>
        <w:t>药房</w:t>
      </w:r>
      <w:r>
        <w:rPr>
          <w:rFonts w:hint="eastAsia" w:ascii="仿宋" w:hAnsi="仿宋" w:eastAsia="仿宋" w:cs="仿宋"/>
          <w:color w:val="auto"/>
          <w:highlight w:val="none"/>
        </w:rPr>
        <w:t>排队</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3.1.7.3.1</w:t>
      </w:r>
      <w:r>
        <w:rPr>
          <w:rFonts w:hint="eastAsia" w:ascii="仿宋" w:hAnsi="仿宋" w:eastAsia="仿宋" w:cs="仿宋"/>
          <w:b w:val="0"/>
          <w:bCs w:val="0"/>
          <w:color w:val="auto"/>
          <w:sz w:val="24"/>
          <w:szCs w:val="24"/>
          <w:highlight w:val="none"/>
        </w:rPr>
        <w:t>叫号显示服务</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叫号显示服务采用多媒体终端作为控制硬件，</w:t>
      </w:r>
      <w:r>
        <w:rPr>
          <w:rFonts w:hint="eastAsia" w:ascii="仿宋" w:hAnsi="仿宋" w:eastAsia="仿宋" w:cs="仿宋"/>
          <w:color w:val="auto"/>
          <w:highlight w:val="none"/>
          <w:lang w:val="en-US" w:eastAsia="zh-CN"/>
        </w:rPr>
        <w:t>支持适配医院现有显示设备。</w:t>
      </w:r>
      <w:r>
        <w:rPr>
          <w:rFonts w:hint="eastAsia" w:ascii="仿宋" w:hAnsi="仿宋" w:eastAsia="仿宋" w:cs="仿宋"/>
          <w:color w:val="auto"/>
          <w:highlight w:val="none"/>
        </w:rPr>
        <w:t>要求可定制多种屏幕显示模板和显示方式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显示患者等信息。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3.1.7.3.2</w:t>
      </w:r>
      <w:r>
        <w:rPr>
          <w:rFonts w:hint="eastAsia" w:ascii="仿宋" w:hAnsi="仿宋" w:eastAsia="仿宋" w:cs="仿宋"/>
          <w:b w:val="0"/>
          <w:bCs w:val="0"/>
          <w:color w:val="auto"/>
          <w:sz w:val="24"/>
          <w:szCs w:val="24"/>
          <w:highlight w:val="none"/>
        </w:rPr>
        <w:t>排队叫号语音库控制系统</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要求支持中文、英文和数字的语音合成，叫号信息由计算机或语音设备将文本信息直接合成为语音信息。</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要求中文、英文和数字的合成语音没有明显的合成听觉感受，达到接近人类说话的效果；</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要求支持多语种混读。</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要求合成语音的阅读音量、基频、语速可调节。</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要求支持字、词、句的合成；要求支持多线程并发合成，满足大规模的语音合成需求。</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要求对数字的读法支持电报方式和数目方式，并可调节切换；可识别标点符号。</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要求排队叫号语音库控制系统包含语音合成平台、语音库。</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24" w:name="_Toc307"/>
      <w:bookmarkStart w:id="325" w:name="_Toc31971"/>
      <w:r>
        <w:rPr>
          <w:rFonts w:hint="eastAsia" w:ascii="仿宋" w:hAnsi="仿宋" w:eastAsia="仿宋" w:cs="仿宋"/>
          <w:b/>
          <w:bCs/>
          <w:color w:val="auto"/>
          <w:sz w:val="28"/>
          <w:szCs w:val="28"/>
          <w:highlight w:val="none"/>
          <w:lang w:val="en-US" w:eastAsia="zh-CN" w:bidi="hi-IN"/>
        </w:rPr>
        <w:t>3.1.8</w:t>
      </w:r>
      <w:r>
        <w:rPr>
          <w:rFonts w:hint="eastAsia" w:ascii="仿宋" w:hAnsi="仿宋" w:eastAsia="仿宋" w:cs="仿宋"/>
          <w:color w:val="auto"/>
          <w:highlight w:val="none"/>
        </w:rPr>
        <w:t>医技收费模块</w:t>
      </w:r>
      <w:bookmarkEnd w:id="324"/>
      <w:bookmarkEnd w:id="325"/>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3.1.8.1</w:t>
      </w:r>
      <w:r>
        <w:rPr>
          <w:rFonts w:hint="eastAsia" w:ascii="仿宋" w:hAnsi="仿宋" w:eastAsia="仿宋" w:cs="仿宋"/>
          <w:color w:val="auto"/>
          <w:highlight w:val="none"/>
        </w:rPr>
        <w:t>体检业务</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要求支持体检业务执行确认，核算收入和查询统计功能。</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3.1.8.2</w:t>
      </w:r>
      <w:r>
        <w:rPr>
          <w:rFonts w:hint="eastAsia" w:ascii="仿宋" w:hAnsi="仿宋" w:eastAsia="仿宋" w:cs="仿宋"/>
          <w:color w:val="auto"/>
          <w:highlight w:val="none"/>
        </w:rPr>
        <w:t>门诊业务</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要求支持门诊业务医技执行、SPD执行、医保结算、账户充值、LIS打印条码等收费管理和查询统计功能。</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3.1.8.3</w:t>
      </w:r>
      <w:r>
        <w:rPr>
          <w:rFonts w:hint="eastAsia" w:ascii="仿宋" w:hAnsi="仿宋" w:eastAsia="仿宋" w:cs="仿宋"/>
          <w:color w:val="auto"/>
          <w:highlight w:val="none"/>
        </w:rPr>
        <w:t>住院业务</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要求支持住院业务医技执行、SPD执行等收费管理和查询统计功能。</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3.1.8.4</w:t>
      </w:r>
      <w:r>
        <w:rPr>
          <w:rFonts w:hint="eastAsia" w:ascii="仿宋" w:hAnsi="仿宋" w:eastAsia="仿宋" w:cs="仿宋"/>
          <w:color w:val="auto"/>
          <w:highlight w:val="none"/>
        </w:rPr>
        <w:t>医技用药</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要求支持医技科室用药申请功能。</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26" w:name="_Toc17172"/>
      <w:bookmarkStart w:id="327" w:name="_Toc960"/>
      <w:r>
        <w:rPr>
          <w:rFonts w:hint="eastAsia" w:ascii="仿宋" w:hAnsi="仿宋" w:eastAsia="仿宋" w:cs="仿宋"/>
          <w:b/>
          <w:bCs/>
          <w:color w:val="auto"/>
          <w:sz w:val="28"/>
          <w:szCs w:val="28"/>
          <w:highlight w:val="none"/>
          <w:lang w:val="en-US" w:eastAsia="zh-CN" w:bidi="hi-IN"/>
        </w:rPr>
        <w:t>3.1.9</w:t>
      </w:r>
      <w:r>
        <w:rPr>
          <w:rFonts w:hint="eastAsia" w:ascii="仿宋" w:hAnsi="仿宋" w:eastAsia="仿宋" w:cs="仿宋"/>
          <w:color w:val="auto"/>
          <w:highlight w:val="none"/>
        </w:rPr>
        <w:t>门急诊输液模块</w:t>
      </w:r>
      <w:bookmarkEnd w:id="326"/>
      <w:bookmarkEnd w:id="327"/>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3.1.9.1</w:t>
      </w:r>
      <w:r>
        <w:rPr>
          <w:rFonts w:hint="eastAsia" w:ascii="仿宋" w:hAnsi="仿宋" w:eastAsia="仿宋" w:cs="仿宋"/>
          <w:color w:val="auto"/>
          <w:highlight w:val="none"/>
        </w:rPr>
        <w:t>腕带管理</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要求实现门急诊输液腕带的打印功能，便于查找患者和方便救治。</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要求支持患者腕带上有患者登记号、病案号、二维码或条码、姓名、性别、年龄、科室病区、床号等信息。</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3.1.9.2</w:t>
      </w:r>
      <w:r>
        <w:rPr>
          <w:rFonts w:hint="eastAsia" w:ascii="仿宋" w:hAnsi="仿宋" w:eastAsia="仿宋" w:cs="仿宋"/>
          <w:color w:val="auto"/>
          <w:highlight w:val="none"/>
        </w:rPr>
        <w:t>输液管理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3.1.9.2.1</w:t>
      </w:r>
      <w:r>
        <w:rPr>
          <w:rFonts w:hint="eastAsia" w:ascii="仿宋" w:hAnsi="仿宋" w:eastAsia="仿宋" w:cs="仿宋"/>
          <w:b w:val="0"/>
          <w:bCs w:val="0"/>
          <w:color w:val="auto"/>
          <w:sz w:val="24"/>
          <w:szCs w:val="24"/>
          <w:highlight w:val="none"/>
        </w:rPr>
        <w:t>输液配液</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要求支持扫描患者输液条码，展现本次输液的所有医嘱信息，并记录配液人、配液时间、核对人、核对时间。</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3.1.9.2.2</w:t>
      </w:r>
      <w:r>
        <w:rPr>
          <w:rFonts w:hint="eastAsia" w:ascii="仿宋" w:hAnsi="仿宋" w:eastAsia="仿宋" w:cs="仿宋"/>
          <w:b w:val="0"/>
          <w:bCs w:val="0"/>
          <w:color w:val="auto"/>
          <w:sz w:val="24"/>
          <w:szCs w:val="24"/>
          <w:highlight w:val="none"/>
        </w:rPr>
        <w:t>输液穿刺</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要求支持扫描患者输液条码，展现本次输液的所有医嘱信息，并呼叫患者，再扫描患者信息条码执行医嘱，记录穿刺情况和滴速等信息。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3.1.9.2.3</w:t>
      </w:r>
      <w:r>
        <w:rPr>
          <w:rFonts w:hint="eastAsia" w:ascii="仿宋" w:hAnsi="仿宋" w:eastAsia="仿宋" w:cs="仿宋"/>
          <w:b w:val="0"/>
          <w:bCs w:val="0"/>
          <w:color w:val="auto"/>
          <w:sz w:val="24"/>
          <w:szCs w:val="24"/>
          <w:highlight w:val="none"/>
        </w:rPr>
        <w:t>输液巡视</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要求支持扫描患者输液条码，展现本次输液的所有医嘱信息，并记录患者滴速、是否异常、异常情况等信息。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3.1.9.2.4</w:t>
      </w:r>
      <w:r>
        <w:rPr>
          <w:rFonts w:hint="eastAsia" w:ascii="仿宋" w:hAnsi="仿宋" w:eastAsia="仿宋" w:cs="仿宋"/>
          <w:b w:val="0"/>
          <w:bCs w:val="0"/>
          <w:color w:val="auto"/>
          <w:sz w:val="24"/>
          <w:szCs w:val="24"/>
          <w:highlight w:val="none"/>
        </w:rPr>
        <w:t>输液续液</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要求支持扫描患者输液条码，展现本次输液的所有医嘱信息，并结束上一袋液体，开始当前液体，并记录输液人、输液时间、滴速等信息。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3.1.9.2.5</w:t>
      </w:r>
      <w:r>
        <w:rPr>
          <w:rFonts w:hint="eastAsia" w:ascii="仿宋" w:hAnsi="仿宋" w:eastAsia="仿宋" w:cs="仿宋"/>
          <w:b w:val="0"/>
          <w:bCs w:val="0"/>
          <w:color w:val="auto"/>
          <w:sz w:val="24"/>
          <w:szCs w:val="24"/>
          <w:highlight w:val="none"/>
        </w:rPr>
        <w:t>输液结束</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要求支持扫描患者输液条码，展现本次输液的所有医嘱信息，并结束当前液体，记录输液情况、拔针人、拔针时间等信息。</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3.1.9.2.6</w:t>
      </w:r>
      <w:r>
        <w:rPr>
          <w:rFonts w:hint="eastAsia" w:ascii="仿宋" w:hAnsi="仿宋" w:eastAsia="仿宋" w:cs="仿宋"/>
          <w:b w:val="0"/>
          <w:bCs w:val="0"/>
          <w:color w:val="auto"/>
          <w:sz w:val="24"/>
          <w:szCs w:val="24"/>
          <w:highlight w:val="none"/>
        </w:rPr>
        <w:t>注射配液</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要求支持扫描注射条码，展现当前扫描的医嘱信息，并记录注射配液人、注射配液时间。</w:t>
      </w:r>
    </w:p>
    <w:p>
      <w:pPr>
        <w:pStyle w:val="6"/>
        <w:numPr>
          <w:ilvl w:val="0"/>
          <w:numId w:val="0"/>
        </w:numPr>
        <w:tabs>
          <w:tab w:val="left" w:pos="1006"/>
        </w:tabs>
        <w:ind w:left="864" w:leftChars="0" w:hanging="864"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bidi="hi-IN"/>
        </w:rPr>
        <w:t>3.1.9.3</w:t>
      </w:r>
      <w:r>
        <w:rPr>
          <w:rFonts w:hint="eastAsia" w:ascii="仿宋" w:hAnsi="仿宋" w:eastAsia="仿宋" w:cs="仿宋"/>
          <w:color w:val="auto"/>
          <w:highlight w:val="none"/>
        </w:rPr>
        <w:t>皮试管理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3.1.9.3.1</w:t>
      </w:r>
      <w:r>
        <w:rPr>
          <w:rFonts w:hint="eastAsia" w:ascii="仿宋" w:hAnsi="仿宋" w:eastAsia="仿宋" w:cs="仿宋"/>
          <w:b w:val="0"/>
          <w:bCs w:val="0"/>
          <w:color w:val="auto"/>
          <w:sz w:val="24"/>
          <w:szCs w:val="24"/>
          <w:highlight w:val="none"/>
        </w:rPr>
        <w:t>皮试配液</w:t>
      </w:r>
    </w:p>
    <w:p>
      <w:pPr>
        <w:pStyle w:val="148"/>
        <w:rPr>
          <w:rFonts w:hint="eastAsia" w:ascii="仿宋" w:hAnsi="仿宋" w:eastAsia="仿宋" w:cs="仿宋"/>
          <w:b w:val="0"/>
          <w:bCs w:val="0"/>
          <w:color w:val="auto"/>
          <w:sz w:val="24"/>
          <w:szCs w:val="24"/>
          <w:highlight w:val="none"/>
        </w:rPr>
      </w:pPr>
      <w:r>
        <w:rPr>
          <w:rFonts w:hint="eastAsia" w:ascii="仿宋" w:hAnsi="仿宋" w:eastAsia="仿宋" w:cs="仿宋"/>
          <w:color w:val="auto"/>
          <w:highlight w:val="none"/>
        </w:rPr>
        <w:t>要求支持扫描皮试条码，展现当前扫描的医嘱信息，并记录皮配液人、配液时间。</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3.1.9.3.2</w:t>
      </w:r>
      <w:r>
        <w:rPr>
          <w:rFonts w:hint="eastAsia" w:ascii="仿宋" w:hAnsi="仿宋" w:eastAsia="仿宋" w:cs="仿宋"/>
          <w:b w:val="0"/>
          <w:bCs w:val="0"/>
          <w:color w:val="auto"/>
          <w:sz w:val="24"/>
          <w:szCs w:val="24"/>
          <w:highlight w:val="none"/>
        </w:rPr>
        <w:t>皮试</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要求支持扫描皮试条码，展现当前扫描的医嘱信息，并记录皮试开始时间。</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28" w:name="_Toc15454"/>
      <w:bookmarkStart w:id="329" w:name="_Toc28736"/>
      <w:r>
        <w:rPr>
          <w:rFonts w:hint="eastAsia" w:ascii="仿宋" w:hAnsi="仿宋" w:eastAsia="仿宋" w:cs="仿宋"/>
          <w:b/>
          <w:bCs/>
          <w:color w:val="auto"/>
          <w:sz w:val="28"/>
          <w:szCs w:val="28"/>
          <w:highlight w:val="none"/>
          <w:lang w:val="en-US" w:eastAsia="zh-CN" w:bidi="hi-IN"/>
        </w:rPr>
        <w:t>3.1.10</w:t>
      </w:r>
      <w:r>
        <w:rPr>
          <w:rFonts w:hint="eastAsia" w:ascii="仿宋" w:hAnsi="仿宋" w:eastAsia="仿宋" w:cs="仿宋"/>
          <w:color w:val="auto"/>
          <w:highlight w:val="none"/>
        </w:rPr>
        <w:t>手术计费模块</w:t>
      </w:r>
      <w:bookmarkEnd w:id="328"/>
      <w:bookmarkEnd w:id="329"/>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3.1.10.1</w:t>
      </w:r>
      <w:r>
        <w:rPr>
          <w:rFonts w:hint="eastAsia" w:ascii="仿宋" w:hAnsi="仿宋" w:eastAsia="仿宋" w:cs="仿宋"/>
          <w:color w:val="auto"/>
          <w:highlight w:val="none"/>
        </w:rPr>
        <w:t>手术申请</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要求支持给手术医生分别授权手术，在手术申请时为手术指定有资质的主刀医生。</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要求支持手术科室提交手术申请，填写手术病人、医生科室、手术医生、手术助手、手术名称、术前诊断等信息，填写进修和实习医生信息。自动提取血型、传染病检验结果。</w:t>
      </w:r>
    </w:p>
    <w:p>
      <w:pPr>
        <w:pStyle w:val="148"/>
        <w:rPr>
          <w:rFonts w:hint="eastAsia" w:ascii="仿宋" w:hAnsi="仿宋" w:eastAsia="仿宋" w:cs="仿宋"/>
          <w:color w:val="auto"/>
          <w:highlight w:val="none"/>
        </w:rPr>
      </w:pPr>
      <w:r>
        <w:rPr>
          <w:rFonts w:hint="eastAsia" w:ascii="仿宋" w:hAnsi="仿宋" w:eastAsia="仿宋" w:cs="仿宋"/>
          <w:color w:val="auto"/>
          <w:highlight w:val="none"/>
        </w:rPr>
        <w:t>要求支持指定时间接收手术申请，超过这一时间，系统便不再接收手术申请。</w:t>
      </w:r>
    </w:p>
    <w:p>
      <w:pPr>
        <w:pStyle w:val="148"/>
        <w:rPr>
          <w:rFonts w:hint="eastAsia" w:ascii="仿宋" w:hAnsi="仿宋" w:eastAsia="仿宋" w:cs="仿宋"/>
          <w:color w:val="auto"/>
          <w:szCs w:val="24"/>
          <w:highlight w:val="none"/>
        </w:rPr>
      </w:pPr>
      <w:r>
        <w:rPr>
          <w:rFonts w:hint="eastAsia" w:ascii="仿宋" w:hAnsi="仿宋" w:eastAsia="仿宋" w:cs="仿宋"/>
          <w:color w:val="auto"/>
          <w:highlight w:val="none"/>
        </w:rPr>
        <w:t>要求支持按照患者不同的来源（门诊、住院及其他）查询手术申请信息。</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要求支持手术查询根据申请科室、手术间、手术状态等多种查询条件，并可自动按照手术间、手术科室、是否污染和是否急症手术进行分类排列。</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rPr>
        <w:t>要求支持手术申请提交后，科室主任审核后正式发送到手术室。</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rPr>
      </w:pPr>
      <w:r>
        <w:rPr>
          <w:rFonts w:hint="eastAsia" w:ascii="仿宋" w:hAnsi="仿宋" w:eastAsia="仿宋" w:cs="仿宋"/>
          <w:b/>
          <w:bCs/>
          <w:color w:val="auto"/>
          <w:sz w:val="24"/>
          <w:szCs w:val="24"/>
          <w:highlight w:val="none"/>
          <w:lang w:val="en-US" w:eastAsia="zh-CN" w:bidi="hi-IN"/>
        </w:rPr>
        <w:t>3.1.10.2</w:t>
      </w:r>
      <w:r>
        <w:rPr>
          <w:rFonts w:hint="eastAsia" w:ascii="仿宋" w:hAnsi="仿宋" w:eastAsia="仿宋" w:cs="仿宋"/>
          <w:color w:val="auto"/>
          <w:highlight w:val="none"/>
        </w:rPr>
        <w:t>手术安排</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要求支持手术室接收病房手术申请单。进行手术安排。</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要求支持手术室确定每台手术的手术间、台次、手术时间、器材护士、巡回护士，安排进修和实习人员。</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要求支持将确认后的每台手术的上台手术医生、巡回护士和洗手护士回传到HIS中。</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要求支持按手术间手术护士的排班。</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要求支持排班后打印手术排班表。</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要求支持麻醉科安排麻醉师、进修和实习麻醉师，确定麻醉方法。</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要求支持打印手术排班报表。</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要求支持将确认后的每台手术的麻醉医生回传到HIS中。</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rPr>
        <w:t>要求支持支持按手术间对麻醉师的排班。</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rPr>
      </w:pPr>
      <w:r>
        <w:rPr>
          <w:rFonts w:hint="eastAsia" w:ascii="仿宋" w:hAnsi="仿宋" w:eastAsia="仿宋" w:cs="仿宋"/>
          <w:b/>
          <w:bCs/>
          <w:color w:val="auto"/>
          <w:sz w:val="24"/>
          <w:szCs w:val="24"/>
          <w:highlight w:val="none"/>
          <w:lang w:val="en-US" w:eastAsia="zh-CN" w:bidi="hi-IN"/>
        </w:rPr>
        <w:t>3.1.10.3</w:t>
      </w:r>
      <w:r>
        <w:rPr>
          <w:rFonts w:hint="eastAsia" w:ascii="仿宋" w:hAnsi="仿宋" w:eastAsia="仿宋" w:cs="仿宋"/>
          <w:color w:val="auto"/>
          <w:highlight w:val="none"/>
        </w:rPr>
        <w:t>手术计费</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rPr>
        <w:t>要求支持手术中和手术后的计费项目录入功能，要求支持高值耗材扫码快速录入费用并对接SPD系统。</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rPr>
      </w:pPr>
      <w:r>
        <w:rPr>
          <w:rFonts w:hint="eastAsia" w:ascii="仿宋" w:hAnsi="仿宋" w:eastAsia="仿宋" w:cs="仿宋"/>
          <w:b/>
          <w:bCs/>
          <w:color w:val="auto"/>
          <w:sz w:val="24"/>
          <w:szCs w:val="24"/>
          <w:highlight w:val="none"/>
          <w:lang w:val="en-US" w:eastAsia="zh-CN" w:bidi="hi-IN"/>
        </w:rPr>
        <w:t>3.1.10.4</w:t>
      </w:r>
      <w:r>
        <w:rPr>
          <w:rFonts w:hint="eastAsia" w:ascii="仿宋" w:hAnsi="仿宋" w:eastAsia="仿宋" w:cs="仿宋"/>
          <w:color w:val="auto"/>
          <w:highlight w:val="none"/>
        </w:rPr>
        <w:t>手术记录</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rPr>
        <w:t>要求支持手术记录相关医疗文书（术前访视单、手术计划、手术同意书、有创治疗知情同意书等）。</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rPr>
      </w:pPr>
      <w:r>
        <w:rPr>
          <w:rFonts w:hint="eastAsia" w:ascii="仿宋" w:hAnsi="仿宋" w:eastAsia="仿宋" w:cs="仿宋"/>
          <w:b/>
          <w:bCs/>
          <w:color w:val="auto"/>
          <w:sz w:val="24"/>
          <w:szCs w:val="24"/>
          <w:highlight w:val="none"/>
          <w:lang w:val="en-US" w:eastAsia="zh-CN" w:bidi="hi-IN"/>
        </w:rPr>
        <w:t>3.1.10.5</w:t>
      </w:r>
      <w:r>
        <w:rPr>
          <w:rFonts w:hint="eastAsia" w:ascii="仿宋" w:hAnsi="仿宋" w:eastAsia="仿宋" w:cs="仿宋"/>
          <w:color w:val="auto"/>
          <w:highlight w:val="none"/>
        </w:rPr>
        <w:t>结束手术</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要求支持手术结束后患者去向管理。</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rPr>
        <w:t>要求支持结束手术后复苏室管理。</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30" w:name="_Toc30163"/>
      <w:bookmarkStart w:id="331" w:name="_Toc16514"/>
      <w:r>
        <w:rPr>
          <w:rFonts w:hint="eastAsia" w:ascii="仿宋" w:hAnsi="仿宋" w:eastAsia="仿宋" w:cs="仿宋"/>
          <w:b/>
          <w:bCs/>
          <w:color w:val="auto"/>
          <w:sz w:val="28"/>
          <w:szCs w:val="28"/>
          <w:highlight w:val="none"/>
          <w:lang w:val="en-US" w:eastAsia="zh-CN" w:bidi="hi-IN"/>
        </w:rPr>
        <w:t>3.1.11</w:t>
      </w:r>
      <w:r>
        <w:rPr>
          <w:rFonts w:hint="eastAsia" w:ascii="仿宋" w:hAnsi="仿宋" w:eastAsia="仿宋" w:cs="仿宋"/>
          <w:color w:val="auto"/>
          <w:highlight w:val="none"/>
        </w:rPr>
        <w:t>药库管理模块</w:t>
      </w:r>
      <w:bookmarkEnd w:id="330"/>
      <w:bookmarkEnd w:id="331"/>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highlight w:val="none"/>
        </w:rPr>
        <w:t>保留现有HIS功能（包括药品采购计划的编制、审核、评估、统计分析、盘点、查询、报表等）并完善细节</w:t>
      </w:r>
      <w:r>
        <w:rPr>
          <w:rFonts w:hint="eastAsia" w:ascii="仿宋" w:hAnsi="仿宋" w:eastAsia="仿宋" w:cs="仿宋"/>
          <w:color w:val="auto"/>
          <w:szCs w:val="24"/>
          <w:highlight w:val="none"/>
          <w:lang w:eastAsia="zh-CN"/>
        </w:rPr>
        <w:t>。药品可追溯管理（扫码出入库、特殊管理药品发药扫码，扫码数据查验比对），</w:t>
      </w:r>
      <w:r>
        <w:rPr>
          <w:rFonts w:hint="eastAsia" w:ascii="仿宋" w:hAnsi="仿宋" w:eastAsia="仿宋" w:cs="仿宋"/>
          <w:color w:val="auto"/>
          <w:szCs w:val="24"/>
          <w:highlight w:val="none"/>
          <w:lang w:val="en-US" w:eastAsia="zh-CN"/>
        </w:rPr>
        <w:t>具备</w:t>
      </w:r>
      <w:r>
        <w:rPr>
          <w:rFonts w:hint="eastAsia" w:ascii="仿宋" w:hAnsi="仿宋" w:eastAsia="仿宋" w:cs="仿宋"/>
          <w:color w:val="auto"/>
          <w:szCs w:val="24"/>
          <w:highlight w:val="none"/>
          <w:lang w:eastAsia="zh-CN"/>
        </w:rPr>
        <w:t>药品效期管理功能。</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rPr>
      </w:pPr>
      <w:r>
        <w:rPr>
          <w:rFonts w:hint="eastAsia" w:ascii="仿宋" w:hAnsi="仿宋" w:eastAsia="仿宋" w:cs="仿宋"/>
          <w:b/>
          <w:bCs/>
          <w:color w:val="auto"/>
          <w:sz w:val="24"/>
          <w:szCs w:val="24"/>
          <w:highlight w:val="none"/>
          <w:lang w:val="en-US" w:eastAsia="zh-CN" w:bidi="hi-IN"/>
        </w:rPr>
        <w:t>3.1.11.1</w:t>
      </w:r>
      <w:r>
        <w:rPr>
          <w:rFonts w:hint="eastAsia" w:ascii="仿宋" w:hAnsi="仿宋" w:eastAsia="仿宋" w:cs="仿宋"/>
          <w:color w:val="auto"/>
          <w:highlight w:val="none"/>
        </w:rPr>
        <w:t>字典管理</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要求支持维护药品的基础字典信息，用于临床开药品医嘱、护士执行医嘱、药房发药、药品医嘱收费、医保报销等药品基础数据维护。</w:t>
      </w:r>
      <w:r>
        <w:rPr>
          <w:rFonts w:hint="eastAsia" w:ascii="仿宋" w:hAnsi="仿宋" w:eastAsia="仿宋" w:cs="仿宋"/>
          <w:color w:val="auto"/>
          <w:szCs w:val="24"/>
          <w:highlight w:val="none"/>
          <w:lang w:val="en-US" w:eastAsia="zh-CN"/>
        </w:rPr>
        <w:t>支持</w:t>
      </w:r>
      <w:r>
        <w:rPr>
          <w:rFonts w:hint="eastAsia" w:ascii="仿宋" w:hAnsi="仿宋" w:eastAsia="仿宋" w:cs="仿宋"/>
          <w:color w:val="auto"/>
          <w:szCs w:val="24"/>
          <w:highlight w:val="none"/>
        </w:rPr>
        <w:t>药品资质管理、目录库管理、生产企业、上市许可持有人变更管理</w:t>
      </w:r>
      <w:r>
        <w:rPr>
          <w:rFonts w:hint="eastAsia" w:ascii="仿宋" w:hAnsi="仿宋" w:eastAsia="仿宋" w:cs="仿宋"/>
          <w:color w:val="auto"/>
          <w:szCs w:val="24"/>
          <w:highlight w:val="none"/>
          <w:lang w:eastAsia="zh-CN"/>
        </w:rPr>
        <w:t>。</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维护功能，录入或修改药品名称、规格、批号、价格、生产厂家、供货商、包装单位、发药单位等药品信息以及医疗保险信息中的医疗保险类别和处方药标志等。其他信息的维护主要包括以下内容：</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1、库存项：代码、名称、分类、单位、入库单位、别名等，用来实现系统中各部门库存品种和存量管理的代码。</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2、医嘱项：代码、名称、医嘱子类、账单子类、计价单位、独立医嘱属性、别名等</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3、药学项：代码、名称（中文名称、英文名称、拼音码）、药学子类、基本单位、医保费别、等效计量、规格、批号、价格等。</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4、计量单位：代码、名称、转换系数等。</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5、供应商：供应商代码、名称、类型、税号、联系人、地址、生产厂家、包装单位、发药单位等。</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6、产地：代码、名称等。</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rPr>
        <w:t>7、科室：科室代码、名称、类型等。</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rPr>
      </w:pPr>
      <w:r>
        <w:rPr>
          <w:rFonts w:hint="eastAsia" w:ascii="仿宋" w:hAnsi="仿宋" w:eastAsia="仿宋" w:cs="仿宋"/>
          <w:b/>
          <w:bCs/>
          <w:color w:val="auto"/>
          <w:sz w:val="24"/>
          <w:szCs w:val="24"/>
          <w:highlight w:val="none"/>
          <w:lang w:val="en-US" w:eastAsia="zh-CN" w:bidi="hi-IN"/>
        </w:rPr>
        <w:t>3.1.11.2</w:t>
      </w:r>
      <w:r>
        <w:rPr>
          <w:rFonts w:hint="eastAsia" w:ascii="仿宋" w:hAnsi="仿宋" w:eastAsia="仿宋" w:cs="仿宋"/>
          <w:color w:val="auto"/>
          <w:highlight w:val="none"/>
        </w:rPr>
        <w:t>入库管理</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要求支持以批次管理为模式，对药品的入库（可以实现扫码入库）管理，入库时记录入库采购的供应企业、发票信息、药品品种、数量、批号有效期等信息，入库时生成系统的药品批次和库存。</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rPr>
        <w:t>要求支持按日期段、按供应商、按药品各种分类、按药品品种等汇总药品的采购入库和退药等情况，可用于财务报表的统计和医院领导需要查看的报表等等。</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rPr>
      </w:pPr>
      <w:r>
        <w:rPr>
          <w:rFonts w:hint="eastAsia" w:ascii="仿宋" w:hAnsi="仿宋" w:eastAsia="仿宋" w:cs="仿宋"/>
          <w:b/>
          <w:bCs/>
          <w:color w:val="auto"/>
          <w:sz w:val="24"/>
          <w:szCs w:val="24"/>
          <w:highlight w:val="none"/>
          <w:lang w:val="en-US" w:eastAsia="zh-CN" w:bidi="hi-IN"/>
        </w:rPr>
        <w:t>3.1.11.3</w:t>
      </w:r>
      <w:r>
        <w:rPr>
          <w:rFonts w:hint="eastAsia" w:ascii="仿宋" w:hAnsi="仿宋" w:eastAsia="仿宋" w:cs="仿宋"/>
          <w:color w:val="auto"/>
          <w:highlight w:val="none"/>
        </w:rPr>
        <w:t>出库管理</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要求支持根据药房或者临床科室的请领单信息，进行药品的出库管理。</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要求支持出库是按照药品批次进行减库存，也可以由药库手工建出库单，审核人员审核出库后，完成药库的出库，接收科室验货后进行转移入库审核。</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rPr>
        <w:t>要求支持按日期段、按接收科室、按药品各种分类、按药品品种等汇总药品的出库情况，满足医院领导常用的查看报表、财务上报的报表等。</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rPr>
      </w:pPr>
      <w:r>
        <w:rPr>
          <w:rFonts w:hint="eastAsia" w:ascii="仿宋" w:hAnsi="仿宋" w:eastAsia="仿宋" w:cs="仿宋"/>
          <w:b/>
          <w:bCs/>
          <w:color w:val="auto"/>
          <w:sz w:val="24"/>
          <w:szCs w:val="24"/>
          <w:highlight w:val="none"/>
          <w:lang w:val="en-US" w:eastAsia="zh-CN" w:bidi="hi-IN"/>
        </w:rPr>
        <w:t>3.1.11.4</w:t>
      </w:r>
      <w:r>
        <w:rPr>
          <w:rFonts w:hint="eastAsia" w:ascii="仿宋" w:hAnsi="仿宋" w:eastAsia="仿宋" w:cs="仿宋"/>
          <w:color w:val="auto"/>
          <w:highlight w:val="none"/>
        </w:rPr>
        <w:t>库存管理</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具有药品上下限控制。效期、批次管理，提供自动报警、过期统计、库存量提示功能。药品库存清单查询、打印功能。支持实库存管理，支持三级库房管理。支持制剂原料与成品的库存管理。</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药品库位管理功能：设置每个药品指定放置位置，便于药库管理员与药师查找与盘点核算。</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条码管理，提供条码号与院内药品代码建立对照关系。</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药库工作的操作记录日志。</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提供特殊药品入库、出库管理功能(如：赠送、实验药品等)。院外调拨及赠药处理；及加权平均成本计算功能、药品预设调价功能。</w:t>
      </w:r>
    </w:p>
    <w:p>
      <w:pPr>
        <w:pStyle w:val="5"/>
        <w:bidi w:val="0"/>
        <w:ind w:left="0" w:right="0" w:firstLine="48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提供特殊药品标记，对毒麻药品、精神药品的种类、贵重药品、院内制剂、进口药品、自费药等识别处理。</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提供</w:t>
      </w:r>
      <w:r>
        <w:rPr>
          <w:rFonts w:hint="eastAsia" w:ascii="仿宋" w:hAnsi="仿宋" w:eastAsia="仿宋" w:cs="仿宋"/>
          <w:color w:val="auto"/>
          <w:szCs w:val="24"/>
          <w:highlight w:val="none"/>
        </w:rPr>
        <w:t>用药限制功能（按药品限制到科室或患者），批次锁定功能</w:t>
      </w:r>
      <w:r>
        <w:rPr>
          <w:rFonts w:hint="eastAsia" w:ascii="仿宋" w:hAnsi="仿宋" w:eastAsia="仿宋" w:cs="仿宋"/>
          <w:color w:val="auto"/>
          <w:szCs w:val="24"/>
          <w:highlight w:val="none"/>
          <w:lang w:eastAsia="zh-CN"/>
        </w:rPr>
        <w:t>。</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rPr>
      </w:pPr>
      <w:r>
        <w:rPr>
          <w:rFonts w:hint="eastAsia" w:ascii="仿宋" w:hAnsi="仿宋" w:eastAsia="仿宋" w:cs="仿宋"/>
          <w:b/>
          <w:bCs/>
          <w:color w:val="auto"/>
          <w:sz w:val="24"/>
          <w:szCs w:val="24"/>
          <w:highlight w:val="none"/>
          <w:lang w:val="en-US" w:eastAsia="zh-CN" w:bidi="hi-IN"/>
        </w:rPr>
        <w:t>3.1.11.5</w:t>
      </w:r>
      <w:r>
        <w:rPr>
          <w:rFonts w:hint="eastAsia" w:ascii="仿宋" w:hAnsi="仿宋" w:eastAsia="仿宋" w:cs="仿宋"/>
          <w:color w:val="auto"/>
          <w:highlight w:val="none"/>
        </w:rPr>
        <w:t>财务管理</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根据物价部门的现行调价文件实现全院统一调价，提供自动调价确认和手动调价确认两种方式。</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记录调价的明细（时间及调价原因、调价的盈亏等）。按条件筛选调价药品。</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提供药品会计账目、药品库管账目及与财务系统的接口，实现数据共享。按会计制度规定，提供自动报账和手工报账核算功能。</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药品会计统计分析报表实现对月、季、年进行准确可靠的统计，为“定额管理、加速周转、保证供应”提供依据。</w:t>
      </w:r>
    </w:p>
    <w:p>
      <w:pPr>
        <w:pStyle w:val="5"/>
        <w:bidi w:val="0"/>
        <w:ind w:left="0" w:right="0" w:firstLine="48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提供医院各科室药品消耗统计、结存量统计、金额统计功能。能够进行各药房报损药品、处方数量、处方金额等的统计。</w:t>
      </w:r>
    </w:p>
    <w:p>
      <w:pPr>
        <w:pStyle w:val="5"/>
        <w:bidi w:val="0"/>
        <w:ind w:left="0" w:right="0" w:firstLine="48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提供重点监控、国谈、集采药品等数据分析功能</w:t>
      </w:r>
    </w:p>
    <w:p>
      <w:pPr>
        <w:pStyle w:val="5"/>
        <w:bidi w:val="0"/>
        <w:ind w:left="0" w:right="0" w:firstLine="480"/>
        <w:jc w:val="left"/>
        <w:rPr>
          <w:rFonts w:hint="eastAsia" w:ascii="仿宋" w:hAnsi="仿宋" w:eastAsia="仿宋" w:cs="仿宋"/>
          <w:color w:val="auto"/>
          <w:highlight w:val="none"/>
        </w:rPr>
      </w:pPr>
      <w:r>
        <w:rPr>
          <w:rFonts w:hint="eastAsia" w:ascii="仿宋" w:hAnsi="仿宋" w:eastAsia="仿宋" w:cs="仿宋"/>
          <w:color w:val="auto"/>
          <w:szCs w:val="24"/>
          <w:highlight w:val="none"/>
        </w:rPr>
        <w:t>打印功能：对药品会计处理需要的账簿、报表按统一规定的格式和内容进行打印和输出。</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32" w:name="_Toc32441"/>
      <w:bookmarkStart w:id="333" w:name="_Toc30684"/>
      <w:r>
        <w:rPr>
          <w:rFonts w:hint="eastAsia" w:ascii="仿宋" w:hAnsi="仿宋" w:eastAsia="仿宋" w:cs="仿宋"/>
          <w:b/>
          <w:bCs/>
          <w:color w:val="auto"/>
          <w:sz w:val="28"/>
          <w:szCs w:val="28"/>
          <w:highlight w:val="none"/>
          <w:lang w:val="en-US" w:eastAsia="zh-CN" w:bidi="hi-IN"/>
        </w:rPr>
        <w:t>3.1.12</w:t>
      </w:r>
      <w:r>
        <w:rPr>
          <w:rFonts w:hint="eastAsia" w:ascii="仿宋" w:hAnsi="仿宋" w:eastAsia="仿宋" w:cs="仿宋"/>
          <w:color w:val="auto"/>
          <w:highlight w:val="none"/>
        </w:rPr>
        <w:t>门诊药房模块</w:t>
      </w:r>
      <w:bookmarkEnd w:id="332"/>
      <w:bookmarkEnd w:id="333"/>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保</w:t>
      </w:r>
      <w:r>
        <w:rPr>
          <w:rFonts w:hint="eastAsia" w:ascii="仿宋" w:hAnsi="仿宋" w:eastAsia="仿宋" w:cs="仿宋"/>
          <w:color w:val="auto"/>
          <w:highlight w:val="none"/>
          <w:lang w:val="en-US" w:eastAsia="zh-CN"/>
        </w:rPr>
        <w:t>留</w:t>
      </w:r>
      <w:r>
        <w:rPr>
          <w:rFonts w:hint="eastAsia" w:ascii="仿宋" w:hAnsi="仿宋" w:eastAsia="仿宋" w:cs="仿宋"/>
          <w:color w:val="auto"/>
          <w:highlight w:val="none"/>
        </w:rPr>
        <w:t>现有门、急诊药房</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干部保健、南部院区、胃肠药房、发热药房系统功能。单独建立互联网药房系统。</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3.1.12.1</w:t>
      </w:r>
      <w:r>
        <w:rPr>
          <w:rFonts w:hint="eastAsia" w:ascii="仿宋" w:hAnsi="仿宋" w:eastAsia="仿宋" w:cs="仿宋"/>
          <w:color w:val="auto"/>
          <w:highlight w:val="none"/>
        </w:rPr>
        <w:t>系统概述</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门急诊药房管理系统通过获取门诊医生所开立的处方信息，实现发药管理以及药品的批次、库存等管理。</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3.1.12.2</w:t>
      </w:r>
      <w:r>
        <w:rPr>
          <w:rFonts w:hint="eastAsia" w:ascii="仿宋" w:hAnsi="仿宋" w:eastAsia="仿宋" w:cs="仿宋"/>
          <w:color w:val="auto"/>
          <w:highlight w:val="none"/>
        </w:rPr>
        <w:t>整体要求</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要求提供门诊患者的配药、发药、退药申请、退药、发药单打印、发药查询、退药查询、工作量统计、日消耗查询、发药统计等功能。以及对接自动摆药机完成摆药工作。</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3.1.12.3</w:t>
      </w:r>
      <w:r>
        <w:rPr>
          <w:rFonts w:hint="eastAsia" w:ascii="仿宋" w:hAnsi="仿宋" w:eastAsia="仿宋" w:cs="仿宋"/>
          <w:color w:val="auto"/>
          <w:highlight w:val="none"/>
        </w:rPr>
        <w:t>配药</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要求支持患者交费可以通过自助机、扫码报到等自动打印配药单，并支持选择处方打印配药单。</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3.1.12.4</w:t>
      </w:r>
      <w:r>
        <w:rPr>
          <w:rFonts w:hint="eastAsia" w:ascii="仿宋" w:hAnsi="仿宋" w:eastAsia="仿宋" w:cs="仿宋"/>
          <w:color w:val="auto"/>
          <w:highlight w:val="none"/>
        </w:rPr>
        <w:t>发药</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要求支持选择对应的窗口号，通过病人的登记号或者卡号打印配药单，或刷卡后检索患者处方列表信息，选择处方进行发药。可完成后台自动打印发药单并提供补打功能。</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3.1.12.5</w:t>
      </w:r>
      <w:r>
        <w:rPr>
          <w:rFonts w:hint="eastAsia" w:ascii="仿宋" w:hAnsi="仿宋" w:eastAsia="仿宋" w:cs="仿宋"/>
          <w:color w:val="auto"/>
          <w:highlight w:val="none"/>
        </w:rPr>
        <w:t>退药申请</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要求支持在处方发药后，由患者向医生申请医生发起处方的退药申请。</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3.1.12.6</w:t>
      </w:r>
      <w:r>
        <w:rPr>
          <w:rFonts w:hint="eastAsia" w:ascii="仿宋" w:hAnsi="仿宋" w:eastAsia="仿宋" w:cs="仿宋"/>
          <w:color w:val="auto"/>
          <w:highlight w:val="none"/>
        </w:rPr>
        <w:t>退药</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要求支持通过患者的登记号或收据号，对其进行退药操作，可以进行整体或部分退药。需要显示处方金额及对应发票号</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3.1.12.7</w:t>
      </w:r>
      <w:r>
        <w:rPr>
          <w:rFonts w:hint="eastAsia" w:ascii="仿宋" w:hAnsi="仿宋" w:eastAsia="仿宋" w:cs="仿宋"/>
          <w:color w:val="auto"/>
          <w:highlight w:val="none"/>
        </w:rPr>
        <w:t>发药查询</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要求支持查询出整个药房或单个患者在一段时间内的发药信息，要求支持发药时自动按药品批次减库存，记录库存台账。</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要求支持当要对某种药品进行单据跟踪查询时，输入该药品，系统就检索到药房在一段时间内的包含该药品的发药单据。</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3.1.12.8</w:t>
      </w:r>
      <w:r>
        <w:rPr>
          <w:rFonts w:hint="eastAsia" w:ascii="仿宋" w:hAnsi="仿宋" w:eastAsia="仿宋" w:cs="仿宋"/>
          <w:color w:val="auto"/>
          <w:highlight w:val="none"/>
        </w:rPr>
        <w:t>退药查询</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要求支持对一段时间内的退药信息进行查询，可以按照退药单据查询，也可以统计出所退药品的汇总。</w:t>
      </w:r>
    </w:p>
    <w:p>
      <w:pPr>
        <w:pStyle w:val="6"/>
        <w:numPr>
          <w:ilvl w:val="0"/>
          <w:numId w:val="0"/>
        </w:numPr>
        <w:tabs>
          <w:tab w:val="left" w:pos="1006"/>
        </w:tabs>
        <w:ind w:left="864" w:leftChars="0" w:hanging="864" w:firstLineChars="0"/>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0"/>
          <w:highlight w:val="none"/>
          <w:lang w:val="en-US" w:eastAsia="zh-CN" w:bidi="hi-IN"/>
        </w:rPr>
        <w:t>3.1.12.9</w:t>
      </w:r>
      <w:r>
        <w:rPr>
          <w:rFonts w:hint="eastAsia" w:ascii="仿宋" w:hAnsi="仿宋" w:eastAsia="仿宋" w:cs="仿宋"/>
          <w:color w:val="auto"/>
          <w:highlight w:val="none"/>
          <w:lang w:val="en-US" w:eastAsia="zh-CN"/>
        </w:rPr>
        <w:t xml:space="preserve"> 库存管理</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支持按货位、批次等方式盘点功能，</w:t>
      </w:r>
      <w:r>
        <w:rPr>
          <w:rFonts w:hint="eastAsia" w:ascii="仿宋" w:hAnsi="仿宋" w:eastAsia="仿宋" w:cs="仿宋"/>
          <w:color w:val="auto"/>
          <w:highlight w:val="none"/>
        </w:rPr>
        <w:t>盈亏表自动识别中西药；自动分开打印；盘点开始时间自动记录。</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支持</w:t>
      </w:r>
      <w:r>
        <w:rPr>
          <w:rFonts w:hint="eastAsia" w:ascii="仿宋" w:hAnsi="仿宋" w:eastAsia="仿宋" w:cs="仿宋"/>
          <w:color w:val="auto"/>
          <w:highlight w:val="none"/>
        </w:rPr>
        <w:t>医生开方后自动减库存，若患者未取，1小时后库存自动恢复。</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支持</w:t>
      </w:r>
      <w:r>
        <w:rPr>
          <w:rFonts w:hint="eastAsia" w:ascii="仿宋" w:hAnsi="仿宋" w:eastAsia="仿宋" w:cs="仿宋"/>
          <w:color w:val="auto"/>
          <w:highlight w:val="none"/>
        </w:rPr>
        <w:t>药品库存禁用功能中取消“手麻使用”选项。</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3.1.12.10</w:t>
      </w:r>
      <w:r>
        <w:rPr>
          <w:rFonts w:hint="eastAsia" w:ascii="仿宋" w:hAnsi="仿宋" w:eastAsia="仿宋" w:cs="仿宋"/>
          <w:color w:val="auto"/>
          <w:highlight w:val="none"/>
        </w:rPr>
        <w:t>工作量统计</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要求支持药房小组管理人员统计整个药房的发药和配药人员的工作量，要求支持“按窗口统计”和“按人员统计”等模式，要求统计药房人员的配药人次、发药人次、配药量、发药量等。</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3.1.12.11</w:t>
      </w:r>
      <w:r>
        <w:rPr>
          <w:rFonts w:hint="eastAsia" w:ascii="仿宋" w:hAnsi="仿宋" w:eastAsia="仿宋" w:cs="仿宋"/>
          <w:color w:val="auto"/>
          <w:highlight w:val="none"/>
        </w:rPr>
        <w:t>日消耗查询</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要求支持查询出药房在一段时间的消耗情况，也可以在查询条件中输入药品，查询出单个药品的消耗情况。</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3.1.12.12</w:t>
      </w:r>
      <w:r>
        <w:rPr>
          <w:rFonts w:hint="eastAsia" w:ascii="仿宋" w:hAnsi="仿宋" w:eastAsia="仿宋" w:cs="仿宋"/>
          <w:color w:val="auto"/>
          <w:highlight w:val="none"/>
        </w:rPr>
        <w:t>发药统计</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要求根据每天的日报信息来生成药房的月报，如果该月的月报已生成时，支持重新生成确认。麻精药品每日消耗及库存统计（处方明细），贵重药品每日消耗及库存统计</w:t>
      </w:r>
    </w:p>
    <w:p>
      <w:pPr>
        <w:pStyle w:val="4"/>
        <w:numPr>
          <w:ilvl w:val="0"/>
          <w:numId w:val="0"/>
        </w:numPr>
        <w:tabs>
          <w:tab w:val="left" w:pos="720"/>
          <w:tab w:val="left" w:pos="1006"/>
        </w:tabs>
        <w:ind w:left="720" w:leftChars="0" w:hanging="720" w:firstLineChars="0"/>
        <w:rPr>
          <w:rFonts w:hint="eastAsia" w:ascii="仿宋" w:hAnsi="仿宋" w:eastAsia="仿宋" w:cs="仿宋"/>
          <w:color w:val="auto"/>
          <w:highlight w:val="none"/>
        </w:rPr>
      </w:pPr>
      <w:bookmarkStart w:id="334" w:name="_Toc2845"/>
      <w:bookmarkStart w:id="335" w:name="_Toc26279"/>
      <w:r>
        <w:rPr>
          <w:rFonts w:hint="eastAsia" w:ascii="仿宋" w:hAnsi="仿宋" w:eastAsia="仿宋" w:cs="仿宋"/>
          <w:b/>
          <w:bCs/>
          <w:color w:val="auto"/>
          <w:sz w:val="28"/>
          <w:szCs w:val="28"/>
          <w:highlight w:val="none"/>
          <w:lang w:val="en-US" w:eastAsia="zh-CN" w:bidi="hi-IN"/>
        </w:rPr>
        <w:t>3.1.13</w:t>
      </w:r>
      <w:r>
        <w:rPr>
          <w:rFonts w:hint="eastAsia" w:ascii="仿宋" w:hAnsi="仿宋" w:eastAsia="仿宋" w:cs="仿宋"/>
          <w:color w:val="auto"/>
          <w:highlight w:val="none"/>
        </w:rPr>
        <w:t>住院药房模块</w:t>
      </w:r>
      <w:bookmarkEnd w:id="334"/>
      <w:bookmarkEnd w:id="335"/>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保</w:t>
      </w:r>
      <w:r>
        <w:rPr>
          <w:rFonts w:hint="eastAsia" w:ascii="仿宋" w:hAnsi="仿宋" w:eastAsia="仿宋" w:cs="仿宋"/>
          <w:color w:val="auto"/>
          <w:highlight w:val="none"/>
          <w:lang w:val="en-US" w:eastAsia="zh-CN"/>
        </w:rPr>
        <w:t>留</w:t>
      </w:r>
      <w:r>
        <w:rPr>
          <w:rFonts w:hint="eastAsia" w:ascii="仿宋" w:hAnsi="仿宋" w:eastAsia="仿宋" w:cs="仿宋"/>
          <w:color w:val="auto"/>
          <w:highlight w:val="none"/>
        </w:rPr>
        <w:t>现有住院药房、中心摆药房系统所有功能。根据实际工作添加辅助性功能，需根据软件情况进行论证并添加。</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3.1.13.1</w:t>
      </w:r>
      <w:r>
        <w:rPr>
          <w:rFonts w:hint="eastAsia" w:ascii="仿宋" w:hAnsi="仿宋" w:eastAsia="仿宋" w:cs="仿宋"/>
          <w:color w:val="auto"/>
          <w:highlight w:val="none"/>
        </w:rPr>
        <w:t>系统概述</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住院中心药房系统运用信息技术手段实现对住院医生所开医嘱的自动审查，对审查通过的药品医嘱进行发放管理，对开立有误的药品处方或发放有误的药品进行退药处理。</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3.1.13.2</w:t>
      </w:r>
      <w:r>
        <w:rPr>
          <w:rFonts w:hint="eastAsia" w:ascii="仿宋" w:hAnsi="仿宋" w:eastAsia="仿宋" w:cs="仿宋"/>
          <w:color w:val="auto"/>
          <w:highlight w:val="none"/>
        </w:rPr>
        <w:t>整体要求</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要求提供按病区完成对住院患者的配药、发药、查询、退药申请、退药、发药单打印、发药统计等功能。以及对接自动摆药机和静配PIVAS系统完成摆药和配药工作。</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3.1.13.3</w:t>
      </w:r>
      <w:r>
        <w:rPr>
          <w:rFonts w:hint="eastAsia" w:ascii="仿宋" w:hAnsi="仿宋" w:eastAsia="仿宋" w:cs="仿宋"/>
          <w:color w:val="auto"/>
          <w:highlight w:val="none"/>
        </w:rPr>
        <w:t>配药</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要求支持配药人员拿到发药单后，按货位顺序逐个进行药品的配药，配药过程要核对药品的名称、批次等信息。要求可在系统中完成配药确认，记录配药人员工作量。</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3.1.13.4</w:t>
      </w:r>
      <w:r>
        <w:rPr>
          <w:rFonts w:hint="eastAsia" w:ascii="仿宋" w:hAnsi="仿宋" w:eastAsia="仿宋" w:cs="仿宋"/>
          <w:color w:val="auto"/>
          <w:highlight w:val="none"/>
        </w:rPr>
        <w:t>发药</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要求支持操作人员按日期检索出待发药的病区和需发药的药品类别，选择病区和发药类别后检索对应的待发药医嘱。</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要求支持可以全部或部分选择发药并打印发药单，发药时按有效期规则减当前药品批次库存。</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支持</w:t>
      </w:r>
      <w:r>
        <w:rPr>
          <w:rFonts w:hint="eastAsia" w:ascii="仿宋" w:hAnsi="仿宋" w:eastAsia="仿宋" w:cs="仿宋"/>
          <w:color w:val="auto"/>
          <w:highlight w:val="none"/>
        </w:rPr>
        <w:t>中心摆药精神二类药品的电子处方。</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支持</w:t>
      </w:r>
      <w:r>
        <w:rPr>
          <w:rFonts w:hint="eastAsia" w:ascii="仿宋" w:hAnsi="仿宋" w:eastAsia="仿宋" w:cs="仿宋"/>
          <w:color w:val="auto"/>
          <w:highlight w:val="none"/>
        </w:rPr>
        <w:t>摆药拆零药品效期管理功能，拆零药品效期标签打印功能（可贴于药品转运盒）。</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支持</w:t>
      </w:r>
      <w:r>
        <w:rPr>
          <w:rFonts w:hint="eastAsia" w:ascii="仿宋" w:hAnsi="仿宋" w:eastAsia="仿宋" w:cs="仿宋"/>
          <w:color w:val="auto"/>
          <w:highlight w:val="none"/>
        </w:rPr>
        <w:t>重复及错误医嘱审核功能（现有系统中因为和门诊药房发药情况有冲突，因此重复处方需人工审理）。</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支持</w:t>
      </w:r>
      <w:r>
        <w:rPr>
          <w:rFonts w:hint="eastAsia" w:ascii="仿宋" w:hAnsi="仿宋" w:eastAsia="仿宋" w:cs="仿宋"/>
          <w:color w:val="auto"/>
          <w:highlight w:val="none"/>
        </w:rPr>
        <w:t>发药、摆药完毕自动通知临床功能，实现移动护理即刻查询是否发药和摆药功能。</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3.1.13.5</w:t>
      </w:r>
      <w:r>
        <w:rPr>
          <w:rFonts w:hint="eastAsia" w:ascii="仿宋" w:hAnsi="仿宋" w:eastAsia="仿宋" w:cs="仿宋"/>
          <w:color w:val="auto"/>
          <w:highlight w:val="none"/>
        </w:rPr>
        <w:t>退药申请</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要求支持病区护士根据医生要求的医嘱停止情况及患者情况，对需要退药的药品医嘱进行退药申请，退药申请后再由药房人员进行退药。</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3.1.13.6</w:t>
      </w:r>
      <w:r>
        <w:rPr>
          <w:rFonts w:hint="eastAsia" w:ascii="仿宋" w:hAnsi="仿宋" w:eastAsia="仿宋" w:cs="仿宋"/>
          <w:color w:val="auto"/>
          <w:highlight w:val="none"/>
        </w:rPr>
        <w:t>退药</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要求支持住院药房根据病区建的退药申请单，在核对护士的退药实物后进行退药操作，退药时要核对药品的名称和批次、数量等信息，退药完成后系统中增加药房的库存。</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要求支持退药也可以在发药时根据病区发药品种自动冲抵退药。</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3.1.13.7</w:t>
      </w:r>
      <w:r>
        <w:rPr>
          <w:rFonts w:hint="eastAsia" w:ascii="仿宋" w:hAnsi="仿宋" w:eastAsia="仿宋" w:cs="仿宋"/>
          <w:color w:val="auto"/>
          <w:highlight w:val="none"/>
        </w:rPr>
        <w:t>发药查询</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要求支持可以按病区、发药类别、药品名称、患者登记号等查询出药房在一段时间内的发药信息。</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3.1.13.8</w:t>
      </w:r>
      <w:r>
        <w:rPr>
          <w:rFonts w:hint="eastAsia" w:ascii="仿宋" w:hAnsi="仿宋" w:eastAsia="仿宋" w:cs="仿宋"/>
          <w:color w:val="auto"/>
          <w:highlight w:val="none"/>
        </w:rPr>
        <w:t>退药查询</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要求支持对一段时间内的退药信息进行查询，可以按照退药单据查询，也可以统计出所退药品的汇总。</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3.1.13.9</w:t>
      </w:r>
      <w:r>
        <w:rPr>
          <w:rFonts w:hint="eastAsia" w:ascii="仿宋" w:hAnsi="仿宋" w:eastAsia="仿宋" w:cs="仿宋"/>
          <w:color w:val="auto"/>
          <w:highlight w:val="none"/>
        </w:rPr>
        <w:t>综合查询</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输入查询条件后，要求支持查询当前的未发药品或已发药品信息，可以按药品汇总数量，选择药品可以查看药品的发药医嘱明细。</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支持</w:t>
      </w:r>
      <w:r>
        <w:rPr>
          <w:rFonts w:hint="eastAsia" w:ascii="仿宋" w:hAnsi="仿宋" w:eastAsia="仿宋" w:cs="仿宋"/>
          <w:color w:val="auto"/>
          <w:highlight w:val="none"/>
        </w:rPr>
        <w:t>变动医嘱查询</w:t>
      </w:r>
      <w:r>
        <w:rPr>
          <w:rFonts w:hint="eastAsia" w:ascii="仿宋" w:hAnsi="仿宋" w:eastAsia="仿宋" w:cs="仿宋"/>
          <w:color w:val="auto"/>
          <w:highlight w:val="none"/>
          <w:lang w:eastAsia="zh-CN"/>
        </w:rPr>
        <w:t>。</w:t>
      </w:r>
    </w:p>
    <w:p>
      <w:pPr>
        <w:pStyle w:val="6"/>
        <w:numPr>
          <w:ilvl w:val="0"/>
          <w:numId w:val="0"/>
        </w:numPr>
        <w:tabs>
          <w:tab w:val="left" w:pos="1006"/>
        </w:tabs>
        <w:ind w:left="864" w:leftChars="0" w:hanging="864" w:firstLineChars="0"/>
        <w:rPr>
          <w:rFonts w:hint="eastAsia" w:ascii="仿宋" w:hAnsi="仿宋" w:eastAsia="仿宋" w:cs="仿宋"/>
          <w:color w:val="auto"/>
          <w:szCs w:val="24"/>
          <w:highlight w:val="none"/>
          <w:lang w:val="en-US" w:eastAsia="zh-CN"/>
        </w:rPr>
      </w:pPr>
      <w:r>
        <w:rPr>
          <w:rFonts w:hint="eastAsia" w:ascii="仿宋" w:hAnsi="仿宋" w:eastAsia="仿宋" w:cs="仿宋"/>
          <w:b/>
          <w:bCs/>
          <w:color w:val="auto"/>
          <w:sz w:val="24"/>
          <w:szCs w:val="24"/>
          <w:highlight w:val="none"/>
          <w:lang w:val="en-US" w:eastAsia="zh-CN" w:bidi="hi-IN"/>
        </w:rPr>
        <w:t>3.1.13.10</w:t>
      </w:r>
      <w:r>
        <w:rPr>
          <w:rFonts w:hint="eastAsia" w:ascii="仿宋" w:hAnsi="仿宋" w:eastAsia="仿宋" w:cs="仿宋"/>
          <w:color w:val="auto"/>
          <w:highlight w:val="none"/>
          <w:lang w:val="en-US" w:eastAsia="zh-CN"/>
        </w:rPr>
        <w:t>库存管理</w:t>
      </w:r>
    </w:p>
    <w:p>
      <w:pPr>
        <w:pStyle w:val="5"/>
        <w:bidi w:val="0"/>
        <w:ind w:left="0" w:right="0"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szCs w:val="24"/>
          <w:highlight w:val="none"/>
          <w:lang w:val="en-US" w:eastAsia="zh-CN"/>
        </w:rPr>
        <w:t>提供</w:t>
      </w:r>
      <w:r>
        <w:rPr>
          <w:rFonts w:hint="eastAsia" w:ascii="仿宋" w:hAnsi="仿宋" w:eastAsia="仿宋" w:cs="仿宋"/>
          <w:color w:val="auto"/>
          <w:szCs w:val="24"/>
          <w:highlight w:val="none"/>
        </w:rPr>
        <w:t>用药限制功能（按药品限制到科室或患者），批次锁定功能</w:t>
      </w:r>
      <w:r>
        <w:rPr>
          <w:rFonts w:hint="eastAsia" w:ascii="仿宋" w:hAnsi="仿宋" w:eastAsia="仿宋" w:cs="仿宋"/>
          <w:color w:val="auto"/>
          <w:szCs w:val="24"/>
          <w:highlight w:val="none"/>
          <w:lang w:eastAsia="zh-CN"/>
        </w:rPr>
        <w:t>。</w:t>
      </w:r>
    </w:p>
    <w:p>
      <w:pPr>
        <w:pStyle w:val="148"/>
        <w:spacing w:before="0" w:after="0"/>
        <w:contextualSpacing/>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支持按货位、批次等方式盘点功能，</w:t>
      </w:r>
      <w:r>
        <w:rPr>
          <w:rFonts w:hint="eastAsia" w:ascii="仿宋" w:hAnsi="仿宋" w:eastAsia="仿宋" w:cs="仿宋"/>
          <w:color w:val="auto"/>
          <w:highlight w:val="none"/>
        </w:rPr>
        <w:t>盈亏表自动识别中西药；自动分开打印；盘点开始时间自动记录。</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支持</w:t>
      </w:r>
      <w:r>
        <w:rPr>
          <w:rFonts w:hint="eastAsia" w:ascii="仿宋" w:hAnsi="仿宋" w:eastAsia="仿宋" w:cs="仿宋"/>
          <w:color w:val="auto"/>
          <w:highlight w:val="none"/>
        </w:rPr>
        <w:t>药品库存禁用功能中取消“手麻使用”选项。</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3.1.13.11</w:t>
      </w:r>
      <w:r>
        <w:rPr>
          <w:rFonts w:hint="eastAsia" w:ascii="仿宋" w:hAnsi="仿宋" w:eastAsia="仿宋" w:cs="仿宋"/>
          <w:color w:val="auto"/>
          <w:highlight w:val="none"/>
        </w:rPr>
        <w:t>药房工作量</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要求支持统计整个药房的发药和配药人员的工作量。</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3.1.13.12</w:t>
      </w:r>
      <w:r>
        <w:rPr>
          <w:rFonts w:hint="eastAsia" w:ascii="仿宋" w:hAnsi="仿宋" w:eastAsia="仿宋" w:cs="仿宋"/>
          <w:color w:val="auto"/>
          <w:highlight w:val="none"/>
        </w:rPr>
        <w:t>发药统计</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要求支持查询出药房在一段时间的药品消耗情况，可以查询全院药品发退药数量汇总，也可以查询某个病区药品发退药品种及数量。</w:t>
      </w:r>
    </w:p>
    <w:p>
      <w:pPr>
        <w:pStyle w:val="6"/>
        <w:numPr>
          <w:ilvl w:val="0"/>
          <w:numId w:val="0"/>
        </w:numPr>
        <w:tabs>
          <w:tab w:val="left" w:pos="1006"/>
        </w:tabs>
        <w:ind w:left="864" w:leftChars="0" w:hanging="864"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3.1.13.13</w:t>
      </w:r>
      <w:r>
        <w:rPr>
          <w:rFonts w:hint="eastAsia" w:ascii="仿宋" w:hAnsi="仿宋" w:eastAsia="仿宋" w:cs="仿宋"/>
          <w:color w:val="auto"/>
          <w:highlight w:val="none"/>
        </w:rPr>
        <w:t>月报</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要求支持按财务要求生成每个月的月报，月报生成时间可以根据实际业务需要，随时可以生成，对有问题的月报也可以重新生成。</w:t>
      </w:r>
    </w:p>
    <w:p>
      <w:pPr>
        <w:pStyle w:val="3"/>
        <w:numPr>
          <w:ilvl w:val="0"/>
          <w:numId w:val="0"/>
        </w:numPr>
        <w:tabs>
          <w:tab w:val="left" w:pos="576"/>
          <w:tab w:val="left" w:pos="720"/>
        </w:tabs>
        <w:ind w:left="576" w:leftChars="0" w:hanging="576" w:firstLineChars="0"/>
        <w:rPr>
          <w:rFonts w:hint="eastAsia" w:ascii="仿宋" w:hAnsi="仿宋" w:eastAsia="仿宋" w:cs="仿宋"/>
          <w:color w:val="auto"/>
          <w:highlight w:val="none"/>
        </w:rPr>
      </w:pPr>
      <w:bookmarkStart w:id="336" w:name="_Toc20576"/>
      <w:bookmarkStart w:id="337" w:name="_Toc32689"/>
      <w:r>
        <w:rPr>
          <w:rFonts w:hint="eastAsia" w:ascii="仿宋" w:hAnsi="仿宋" w:eastAsia="仿宋" w:cs="仿宋"/>
          <w:b/>
          <w:bCs/>
          <w:color w:val="auto"/>
          <w:kern w:val="0"/>
          <w:sz w:val="30"/>
          <w:szCs w:val="30"/>
          <w:highlight w:val="none"/>
          <w:lang w:val="en-US" w:eastAsia="zh-CN" w:bidi="hi-IN"/>
        </w:rPr>
        <w:t>3.2</w:t>
      </w:r>
      <w:r>
        <w:rPr>
          <w:rFonts w:hint="eastAsia" w:ascii="仿宋" w:hAnsi="仿宋" w:eastAsia="仿宋" w:cs="仿宋"/>
          <w:color w:val="auto"/>
          <w:highlight w:val="none"/>
        </w:rPr>
        <w:t>CIS系统</w:t>
      </w:r>
      <w:bookmarkEnd w:id="336"/>
      <w:bookmarkEnd w:id="337"/>
    </w:p>
    <w:p>
      <w:pPr>
        <w:pStyle w:val="4"/>
        <w:numPr>
          <w:ilvl w:val="0"/>
          <w:numId w:val="0"/>
        </w:numPr>
        <w:tabs>
          <w:tab w:val="left" w:pos="720"/>
          <w:tab w:val="left" w:pos="1006"/>
        </w:tabs>
        <w:ind w:left="1006" w:leftChars="0" w:right="0" w:rightChars="0" w:hanging="864" w:firstLineChars="0"/>
        <w:rPr>
          <w:rFonts w:hint="eastAsia" w:ascii="仿宋" w:hAnsi="仿宋" w:eastAsia="仿宋" w:cs="仿宋"/>
          <w:color w:val="auto"/>
          <w:highlight w:val="none"/>
        </w:rPr>
      </w:pPr>
      <w:bookmarkStart w:id="338" w:name="_Toc30725"/>
      <w:bookmarkStart w:id="339" w:name="_Toc17077"/>
      <w:r>
        <w:rPr>
          <w:rFonts w:hint="eastAsia" w:ascii="仿宋" w:hAnsi="仿宋" w:eastAsia="仿宋" w:cs="仿宋"/>
          <w:b/>
          <w:bCs/>
          <w:color w:val="auto"/>
          <w:sz w:val="28"/>
          <w:szCs w:val="28"/>
          <w:highlight w:val="none"/>
          <w:lang w:val="en-US" w:eastAsia="zh-CN" w:bidi="hi-IN"/>
        </w:rPr>
        <w:t>3.2.1</w:t>
      </w:r>
      <w:r>
        <w:rPr>
          <w:rFonts w:hint="eastAsia" w:ascii="仿宋" w:hAnsi="仿宋" w:eastAsia="仿宋" w:cs="仿宋"/>
          <w:color w:val="auto"/>
          <w:highlight w:val="none"/>
        </w:rPr>
        <w:t xml:space="preserve"> 一体化门诊医生</w:t>
      </w:r>
      <w:bookmarkEnd w:id="338"/>
      <w:bookmarkEnd w:id="339"/>
    </w:p>
    <w:p>
      <w:pPr>
        <w:pStyle w:val="6"/>
        <w:numPr>
          <w:ilvl w:val="0"/>
          <w:numId w:val="0"/>
        </w:numPr>
        <w:tabs>
          <w:tab w:val="left" w:pos="1006"/>
        </w:tabs>
        <w:ind w:left="864" w:leftChars="0" w:hanging="864"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0"/>
          <w:highlight w:val="none"/>
          <w:lang w:val="en-US" w:eastAsia="zh-CN" w:bidi="hi-IN"/>
        </w:rPr>
        <w:t>3.2.1.1</w:t>
      </w:r>
      <w:r>
        <w:rPr>
          <w:rFonts w:hint="eastAsia" w:ascii="仿宋" w:hAnsi="仿宋" w:eastAsia="仿宋" w:cs="仿宋"/>
          <w:color w:val="auto"/>
          <w:highlight w:val="none"/>
        </w:rPr>
        <w:t xml:space="preserve">任务中心 </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具备任务中心消息提醒功能，统一的任务信息处理区域，将医生需要提示内容用消息的形式，在页面上通过警示的方式进行提醒，医生可针对既有的业务信息进行处置。例如危急值提醒和处理、转诊提醒和处理等。</w:t>
      </w:r>
    </w:p>
    <w:p>
      <w:pPr>
        <w:pStyle w:val="6"/>
        <w:numPr>
          <w:ilvl w:val="0"/>
          <w:numId w:val="0"/>
        </w:numPr>
        <w:tabs>
          <w:tab w:val="left" w:pos="1006"/>
        </w:tabs>
        <w:ind w:left="864" w:leftChars="0" w:hanging="864"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3.2.1.2</w:t>
      </w:r>
      <w:r>
        <w:rPr>
          <w:rFonts w:hint="eastAsia" w:ascii="仿宋" w:hAnsi="仿宋" w:eastAsia="仿宋" w:cs="仿宋"/>
          <w:color w:val="auto"/>
          <w:highlight w:val="none"/>
        </w:rPr>
        <w:t xml:space="preserve">患者管理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3.2.1.2.1</w:t>
      </w:r>
      <w:r>
        <w:rPr>
          <w:rFonts w:hint="eastAsia" w:ascii="仿宋" w:hAnsi="仿宋" w:eastAsia="仿宋" w:cs="仿宋"/>
          <w:color w:val="auto"/>
          <w:sz w:val="24"/>
          <w:szCs w:val="24"/>
          <w:highlight w:val="none"/>
        </w:rPr>
        <w:t xml:space="preserve">患者信息管理 </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需支持查看开诊科目和患者信息，对患者信息进行补充和调整，支持录入患者过敏信息，满足患者信息管理需要。</w:t>
      </w:r>
    </w:p>
    <w:p>
      <w:pPr>
        <w:pStyle w:val="149"/>
        <w:widowControl/>
        <w:spacing w:line="360" w:lineRule="auto"/>
        <w:ind w:left="0" w:right="0" w:firstLine="320"/>
        <w:rPr>
          <w:rFonts w:hint="eastAsia" w:ascii="仿宋" w:hAnsi="仿宋" w:eastAsia="仿宋" w:cs="仿宋"/>
          <w:color w:val="auto"/>
          <w:highlight w:val="none"/>
        </w:rPr>
      </w:pPr>
      <w:r>
        <w:rPr>
          <w:rStyle w:val="41"/>
          <w:rFonts w:hint="eastAsia" w:ascii="仿宋" w:hAnsi="仿宋" w:eastAsia="仿宋" w:cs="仿宋"/>
          <w:bCs w:val="0"/>
          <w:color w:val="auto"/>
          <w:highlight w:val="none"/>
        </w:rPr>
        <w:t>就诊科目选择</w:t>
      </w:r>
    </w:p>
    <w:p>
      <w:pPr>
        <w:pStyle w:val="149"/>
        <w:widowControl/>
        <w:spacing w:line="360" w:lineRule="auto"/>
        <w:ind w:left="0" w:right="0" w:firstLine="320"/>
        <w:rPr>
          <w:rFonts w:hint="eastAsia" w:ascii="仿宋" w:hAnsi="仿宋" w:eastAsia="仿宋" w:cs="仿宋"/>
          <w:color w:val="auto"/>
          <w:highlight w:val="none"/>
        </w:rPr>
      </w:pPr>
      <w:r>
        <w:rPr>
          <w:rFonts w:hint="eastAsia" w:ascii="仿宋" w:hAnsi="仿宋" w:eastAsia="仿宋" w:cs="仿宋"/>
          <w:color w:val="auto"/>
          <w:highlight w:val="none"/>
        </w:rPr>
        <w:t>具备登录开诊功能，医生进入门诊医生站后，可自动登录有排班出班的就诊科目。</w:t>
      </w:r>
    </w:p>
    <w:p>
      <w:pPr>
        <w:pStyle w:val="149"/>
        <w:widowControl/>
        <w:spacing w:line="360" w:lineRule="auto"/>
        <w:ind w:left="0" w:right="0" w:firstLine="320"/>
        <w:rPr>
          <w:rFonts w:hint="eastAsia" w:ascii="仿宋" w:hAnsi="仿宋" w:eastAsia="仿宋" w:cs="仿宋"/>
          <w:color w:val="auto"/>
          <w:highlight w:val="none"/>
        </w:rPr>
      </w:pPr>
      <w:r>
        <w:rPr>
          <w:rFonts w:hint="eastAsia" w:ascii="仿宋" w:hAnsi="仿宋" w:eastAsia="仿宋" w:cs="仿宋"/>
          <w:color w:val="auto"/>
          <w:highlight w:val="none"/>
        </w:rPr>
        <w:t>具备科目选择功能，进入门诊医生站后，可根据权限切换开诊科目。</w:t>
      </w:r>
    </w:p>
    <w:p>
      <w:pPr>
        <w:pStyle w:val="149"/>
        <w:widowControl/>
        <w:spacing w:line="360" w:lineRule="auto"/>
        <w:ind w:left="0" w:right="0" w:firstLine="320"/>
        <w:rPr>
          <w:rStyle w:val="41"/>
          <w:rFonts w:hint="eastAsia" w:ascii="仿宋" w:hAnsi="仿宋" w:eastAsia="仿宋" w:cs="仿宋"/>
          <w:bCs w:val="0"/>
          <w:color w:val="auto"/>
          <w:highlight w:val="none"/>
        </w:rPr>
      </w:pPr>
      <w:r>
        <w:rPr>
          <w:rFonts w:hint="eastAsia" w:ascii="仿宋" w:hAnsi="仿宋" w:eastAsia="仿宋" w:cs="仿宋"/>
          <w:color w:val="auto"/>
          <w:highlight w:val="none"/>
        </w:rPr>
        <w:t>支持与分诊系统对接，实现设置开诊科目是否启用分诊功能。</w:t>
      </w:r>
    </w:p>
    <w:p>
      <w:pPr>
        <w:pStyle w:val="149"/>
        <w:widowControl/>
        <w:spacing w:line="360" w:lineRule="auto"/>
        <w:ind w:left="0" w:right="0" w:firstLine="320"/>
        <w:rPr>
          <w:rFonts w:hint="eastAsia" w:ascii="仿宋" w:hAnsi="仿宋" w:eastAsia="仿宋" w:cs="仿宋"/>
          <w:color w:val="auto"/>
          <w:highlight w:val="none"/>
        </w:rPr>
      </w:pPr>
      <w:r>
        <w:rPr>
          <w:rStyle w:val="41"/>
          <w:rFonts w:hint="eastAsia" w:ascii="仿宋" w:hAnsi="仿宋" w:eastAsia="仿宋" w:cs="仿宋"/>
          <w:bCs w:val="0"/>
          <w:color w:val="auto"/>
          <w:highlight w:val="none"/>
        </w:rPr>
        <w:t>开诊信息查看</w:t>
      </w:r>
    </w:p>
    <w:p>
      <w:pPr>
        <w:pStyle w:val="149"/>
        <w:widowControl/>
        <w:spacing w:line="360" w:lineRule="auto"/>
        <w:ind w:left="0" w:right="0" w:firstLine="32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具备开诊信息查看功能，可以查看当前开诊的科目及登录时长。</w:t>
      </w:r>
    </w:p>
    <w:p>
      <w:pPr>
        <w:pStyle w:val="149"/>
        <w:widowControl/>
        <w:spacing w:line="360" w:lineRule="auto"/>
        <w:ind w:left="0" w:right="0" w:firstLine="320"/>
        <w:rPr>
          <w:rFonts w:hint="eastAsia" w:ascii="仿宋" w:hAnsi="仿宋" w:eastAsia="仿宋" w:cs="仿宋"/>
          <w:color w:val="auto"/>
          <w:highlight w:val="none"/>
        </w:rPr>
      </w:pPr>
      <w:r>
        <w:rPr>
          <w:rStyle w:val="41"/>
          <w:rFonts w:hint="eastAsia" w:ascii="仿宋" w:hAnsi="仿宋" w:eastAsia="仿宋" w:cs="仿宋"/>
          <w:bCs w:val="0"/>
          <w:color w:val="auto"/>
          <w:highlight w:val="none"/>
        </w:rPr>
        <w:t>患者信息展示</w:t>
      </w:r>
    </w:p>
    <w:p>
      <w:pPr>
        <w:pStyle w:val="149"/>
        <w:widowControl/>
        <w:spacing w:line="360" w:lineRule="auto"/>
        <w:ind w:left="0" w:right="0" w:firstLine="320"/>
        <w:rPr>
          <w:rFonts w:hint="eastAsia" w:ascii="仿宋" w:hAnsi="仿宋" w:eastAsia="仿宋" w:cs="仿宋"/>
          <w:color w:val="auto"/>
          <w:highlight w:val="none"/>
        </w:rPr>
      </w:pPr>
      <w:r>
        <w:rPr>
          <w:rFonts w:hint="eastAsia" w:ascii="仿宋" w:hAnsi="仿宋" w:eastAsia="仿宋" w:cs="仿宋"/>
          <w:color w:val="auto"/>
          <w:highlight w:val="none"/>
        </w:rPr>
        <w:t>具备患者信息集中展示、查看和修改功能，至少包括：基本信息、过敏史、健康摘要、就诊信息、患者备注、修改日志。</w:t>
      </w:r>
    </w:p>
    <w:p>
      <w:pPr>
        <w:pStyle w:val="149"/>
        <w:widowControl/>
        <w:spacing w:line="360" w:lineRule="auto"/>
        <w:ind w:left="0" w:right="0" w:firstLine="320"/>
        <w:rPr>
          <w:rFonts w:hint="eastAsia" w:ascii="仿宋" w:hAnsi="仿宋" w:eastAsia="仿宋" w:cs="仿宋"/>
          <w:color w:val="auto"/>
          <w:highlight w:val="none"/>
        </w:rPr>
      </w:pPr>
      <w:r>
        <w:rPr>
          <w:rFonts w:hint="eastAsia" w:ascii="仿宋" w:hAnsi="仿宋" w:eastAsia="仿宋" w:cs="仿宋"/>
          <w:color w:val="auto"/>
          <w:highlight w:val="none"/>
        </w:rPr>
        <w:t>具备患者基本信息多个地址维护功能，包括：联系地址、籍贯、出生地、工作单位地址、联系人地址等信息。</w:t>
      </w:r>
    </w:p>
    <w:p>
      <w:pPr>
        <w:pStyle w:val="149"/>
        <w:widowControl/>
        <w:spacing w:line="360" w:lineRule="auto"/>
        <w:ind w:left="0" w:right="0" w:firstLine="320"/>
        <w:rPr>
          <w:rFonts w:hint="eastAsia" w:ascii="仿宋" w:hAnsi="仿宋" w:eastAsia="仿宋" w:cs="仿宋"/>
          <w:color w:val="auto"/>
          <w:highlight w:val="none"/>
        </w:rPr>
      </w:pPr>
      <w:r>
        <w:rPr>
          <w:rFonts w:hint="eastAsia" w:ascii="仿宋" w:hAnsi="仿宋" w:eastAsia="仿宋" w:cs="仿宋"/>
          <w:color w:val="auto"/>
          <w:highlight w:val="none"/>
        </w:rPr>
        <w:t>具备患者过敏史管理功能，可录入患者过敏源、过敏物、过敏结果、操作时间信息，过敏源类型包括药物、食物、环境、混合性过敏源等。</w:t>
      </w:r>
    </w:p>
    <w:p>
      <w:pPr>
        <w:pStyle w:val="149"/>
        <w:widowControl/>
        <w:spacing w:line="360" w:lineRule="auto"/>
        <w:ind w:left="0" w:right="0" w:firstLine="320"/>
        <w:rPr>
          <w:rFonts w:hint="eastAsia" w:ascii="仿宋" w:hAnsi="仿宋" w:eastAsia="仿宋" w:cs="仿宋"/>
          <w:color w:val="auto"/>
          <w:highlight w:val="none"/>
        </w:rPr>
      </w:pPr>
      <w:r>
        <w:rPr>
          <w:rFonts w:hint="eastAsia" w:ascii="仿宋" w:hAnsi="仿宋" w:eastAsia="仿宋" w:cs="仿宋"/>
          <w:color w:val="auto"/>
          <w:highlight w:val="none"/>
        </w:rPr>
        <w:t>具备健康摘信息录入功能，至少包括是否发热、肝功能状况描述、肾功能状况描述等信息。</w:t>
      </w:r>
    </w:p>
    <w:p>
      <w:pPr>
        <w:pStyle w:val="149"/>
        <w:widowControl/>
        <w:spacing w:line="360" w:lineRule="auto"/>
        <w:ind w:left="0" w:right="0" w:firstLine="320"/>
        <w:rPr>
          <w:rFonts w:hint="eastAsia" w:ascii="仿宋" w:hAnsi="仿宋" w:eastAsia="仿宋" w:cs="仿宋"/>
          <w:color w:val="auto"/>
          <w:highlight w:val="none"/>
        </w:rPr>
      </w:pPr>
      <w:r>
        <w:rPr>
          <w:rFonts w:hint="eastAsia" w:ascii="仿宋" w:hAnsi="仿宋" w:eastAsia="仿宋" w:cs="仿宋"/>
          <w:color w:val="auto"/>
          <w:highlight w:val="none"/>
        </w:rPr>
        <w:t>具备就诊信息查看功能，至少包括：患者门诊病历号、就诊类型、挂号科目、挂号时间、接诊时间、就诊状态等信息。</w:t>
      </w:r>
    </w:p>
    <w:p>
      <w:pPr>
        <w:pStyle w:val="149"/>
        <w:widowControl/>
        <w:spacing w:line="360" w:lineRule="auto"/>
        <w:ind w:left="0" w:right="0" w:firstLine="320"/>
        <w:rPr>
          <w:rFonts w:hint="eastAsia" w:ascii="仿宋" w:hAnsi="仿宋" w:eastAsia="仿宋" w:cs="仿宋"/>
          <w:color w:val="auto"/>
          <w:highlight w:val="none"/>
        </w:rPr>
      </w:pPr>
      <w:r>
        <w:rPr>
          <w:rFonts w:hint="eastAsia" w:ascii="仿宋" w:hAnsi="仿宋" w:eastAsia="仿宋" w:cs="仿宋"/>
          <w:color w:val="auto"/>
          <w:highlight w:val="none"/>
        </w:rPr>
        <w:t>具备患者敏感信息隐私保护功能，至少包括患者联系电话、身份证信息及地址信息。</w:t>
      </w:r>
    </w:p>
    <w:p>
      <w:pPr>
        <w:pStyle w:val="149"/>
        <w:widowControl/>
        <w:spacing w:line="360" w:lineRule="auto"/>
        <w:ind w:left="0" w:right="0" w:firstLine="32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具备绿色通道、特殊人群标签自定义设置和显示功能。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3.2.1.2.2</w:t>
      </w:r>
      <w:r>
        <w:rPr>
          <w:rFonts w:hint="eastAsia" w:ascii="仿宋" w:hAnsi="仿宋" w:eastAsia="仿宋" w:cs="仿宋"/>
          <w:color w:val="auto"/>
          <w:sz w:val="24"/>
          <w:szCs w:val="24"/>
          <w:highlight w:val="none"/>
        </w:rPr>
        <w:t xml:space="preserve">科室界面配置管理 </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需支持对不同科室的界面配置、个人偏好配置及应用功能，包括配色调整及患者列表、叫号、诊间转诊等内容布局。</w:t>
      </w:r>
    </w:p>
    <w:p>
      <w:pPr>
        <w:pStyle w:val="149"/>
        <w:widowControl/>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患者就诊列表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具备展示当前开诊的就诊科目可接诊的患者列表功能。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具备患者列表中显示列自定义配置功能。患者列表中可展示患者姓名、初复诊、号序、性别、年龄、门诊病历号、签到流水号、联系电话、挂号科目、报销信息等信息。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具备患者分类展示功能，包括全部、未就诊、就诊中、待回诊、已就诊、退号患者、挂账患者进行分类展示和统计。</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具备快捷菜单操作功能，包括诊间加号、诊间预约、收费、单据、转诊、我的排班、转介申请等菜单。</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支持与互联网医院对接，实现线上线下一体化，在患者列表中体现患者来源。</w:t>
      </w:r>
    </w:p>
    <w:p>
      <w:pPr>
        <w:pStyle w:val="149"/>
        <w:widowControl/>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叫号面板</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具备叫号面板配置功能，可显示当前患者排队概览，具体候诊人及候诊数等信息，可对患者进行叫号操作，支持自定义设置叫号面板样式。</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具备读卡、输入关键信息检索患者功能。</w:t>
      </w:r>
    </w:p>
    <w:p>
      <w:pPr>
        <w:pStyle w:val="149"/>
        <w:widowControl/>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诊间转诊</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具备诊间转诊功能，可对医院内门诊同级别的其他科室间进行转诊操作。</w:t>
      </w:r>
    </w:p>
    <w:p>
      <w:pPr>
        <w:pStyle w:val="149"/>
        <w:widowControl/>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个人偏好配置</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具备个人偏好配置及应用功能，至少包括患者信息界面显示数据项内容及顺序配置。</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3.2.1.3</w:t>
      </w:r>
      <w:r>
        <w:rPr>
          <w:rFonts w:hint="eastAsia" w:ascii="仿宋" w:hAnsi="仿宋" w:eastAsia="仿宋" w:cs="仿宋"/>
          <w:color w:val="auto"/>
          <w:highlight w:val="none"/>
        </w:rPr>
        <w:t xml:space="preserve">处方管理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3.2.1.3.1</w:t>
      </w:r>
      <w:r>
        <w:rPr>
          <w:rFonts w:hint="eastAsia" w:ascii="仿宋" w:hAnsi="仿宋" w:eastAsia="仿宋" w:cs="仿宋"/>
          <w:color w:val="auto"/>
          <w:sz w:val="24"/>
          <w:szCs w:val="24"/>
          <w:highlight w:val="none"/>
        </w:rPr>
        <w:t>门诊诊疗辅助</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具备诊疗路径规则配置功能，提供诊疗过程中的推荐查体、检验、检查、用药和治疗方案。</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具备诊疗路径诊断维护功能，包括诊断新增、删除、编辑、收藏、诊疗路径维护等。</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具备诊疗路径项目维护功能，包括检查、检验、药品等项目，可快速加入、删除诊疗路径项目。</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具备诊疗路径项目开立功能，可对诊疗路径推荐的检查、检验、药品、病理、治疗项目进行批量开立和单独开立。</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3.2.1.3.2</w:t>
      </w:r>
      <w:r>
        <w:rPr>
          <w:rFonts w:hint="eastAsia" w:ascii="仿宋" w:hAnsi="仿宋" w:eastAsia="仿宋" w:cs="仿宋"/>
          <w:color w:val="auto"/>
          <w:sz w:val="24"/>
          <w:szCs w:val="24"/>
          <w:highlight w:val="none"/>
        </w:rPr>
        <w:t>门诊处方处置规则管理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需支持设置各类门诊处方处置规则，包括药品用量、完整性校验、重复医嘱、互斥医嘱、药品联动、用法联动等规则。</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具备服务使用范围设置功能，可按科室、医生、职称等设置不同的用药范围，可进行提示或限制。</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具备药品用量设置功能，对超出累计用量的部分进行限制用药控制。</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具备重复服务、服务互斥设置功能。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具备药品联动、用法联动、药品关联项目、检查项目联动等设置功能。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具备基本费用控制的处方规则设置和控制功能，可对单次就诊进行单张处方金额和总费用等控制和提醒。</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具备处方录入完整性校验规则设置功能，包括剂量、剂量单位、用法、频次、天数校验规则。</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具备过敏药品拦截、提示功能。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3.2.1.3.3</w:t>
      </w:r>
      <w:r>
        <w:rPr>
          <w:rFonts w:hint="eastAsia" w:ascii="仿宋" w:hAnsi="仿宋" w:eastAsia="仿宋" w:cs="仿宋"/>
          <w:color w:val="auto"/>
          <w:sz w:val="24"/>
          <w:szCs w:val="24"/>
          <w:highlight w:val="none"/>
        </w:rPr>
        <w:t>门诊处方和处置</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各类门诊处方和处置开立，包括西成药、中药饮片、治疗处方录入，支持处方绑定诊断，支持药品的默认用法、剂量、频次维护和调用；支持历史处方查阅及调用；提供动态医嘱开立界面模式，支持快速开立处方，处方开立时动态预警；特殊属性标签化管理醒目显示。</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具备一个界面平铺展示诊断录入、处置录入、病历录入功能。</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西成药开立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具备根据拼音/五笔、名称、别名拼音/五笔、别名名称、代码等检索临床服可功能。条件搜索匹配方式包括：全匹配&gt;前匹配&gt;模糊匹配。</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具备开立西成药时，动态加载西成药医嘱录入界面功能，如输液进行滴速需要进行滴速录入，抗菌药物需要进行用药目的选中等内容。</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具备儿科处方开立前，自动校验当前儿科患者身高、体重信息功能。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具备根据药品剂型为注射类时，动态加载输液医嘱录入界面，默认获取药品剂型为注射类药品信息功能。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具备西成药医嘱开立时，可填写用法说明，可下拉选择或者手工填写嘱托功能。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具备基于剂量、频次、天数计算发药数量功能。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具备处方绑定诊断功能。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具备药品医嘱调用默认剂量、用法、频次、天数、数量，可对剂量、用法、频次、天数、数量进行修改和维护功能。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具备允许药品变动剂量录入功能，根据频次执行次数大于1时，每顿录入不同使用剂量模式。</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具备当药品允许药品自备时，可当自备药录入功能。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具备西成药医嘱开立时，执行科室默认获取物资流向和执行流向功能。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具备针对特殊类型的药品，可支持特殊的单位进行录入功能，如滴眼液类、喷剂类药品医嘱剂量及其单位可按“滴”、“揿”等单位录入</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具备精麻处方医嘱开立时，领药人信息必填写功能，支持可先建立精麻毒档案后自动获取。</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具备皮试西成药医嘱开立时，皮试药品判断过敏记录功能，根据非原液皮试和原液皮试药品进行开立生成记录。</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具备根据处方管理办法的自动分方规则内容，可自动进行分方处理功能。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具备可拖动药品顺序或者将相同类型的药品进行成组功能。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具备医嘱模板管理功能，可将医嘱另存为模板，或者拖动某一个明细保存的模板中，支持通过模板快速开立处方，处方开立时动态预警。</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具备医嘱状态展示功能，可查看到医嘱状态，例如：已开立、已签署、已收费，可进行复制处置操作。</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具备特殊属性标签化管理醒目显示功能，包括精、麻、毒、放、贵重等药品特殊属性标签。</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具备标记自费处方的功能，处方选择自费处方后，将整张处方标记为自费处方。</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支持与不良事件报告系统对接，实现填报药物不良反应信息功能。</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支持与合理用药系统对接，实现药品说明书调用和事中用药提醒功能。</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中药饮片开立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具备对不同属性的中药饮片医嘱进行动态加载功能。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具备使用使用君臣佐使标志进行提示，并通过直接拖动改变药品君臣佐使标志功能。</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具备中药饮片处方进行说明功能，至少包括：膏方标记、外送要求、保密要求、快递要求。</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治疗项目开立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具备治疗项目开立功能，可对不同属性的治疗显示项进行动态加载。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具备治疗项目拼接展示功能，可拼接显示治疗规格和单价。</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具备治疗项目自动计算功能，治疗项目金额根据单价和数量进行自动计算。</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医嘱操作</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具备医嘱操作功能，至少包括编辑、撤销、删除、签署等。</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具备操作时医嘱进行联动处理功能。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具备修改医嘱后重新计费功能。</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具备已签署医嘱撤回签署功能。</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处方权限管理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具备处方权限管理功能，可根据医生职级不同，设置不同的医嘱处方权限。</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具备处方权限提示功能，医生在医嘱开立前，可通过警示图标等显示给医生，减少不必要的操作。</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医嘱显示</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具备医嘱显示功能，可显示当前医嘱费用、签署等相关信息，并根据西药、中药饮片、检验、检查等不同医嘱项目，进行给药途径、用法说明、嘱托等重点信息展示。</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处方单据打印</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具备处方、检验单、检查单、治疗单、导诊单打印功能。</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日间手术申请</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支持与日间手术对接，实现在医生站开具日间手术申请单功能。申请单内容：包含就诊信息、手术信息。手术信息至少体现主刀医生、拟行麻醉、侧别信息等手术申请内容。就诊信息至少包括：病人姓名、身份证、入院科室等患者就诊信息。</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历史处方查阅及调用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具备按照一个月、三个月、六个月、自定义时间段快速筛选历史处方并进行引用功能。</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具备历史处方按时间倒序展示功能。</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处置模板查阅及引用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具备处置模板引用功能，可通过一键引用单条医嘱或批量引用处置模板，快速完成开立处方开立。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具备处置模板维护功能，包括添加、修改、删除、查询，可通过拖拽所有类型医嘱，快速便捷完成处置模板明细维护。</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具备将当前开立的医嘱，另存为处置模板功能，支持存为个人、科室、全院常用处置模板。</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具备全院模板权限控制功能。</w:t>
      </w:r>
    </w:p>
    <w:p>
      <w:pPr>
        <w:pStyle w:val="7"/>
        <w:numPr>
          <w:ilvl w:val="4"/>
          <w:numId w:val="0"/>
        </w:numPr>
        <w:tabs>
          <w:tab w:val="clear" w:pos="0"/>
        </w:tabs>
        <w:spacing w:before="0" w:after="0" w:line="360" w:lineRule="auto"/>
        <w:ind w:left="1009" w:leftChars="0" w:right="0" w:rightChars="0" w:hanging="1009" w:firstLineChars="0"/>
        <w:rPr>
          <w:rStyle w:val="41"/>
          <w:rFonts w:hint="eastAsia" w:ascii="仿宋" w:hAnsi="仿宋" w:eastAsia="仿宋" w:cs="仿宋"/>
          <w:b/>
          <w:bCs/>
          <w:color w:val="auto"/>
          <w:highlight w:val="none"/>
        </w:rPr>
      </w:pPr>
      <w:r>
        <w:rPr>
          <w:rFonts w:hint="eastAsia" w:ascii="仿宋" w:hAnsi="仿宋" w:eastAsia="仿宋" w:cs="仿宋"/>
          <w:b/>
          <w:bCs/>
          <w:color w:val="auto"/>
          <w:sz w:val="28"/>
          <w:szCs w:val="28"/>
          <w:highlight w:val="none"/>
          <w:lang w:val="en-US" w:eastAsia="zh-CN" w:bidi="hi-IN"/>
        </w:rPr>
        <w:t>3.2.1.3.4</w:t>
      </w:r>
      <w:r>
        <w:rPr>
          <w:rFonts w:hint="eastAsia" w:ascii="仿宋" w:hAnsi="仿宋" w:eastAsia="仿宋" w:cs="仿宋"/>
          <w:color w:val="auto"/>
          <w:sz w:val="24"/>
          <w:szCs w:val="24"/>
          <w:highlight w:val="none"/>
        </w:rPr>
        <w:t>处方开立辅助检索</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医嘱检索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具备多种医嘱检索功能，包括拼音/五笔、名称、别名拼音/五笔、别名名称、代码等，可模糊检索，并智能排序。</w:t>
      </w:r>
    </w:p>
    <w:p>
      <w:pPr>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sz w:val="24"/>
          <w:highlight w:val="none"/>
        </w:rPr>
        <w:t>具备多种检索方式进行临床处置查询功能，包含：西成药、中药饮片、检验、检查、治疗、病历、模板。</w:t>
      </w:r>
    </w:p>
    <w:p>
      <w:pPr>
        <w:pStyle w:val="149"/>
        <w:widowControl/>
        <w:autoSpaceDE w:val="0"/>
        <w:spacing w:line="360" w:lineRule="auto"/>
        <w:ind w:left="0" w:right="0" w:firstLine="320"/>
        <w:rPr>
          <w:rFonts w:hint="eastAsia" w:ascii="仿宋" w:hAnsi="仿宋" w:eastAsia="仿宋" w:cs="仿宋"/>
          <w:color w:val="auto"/>
          <w:sz w:val="24"/>
          <w:highlight w:val="none"/>
        </w:rPr>
      </w:pPr>
      <w:r>
        <w:rPr>
          <w:rStyle w:val="41"/>
          <w:rFonts w:hint="eastAsia" w:ascii="仿宋" w:hAnsi="仿宋" w:eastAsia="仿宋" w:cs="仿宋"/>
          <w:bCs w:val="0"/>
          <w:color w:val="auto"/>
          <w:highlight w:val="none"/>
        </w:rPr>
        <w:t>检索展示</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具备多维度进行医嘱检索、展示的功能，可自定义拼接内容，可对精麻毒类药品、抗菌药物、自费药物等重点信息进行标签提醒。</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3.2.1.3.5</w:t>
      </w:r>
      <w:r>
        <w:rPr>
          <w:rFonts w:hint="eastAsia" w:ascii="仿宋" w:hAnsi="仿宋" w:eastAsia="仿宋" w:cs="仿宋"/>
          <w:color w:val="auto"/>
          <w:sz w:val="24"/>
          <w:szCs w:val="24"/>
          <w:highlight w:val="none"/>
        </w:rPr>
        <w:t>门诊特病处方管理</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具备门诊特殊病种（恶性肿瘤、高血压、糖尿病、严重精神障碍、肺结核）患者提示、特病处方标识、检查检验申请单绑定特病诊断功能，可用于有特病医保报销管理政策的地区。</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3.2.1.3.6</w:t>
      </w:r>
      <w:r>
        <w:rPr>
          <w:rFonts w:hint="eastAsia" w:ascii="仿宋" w:hAnsi="仿宋" w:eastAsia="仿宋" w:cs="仿宋"/>
          <w:color w:val="auto"/>
          <w:sz w:val="24"/>
          <w:szCs w:val="24"/>
          <w:highlight w:val="none"/>
        </w:rPr>
        <w:t>常用临床服务前置推荐</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具备临床服务前置推荐功能，将临床服务结合用户使用词频，基于人工智能算法实现医生常用临床服务前置推荐。</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3.2.1.4</w:t>
      </w:r>
      <w:r>
        <w:rPr>
          <w:rFonts w:hint="eastAsia" w:ascii="仿宋" w:hAnsi="仿宋" w:eastAsia="仿宋" w:cs="仿宋"/>
          <w:color w:val="auto"/>
          <w:highlight w:val="none"/>
        </w:rPr>
        <w:t xml:space="preserve">辅检管理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3.2.1.4.1</w:t>
      </w:r>
      <w:r>
        <w:rPr>
          <w:rFonts w:hint="eastAsia" w:ascii="仿宋" w:hAnsi="仿宋" w:eastAsia="仿宋" w:cs="仿宋"/>
          <w:color w:val="auto"/>
          <w:sz w:val="24"/>
          <w:szCs w:val="24"/>
          <w:highlight w:val="none"/>
        </w:rPr>
        <w:t>检验电子申请单</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具备检验申请单开立功能，动态加载检验项目录入界面，可选择检验项目生成相应的收费信息。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具备检验项目组套勾选开立功能。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具备检验项目诊断、频次、数量、加急标志录入功能。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具备指定检验流向功能，可对检验流向进行相关科室选择。</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具备检验申请单树状选择检验项目开立功能。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3.2.1.4.2</w:t>
      </w:r>
      <w:r>
        <w:rPr>
          <w:rFonts w:hint="eastAsia" w:ascii="仿宋" w:hAnsi="仿宋" w:eastAsia="仿宋" w:cs="仿宋"/>
          <w:color w:val="auto"/>
          <w:sz w:val="24"/>
          <w:szCs w:val="24"/>
          <w:highlight w:val="none"/>
        </w:rPr>
        <w:t>检查电子申请单</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具备检查申请单开立功能，动态加载检查项目录入界面，可选择检查项目生成相应的收费信息。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具备通过检查人体图开立检查电子申请单功能。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具备检查申请单临床摘要、诊断信息、检查目的、注意事项录入功能。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具备指定检查流向功能，可对检查流向进行相关科室选择。</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具备检查申请单树状选择检查项目开立功能。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3.2.1.4.3</w:t>
      </w:r>
      <w:r>
        <w:rPr>
          <w:rFonts w:hint="eastAsia" w:ascii="仿宋" w:hAnsi="仿宋" w:eastAsia="仿宋" w:cs="仿宋"/>
          <w:color w:val="auto"/>
          <w:sz w:val="24"/>
          <w:szCs w:val="24"/>
          <w:highlight w:val="none"/>
        </w:rPr>
        <w:t>检验报告调阅</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与医技检验系统对接，实现医技检验报告调阅功能，可接收医技检验系统发出的报告发布/撤销通知，可选择临床医嘱快捷跳转至该医嘱对应报告内容，可选择检验指标跳转查看医技报告，可按名称、拼音、五笔、日期检索报告，可查看患者历次就诊报告记录。</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具备检验报告趋势展示功能，同一指标多次结果后，可形成趋势图进行可视化展示。</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3.2.1.4.4</w:t>
      </w:r>
      <w:r>
        <w:rPr>
          <w:rFonts w:hint="eastAsia" w:ascii="仿宋" w:hAnsi="仿宋" w:eastAsia="仿宋" w:cs="仿宋"/>
          <w:color w:val="auto"/>
          <w:sz w:val="24"/>
          <w:szCs w:val="24"/>
          <w:highlight w:val="none"/>
        </w:rPr>
        <w:t>检查报告调阅</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支持与医技检查系统对接，实现医技检查报告调阅功能，包括：接收医技检查系统发出的报告发布/撤销通知，选择临床医嘱快捷跳转至该医嘱对应报告内容，查看医技检查报告。</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0"/>
          <w:highlight w:val="none"/>
          <w:lang w:val="en-US" w:eastAsia="zh-CN" w:bidi="hi-IN"/>
        </w:rPr>
        <w:t>3.2.1.5</w:t>
      </w:r>
      <w:r>
        <w:rPr>
          <w:rFonts w:hint="eastAsia" w:ascii="仿宋" w:hAnsi="仿宋" w:eastAsia="仿宋" w:cs="仿宋"/>
          <w:color w:val="auto"/>
          <w:highlight w:val="none"/>
        </w:rPr>
        <w:t xml:space="preserve">诊间辅助 </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需支持与医院信息系统对接，实现读取号源信息、诊间预约、挂号、加号功能。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3.2.1.5.1</w:t>
      </w:r>
      <w:r>
        <w:rPr>
          <w:rFonts w:hint="eastAsia" w:ascii="仿宋" w:hAnsi="仿宋" w:eastAsia="仿宋" w:cs="仿宋"/>
          <w:color w:val="auto"/>
          <w:sz w:val="24"/>
          <w:szCs w:val="24"/>
          <w:highlight w:val="none"/>
        </w:rPr>
        <w:t>诊间挂号预约</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具备患者诊间预约功能，可预约下次就诊科目、就诊日期。</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在医院预约策略支持情况下，可预约到就诊时间段。</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3.2.1.5.2</w:t>
      </w:r>
      <w:r>
        <w:rPr>
          <w:rFonts w:hint="eastAsia" w:ascii="仿宋" w:hAnsi="仿宋" w:eastAsia="仿宋" w:cs="仿宋"/>
          <w:color w:val="auto"/>
          <w:sz w:val="24"/>
          <w:szCs w:val="24"/>
          <w:highlight w:val="none"/>
        </w:rPr>
        <w:t>诊间加号</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具备诊间加号功能，至少提供指定就诊人、不指定就诊人两种加号方式。</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具备加号记录查询功能，可按加号科目、加号日期进行查询，可查看加号时间、数量、加号科目、就诊人、联系电话、身份证号、操作人、状态等信息。</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具备取消加号和打印功能。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3.2.1.5.3</w:t>
      </w:r>
      <w:r>
        <w:rPr>
          <w:rFonts w:hint="eastAsia" w:ascii="仿宋" w:hAnsi="仿宋" w:eastAsia="仿宋" w:cs="仿宋"/>
          <w:color w:val="auto"/>
          <w:sz w:val="24"/>
          <w:szCs w:val="24"/>
          <w:highlight w:val="none"/>
        </w:rPr>
        <w:t>诊间挂号</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具备复诊患者诊间挂号功能，可对当前医生及其他科室医生进行复诊挂号。根据医生职级扣除挂号费，满足自费、医保、中医、急诊、便民等各类挂号规则。</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3.2.1.5.4</w:t>
      </w:r>
      <w:r>
        <w:rPr>
          <w:rFonts w:hint="eastAsia" w:ascii="仿宋" w:hAnsi="仿宋" w:eastAsia="仿宋" w:cs="仿宋"/>
          <w:color w:val="auto"/>
          <w:sz w:val="24"/>
          <w:szCs w:val="24"/>
          <w:highlight w:val="none"/>
        </w:rPr>
        <w:t>诊间结算</w:t>
      </w:r>
    </w:p>
    <w:p>
      <w:pPr>
        <w:pStyle w:val="150"/>
        <w:spacing w:before="0" w:after="0" w:line="360" w:lineRule="auto"/>
        <w:ind w:left="0" w:right="0" w:firstLine="420"/>
        <w:rPr>
          <w:rFonts w:hint="eastAsia" w:ascii="仿宋" w:hAnsi="仿宋" w:eastAsia="仿宋" w:cs="仿宋"/>
          <w:color w:val="auto"/>
          <w:highlight w:val="none"/>
        </w:rPr>
      </w:pPr>
      <w:r>
        <w:rPr>
          <w:rFonts w:hint="eastAsia" w:ascii="仿宋" w:hAnsi="仿宋" w:eastAsia="仿宋" w:cs="仿宋"/>
          <w:color w:val="auto"/>
          <w:sz w:val="24"/>
          <w:szCs w:val="24"/>
          <w:highlight w:val="none"/>
        </w:rPr>
        <w:t>支持门诊医生在诊间完成自费或医保结算等功能。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0"/>
          <w:highlight w:val="none"/>
          <w:lang w:val="en-US" w:eastAsia="zh-CN" w:bidi="hi-IN"/>
        </w:rPr>
        <w:t>3.2.1.6</w:t>
      </w:r>
      <w:r>
        <w:rPr>
          <w:rFonts w:hint="eastAsia" w:ascii="仿宋" w:hAnsi="仿宋" w:eastAsia="仿宋" w:cs="仿宋"/>
          <w:color w:val="auto"/>
          <w:highlight w:val="none"/>
        </w:rPr>
        <w:t xml:space="preserve">门诊单据 </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需提供各类门诊单据开具和打印，包括入院通知单、疾病证明单、病假单。</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3.2.1.6.1</w:t>
      </w:r>
      <w:r>
        <w:rPr>
          <w:rFonts w:hint="eastAsia" w:ascii="仿宋" w:hAnsi="仿宋" w:eastAsia="仿宋" w:cs="仿宋"/>
          <w:color w:val="auto"/>
          <w:sz w:val="24"/>
          <w:szCs w:val="24"/>
          <w:highlight w:val="none"/>
        </w:rPr>
        <w:t>入院通知单管理</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具备入院通知单管理功能，门诊患者转住院可开立入院申请单，为需要住院的病人提供住院办理凭证。</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3.2.1.6.2</w:t>
      </w:r>
      <w:r>
        <w:rPr>
          <w:rFonts w:hint="eastAsia" w:ascii="仿宋" w:hAnsi="仿宋" w:eastAsia="仿宋" w:cs="仿宋"/>
          <w:color w:val="auto"/>
          <w:sz w:val="24"/>
          <w:szCs w:val="24"/>
          <w:highlight w:val="none"/>
        </w:rPr>
        <w:t>疾病证明单管理</w:t>
      </w:r>
    </w:p>
    <w:p>
      <w:pPr>
        <w:spacing w:line="360" w:lineRule="auto"/>
        <w:ind w:left="0" w:right="0" w:firstLine="48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具备疾病证明单管理功能，可为门诊患者提供疾病证明单据，为患者做个人事务处理提供疾病证明材料。</w:t>
      </w:r>
    </w:p>
    <w:p>
      <w:pPr>
        <w:pStyle w:val="7"/>
        <w:numPr>
          <w:ilvl w:val="4"/>
          <w:numId w:val="0"/>
        </w:numPr>
        <w:tabs>
          <w:tab w:val="left" w:pos="1152"/>
          <w:tab w:val="clear" w:pos="0"/>
        </w:tabs>
        <w:ind w:left="1008" w:leftChars="0" w:right="0" w:rightChars="0" w:hanging="1008"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3.2.1.6.3</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病假单管理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具备病假单管理功能，可为门诊患者提供疾病请假单据，做为病假患者病假证明凭证依据。</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具备休假天数及开始日期、结束日期录入功能。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3.2.1.7</w:t>
      </w:r>
      <w:r>
        <w:rPr>
          <w:rFonts w:hint="eastAsia" w:ascii="仿宋" w:hAnsi="仿宋" w:eastAsia="仿宋" w:cs="仿宋"/>
          <w:color w:val="auto"/>
          <w:highlight w:val="none"/>
        </w:rPr>
        <w:t xml:space="preserve">门诊电子病历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3.2.1.7.1</w:t>
      </w:r>
      <w:r>
        <w:rPr>
          <w:rFonts w:hint="eastAsia" w:ascii="仿宋" w:hAnsi="仿宋" w:eastAsia="仿宋" w:cs="仿宋"/>
          <w:color w:val="auto"/>
          <w:sz w:val="24"/>
          <w:szCs w:val="24"/>
          <w:highlight w:val="none"/>
        </w:rPr>
        <w:t>病历编辑</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支持病历编辑，基于知识体系采用结构化内容设计，医生在写病历时支持结构化录入，对核心数据支持自动化采集，可进行病历签署、撤销、打印操作。</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具备核心数据自动采集功能，包括患者主诉、诊断、检验、检查、处置方案自动写入到病历中。</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具备病历结构化录入功能。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具备病历段落及内容录入功能。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具备病历录入时，可调用人体图选择结构化查体添加到病历功能。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具备书写逻辑控制和校验功能，对书写的病历内容进行控制和校验。</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具备病历签署功能，当医生病历书写完成后，可对病历进行签署。</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具备签署撤销功能，若医生对于已签署的病历需撤销签署的，支持一键撤销签署。</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具备病历打印功能，可根据打印模板，支持多种打印方式（集中打印、诊间打印、自动打印）。</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具备事中质控。</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具备专科病历编辑。</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3.2.1.7.2</w:t>
      </w:r>
      <w:r>
        <w:rPr>
          <w:rFonts w:hint="eastAsia" w:ascii="仿宋" w:hAnsi="仿宋" w:eastAsia="仿宋" w:cs="仿宋"/>
          <w:color w:val="auto"/>
          <w:sz w:val="24"/>
          <w:szCs w:val="24"/>
          <w:highlight w:val="none"/>
        </w:rPr>
        <w:t>门诊病历书写助手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具备人体图、公式辅助录入功能，公式辅助录入功能，包含肌酐清除率、血浆渗透面积等公式，在人体图中选择人体器官，结构化病历录入界面载入相关结构化内容。</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具备书写助手辅助录入功能，包括：医嘱、报告、符号、公式、医学工具。</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支持与预问诊系统对接，实现预问诊信息获取并引用到病历功能。</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具备数据引用功能，可联动引用医嘱、公式、检查检验报告数据等，并可按实际需要自定义引用途径，支持既往病历、段落模板、检验报告等统一调阅；将检验检查结果全部或部分一键写入到病历中。</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3.2.1.7.3</w:t>
      </w:r>
      <w:r>
        <w:rPr>
          <w:rFonts w:hint="eastAsia" w:ascii="仿宋" w:hAnsi="仿宋" w:eastAsia="仿宋" w:cs="仿宋"/>
          <w:color w:val="auto"/>
          <w:sz w:val="24"/>
          <w:szCs w:val="24"/>
          <w:highlight w:val="none"/>
        </w:rPr>
        <w:t>门诊病历模板管理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提供门诊病历模板管理功能，至少包括对标准的初诊病历、复诊病历、补充病历、代配药病历模板进行管理，内嵌互联互通43个标准数据集。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具备标准化模板审批、发布功能。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具备病历模板使用范围设置功能，包括个人、科室、全院、知情同意书等多个病历模板。</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具备病历模板引用功能，可将全院、科室、个人的病历模板进行引用。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具备病历模板收藏功能，可对常用的病历模板收藏成个人模板等。</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具备病历模板推荐功能，可自动推荐最佳模板。</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3.2.1.7.4</w:t>
      </w:r>
      <w:r>
        <w:rPr>
          <w:rFonts w:hint="eastAsia" w:ascii="仿宋" w:hAnsi="仿宋" w:eastAsia="仿宋" w:cs="仿宋"/>
          <w:color w:val="auto"/>
          <w:sz w:val="24"/>
          <w:szCs w:val="24"/>
          <w:highlight w:val="none"/>
        </w:rPr>
        <w:t>门诊病历查询统计</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具备按结构化节点、关键字进行查询功能。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具备科室根据设定的查询条件，例如挂号日期、科室等，进行检索病历数据功能。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具备对检索出的病历数据进行统计分析功能。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具备记录门诊病历超时修改印痕功能，记录修改者、修改时等，具备可视化展示修改内容。</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具备病历操作日志查询功能，符合审计要求，包括病历修改、保存、提交、打印、查看。</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3.2.1.7.5</w:t>
      </w:r>
      <w:r>
        <w:rPr>
          <w:rFonts w:hint="eastAsia" w:ascii="仿宋" w:hAnsi="仿宋" w:eastAsia="仿宋" w:cs="仿宋"/>
          <w:color w:val="auto"/>
          <w:sz w:val="24"/>
          <w:szCs w:val="24"/>
          <w:highlight w:val="none"/>
        </w:rPr>
        <w:t>门诊病历</w:t>
      </w:r>
      <w:r>
        <w:rPr>
          <w:rFonts w:hint="eastAsia" w:ascii="仿宋" w:hAnsi="仿宋" w:eastAsia="仿宋" w:cs="仿宋"/>
          <w:color w:val="auto"/>
          <w:sz w:val="24"/>
          <w:szCs w:val="24"/>
          <w:highlight w:val="none"/>
          <w:lang w:val="en-US" w:eastAsia="zh-CN"/>
        </w:rPr>
        <w:t>打印</w:t>
      </w:r>
    </w:p>
    <w:p>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 xml:space="preserve">    具备医生工作站打印、门诊统一打印、自助及打印和患者端（公众服务号、互联网医院）打印。</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3.2.1.8</w:t>
      </w:r>
      <w:r>
        <w:rPr>
          <w:rFonts w:hint="eastAsia" w:ascii="仿宋" w:hAnsi="仿宋" w:eastAsia="仿宋" w:cs="仿宋"/>
          <w:color w:val="auto"/>
          <w:highlight w:val="none"/>
          <w:lang w:val="en-US" w:eastAsia="zh-CN"/>
        </w:rPr>
        <w:t xml:space="preserve"> 门诊</w:t>
      </w:r>
      <w:r>
        <w:rPr>
          <w:rFonts w:hint="eastAsia" w:ascii="仿宋" w:hAnsi="仿宋" w:eastAsia="仿宋" w:cs="仿宋"/>
          <w:color w:val="auto"/>
          <w:highlight w:val="none"/>
        </w:rPr>
        <w:t xml:space="preserve">医生危急值应用 </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支持对接医技系统，实现危急值的智能提醒、处置与反馈功能。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3.2.1.8.1</w:t>
      </w:r>
      <w:r>
        <w:rPr>
          <w:rFonts w:hint="eastAsia" w:ascii="仿宋" w:hAnsi="仿宋" w:eastAsia="仿宋" w:cs="仿宋"/>
          <w:color w:val="auto"/>
          <w:sz w:val="24"/>
          <w:szCs w:val="24"/>
          <w:highlight w:val="none"/>
        </w:rPr>
        <w:t xml:space="preserve">危急值预警提醒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支持与医技系统对接，接收医技系统发送的危急值信息，并进行预警提醒。</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具备危急值不处理时，不间断进行消息提醒干预功能（直至处理完毕才可解除消息提示）。</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具备在消息中心处理危急值功能。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3.2.1.8.2</w:t>
      </w:r>
      <w:r>
        <w:rPr>
          <w:rFonts w:hint="eastAsia" w:ascii="仿宋" w:hAnsi="仿宋" w:eastAsia="仿宋" w:cs="仿宋"/>
          <w:color w:val="auto"/>
          <w:sz w:val="24"/>
          <w:szCs w:val="24"/>
          <w:highlight w:val="none"/>
        </w:rPr>
        <w:t>消息处理结果</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具备危急值方案维护功能，支持医生采用危急值方案进行处理，可查看消息处理结果。</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具备危急值医嘱方案病历插入功能。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3.2.1.8.3</w:t>
      </w:r>
      <w:r>
        <w:rPr>
          <w:rFonts w:hint="eastAsia" w:ascii="仿宋" w:hAnsi="仿宋" w:eastAsia="仿宋" w:cs="仿宋"/>
          <w:color w:val="auto"/>
          <w:sz w:val="24"/>
          <w:szCs w:val="24"/>
          <w:highlight w:val="none"/>
        </w:rPr>
        <w:t>消息处理意见反馈</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具备根据危急值处理情况，自动生成危急值病程的记录功能。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支持与医技系统对接，实现将危急值接收、处理信息返回医技科室功能。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3.2.1.8.4</w:t>
      </w:r>
      <w:r>
        <w:rPr>
          <w:rFonts w:hint="eastAsia" w:ascii="仿宋" w:hAnsi="仿宋" w:eastAsia="仿宋" w:cs="仿宋"/>
          <w:color w:val="auto"/>
          <w:sz w:val="24"/>
          <w:szCs w:val="24"/>
          <w:highlight w:val="none"/>
        </w:rPr>
        <w:t>消息时限监控</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具备危急值查询功能，实时查询危急值内容信息和处理进展。</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具备消息时限监控功能，可设置消息级别、配置时限、监控策略，进行消息时限监控管理，及时提醒医生查看危急值消息。</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3.2.1.9</w:t>
      </w:r>
      <w:r>
        <w:rPr>
          <w:rFonts w:hint="eastAsia" w:ascii="仿宋" w:hAnsi="仿宋" w:eastAsia="仿宋" w:cs="仿宋"/>
          <w:color w:val="auto"/>
          <w:highlight w:val="none"/>
        </w:rPr>
        <w:t xml:space="preserve">门诊会诊处置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具备会诊申请功能，可填写会诊邀请科室和医生、患者病情及诊疗经过、申请会诊的理由及目的等会诊信息。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具备会诊接受后，针对会诊结果进行会诊答复功能。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具备住院会诊接受及会诊回复或拒绝接收会诊功能。</w:t>
      </w:r>
    </w:p>
    <w:p>
      <w:pPr>
        <w:pStyle w:val="4"/>
        <w:numPr>
          <w:ilvl w:val="0"/>
          <w:numId w:val="0"/>
        </w:numPr>
        <w:tabs>
          <w:tab w:val="left" w:pos="720"/>
          <w:tab w:val="left" w:pos="1006"/>
        </w:tabs>
        <w:ind w:left="1006" w:leftChars="0" w:right="0" w:rightChars="0" w:hanging="864" w:firstLineChars="0"/>
        <w:rPr>
          <w:rFonts w:hint="eastAsia" w:ascii="仿宋" w:hAnsi="仿宋" w:eastAsia="仿宋" w:cs="仿宋"/>
          <w:color w:val="auto"/>
          <w:highlight w:val="none"/>
        </w:rPr>
      </w:pPr>
      <w:bookmarkStart w:id="340" w:name="_Toc10187"/>
      <w:bookmarkStart w:id="341" w:name="_Toc25314"/>
      <w:r>
        <w:rPr>
          <w:rFonts w:hint="eastAsia" w:ascii="仿宋" w:hAnsi="仿宋" w:eastAsia="仿宋" w:cs="仿宋"/>
          <w:b/>
          <w:bCs/>
          <w:color w:val="auto"/>
          <w:sz w:val="28"/>
          <w:szCs w:val="28"/>
          <w:highlight w:val="none"/>
          <w:lang w:val="en-US" w:eastAsia="zh-CN" w:bidi="hi-IN"/>
        </w:rPr>
        <w:t>3.2.2</w:t>
      </w:r>
      <w:r>
        <w:rPr>
          <w:rFonts w:hint="eastAsia" w:ascii="仿宋" w:hAnsi="仿宋" w:eastAsia="仿宋" w:cs="仿宋"/>
          <w:color w:val="auto"/>
          <w:highlight w:val="none"/>
        </w:rPr>
        <w:t xml:space="preserve"> 一体化住院医生</w:t>
      </w:r>
      <w:bookmarkEnd w:id="340"/>
      <w:bookmarkEnd w:id="341"/>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3.2.2.1</w:t>
      </w:r>
      <w:r>
        <w:rPr>
          <w:rFonts w:hint="eastAsia" w:ascii="仿宋" w:hAnsi="仿宋" w:eastAsia="仿宋" w:cs="仿宋"/>
          <w:color w:val="auto"/>
          <w:highlight w:val="none"/>
        </w:rPr>
        <w:t xml:space="preserve">任务中心 </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具备统一的任务信息汇总和处理功能，支持结合不同业务需求，提供相关的任务处理操作。</w:t>
      </w:r>
    </w:p>
    <w:p>
      <w:pPr>
        <w:pStyle w:val="149"/>
        <w:widowControl/>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住院任务中心</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具备会诊任务提醒和处理功能。</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具备病历审核提醒和处理功能，支持阅改病历内容，完成病历审签操作。</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具备输血申请审签提醒和处理功能，支持输血审批流程设置，完成输血审签处理。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具备手术申请提醒和处理功，支持手术审批流程设置，完成手术申请审批处理。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具备危急值任务提醒和处理功能，接收医技科室发送的危急值消息，完成危急值任务处置。</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3.2.2.2</w:t>
      </w:r>
      <w:r>
        <w:rPr>
          <w:rFonts w:hint="eastAsia" w:ascii="仿宋" w:hAnsi="仿宋" w:eastAsia="仿宋" w:cs="仿宋"/>
          <w:color w:val="auto"/>
          <w:highlight w:val="none"/>
        </w:rPr>
        <w:t xml:space="preserve">住院医嘱管理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3.2.2.2.1</w:t>
      </w:r>
      <w:r>
        <w:rPr>
          <w:rFonts w:hint="eastAsia" w:ascii="仿宋" w:hAnsi="仿宋" w:eastAsia="仿宋" w:cs="仿宋"/>
          <w:color w:val="auto"/>
          <w:sz w:val="24"/>
          <w:szCs w:val="24"/>
          <w:highlight w:val="none"/>
        </w:rPr>
        <w:t xml:space="preserve">住院诊疗管理 </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住院诊疗管理需实现对患者基本诊疗过程进行管理，包括患者信息管理、床头卡管理、患者特殊标签管理、快捷菜单配置管理及病区切换。</w:t>
      </w:r>
    </w:p>
    <w:p>
      <w:pPr>
        <w:pStyle w:val="149"/>
        <w:widowControl/>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患者信息管理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具备患者基本信息显示与修改功能，字段至少包括：姓名、性别、出生日期、证件号、联系电话、地址、贫困等级、信息保密等级、籍贯、实名制等级信息。</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具备患者住院信息显示与修改功能，至少包括：入区时间、责任护士、责任医生、主治医生、住院病区等信息。</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具备患者基本健康信息显示和编辑功能，包括：身高、体重、BMI、血型、病理状态、生理状态等信息。</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具备患者过敏信息登记、展示、编辑功能。可录入药物类、食物类、环境类等过敏信息，支持医生录入非结构化类过敏信息。</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具备患者费用信息显示功能，至少包括：总费用、预交金余额、担保金额、报警线、停药线等。</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具备患者病种信息编辑与显示功能。</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具备患者备注信息录入功能。</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支持与患者临床集成视图对接，实现调阅患者历史诊疗信息、费用信息及病历功能。</w:t>
      </w:r>
    </w:p>
    <w:p>
      <w:pPr>
        <w:pStyle w:val="149"/>
        <w:widowControl/>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床头卡显示管理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提供多种样式床头卡显示功能，至少包括：标准模式、简卡模式、列表模式等。</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具备床头卡自定义显示项设置功能。</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具备多种患者标签配置功能，至少包括：护理等级、VTE风险等级、医嘱状态、危重等级、临床路径、压疮风险等级。可根据业务场景和状态定义患者不同标签，并在医生站、护士站床头卡中显示。</w:t>
      </w:r>
    </w:p>
    <w:p>
      <w:pPr>
        <w:pStyle w:val="149"/>
        <w:widowControl/>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患者查询</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具备患者检索功能，包括：住院号、床位号、患者姓名（中文检索、拼音码、五笔码）等方式。</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具备自定义组合查询条件进行患者查询功能。</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具备将常用查询条件组合为快捷查询方案，进行快捷查询功能。</w:t>
      </w:r>
    </w:p>
    <w:p>
      <w:pPr>
        <w:pStyle w:val="149"/>
        <w:widowControl/>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患者标签</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具备多种患者标签配置功能，至少包括：护理等级、VTE风险等级、医嘱状态、危重等级、临床路径、压疮风险等级。可根据业务场景和状态定义患者不同标签，并在医生站、护士站床头卡中显示。</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具备标签定义功能，可设置标签标识、标签编码、标签名称、标签类型、标签类目、标签描述、标签规则、绑定时间、临床服务等信息。</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具备标签样式设置功能，可对标签样式进行自定义设置。</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具备标签化筛选功能，可通过标签进行患者列表筛选。</w:t>
      </w:r>
    </w:p>
    <w:p>
      <w:pPr>
        <w:pStyle w:val="149"/>
        <w:widowControl/>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快捷菜单管理</w:t>
      </w:r>
    </w:p>
    <w:p>
      <w:pPr>
        <w:pStyle w:val="149"/>
        <w:widowControl/>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具备快捷菜单配置功能，可配置快捷菜单，一键跳转，包括业务授权、会诊申请、集中打印等。</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3.2.2.2.2</w:t>
      </w:r>
      <w:r>
        <w:rPr>
          <w:rFonts w:hint="eastAsia" w:ascii="仿宋" w:hAnsi="仿宋" w:eastAsia="仿宋" w:cs="仿宋"/>
          <w:color w:val="auto"/>
          <w:sz w:val="24"/>
          <w:szCs w:val="24"/>
          <w:highlight w:val="none"/>
        </w:rPr>
        <w:t>住院医嘱管理</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围绕临床医嘱开立场景，需提供医疗开立权限、医嘱开立检索、医嘱开立显示、医嘱开立规则控制、医嘱模板引用、历史医嘱查看、医疗签署打印等相关功能。针对不同类型医嘱，需提供不同的医嘱开立界面录入及相关规则控制。</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医生权限</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具备医嘱权限集中配置功能，至少包括：医嘱开立权限、抗菌药物权限、抗菌药物审批权限、保密等级、抗肿瘤药物权限、用血权限等。</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具备根据不同医生角色进行以上权限控制功能。</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医嘱检索</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具备不同医嘱类型的检索设置功能。</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具备医嘱自定义分类显示功能，可自定义每列显示内容，自定义分类显示不同的医嘱类型，如药品、检查、检验、治疗、护理、膳食等内容。</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具备草药类药品医生权限校验功能，可根据登录医生的权限设置是否显示草药。</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具备特别属性药物提示功能，针对特殊类药品，显示药品的属性特征，如精麻毒类药物，针对有特别属性的药品，在备注列显示，如进口标志。</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具备基本药物提示功能，针对国家基本药物，显示其对应的药物基本目录属性，如国基、省基。</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具备药品库存校验功能，对于药品类服务，可进行库存实时校验及提示。</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具备多种方式的快速查找功能，包括按首拼、五笔、代码、名称等查询药品，并支持模糊查询。</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具备检索词频应用功能，可根据使用频率排序，可自定义个人词频。</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具备与药房的联动控制功能，如：按时间段显示药房、优先药房设置、虚拟药房选择等。</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医嘱开立</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具备医嘱操作功能，至少包括：医嘱开立、签署、删除、撤销、作废、停止、复制操作。</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具备医嘱状态实时展示功能，医生可以按需查看医嘱阶段性状态，至少包括：签署医嘱、签收医嘱、执行医嘱。每个状态体现状态名称、执行人、执行具体时间（精确到秒）。</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具备复制已开立医嘱功能，可以复制给当前患者也可复制给其他患者。</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具备医嘱开立快捷键操作功能，医嘱录入时，通过预设的快捷键，可快速完成医嘱开立操作。</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具备在同一界面录入长期医嘱、临时医嘱功能。</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具备对不同类型的医嘱诊疗录入项进行个性化配置功能。例如输液医嘱显示临床服务名称、剂量及单位、用法、频次、嘱托、滴速及单位、滴速说明。</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具备按医生角度、护士角度、医嘱单归档角度配置临床医嘱展示项功能，在医生站、护士站按医嘱展示项配置进行展示。</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具备医嘱属性联动设置功能，医嘱的长期临时属性，可根据频次的属性进行联动限制，如st联动的医嘱类型为临时医嘱，不能为长期医嘱。</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具备单条医嘱录入功能，可单条录入西成药医嘱、草药处方；可单条录入护理、膳食医嘱、治疗医嘱、嘱托医嘱；可单条录入检验申请、检查申请、治疗申请、病理申请、用血申请、手术申请。</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具备医嘱开始时间设置功能，可对医嘱开始时间进行设置，包括开始时间往前往后推迟多少时间。</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执行详情信息录入功能，针对药品医嘱开立可录入剂量、单位、用法、频次、嘱托等；可根据频次属性自动推荐首日用药次数和首次用药时间；可录入用药持续时间、计划停止时间；支持录入药品类医嘱时药房受控；针对精麻类药品，可录入领药人信息；针对输液类医嘱，支持自动成组操作，可设置滴速要求或定量录入滴速范围，填写超限滴速的说明原因；针对手术申请，系统支持医生进行手术的申请，申请界面支持显示手术基本信息，选择手术室、手术人员等；针对检验申请，自动加载默认标本，支持标本可选范围受控；针对治疗医嘱，可录入治疗时长；针对嘱托类医嘱，支持结构化嘱托和手工自由录入；嘱托包括：留陪人、告病重、告病危等，也支持手动输入嘱托内容。</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具备根据用药目的控制医嘱录入项内容功能。</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具备录入的抗菌药物医嘱生成病程记录功能。</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具备出院带药医嘱录入功能，可录入出院带药，录入出院带药时与当前患者的出院医嘱进行关联控制，无出院医嘱不允许出院带药。</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具备医嘱设置长期功能，可对检验类医嘱、治疗类医嘱、精麻类药品处方医嘱申请生成长期医嘱。</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具备医嘱互斥校验功能，针对护理/膳食医嘱，支持进行互斥规则判断，互斥医嘱可自动停止，如Ⅰ级护理和Ⅱ级护理互斥。</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具备流转类医嘱校验功能，针对患者流转类医嘱，支持互斥规则、联动停止规则；患者流转包括：转床、转区、转科、出院、死亡等。</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具备联动开立功能，可对医嘱进行联动开立，包括皮试医嘱的联动，开立治疗药时自动联动一条皮试医嘱。</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具备医嘱显示与排序功能，可批量显示未签署医嘱的长临标志、开始日期、时间、名称、规格、剂量、单位、用法、频次、嘱托、扩展信息等列显示；可在医嘱未签署前拖动排序，成组药品可重新成组。</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具备执行医生与科室选择功能，录入医嘱时，可对执行科室进行选择，并支持执行科室受控。</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具备个人医嘱模版设置功能，可根据个人需要自由选择已签署的医嘱另存为医嘱模板；可将模板维护为个人模板、科室模板。</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具备申请单开立医嘱功能，可通过申请单快速开立医嘱，例如检查检验等可支持申请单开立。</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具备医嘱规则控制功能，可对医嘱规则进行设置，包括规则控制范围、控制时机、控制方式、优先级等；医嘱开立时调用医嘱规则，进行控制。</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具备过敏信息控制功能，可对过敏信息进行管理。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具备药品及项目属性展示功能，可自动加载临床药品及项目的默认属性，包括药品的剂量、给药途径。</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具备医嘱推荐功能，在医嘱开立时，可对药品的常用剂量及给药途径进行推荐；可推荐个人常用记录、常用组合套餐；可推荐科室常用记录、常用组合套餐。</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具备VTE评估和处理功能，根据护士评估的结果进行提醒，根据不同的VTE风险推荐对应的VTE处置。</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具备融入临床诊疗指南，在医嘱开立时，进行提示功能。</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具备过程控制相关功能，可依据抗菌药物、抗肿瘤药物临床应用指导原则，进行相关过程控制。</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具备医学计算公式融入功能，可融入TPN等医学计算公式，进行相关医学计算包括BMI、体表公式、补液量计算等。</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皮试管理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具备皮试联动功能，根据药品的皮试属性、皮试液、皮试有效期等自动判断医嘱用药是否被阻断，是否需要联动皮试医嘱，是否生成药品医嘱。</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具备重新皮试判断功能，根据患者的临床用药情况、皮试有效期，判断需皮试的医嘱用药是否需要重新皮试。</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支持通过与门诊医生站、住院护士站、门诊输液系统对接，自动获取患者的皮试结果，并将过敏信息共享到其他业务系统。</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医嘱展示</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具备医嘱定位功能，可默认定位医嘱。</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具备医嘱展示定义设置功能，包括定义医嘱展示的内容、顺序、范围等。</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具备医嘱种类过滤功能，包括按长期、临时、有效等维度过滤医嘱。</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具备医嘱内容类别过滤功能，包括按药品、护理、膳食、治疗、手术、检查、检验、全部过滤医嘱。</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具备长临医嘱区分展示功能，可显示医嘱的长临标志、开始日期、时间、名称、规格、剂量、单位、用法、频次、嘱托、扩展信息等。</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具备时间排序展示功能，可按医嘱开始时间排序显示，同时满足补录医嘱的特殊排序规则。</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具备医嘱开立界面调阅功能，可查看调阅不同医嘱类型的医嘱开立界面，查看医嘱的明细内容。</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具备医嘱状态实时显示功能，可实时显示医嘱的执行交互信息，可查看医嘱当前状态，包括护士核对情况、药师审方信息、医技预约信息、费用收取情况。</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具备长期医嘱操作功能，包括停止操作、修改预停止日期操作等。</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具备按医生角度、护士角度、医嘱单归档角度配置临床医嘱展示项功能，在医生站、护士站按医嘱展示项配置进行展示。</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中药饮片处方管理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具备中药饮片处方信息录入功能，录入中药饮片处方明细项时，可选择不同规格中药饮片，单味药剂量，补充煎法要求；可编辑中药饮片处方的剂数、煎法、煎出总剂量、每顿剂量、每日频次、代煎要求及剂数。</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具备中药饮片处方编辑功能，可编辑中药饮片的处方名称、治疗法则。</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精麻处方管理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具备精麻处方权限设置功能，包括精一开立权限、精二开立权限、麻醉药品开立权限、剧毒药品开立权限。</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具备领药人信息录入功能，录入精麻毒类药物时，需登记领药人及其身份证明信息，领药人信息支持自动同步患者的基本信息。</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具备精麻药品医嘱联动规则控制功能。</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具备精麻药品统一编码归档功能，精麻类处方按照规范要求统一编码归档。</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历史医嘱</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具备历史医嘱查询功能，可查询历次门诊就诊医嘱、历次住院医嘱，并可根据时间范围过滤历次就诊记录。</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具备历史医嘱批量开立功能，可在历次住院医嘱中选择需要重新开立的医嘱，批量进行开立。</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医嘱模板</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具备模板分类、归类功能，医嘱模板可以根据需要维护自己的分类。医嘱模板关联模板分类，可将相同属性的模板归属到同一模板分类。</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具备模板维护功能，包括医嘱模板的增删改，启用停用操作。可在诊疗过程中，选择已开立的医嘱直接另存为医嘱模板。</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具备模板关联功能，医嘱模板可关联诊断、诊断组。</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具备模板范围设置功能，可设置医嘱模板应用范围，包括“个人”、“科室”。</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具备多场景应用功能，在包括“成套医嘱”、“危急值解决方案”、“VTE最佳实践”等不同场景下可直接应用医嘱模板。</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具备模板编辑功能，可在医嘱模板中快速录入包括西成药、中成药、输液、草药、检验、检查、治疗、患者流转等不同医嘱类型的治疗方案。</w:t>
      </w:r>
    </w:p>
    <w:p>
      <w:pPr>
        <w:pStyle w:val="149"/>
        <w:widowControl/>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具备医嘱模板推荐功能，在医嘱开立时，根据患者诊断优先推荐匹配的医嘱模板，可推荐科室、个人常用记录、常用组合套餐。</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医嘱打印</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具备医嘱打印格式设置功能，包括设置长期、临时、手术、治疗等不同医嘱的打印格式，可设置打印转科医嘱，术后医嘱换页、续打、补打、重整医嘱打印。</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以下个性化医嘱打印功能，包括：设置特定用法不打印医嘱、补临医嘱设置只显示补临频次、出院带药打印、特殊药品打印、打印临时医嘱执行信息、打印长期医嘱预停时间、打印医嘱的默认执行时间、打印全停医嘱的停止者和审核的护士签名、打印停止信息、单独打印停止护士信息、每页显示病人过敏信息、打印病人过敏信息（只打印一次）、设置阳性后缀、阴性后缀、强阳性后缀、弱阳性后缀、手术医嘱只显示日期不显示时间、重整医嘱显示重整操作员名称、设置自备药打印时显示的嘱托内容、医嘱护士未签名进行提示。</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具备打印快捷键提示功能，可按显示名称设置。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具备申请单打印设置功能，包括检查申请单、检验申请单打印。</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具备历史数据打印功能，如历史数据单独打印、历史数据合并打印、打印预览等。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具备其他信息打印功能，包括出院带药打印、特殊药品打印、领药人信息打印、自费同意书打印、满页打印。</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具备草药处方打印相关功能，包括打印预览、仅打印出院带药等。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具备精麻类处方打印相关功能，包括精麻类医嘱按处方打印，长期医嘱中精麻类处方按天打印处方。</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具备集中打印功能，可对病历进行集中打印及导出。</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具备打印历史查看、打印机选择功能。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3.2.2.2.3</w:t>
      </w:r>
      <w:r>
        <w:rPr>
          <w:rFonts w:hint="eastAsia" w:ascii="仿宋" w:hAnsi="仿宋" w:eastAsia="仿宋" w:cs="仿宋"/>
          <w:color w:val="auto"/>
          <w:sz w:val="24"/>
          <w:szCs w:val="24"/>
          <w:highlight w:val="none"/>
        </w:rPr>
        <w:t>医嘱处置规则</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针对医嘱执行，需提供医嘱执行相关规则控制功能，可对医嘱属性、执行过程中执行范围、医嘱间联动等规则进行设置。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具备通用属性控制功能，包括患者基本信息：年龄、性别控制等。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具备处方规则控制功能，包括科室对应药品项目、职称对应药品项目、医师对应药品项目等。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具备重复医嘱规则校验功能，可自动校验重复医嘱。</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具备服务使用范围控制功能，包括按科室、职称，门诊/住院控制。</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具备单据属性规则控制功能，包括按科研、加急功能。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具备关联控制功能，满足诊断关联控制。</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具备医嘱联动规则控制功能，可设置医嘱联动规则，并进行相关控制。</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具备医嘱互斥规则控制功能，可设置医嘱互斥规则，并进行相关控制。</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具备替换规则设置功能，可设置临床路径、医嘱套餐中药品替换规则。</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3.2.2.2.4</w:t>
      </w:r>
      <w:r>
        <w:rPr>
          <w:rFonts w:hint="eastAsia" w:ascii="仿宋" w:hAnsi="仿宋" w:eastAsia="仿宋" w:cs="仿宋"/>
          <w:color w:val="auto"/>
          <w:sz w:val="24"/>
          <w:szCs w:val="24"/>
          <w:highlight w:val="none"/>
        </w:rPr>
        <w:t xml:space="preserve">住院术中医嘱管理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具备住院医生术中医嘱录入、打印功能。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具备手术患者列表查询功能，主刀医生通过术中患者列表定位到手术患者，对其进行医嘱操作。</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具备查询时间段内不同状态手术患者功能，且对已完成手术病人控制能否录入术中医嘱。</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具备术中医嘱开立，不需要护士审核执行控制功能。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3.2.2.3</w:t>
      </w:r>
      <w:r>
        <w:rPr>
          <w:rFonts w:hint="eastAsia" w:ascii="仿宋" w:hAnsi="仿宋" w:eastAsia="仿宋" w:cs="仿宋"/>
          <w:color w:val="auto"/>
          <w:highlight w:val="none"/>
        </w:rPr>
        <w:t xml:space="preserve">住院辅检管理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3.2.2.3.1</w:t>
      </w:r>
      <w:r>
        <w:rPr>
          <w:rFonts w:hint="eastAsia" w:ascii="仿宋" w:hAnsi="仿宋" w:eastAsia="仿宋" w:cs="仿宋"/>
          <w:color w:val="auto"/>
          <w:sz w:val="24"/>
          <w:szCs w:val="24"/>
          <w:highlight w:val="none"/>
        </w:rPr>
        <w:t>住院检验电子申请单</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需提供住院检验项目电子申请单相关功能，至少包括申请单的开立、打印等。可对检验项目进行维护及自定义配置，电子申请单开立时可进行基础规则校验控制，检验电子申请单数据支持与电子病历文书互通。</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验申请单类型管理功能，包括：包括临检血液检查、生化常规检测、出凝血检测、临床微生物检测、病原体核酸检测、基因（多态性/突变）检测、尿液相关检测、粪便相关检测、体液相关检测、性病相关检测、女性激素检测、凝血项测定Ⅰ（DIC全套）、肝功能Ⅰ（13项）、肾功Ⅰ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具备检验申请单开立样式及打印模板自定义配置功能。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具备检验申请单录入诊断、临床摘要、注意事项等信息功能。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具备检验项目维护功能。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具备申请单打印功能，打印模板可自定义设置。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具备申请单基础规则校验控制功能，包括院区、应用场景、开单科室、开单医生、开单职称、性别、年龄等规则。</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具备检验申请单中数据与病历文书互通功能。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3.2.2.3.2</w:t>
      </w:r>
      <w:r>
        <w:rPr>
          <w:rFonts w:hint="eastAsia" w:ascii="仿宋" w:hAnsi="仿宋" w:eastAsia="仿宋" w:cs="仿宋"/>
          <w:color w:val="auto"/>
          <w:sz w:val="24"/>
          <w:szCs w:val="24"/>
          <w:highlight w:val="none"/>
        </w:rPr>
        <w:t>住院检查电子申请单</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需提供住院检查项目电子申请单相关功能，包括申请单的开立、打印等。可对检查项目进行维护及自定义配置，电子申请单开立时可进行相应规则校验控制，检查电子单数据支持与电子病历文书互通。</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具备检查类型管理功能，包括：医学影像、超声检查、心电图检查、内镜检查等。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具备检查申请单开立样式自定义配置功能。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具备检查申请单加急、床旁、影像号、检查部位、临床摘要、其他检查结果、检查目的等信息录入功能。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具备申请单基础规则校验控制功能，包括院区、应用场景、开单科室、开单医生、开单职称、性别、年龄等。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具备申请单打折规则校验控制功能。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具备申请单打印功能，打印模板支持自定义设置。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具备检索界面搜索检查项目，填写检查申请单功能。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具备检查申请单中数据与病历文书互通功能。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3.2.2.3.3</w:t>
      </w:r>
      <w:r>
        <w:rPr>
          <w:rFonts w:hint="eastAsia" w:ascii="仿宋" w:hAnsi="仿宋" w:eastAsia="仿宋" w:cs="仿宋"/>
          <w:color w:val="auto"/>
          <w:sz w:val="24"/>
          <w:szCs w:val="24"/>
          <w:highlight w:val="none"/>
        </w:rPr>
        <w:t>住院检验报告调阅</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支持与医技系统对接，实现住院检验报告调阅功能，包括住院检验报告、历史住院检验报告、门诊检验报告等。</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具备检验报告打印功能。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3.2.2.3.4</w:t>
      </w:r>
      <w:r>
        <w:rPr>
          <w:rFonts w:hint="eastAsia" w:ascii="仿宋" w:hAnsi="仿宋" w:eastAsia="仿宋" w:cs="仿宋"/>
          <w:color w:val="auto"/>
          <w:sz w:val="24"/>
          <w:szCs w:val="24"/>
          <w:highlight w:val="none"/>
        </w:rPr>
        <w:t>住院检查报告调阅</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支持与医技系统对接，实现住院检查报告调阅功能，包括住院检查报告、历史住院检查报告、门诊检查报告等。</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具备检查报告打印功能。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3.2.2.3.5</w:t>
      </w:r>
      <w:r>
        <w:rPr>
          <w:rFonts w:hint="eastAsia" w:ascii="仿宋" w:hAnsi="仿宋" w:eastAsia="仿宋" w:cs="仿宋"/>
          <w:color w:val="auto"/>
          <w:sz w:val="24"/>
          <w:szCs w:val="24"/>
          <w:highlight w:val="none"/>
        </w:rPr>
        <w:t>检验指标趋势查看</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支持与医技系统对接，获取医技系统检验指标，实现检验报告趋势分析功能，包括检验指标参考值对比，历次检验指标趋势分析等。基于趋势分析，实现检验指标综合解读。</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3.2.2.4</w:t>
      </w:r>
      <w:r>
        <w:rPr>
          <w:rFonts w:hint="eastAsia" w:ascii="仿宋" w:hAnsi="仿宋" w:eastAsia="仿宋" w:cs="仿宋"/>
          <w:color w:val="auto"/>
          <w:highlight w:val="none"/>
        </w:rPr>
        <w:t xml:space="preserve">住院电子病历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3.2.2.4.1</w:t>
      </w:r>
      <w:r>
        <w:rPr>
          <w:rFonts w:hint="eastAsia" w:ascii="仿宋" w:hAnsi="仿宋" w:eastAsia="仿宋" w:cs="仿宋"/>
          <w:color w:val="auto"/>
          <w:sz w:val="24"/>
          <w:szCs w:val="24"/>
          <w:highlight w:val="none"/>
        </w:rPr>
        <w:t>病历编辑</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提供电子病历结构化录入功能，可满足病历文书录入、编辑、打印等操作需求。支持数据自动采集，并可围绕病历书写工作进行相关任务提醒。</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病历任务单</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具备根据入区登记、转科、死亡、手术医嘱自动生成病历文书的书写任务功能。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具备书写任务提示功能，可通过医嘱、患者入出转等任务提醒医生完成待书写的病历文书。</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具备医嘱数据自动带入病历功能，可将手术医嘱信息自动带入到手术病历中。</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结构化录入</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具备病历内容自动采集功能，病历文书创建完成后，患者在门诊的病史信息和诊断信息，以及住院的病史信息、处置信息和诊断信息会自动同步到病历文书中。</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具备病历结构化录入功能，包括以结构化的方式实现病历文书的信息自由录入、编辑，同一患者不同病历之间的数据同步等。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具备患者基本信息和诊疗数据全院互通和共享功能。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具备医学公式的插入功能，包含体表面积、血浆渗透压、腰臀比、血小板CCI、卡铂值、孕周计算、体脂率、体重指数、眼压换算等计算公式和计算结果的引用。</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具备特殊符号的插入功能，支持自定义配置特殊字符，预设置数字序号、单位、标点符号、胃癌TNM分期、肺癌的临床分期、数字、阿拉伯数字等。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具备医学常用图片的插入功能，并支持对图片进行标注，包含头部图、颈部图、胸部图、腹部图、面部图、上肢图、背部图、臀部图、下肢图等。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具备个人模板管理功能，可以将当前病历另存为个人模板。</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具备辅助编辑功能，包含复制、追加复制、剪切、粘贴、撤销、还原等。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具备个性化编辑功能，包含表格插入、字体设置、段落设置、文字颜色设置等。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具备录入文书模式选择功能，至少包括：预览模式、编辑模式、痕迹模式。</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具备插入批注的功能，进入批注模式后可对病历内容进行批注。</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具备录入文书打印功能，包括病历文书的打印和病程的连续打印、续打、单页打印等功能，并可控制文书的打印次数。</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具备住院病历查询统计分析功能，包括按照患者基本信息（患者姓名、住院号、入出院时间、医保类型、危重级别、诊断信息、病历文书类型等）进行科室、全院病历查询。</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3.2.2.4.2</w:t>
      </w:r>
      <w:r>
        <w:rPr>
          <w:rFonts w:hint="eastAsia" w:ascii="仿宋" w:hAnsi="仿宋" w:eastAsia="仿宋" w:cs="仿宋"/>
          <w:color w:val="auto"/>
          <w:sz w:val="24"/>
          <w:szCs w:val="24"/>
          <w:highlight w:val="none"/>
        </w:rPr>
        <w:t>住院病历授权管理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具备病历文书阅改审签功能，包括三级阅改审签和痕迹管理。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具备病历审签流程设置功能，包括病历文书的三级审签流程、二级审签流程、上级审签流程、指定医生的审签流程。</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具备可按权限查看相关审签记录功能。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具备病历管理功能，包括病历的临时授权，书写权限控制。具备自动归档、手动归档，以及撤销归档申请和审批功能。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3.2.2.4.3</w:t>
      </w:r>
      <w:r>
        <w:rPr>
          <w:rFonts w:hint="eastAsia" w:ascii="仿宋" w:hAnsi="仿宋" w:eastAsia="仿宋" w:cs="仿宋"/>
          <w:color w:val="auto"/>
          <w:sz w:val="24"/>
          <w:szCs w:val="24"/>
          <w:highlight w:val="none"/>
        </w:rPr>
        <w:t>住院病历模板管理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具备病历模板管理功能，提供全院病历书写标准模板，支持全院病历模板的版本管理，并可恢复至某一指定版本。</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具备病历模板使用范围设置功能，包括个人、科室、全院、知情同意书等多个病历模板。</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具备病历模板引用功能，可将全院、科室、个人的病历模板进行引用。</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具备病历模板维护功能，支持依据医院需求对病历模板进行修改和病历模板的批量修改。</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3.2.2.4.4</w:t>
      </w:r>
      <w:r>
        <w:rPr>
          <w:rFonts w:hint="eastAsia" w:ascii="仿宋" w:hAnsi="仿宋" w:eastAsia="仿宋" w:cs="仿宋"/>
          <w:color w:val="auto"/>
          <w:sz w:val="24"/>
          <w:szCs w:val="24"/>
          <w:highlight w:val="none"/>
        </w:rPr>
        <w:t>住院病历书写助手</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需提供结构化病历书写功能，包括门诊、住院病历引用，医嘱、护理、检查、检验一体化引用。</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书写助手</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具备既往病历查询和导入功能，包含本次诊疗已提交的病历以及患者之前在住院和门诊就诊时的病历。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具备辅助检查报告的查询和导入功能，包含检查报告、检验报告等。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具备护理数据的查询和导入功能，包含入院评估单、体温单、移动护理等。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具备医生开立医嘱的查询和导入功能，可以自定义导入内容和样式。</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具备患者过敏信息的自动同步和查询导入功能。</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短语收藏</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具备短语收藏功能，支持短语收藏、共享、审核、引用操作，可实现常用的病历内容、段落等收藏使用。</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智能标签</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具备定义不同的诊疗术语并进行快速搜索功能。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具备基于标签快速查看患者相关历次的诊疗信息，并可一键插入病历功能。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具备通过输入关键词，模糊检索过滤标签名称，按关键字搜索常用的诊疗数据辅助快速录入。</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具备记录医生对标签的使用频率，自动进行常用标签优先排序功能。</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智能鉴别诊断</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具备根据患者初步诊断，自动推荐鉴别诊断及对应的知识内容。医生选择鉴别诊断后，自动写入病历。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3.2.2.4.5</w:t>
      </w:r>
      <w:r>
        <w:rPr>
          <w:rFonts w:hint="eastAsia" w:ascii="仿宋" w:hAnsi="仿宋" w:eastAsia="仿宋" w:cs="仿宋"/>
          <w:color w:val="auto"/>
          <w:sz w:val="24"/>
          <w:szCs w:val="24"/>
          <w:highlight w:val="none"/>
        </w:rPr>
        <w:t xml:space="preserve">住院病案首页录入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需提供符合国家要求的病案首页，并可自动获取患者信息、临床信息。对于必填字段、关联性数据进行校验。需提供符合HQMS、绩效考核质控规则要求的质控规则校验病案首页数据。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具备病案首页录入功能，包括标准病案首页和附页录入，自动采集诊疗数据、实时质控。</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具备病案首页模板管理功能，可管理符合国家要求的病案首页模板。</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具备病案首页自动获取患者基本信息、临床信息功能。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具备病案首页所见即所得打印功能。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具备病案首页必填项、关联性数据校验功能。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具备病案首页数据校验功能，可按照HQMS、绩效考核、质控规则要求校验病案首页数据。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具备病案规则设置功能，可控制到指定科室。</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支持通过病案系统接口，实现病案首页数据推送。</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3.2.2.4.6</w:t>
      </w:r>
      <w:r>
        <w:rPr>
          <w:rFonts w:hint="eastAsia" w:ascii="仿宋" w:hAnsi="仿宋" w:eastAsia="仿宋" w:cs="仿宋"/>
          <w:color w:val="auto"/>
          <w:sz w:val="24"/>
          <w:szCs w:val="24"/>
          <w:highlight w:val="none"/>
        </w:rPr>
        <w:t xml:space="preserve">住院病历查询统计分析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具备根据病历内容的关键词进行查询功能。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具备根据病历内容的段落或元素节点的内容进行查询功能。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3.2.2.5</w:t>
      </w:r>
      <w:r>
        <w:rPr>
          <w:rFonts w:hint="eastAsia" w:ascii="仿宋" w:hAnsi="仿宋" w:eastAsia="仿宋" w:cs="仿宋"/>
          <w:color w:val="auto"/>
          <w:highlight w:val="none"/>
        </w:rPr>
        <w:t xml:space="preserve">住院医生危急值应用 </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支持对接医技系统，实现危急值的智能提醒、处置与反馈功能。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3.2.2.5.1</w:t>
      </w:r>
      <w:r>
        <w:rPr>
          <w:rFonts w:hint="eastAsia" w:ascii="仿宋" w:hAnsi="仿宋" w:eastAsia="仿宋" w:cs="仿宋"/>
          <w:color w:val="auto"/>
          <w:sz w:val="24"/>
          <w:szCs w:val="24"/>
          <w:highlight w:val="none"/>
        </w:rPr>
        <w:t xml:space="preserve">危急值预警提醒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支持与医技系统对接，接收医技系统发送的危急值信息，并进行预警提醒。</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具备危急值不处理时，不间断进行消息提醒干预功能（直至处理完毕才可解除消息提示）。</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具备在消息中心处理危急值功能。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3.2.2.5.2</w:t>
      </w:r>
      <w:r>
        <w:rPr>
          <w:rFonts w:hint="eastAsia" w:ascii="仿宋" w:hAnsi="仿宋" w:eastAsia="仿宋" w:cs="仿宋"/>
          <w:color w:val="auto"/>
          <w:sz w:val="24"/>
          <w:szCs w:val="24"/>
          <w:highlight w:val="none"/>
        </w:rPr>
        <w:t>消息处理结果</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具备危急值方案维护功能，支持医生采用危急值方案进行处理，可查看消息处理结果。</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具备危急值处理所使用的医嘱，建立与危急值关联功能。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具备危急值医嘱方案病历插入功能。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3.2.2.5.3</w:t>
      </w:r>
      <w:r>
        <w:rPr>
          <w:rFonts w:hint="eastAsia" w:ascii="仿宋" w:hAnsi="仿宋" w:eastAsia="仿宋" w:cs="仿宋"/>
          <w:color w:val="auto"/>
          <w:sz w:val="24"/>
          <w:szCs w:val="24"/>
          <w:highlight w:val="none"/>
        </w:rPr>
        <w:t>消息处理意见反馈</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具备根据危急值处理情况，自动生成危急值病程的记录功能。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支持与医技系统对接，实现将危急值接收、处理信息返回医技科室功能。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3.2.2.5.4</w:t>
      </w:r>
      <w:r>
        <w:rPr>
          <w:rFonts w:hint="eastAsia" w:ascii="仿宋" w:hAnsi="仿宋" w:eastAsia="仿宋" w:cs="仿宋"/>
          <w:color w:val="auto"/>
          <w:sz w:val="24"/>
          <w:szCs w:val="24"/>
          <w:highlight w:val="none"/>
        </w:rPr>
        <w:t>消息时限监控</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具备危急值查询功能，实时查询危急值内容信息和处理进展。</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具备消息时限监控功能，可设置消息级别、配置时限、监控策略，进行消息时限监控管理，及时提醒医生查看危急值消息。</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3.2.2.6</w:t>
      </w:r>
      <w:r>
        <w:rPr>
          <w:rFonts w:hint="eastAsia" w:ascii="仿宋" w:hAnsi="仿宋" w:eastAsia="仿宋" w:cs="仿宋"/>
          <w:color w:val="auto"/>
          <w:highlight w:val="none"/>
        </w:rPr>
        <w:t xml:space="preserve">住院院内会诊管理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3.2.2.6.1</w:t>
      </w:r>
      <w:r>
        <w:rPr>
          <w:rFonts w:hint="eastAsia" w:ascii="仿宋" w:hAnsi="仿宋" w:eastAsia="仿宋" w:cs="仿宋"/>
          <w:color w:val="auto"/>
          <w:sz w:val="24"/>
          <w:szCs w:val="24"/>
          <w:highlight w:val="none"/>
        </w:rPr>
        <w:t>住院院内会诊管理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提供院内会诊管理功能，满足会诊过程中申请、接受、指派、答复、反馈、评价、审核、进度查看等使用需求。</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具备会诊申请功能，可一键发起会诊，包括院外会诊、科间会诊、多学科联合会诊。</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具备会诊申请时间录入会诊信息功能，包括：会诊类型、会诊级别、会诊时间、被邀科室、被邀医生、会诊病情概要及会诊目的等。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具备发起会诊申请后，自动生成会诊记录单、会诊医嘱功能。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具备发起会诊申请后，自动生成参与会诊医生的待办会诊任务功能，会诊记录单会同步到住院病历中。</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具备会诊接收功能，包括会诊接收，进行会诊邀约的答复反馈。</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具备会诊指派功能，可指派本科室的其他医生参加会诊。</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具备会诊答复功能，不同医生可同时在线完成答复，答复完成，自动触发会诊计费功能。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具备会诊反馈和评价功能，包括申请科室的医生和接收会诊的医生的互评功能。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具备会诊审核功能，可发起多学科联合会诊，支持业务科主任的确认和医务处的审核调度，调度完成后，被邀请的会诊医生可查看会诊单。</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具备会诊进度查看功能，可查看会诊的进度，以及在不同节点的操作人和操作时间。</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具备会诊统计功能，包括会诊的数据回收和统计。</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3.2.2.6.2</w:t>
      </w:r>
      <w:r>
        <w:rPr>
          <w:rFonts w:hint="eastAsia" w:ascii="仿宋" w:hAnsi="仿宋" w:eastAsia="仿宋" w:cs="仿宋"/>
          <w:color w:val="auto"/>
          <w:sz w:val="24"/>
          <w:szCs w:val="24"/>
          <w:highlight w:val="none"/>
        </w:rPr>
        <w:t>住院院内会诊排班管理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具备会诊排班管理功能，包括依据当前会诊任务情况，自动生成会诊排班。</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具备排班任务记录的查看与提醒功能。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3.2.2.6.3</w:t>
      </w:r>
      <w:r>
        <w:rPr>
          <w:rFonts w:hint="eastAsia" w:ascii="仿宋" w:hAnsi="仿宋" w:eastAsia="仿宋" w:cs="仿宋"/>
          <w:color w:val="auto"/>
          <w:sz w:val="24"/>
          <w:szCs w:val="24"/>
          <w:highlight w:val="none"/>
        </w:rPr>
        <w:t>住院院内会诊监控</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具备会诊状态的实施监控和提醒功能，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具备会诊消息提醒同步到任务中心功能，及时提示医生处理会诊邀约。</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具备实时追踪会诊状态，查看会诊进度功能。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具备统计会诊评价和反馈结果，监控会诊质量功能。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3.2.2.7</w:t>
      </w:r>
      <w:r>
        <w:rPr>
          <w:rFonts w:hint="eastAsia" w:ascii="仿宋" w:hAnsi="仿宋" w:eastAsia="仿宋" w:cs="仿宋"/>
          <w:color w:val="auto"/>
          <w:highlight w:val="none"/>
        </w:rPr>
        <w:t xml:space="preserve">住院临床路径管理系统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3.2.2.7.1</w:t>
      </w:r>
      <w:r>
        <w:rPr>
          <w:rFonts w:hint="eastAsia" w:ascii="仿宋" w:hAnsi="仿宋" w:eastAsia="仿宋" w:cs="仿宋"/>
          <w:color w:val="auto"/>
          <w:sz w:val="24"/>
          <w:szCs w:val="24"/>
          <w:highlight w:val="none"/>
        </w:rPr>
        <w:t>临床路径配置</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系统需提供临床路径相应配置功能，可对临床路径所包含的各项信息及对应执行规则进行设置与维护。需针对路径变异、分支路径等情况，提供对应配置功能，满足临床诊疗时发生路径变异及分支路径的使用要求。</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临床路径配置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具备临床路径维护权限设置功能，通过权限控制医生允许维护的临床路径范围。</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具备可视化临床路径配置功能，包含临床路径基本信息、入径规则、疗程（含基本信息、重点医嘱、主要诊疗工作、主要护理工作）等信息。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具备根据临床路径标准配置疗程、疗程对应诊疗服务项目功能。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具备入径判断规则、管理规则、出径规则等路径规则管理功能。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具备临床路径医嘱包替换维护功能，通过路径疗程计划维护时进行绑定，实现计划中项目或药品与可替换包中项目进行替换不变异。</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具备路径变异原因维护功能，通过不同变异分类下原因维护，实现路径执行时变异原因按照分类显示调用。</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具备临床路径入径规则设置，支持根据入院诊断和手术名称绑定临床路径，支持下达诊断或者开立手术申请时联动临床路径的入径。</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具备临床路径疗程可视化展示配置结果功能，并可查看疗程对应的诊疗措施。</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变异路径规则配置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具备变异路径规则配置功能，可按需对路径变异规则和变异元素进行相应配置与维护。</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具备新增医嘱变异以及变异提示位置功能。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具备检验检查新增项目变异与否控制功能。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具备必选未执行变异功能。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具备变异豁免医嘱不变异功能。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具备医嘱超期变异及原因必填控制功能。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具备变异原因手工录入功能。</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具备路径变异控制功能，变异颗粒度可粗可细，如依据药品品种、药品通用名、药品商品、医嘱属性、医嘱剂量等来进行变异规则控制，可依据医院实际情况来指定变异规则。</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分支路径配置管理</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具备分支路径配置管理功能，可按需对分支路径规则进行相应配置与维护，包括分支路径条件、分支路径信息等，在设置临床路径疗程时，可将分支路径维护到疗程中。</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3.2.2.7.2</w:t>
      </w:r>
      <w:r>
        <w:rPr>
          <w:rFonts w:hint="eastAsia" w:ascii="仿宋" w:hAnsi="仿宋" w:eastAsia="仿宋" w:cs="仿宋"/>
          <w:color w:val="auto"/>
          <w:sz w:val="24"/>
          <w:szCs w:val="24"/>
          <w:highlight w:val="none"/>
        </w:rPr>
        <w:t>入出路径管理</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需提供入出路径管理功能，包括纳入路径、退出路径、路径变异等，满足病人临床路径管理需要。</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入径、出径</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具备医生手动纳入或按入径规则系统推荐纳入两种方式入经功能。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具备路径纳入条件设置功能，按入径诊断条件或手术操作自动触发。</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具备医生手动纳入路径功能，医生手动纳入路径时，可主观按病人诊断、病情判断纳入路径，入院主诊断可以修改。</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具备纳入路径评估功能。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具备查看待纳入路径对应的方案明细功能，包括路径流程图、疗程方案情况明细（重点医嘱、诊疗工作）。</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具备是否纳入路径操作功能，医生可以按照规则维护中纳入标准选项或不纳入标准选项，决定是否将病人纳入路径治疗。</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具备纳入路径后，系统自动检测疗程方案中是否包含入径前已完成项目功能。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具备临床路径退出功能，包括中途退出路径与路径完成两种方式。</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具备中途退出路径原因录入功能，因病情变化需要，中途可以退出路径，并填写退出路径原因。</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分支路径</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提供分支路径功能，可按病情变化需要，选择进入相关分支路径。分支路径的维护和使用与路径维护一致。临床操作中遇到分支路径的情况可以根据患者实际的临床需求选择是否进入分支路径，或者进入哪个分支路径。</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3.2.2.7.3</w:t>
      </w:r>
      <w:r>
        <w:rPr>
          <w:rFonts w:hint="eastAsia" w:ascii="仿宋" w:hAnsi="仿宋" w:eastAsia="仿宋" w:cs="仿宋"/>
          <w:color w:val="auto"/>
          <w:sz w:val="24"/>
          <w:szCs w:val="24"/>
          <w:highlight w:val="none"/>
        </w:rPr>
        <w:t>临床路径变异管理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具备临床路径变异提醒、变异原因跟踪功能，开立医嘱不符合临床路径时可进行相应提醒，并支持变异原因录入以及辨别归类。</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具备变异情况下钻查看功能，可对临床路径变异情况进行统一查看。</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具备查看疗程中每个阶段变异项目，填写变异原因。</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3.2.2.7.4</w:t>
      </w:r>
      <w:r>
        <w:rPr>
          <w:rFonts w:hint="eastAsia" w:ascii="仿宋" w:hAnsi="仿宋" w:eastAsia="仿宋" w:cs="仿宋"/>
          <w:color w:val="auto"/>
          <w:sz w:val="24"/>
          <w:szCs w:val="24"/>
          <w:highlight w:val="none"/>
        </w:rPr>
        <w:t>临床路径评估管理</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具备临床路径评估管理功能，可支持入径评估展示、填写疗程评估单、分支路径评估、完成路径评估。</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3.2.2.7.5</w:t>
      </w:r>
      <w:r>
        <w:rPr>
          <w:rFonts w:hint="eastAsia" w:ascii="仿宋" w:hAnsi="仿宋" w:eastAsia="仿宋" w:cs="仿宋"/>
          <w:color w:val="auto"/>
          <w:sz w:val="24"/>
          <w:szCs w:val="24"/>
          <w:highlight w:val="none"/>
        </w:rPr>
        <w:t>临床路径统计查询</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提供路径统计查询相关功能，包括路径执行监测、路径变异等数据统计查询，可实时查看路径执行情况，进行监管，并支持生成对应的数据指标统计报表。</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具备路径执行监测功能，可实时监控管理临床路径在医院实行的情况，包括路径定义、路径执行情况。</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具备路径实时监管一览功能，包含路径名称、符合入径数、实际入径数、完成路径数、退出路径数及钻取查询明细信息。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具备路径病人日程一览功能，按病区查看在院/出院病人路径执行情况，并且允许临床路径表单打印。</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具备路径统计功能，提供标准化的路径统计结果。</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具备临床路径统计月报表功能，可按科室/按全院查询临床路径对应的总出院人数、符合例数、符合率、实际入径例数、入径率、完成例数、完成率、除外人数、退出例数、退出率、路径变异等数据统计查询。</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3.2.2.7.6</w:t>
      </w:r>
      <w:r>
        <w:rPr>
          <w:rFonts w:hint="eastAsia" w:ascii="仿宋" w:hAnsi="仿宋" w:eastAsia="仿宋" w:cs="仿宋"/>
          <w:color w:val="auto"/>
          <w:sz w:val="24"/>
          <w:szCs w:val="24"/>
          <w:highlight w:val="none"/>
        </w:rPr>
        <w:t>路径执行管理</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提供路径执行相关功能，可实现路径执行过程中的医嘱下达、药品库存提醒、变异处理提醒等。</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路径执行</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具备标签检索路径患者功能，针对路径病人，根据临床路径的标签可以检索进入路径的患者，医生优先从路径方案中下达医嘱。</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具备醒目区分必须执行和推荐执行的路径项目或药品，提供路径表单录入方式，通过勾选框可以实现将必做项或者推荐项医嘱批量下达功能。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具备路径药品、项目替代功能，在路径方案中药品库存不足或厂家停用时，依据规则设置医生可以选择可以替换药品或项目，下达后不变异处理。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具备文字医嘱录入功能，依据规则设置控制是否变异处理。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具备直接录入医嘱功能，依据规则自动校验是否为路径疗程方案中项目或药品，符合规则不变异处理。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具备路径方案中项目或药品下达时剂量、剂量单位、用法、频次有修改，控制是否变异处理功能。</w:t>
      </w:r>
    </w:p>
    <w:p>
      <w:pPr>
        <w:pStyle w:val="149"/>
        <w:widowControl/>
        <w:autoSpaceDE w:val="0"/>
        <w:spacing w:line="360" w:lineRule="auto"/>
        <w:ind w:left="0" w:right="0" w:firstLine="480"/>
        <w:rPr>
          <w:rStyle w:val="41"/>
          <w:rFonts w:hint="eastAsia" w:ascii="仿宋" w:hAnsi="仿宋" w:eastAsia="仿宋" w:cs="仿宋"/>
          <w:bCs w:val="0"/>
          <w:color w:val="auto"/>
          <w:highlight w:val="none"/>
        </w:rPr>
      </w:pPr>
      <w:r>
        <w:rPr>
          <w:rFonts w:hint="eastAsia" w:ascii="仿宋" w:hAnsi="仿宋" w:eastAsia="仿宋" w:cs="仿宋"/>
          <w:color w:val="auto"/>
          <w:highlight w:val="none"/>
        </w:rPr>
        <w:t>具备路径疗程执行情况一览功能，查看路径每个疗程执行信息，且可以按国家标准路径表单打印。</w:t>
      </w:r>
    </w:p>
    <w:p>
      <w:pPr>
        <w:pStyle w:val="149"/>
        <w:widowControl/>
        <w:autoSpaceDE w:val="0"/>
        <w:spacing w:line="360" w:lineRule="auto"/>
        <w:ind w:left="0" w:right="0" w:firstLine="482"/>
        <w:rPr>
          <w:rFonts w:hint="eastAsia" w:ascii="仿宋" w:hAnsi="仿宋" w:eastAsia="仿宋" w:cs="仿宋"/>
          <w:color w:val="auto"/>
          <w:highlight w:val="none"/>
        </w:rPr>
      </w:pPr>
      <w:r>
        <w:rPr>
          <w:rStyle w:val="41"/>
          <w:rFonts w:hint="eastAsia" w:ascii="仿宋" w:hAnsi="仿宋" w:eastAsia="仿宋" w:cs="仿宋"/>
          <w:bCs w:val="0"/>
          <w:color w:val="auto"/>
          <w:highlight w:val="none"/>
        </w:rPr>
        <w:t>智能无感执行</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具备智能无感执行功能，在临床路径执行过程中提供智能辅助与相关便捷操作设计，可查看诊疗文书与护理措施，路径内医嘱自动纳入诊疗路径。</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具备纳入路径功能，包括通过诊断推荐匹配模式和医师主动选择模式进行纳入路径操作。</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具备纳入路径界面路径显示控制功能，包括：路径列表显示、路径按科室全院过滤、路径按诊断过滤。</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具备纳入路径界面多种方式的快速查找功能，包括拼音、五笔、汉字。</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具备路径医嘱选择控制功能，包括：自动勾选必做医嘱、路径项目多选和单选、路径项目重复执行等。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计划界面显示控制功能，包括治疗目的显示与否、按照治疗目的或路径定义排序显示；停用项目显示、路径名称、疗程天数以及入院天数显示、可选必选项目显示以及按推荐必做分组显示；可显示治疗目的、成组标志、工作内容、药品剂量、剂量单位、用法、频次、开始时间、开始日期。</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具备药品单位控制功能，可选择药品默认单位以及默认药房控制。</w:t>
      </w:r>
    </w:p>
    <w:p>
      <w:pPr>
        <w:pStyle w:val="4"/>
        <w:numPr>
          <w:ilvl w:val="0"/>
          <w:numId w:val="0"/>
        </w:numPr>
        <w:tabs>
          <w:tab w:val="left" w:pos="720"/>
          <w:tab w:val="left" w:pos="1006"/>
        </w:tabs>
        <w:ind w:left="1006" w:leftChars="0" w:right="0" w:rightChars="0" w:hanging="864" w:firstLineChars="0"/>
        <w:rPr>
          <w:rFonts w:hint="eastAsia" w:ascii="仿宋" w:hAnsi="仿宋" w:eastAsia="仿宋" w:cs="仿宋"/>
          <w:color w:val="auto"/>
          <w:highlight w:val="none"/>
        </w:rPr>
      </w:pPr>
      <w:bookmarkStart w:id="342" w:name="_Toc31989"/>
      <w:bookmarkStart w:id="343" w:name="_Toc3116"/>
      <w:r>
        <w:rPr>
          <w:rFonts w:hint="eastAsia" w:ascii="仿宋" w:hAnsi="仿宋" w:eastAsia="仿宋" w:cs="仿宋"/>
          <w:b/>
          <w:bCs/>
          <w:color w:val="auto"/>
          <w:sz w:val="28"/>
          <w:szCs w:val="28"/>
          <w:highlight w:val="none"/>
          <w:lang w:val="en-US" w:eastAsia="zh-CN" w:bidi="hi-IN"/>
        </w:rPr>
        <w:t>3.2.3</w:t>
      </w:r>
      <w:r>
        <w:rPr>
          <w:rFonts w:hint="eastAsia" w:ascii="仿宋" w:hAnsi="仿宋" w:eastAsia="仿宋" w:cs="仿宋"/>
          <w:color w:val="auto"/>
          <w:highlight w:val="none"/>
        </w:rPr>
        <w:t xml:space="preserve"> 一体化住院护士</w:t>
      </w:r>
      <w:bookmarkEnd w:id="342"/>
      <w:bookmarkEnd w:id="343"/>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3.2.3.1</w:t>
      </w:r>
      <w:r>
        <w:rPr>
          <w:rFonts w:hint="eastAsia" w:ascii="仿宋" w:hAnsi="仿宋" w:eastAsia="仿宋" w:cs="仿宋"/>
          <w:color w:val="auto"/>
          <w:highlight w:val="none"/>
        </w:rPr>
        <w:t>任务中心</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具备患者医嘱提醒和处理功能，可查看医嘱变更（新开医嘱、停止医嘱、作废医嘱）消息，并进行医嘱处理。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具备日常事物快速处置功能，包括患者生日、文书评估提醒等处理。</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具备患者出入区处置功能，包括入区登记、转区转科、患者出区、转出退回。</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具备危急值任务提醒和处置功能，接收医技科室发送的危急值消息，完成危急值任务处置。</w:t>
      </w:r>
    </w:p>
    <w:p>
      <w:pPr>
        <w:pStyle w:val="149"/>
        <w:widowControl/>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具备用血相关处置功能，包括血库领血、输血执行、输血巡视。</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3.2.3.2</w:t>
      </w:r>
      <w:r>
        <w:rPr>
          <w:rFonts w:hint="eastAsia" w:ascii="仿宋" w:hAnsi="仿宋" w:eastAsia="仿宋" w:cs="仿宋"/>
          <w:color w:val="auto"/>
          <w:highlight w:val="none"/>
        </w:rPr>
        <w:t xml:space="preserve">住院患者入出转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需支持护士按照流程完成患者入区登记、转区转科治疗、出区出科、新生儿登记办理事务，并对患者相关信息进行补充完善，对患者住院期间的诊疗活动进行核对，办理转科转区时，需支持录入转运单情况；在接收患者转运时，需支持录入转运交接情况，打造患者流转闭环管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具备待入区患者查询功能。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具备一键入区和操作空床两种入区登记方式，对待入区患者进行入区操作功能。入区登记时，可同步完善患者的住院信息、健康状况、过敏信息、费用信息。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具备控制入区登记时关键信息必填功能，至少包括床位、责任护士、责任医生、主治医生等。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具备待出区患者一键出区功能，可对患者住院期间所有诊疗活动依次核对，包括：未退药项目、未发药查询、待处理医嘱、住院费用、出区信息等诊疗活动。</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具备待转科转区患者一键转区转科功能，可对患者住院期间所有诊疗活动依次核对，包括：未退药项目、未发药查询、待处理医嘱、住院费用、转区转科信息等诊疗活动。</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具备根据患者出区、转科、转区流程，通过点击“下一步”完成全程引导式操作功能。如果有未完成的待处理医嘱，点击“下一步”时，系统可进行弹框消息提醒。</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具备患者转运单录入功能，可录入转入科室、转入病房、接收科室、联系电话、接收人电话、到诊时间、患者体征信息、随送人员、转运方式、抢救设施等信息。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具备转运单交接情况录入功能，可录入到接收科室时间、体征信息、神志、输液情况、输液方式、输注药物、引流管、压疮、伤口敷料、抢救措施及用药等信息。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具备转运交接单打回、暂存、退回转区功能。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具备患者转运交接实时路径监控功能，以时间轴形式展示患者转运状态。</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具备转区转科撤销功能，撤销后可为患者重新分配床位。</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具备患者转科转区历史记录展示功能，可展示原科室、新科室、转科操作时间、转科时间、转科操作员等信息。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具备根据母亲关联添加新生儿，一键生成住院号，无需就诊卡自动创建床位卡功能。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具备新生儿登记后，数据自动同步文书功能。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提供母婴同床和母婴分床两种模式。</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具备母婴共同结算或母婴单独结算两种模式功能。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3.2.3.3</w:t>
      </w:r>
      <w:r>
        <w:rPr>
          <w:rFonts w:hint="eastAsia" w:ascii="仿宋" w:hAnsi="仿宋" w:eastAsia="仿宋" w:cs="仿宋"/>
          <w:color w:val="auto"/>
          <w:highlight w:val="none"/>
        </w:rPr>
        <w:t xml:space="preserve">住院床位管理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需支持护士在床位卡界面可快速定位患者，可自定义查询方案和标签化管理，需支持标签化筛选患者，多模式床位卡展示患者信息。对于护士日常床位管理工作，需支持对病区床位进行设置、给患者进行转床、包床退床、借床退床操作，满足住院床位管理需要。</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具备床位多种模式显示功能，包括：标准模式、简卡模式、列表模式，三种模式可任意切换。</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具备空床位显示功能。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具备床位卡显示项自定义设置功能。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具备床位卡快速检索功能，包括按照住院号、床位号、患者姓名（拼音码、五笔码）检索。</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具备自定义组合查询条件进行患者查询功能。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具备常用查询条件组合为快捷查询方案，实现一键查询功能。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具备根据业务场景和状态定义标签功能，并在床卡中显示，标签样式自定义设置。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具备通过标签筛选患者列表功能。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具备对不同危重级别的患者在床卡中区别显示功能。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具备多病区登录情况下，病区快速切换功能。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具备拖动床卡实现转床功能，可为患者快速实现床位调换。</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具备包床退床功能，可为特定患者提前预约特定床位，可进行包床操作，如不需要特定床位，可进行退床处理。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具备借床功能，在患者办理入区时，可借用其他病区床位为患者进行治疗。</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具备床位设置功能，可设置床位的所属科室、病区、责任护士、床位医生、床位费等内容。</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3.2.3.4</w:t>
      </w:r>
      <w:r>
        <w:rPr>
          <w:rFonts w:hint="eastAsia" w:ascii="仿宋" w:hAnsi="仿宋" w:eastAsia="仿宋" w:cs="仿宋"/>
          <w:color w:val="auto"/>
          <w:highlight w:val="none"/>
        </w:rPr>
        <w:t xml:space="preserve">住院患者费用处理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需支持查看患者预交金情况和住院一日清情况，对患者费用进行管理，如患者欠费查询、补费、退费、退药、记账等操作，遇特殊情况可编辑患者担保信息。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具备预交金查询功能，包括录入日期、操作员、金额、支付方式、操作类别、票据号、结算标志、押金总额、担保金额、费用汇总、可用余额等。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具备查询住院患者欠费功能，包括患者医疗保险信息、押金合计、担保金额、费用汇总、可用金额、控制线金额、催缴金额等信息。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具备单个患者查询历史退药申请记录功能，可查看每条退药申请单内药品明细数据、退药申请单流转药房及金额。</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具备医嘱执行点显示医嘱明细费用功能，并可根据执行点单独进行退费。</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具备单项目退费、批量退费功能。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具备患者补费功能，可开立治疗、护理、卫材、膳食、高值耗材等项目，进行补记账操作，可录入记账时间、开立病区、开立科室、开立医生等开立信息。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具备费用模板维护功能，可将已开立的项目另存为模板，模板可存为个人和业务单元使用，支持费用模板直接引用生成开立项目进行记账。</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具备患者记账明细查看功能，包括记账人、记账时间、数量、可退数量、单价、金额、结算状态等信息，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具备担保信息维护功能，可录入担保原因、担保金额、生效时间、担保人、证件、联系方式等信息。可支持作废操作，记录作废人、作废时间信息。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具备住院一日清查询功能，可按前天、昨天、今天及时间段进行查询。可显示患者床号、住院号、姓名、医疗保险、押金总额、担保金额、费用汇总、项目明细等信息。</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3.2.3.5</w:t>
      </w:r>
      <w:r>
        <w:rPr>
          <w:rFonts w:hint="eastAsia" w:ascii="仿宋" w:hAnsi="仿宋" w:eastAsia="仿宋" w:cs="仿宋"/>
          <w:color w:val="auto"/>
          <w:highlight w:val="none"/>
        </w:rPr>
        <w:t xml:space="preserve">护士站医嘱管理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需支持护士对医生开立的医嘱进行核对校验，可查看医嘱开立信息和执行单信息，支持多维度查看医嘱执行情况，可对医嘱进行执行申请和撤销操作，需支持配置医嘱打印模板打印医嘱相关单据，申请执行医嘱时，将医嘱信息发送到药房进行配药，可打印领药单据，对于药房配置的药品，需支持进行领药、退药、签收等操作。</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具备医嘱签收、申请执行、打回功能，打回支持录入打回原因。</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具备处置内容按规则自定义配置显示功能。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具备医嘱开立界面、执行单查看功能。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具备医嘱执行申请、撤销功能，包括医嘱长期执行，执行中暂停、恢复执行，暂停原因自定义配置，执行输液类医嘱可以进行耗材维护，可对医嘱执行科室进行调整。</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执行单查询功能，包括按医嘱执行状态过滤、按医嘱单据分类查询、自定义服务分类查询医嘱、按给药途径查询医嘱、按具体服务查询医嘱、按医嘱计划执行时间过滤医嘱、按列表/任务两种模式查询执行单。可查询医嘱状态、类型、开始时间、开立医生、处置内容、首末次执行、执行科室、嘱托、停止时间、核对时间、核对护士、申请日期等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具备查询医嘱单据打印功能，包括医嘱打印、打印模板预览、全量打印单据、指定页选择打印、多单据批量打印。</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具备执行单打印自定义设置功能。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具备患者过敏管理信息显示和编辑功能，可编辑患者过敏源、过敏物、过敏结果、过敏症状、过敏程度、确诊时间等信息，支持设置过敏规则联动，在开立医嘱的时候，医生无法开立过敏医嘱。</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患者皮试管理功能，可查看皮试药品名称、药品编码、药品规格、药品单位、药品批号、药品分类、皮试业务分类、皮试结束时间、皮试结果、皮试有效截止时间、执行护士、审核护士等信息，支持开始皮试、结束皮试、审核皮试、修改皮试操作，可设置各类皮试联动功能，支持对不同的皮试类型，设置不同的皮试有效期，皮试有效期自动更新。</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具备医嘱领药查询功能，包括按医嘱领药状态过滤、按医嘱药品分类查询、按医嘱/患者维度查询、按病区维度查询、按给药途径查询、按发药药房查询、按医嘱计划执行时间查询、累计药品用药领药查询。</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具备医嘱领药单查询、作废、重新领药功能。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具备医嘱领药单按申请时间段、药品类型、单据状态、病区/患者等查询条件过滤病区药品申请单功能。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具备对累计药品领药的明细日志及库存操作功能。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具备领药单据打印功能。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具备病区药品签收/撤销签收功能。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具备根据药房摆药单、患者、医嘱过滤药品签收信息。</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具备按患者、按医嘱、按顿数、按数量发起退药申请功能。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具备撤销退药申请功能。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具备领药单据打印、退药申请单打印功能。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具备病区向药房/药库领用公共/基数药品功能。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具备审核病区领用公共/基数药品功能。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3.2.3.6</w:t>
      </w:r>
      <w:r>
        <w:rPr>
          <w:rFonts w:hint="eastAsia" w:ascii="仿宋" w:hAnsi="仿宋" w:eastAsia="仿宋" w:cs="仿宋"/>
          <w:color w:val="auto"/>
          <w:highlight w:val="none"/>
        </w:rPr>
        <w:t xml:space="preserve">住院护士危急值预警提醒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具备住院护士危急值预警提醒与反馈功能，能记录具体接收的时间和操作员信息，支持危急值信息的汇总查询，并能按照单病人、单个发布医生和时间段查询相应的危急值信息。</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3.2.3.7</w:t>
      </w:r>
      <w:r>
        <w:rPr>
          <w:rFonts w:hint="eastAsia" w:ascii="仿宋" w:hAnsi="仿宋" w:eastAsia="仿宋" w:cs="仿宋"/>
          <w:color w:val="auto"/>
          <w:highlight w:val="none"/>
        </w:rPr>
        <w:t>病区结算</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支持病房护士办理入院登记、缴款、出院结算等相关入出院和结算业务。</w:t>
      </w:r>
    </w:p>
    <w:p>
      <w:pPr>
        <w:pStyle w:val="4"/>
        <w:numPr>
          <w:ilvl w:val="0"/>
          <w:numId w:val="0"/>
        </w:numPr>
        <w:tabs>
          <w:tab w:val="left" w:pos="720"/>
          <w:tab w:val="left" w:pos="1006"/>
        </w:tabs>
        <w:ind w:left="1006" w:leftChars="0" w:right="0" w:rightChars="0" w:hanging="864" w:firstLineChars="0"/>
        <w:rPr>
          <w:rFonts w:hint="eastAsia" w:ascii="仿宋" w:hAnsi="仿宋" w:eastAsia="仿宋" w:cs="仿宋"/>
          <w:color w:val="auto"/>
          <w:highlight w:val="none"/>
        </w:rPr>
      </w:pPr>
      <w:bookmarkStart w:id="344" w:name="_Toc25182"/>
      <w:bookmarkStart w:id="345" w:name="_Toc1570"/>
      <w:r>
        <w:rPr>
          <w:rFonts w:hint="eastAsia" w:ascii="仿宋" w:hAnsi="仿宋" w:eastAsia="仿宋" w:cs="仿宋"/>
          <w:b/>
          <w:bCs/>
          <w:color w:val="auto"/>
          <w:sz w:val="28"/>
          <w:szCs w:val="28"/>
          <w:highlight w:val="none"/>
          <w:lang w:val="en-US" w:eastAsia="zh-CN" w:bidi="hi-IN"/>
        </w:rPr>
        <w:t>3.2.4</w:t>
      </w:r>
      <w:r>
        <w:rPr>
          <w:rFonts w:hint="eastAsia" w:ascii="仿宋" w:hAnsi="仿宋" w:eastAsia="仿宋" w:cs="仿宋"/>
          <w:color w:val="auto"/>
          <w:highlight w:val="none"/>
        </w:rPr>
        <w:t xml:space="preserve"> 临床辅助决策（CDSS）</w:t>
      </w:r>
      <w:bookmarkEnd w:id="344"/>
      <w:bookmarkEnd w:id="345"/>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3.2.4.1</w:t>
      </w:r>
      <w:r>
        <w:rPr>
          <w:rFonts w:hint="eastAsia" w:ascii="仿宋" w:hAnsi="仿宋" w:eastAsia="仿宋" w:cs="仿宋"/>
          <w:color w:val="auto"/>
          <w:highlight w:val="none"/>
        </w:rPr>
        <w:t xml:space="preserve">临床决策支持知识库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一）临床知识来源应具有权威性，包括但不限于法律法规、部门规章、规范性文件，国家认可的药品说明书、医疗器械注册证、临床路径、临床诊疗指南、技术操作规范、标准、医学教材、专家共识、专著、文献等。</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（二）临床知识库应及时更新，更新周期一般不长于半年。知识库内容应有退出机制，对不适用的知识应及时删除或更新。</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（三）CDSS的使用应留存审计日志，可对使用情况进行溯源评价。</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3.2.4.2</w:t>
      </w:r>
      <w:r>
        <w:rPr>
          <w:rFonts w:hint="eastAsia" w:ascii="仿宋" w:hAnsi="仿宋" w:eastAsia="仿宋" w:cs="仿宋"/>
          <w:color w:val="auto"/>
          <w:highlight w:val="none"/>
        </w:rPr>
        <w:t xml:space="preserve">临床决策支持智慧应用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3.2.4.2.1</w:t>
      </w:r>
      <w:r>
        <w:rPr>
          <w:rFonts w:hint="eastAsia" w:ascii="仿宋" w:hAnsi="仿宋" w:eastAsia="仿宋" w:cs="仿宋"/>
          <w:color w:val="auto"/>
          <w:sz w:val="24"/>
          <w:szCs w:val="24"/>
          <w:highlight w:val="none"/>
        </w:rPr>
        <w:t xml:space="preserve">临床知识查询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具备医学静态知识的检索与调阅功能。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具备查看医学静态知识功能，包括：疾病、症状、药品、检验、检查、手术、治疗、护理、用血、膳食。</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3.2.4.2.2</w:t>
      </w:r>
      <w:r>
        <w:rPr>
          <w:rFonts w:hint="eastAsia" w:ascii="仿宋" w:hAnsi="仿宋" w:eastAsia="仿宋" w:cs="仿宋"/>
          <w:color w:val="auto"/>
          <w:sz w:val="24"/>
          <w:szCs w:val="24"/>
          <w:highlight w:val="none"/>
        </w:rPr>
        <w:t xml:space="preserve">智能医嘱提醒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知识提示：支持与临床系统对接，医师开立药品、检查、检验、手术项目信息时，给予关键信息提示。</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药品合理性校验：支持基于系统药品-诊断合理性、药品相互作用等知识体系，结合现有合理用药系统，提供相应的临床用药辅助决策。</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手术辅助决策：支持基于系统手术禁忌等相关知识体系，辅助临床加强对患者围手术期的管理。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检查检验辅助决策：支持基于系统检查检验禁忌等相关知识体系，对医生开立的检查检验申请单的合理性、指标等进行判断或提示，规范临床检查检验的流程。</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用血辅助决策：支持基于系统临床用血相关知识体系，对临床输血申请进行合理性判断及提示，确保临床输血业务的规范及安全。</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提供综合分析检查检验报告，并形成有依据有结论的解读报告。</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3.2.4.2.3</w:t>
      </w:r>
      <w:r>
        <w:rPr>
          <w:rFonts w:hint="eastAsia" w:ascii="仿宋" w:hAnsi="仿宋" w:eastAsia="仿宋" w:cs="仿宋"/>
          <w:color w:val="auto"/>
          <w:sz w:val="24"/>
          <w:szCs w:val="24"/>
          <w:highlight w:val="none"/>
        </w:rPr>
        <w:t xml:space="preserve">智能诊疗推荐 </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支持与临床系统对接，临床医生书写病历内容的变化时，系统自动提取患者病历信息，结合患者其他诊疗数据，通过推荐引擎，为临床医生提供实时动态提示、辅助诊断服务。包括：将推荐的诊断\检查检验项目引用至业务系统、推荐疑似诊断、推荐鉴别诊断及展示鉴别诊断依据、推荐诊断相关检查检验、推荐诊断相关用药及治疗方案、推荐评估表等。</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3.2.4.2.4</w:t>
      </w:r>
      <w:r>
        <w:rPr>
          <w:rFonts w:hint="eastAsia" w:ascii="仿宋" w:hAnsi="仿宋" w:eastAsia="仿宋" w:cs="仿宋"/>
          <w:color w:val="auto"/>
          <w:sz w:val="24"/>
          <w:szCs w:val="24"/>
          <w:highlight w:val="none"/>
        </w:rPr>
        <w:t xml:space="preserve">相似病例推荐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支持基于历史患者诊疗数据，推荐相似病例，同时给出相似依据，通过查看相似病例患者诊疗流程，为医生提供诊断、治疗的佐证及可参考病例。</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3.2.4.3</w:t>
      </w:r>
      <w:r>
        <w:rPr>
          <w:rFonts w:hint="eastAsia" w:ascii="仿宋" w:hAnsi="仿宋" w:eastAsia="仿宋" w:cs="仿宋"/>
          <w:color w:val="auto"/>
          <w:highlight w:val="none"/>
        </w:rPr>
        <w:t xml:space="preserve">临床决策支持管理平台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3.2.4.3.1</w:t>
      </w:r>
      <w:r>
        <w:rPr>
          <w:rFonts w:hint="eastAsia" w:ascii="仿宋" w:hAnsi="仿宋" w:eastAsia="仿宋" w:cs="仿宋"/>
          <w:color w:val="auto"/>
          <w:sz w:val="24"/>
          <w:szCs w:val="24"/>
          <w:highlight w:val="none"/>
        </w:rPr>
        <w:t>规则解释引擎</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具备将可规则化的临床知识转换成可用规则功能。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具备依据病人临床数据，基于内存计算，引擎快速、高效的自动匹配出当前最合适的结果功能。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具备将计算机运算后的动态规则结果转化为临床能够理解的医学专业表达方式功能。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3.2.4.3.2</w:t>
      </w:r>
      <w:r>
        <w:rPr>
          <w:rFonts w:hint="eastAsia" w:ascii="仿宋" w:hAnsi="仿宋" w:eastAsia="仿宋" w:cs="仿宋"/>
          <w:color w:val="auto"/>
          <w:sz w:val="24"/>
          <w:szCs w:val="24"/>
          <w:highlight w:val="none"/>
        </w:rPr>
        <w:t>算法推荐引擎</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具备基于NLP自然语言处理技术进行实体识别、特征提取功能。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具备基于知识图谱进行诊疗辅助内容推荐功能。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3.2.4.3.3</w:t>
      </w:r>
      <w:r>
        <w:rPr>
          <w:rFonts w:hint="eastAsia" w:ascii="仿宋" w:hAnsi="仿宋" w:eastAsia="仿宋" w:cs="仿宋"/>
          <w:color w:val="auto"/>
          <w:sz w:val="24"/>
          <w:szCs w:val="24"/>
          <w:highlight w:val="none"/>
        </w:rPr>
        <w:t>路由管理</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具备通过路由引擎针对药品、检查、检验、手术、输血等不同的知识体系分配相应的辅助诊疗策略功能。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3.2.4.3.4</w:t>
      </w:r>
      <w:r>
        <w:rPr>
          <w:rFonts w:hint="eastAsia" w:ascii="仿宋" w:hAnsi="仿宋" w:eastAsia="仿宋" w:cs="仿宋"/>
          <w:color w:val="auto"/>
          <w:sz w:val="24"/>
          <w:szCs w:val="24"/>
          <w:highlight w:val="none"/>
        </w:rPr>
        <w:t>本体元建模管理</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具备根据病历书写、医嘱开立等临床场景建立相应的本体元功能。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具备根据检验检查合理性校验、报告解读等具体的业务需要创建相应的临床业务模型功能。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具备根据医院或临床科室的需要快捷构建满足业务需要的临床规则库功能。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具备对本体元属性的创建、本体元属性映射功能，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具备系统字典查询、更新、映射等管理功能。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3.2.4.3.5</w:t>
      </w:r>
      <w:r>
        <w:rPr>
          <w:rFonts w:hint="eastAsia" w:ascii="仿宋" w:hAnsi="仿宋" w:eastAsia="仿宋" w:cs="仿宋"/>
          <w:color w:val="auto"/>
          <w:sz w:val="24"/>
          <w:szCs w:val="24"/>
          <w:highlight w:val="none"/>
        </w:rPr>
        <w:t xml:space="preserve">自定义静态知识管理 </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 xml:space="preserve">提供自定义静态医学知识维护管理功能，用户自定义维护静态医学知识、知识文档文献、医疗法律法规等内容。 </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3.2.4.3.6</w:t>
      </w:r>
      <w:r>
        <w:rPr>
          <w:rFonts w:hint="eastAsia" w:ascii="仿宋" w:hAnsi="仿宋" w:eastAsia="仿宋" w:cs="仿宋"/>
          <w:color w:val="auto"/>
          <w:sz w:val="24"/>
          <w:szCs w:val="24"/>
          <w:highlight w:val="none"/>
        </w:rPr>
        <w:t xml:space="preserve">知识审批与发布管理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具备审批角色权限维护功能。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具备发布角色权限维护功能。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知识库应定期更新，且数据源具备权威性；</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具备自定义知识审批、发布管理功能。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具备自定义知识启用、停用管理功能。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3.2.4.3.7</w:t>
      </w:r>
      <w:r>
        <w:rPr>
          <w:rFonts w:hint="eastAsia" w:ascii="仿宋" w:hAnsi="仿宋" w:eastAsia="仿宋" w:cs="仿宋"/>
          <w:color w:val="auto"/>
          <w:sz w:val="24"/>
          <w:szCs w:val="24"/>
          <w:highlight w:val="none"/>
        </w:rPr>
        <w:t xml:space="preserve">图形化规则编辑及管理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具备用户通过图形化规则编辑管理器生成质控规则功能。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具备自定义添加质控规则功能。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具备质控规则编辑、删除、启用、导入、导出功能。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lang w:eastAsia="zh-CN"/>
        </w:rPr>
      </w:pPr>
      <w:r>
        <w:rPr>
          <w:rFonts w:hint="eastAsia" w:ascii="仿宋" w:hAnsi="仿宋" w:eastAsia="仿宋" w:cs="仿宋"/>
          <w:b/>
          <w:bCs/>
          <w:color w:val="auto"/>
          <w:sz w:val="24"/>
          <w:szCs w:val="20"/>
          <w:highlight w:val="none"/>
          <w:lang w:val="en-US" w:eastAsia="zh-CN" w:bidi="hi-IN"/>
        </w:rPr>
        <w:t>3.2.4.4</w:t>
      </w:r>
      <w:r>
        <w:rPr>
          <w:rFonts w:hint="eastAsia" w:ascii="仿宋" w:hAnsi="仿宋" w:eastAsia="仿宋" w:cs="仿宋"/>
          <w:color w:val="auto"/>
          <w:highlight w:val="none"/>
        </w:rPr>
        <w:t xml:space="preserve">大数据决策分析 </w:t>
      </w:r>
    </w:p>
    <w:p>
      <w:pPr>
        <w:pStyle w:val="149"/>
        <w:widowControl/>
        <w:autoSpaceDE w:val="0"/>
        <w:spacing w:line="360" w:lineRule="auto"/>
        <w:ind w:left="0" w:right="0"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支持</w:t>
      </w:r>
      <w:r>
        <w:rPr>
          <w:rFonts w:hint="eastAsia" w:ascii="仿宋" w:hAnsi="仿宋" w:eastAsia="仿宋" w:cs="仿宋"/>
          <w:color w:val="auto"/>
          <w:highlight w:val="none"/>
        </w:rPr>
        <w:t>慢性阻塞性肺疾病预警、心衰预警</w:t>
      </w:r>
      <w:r>
        <w:rPr>
          <w:rFonts w:hint="eastAsia" w:ascii="仿宋" w:hAnsi="仿宋" w:eastAsia="仿宋" w:cs="仿宋"/>
          <w:color w:val="auto"/>
          <w:highlight w:val="none"/>
          <w:lang w:eastAsia="zh-CN"/>
        </w:rPr>
        <w:t>等</w:t>
      </w:r>
      <w:r>
        <w:rPr>
          <w:rFonts w:hint="eastAsia" w:ascii="仿宋" w:hAnsi="仿宋" w:eastAsia="仿宋" w:cs="仿宋"/>
          <w:color w:val="auto"/>
          <w:highlight w:val="none"/>
        </w:rPr>
        <w:t>。</w:t>
      </w:r>
    </w:p>
    <w:p>
      <w:pPr>
        <w:pStyle w:val="4"/>
        <w:numPr>
          <w:ilvl w:val="0"/>
          <w:numId w:val="0"/>
        </w:numPr>
        <w:tabs>
          <w:tab w:val="left" w:pos="720"/>
          <w:tab w:val="left" w:pos="1006"/>
        </w:tabs>
        <w:ind w:left="1006" w:leftChars="0" w:right="0" w:rightChars="0" w:hanging="864" w:firstLineChars="0"/>
        <w:rPr>
          <w:rFonts w:hint="eastAsia" w:ascii="仿宋" w:hAnsi="仿宋" w:eastAsia="仿宋" w:cs="仿宋"/>
          <w:color w:val="auto"/>
          <w:highlight w:val="none"/>
        </w:rPr>
      </w:pPr>
      <w:bookmarkStart w:id="346" w:name="_Toc20174"/>
      <w:bookmarkStart w:id="347" w:name="_Toc31370"/>
      <w:r>
        <w:rPr>
          <w:rFonts w:hint="eastAsia" w:ascii="仿宋" w:hAnsi="仿宋" w:eastAsia="仿宋" w:cs="仿宋"/>
          <w:b/>
          <w:bCs/>
          <w:color w:val="auto"/>
          <w:sz w:val="28"/>
          <w:szCs w:val="28"/>
          <w:highlight w:val="none"/>
          <w:lang w:val="en-US" w:eastAsia="zh-CN" w:bidi="hi-IN"/>
        </w:rPr>
        <w:t>3.2.5</w:t>
      </w:r>
      <w:r>
        <w:rPr>
          <w:rFonts w:hint="eastAsia" w:ascii="仿宋" w:hAnsi="仿宋" w:eastAsia="仿宋" w:cs="仿宋"/>
          <w:color w:val="auto"/>
          <w:highlight w:val="none"/>
          <w:lang w:val="en-US" w:eastAsia="zh-CN"/>
        </w:rPr>
        <w:t xml:space="preserve"> 药事管理模块</w:t>
      </w:r>
      <w:bookmarkEnd w:id="346"/>
      <w:bookmarkEnd w:id="347"/>
    </w:p>
    <w:p>
      <w:pPr>
        <w:pStyle w:val="149"/>
        <w:widowControl/>
        <w:autoSpaceDE w:val="0"/>
        <w:spacing w:line="360" w:lineRule="auto"/>
        <w:ind w:left="0" w:right="0"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具备重点药品管理，不仅包括抗菌药物，还包括国家重点监控药品、用药金额前10药品、抗肿瘤药物等等，可按照国家和医院要求更新重点药品范围和种类、设置监控指控。实现药学信息提取：涉及100余种临床药学相关数据。支持个体化药学管理，例如：血药浓度检测（预期开展）。</w:t>
      </w:r>
    </w:p>
    <w:p>
      <w:pPr>
        <w:pStyle w:val="6"/>
        <w:numPr>
          <w:ilvl w:val="0"/>
          <w:numId w:val="0"/>
        </w:numPr>
        <w:tabs>
          <w:tab w:val="left" w:pos="1006"/>
        </w:tabs>
        <w:ind w:left="864" w:leftChars="0" w:hanging="864"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3.2.5.1</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抗菌药物管理模块</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3.2.5.1.1</w:t>
      </w:r>
      <w:r>
        <w:rPr>
          <w:rFonts w:hint="eastAsia" w:ascii="仿宋" w:hAnsi="仿宋" w:eastAsia="仿宋" w:cs="仿宋"/>
          <w:color w:val="auto"/>
          <w:sz w:val="24"/>
          <w:szCs w:val="24"/>
          <w:highlight w:val="none"/>
        </w:rPr>
        <w:t xml:space="preserve">抗菌药物规则设置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需提供抗菌药物规则设置功能，可对开立抗菌药物时的开立、审批权限，抗菌药物登记划分、围手术期使用规则进行管理配置。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具备抗菌药物等级设置功能，包括非限制性、限制性和特殊级抗菌药物。</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具备按职称和按医生两种方式设置医生抗菌药物使用权限功能。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具备医生抗菌药物审批权限设置功能，包括联合用药、三级管控、特殊级抗菌药物会诊和围手术期用药审批权限。</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具备围手术期规则设置功能，包括按手术、切口等级、科室、用药时机类别，设置对应条件内抗菌药物使用方式（申请使用或直接使用）。</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具备抗菌药物医生用药权限规则校验功能：有权使用、允许越级申请、不允许使用。</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3.2.5.1.2</w:t>
      </w:r>
      <w:r>
        <w:rPr>
          <w:rFonts w:hint="eastAsia" w:ascii="仿宋" w:hAnsi="仿宋" w:eastAsia="仿宋" w:cs="仿宋"/>
          <w:color w:val="auto"/>
          <w:sz w:val="24"/>
          <w:szCs w:val="24"/>
          <w:highlight w:val="none"/>
        </w:rPr>
        <w:t xml:space="preserve">抗菌药物联合用药控制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具备触发联合用药控制条件设置功能，包括联合用药上限设置。</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具备联合用药审批流程设置和联合用药申请审批功能，记录联合用药医生及药物。</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具备自动生成病程记录功能，抗菌药物医嘱开立同时，可支持自动生成病程记录。</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3.2.5.1.3</w:t>
      </w:r>
      <w:r>
        <w:rPr>
          <w:rFonts w:hint="eastAsia" w:ascii="仿宋" w:hAnsi="仿宋" w:eastAsia="仿宋" w:cs="仿宋"/>
          <w:color w:val="auto"/>
          <w:sz w:val="24"/>
          <w:szCs w:val="24"/>
          <w:highlight w:val="none"/>
        </w:rPr>
        <w:t>抗菌药物</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 xml:space="preserve">级管理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围绕临床抗菌药物使用时分级管理场景，提供完整的权限控制、规则控制及审批流程。</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具备开立抗菌药物时，按医生使用权限控制是否允许使用功能，支持分级管控。</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具备紧急情况下，医生临时越级使用抗菌药物，事后在规定时间内医生走补审核流程功能。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具备抗菌药物治疗使用目的录入功能。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具备特殊级抗菌药物使用，如有需要走审批流程功能。</w:t>
      </w:r>
    </w:p>
    <w:p>
      <w:pPr>
        <w:pStyle w:val="149"/>
        <w:widowControl/>
        <w:autoSpaceDE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highlight w:val="none"/>
        </w:rPr>
        <w:t>具备设置抗菌药物越级使用时的规则功能。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3.2.5.1.4</w:t>
      </w:r>
      <w:r>
        <w:rPr>
          <w:rFonts w:hint="eastAsia" w:ascii="仿宋" w:hAnsi="仿宋" w:eastAsia="仿宋" w:cs="仿宋"/>
          <w:color w:val="auto"/>
          <w:sz w:val="24"/>
          <w:szCs w:val="24"/>
          <w:highlight w:val="none"/>
        </w:rPr>
        <w:t xml:space="preserve">围手术期预防性抗菌药物管理 </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具备围手术期规则设置功能，包括按手术、切口等级、科室、用药时机类别，设置对应条件内抗菌药物使用方式（申请使用或直接使用）。</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具备围手术期用药，按手术切口等级控制用药时长功能。</w:t>
      </w:r>
    </w:p>
    <w:p>
      <w:pPr>
        <w:pStyle w:val="149"/>
        <w:widowControl/>
        <w:autoSpaceDE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highlight w:val="none"/>
        </w:rPr>
        <w:t>具备围手术期用药规则设置功能，在特定手术期限内可以允许开立的抗菌药物类别。支持联合开立，支持围手术期预防性抗菌药物控制管理，对术前、术中、术后使用的抗菌药物实行流程控制。</w:t>
      </w:r>
    </w:p>
    <w:p>
      <w:pPr>
        <w:pStyle w:val="6"/>
        <w:numPr>
          <w:ilvl w:val="0"/>
          <w:numId w:val="0"/>
        </w:numPr>
        <w:tabs>
          <w:tab w:val="left" w:pos="1006"/>
        </w:tabs>
        <w:ind w:left="864" w:leftChars="0" w:hanging="864"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3.2.5.2</w:t>
      </w:r>
      <w:r>
        <w:rPr>
          <w:rFonts w:hint="eastAsia" w:ascii="仿宋" w:hAnsi="仿宋" w:eastAsia="仿宋" w:cs="仿宋"/>
          <w:color w:val="auto"/>
          <w:highlight w:val="none"/>
        </w:rPr>
        <w:t xml:space="preserve"> 合理用药模块</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szCs w:val="28"/>
          <w:highlight w:val="none"/>
          <w:lang w:val="en-US" w:eastAsia="zh-CN" w:bidi="hi-IN"/>
        </w:rPr>
        <w:t>3.2.5.2.1</w:t>
      </w:r>
      <w:r>
        <w:rPr>
          <w:rFonts w:hint="eastAsia" w:ascii="仿宋" w:hAnsi="仿宋" w:eastAsia="仿宋" w:cs="仿宋"/>
          <w:color w:val="auto"/>
          <w:sz w:val="24"/>
          <w:szCs w:val="24"/>
          <w:highlight w:val="none"/>
        </w:rPr>
        <w:t>药学知识库系统</w:t>
      </w:r>
    </w:p>
    <w:p>
      <w:pPr>
        <w:numPr>
          <w:ilvl w:val="0"/>
          <w:numId w:val="7"/>
        </w:num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药学知识库规则管理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知识库匹配模块，建设药品字典、给药途径、用药频次等匹配工具，便于医疗机构根据自身药库的情况对药品信息进行添加和更新，并可通过自定义规则对用药分析规则进行可视化的建设和管理。支持特殊人群关于新生儿、小儿、特殊病理状态（如肝、肾功能减退等）下的用药规则。</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功能要求：需实现自定义规则工具的建设，以及药品字典、给药途径、用药频次等匹配工具的建设以及初始化匹配预设等功能。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具体功能要求如下：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w:t>
      </w:r>
      <w:r>
        <w:rPr>
          <w:rFonts w:hint="eastAsia" w:ascii="仿宋" w:hAnsi="仿宋" w:eastAsia="仿宋" w:cs="仿宋"/>
          <w:color w:val="auto"/>
          <w:sz w:val="24"/>
          <w:highlight w:val="none"/>
        </w:rPr>
        <w:t>自定义规则建设</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需实现用药分析规则的个性化建设，并可对可视化自定义规则进行管理操作。具体要求如下：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具备结合患者诊断、患者生理状况，对某一药品的用药分析规则进行自定义设置功能。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具备对已有自定义规则进行修改/删除/停用/启用等管理功能。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具备查看自定义规则对应的药品和规则导出功能。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w:t>
      </w:r>
      <w:r>
        <w:rPr>
          <w:rFonts w:hint="eastAsia" w:ascii="仿宋" w:hAnsi="仿宋" w:eastAsia="仿宋" w:cs="仿宋"/>
          <w:color w:val="auto"/>
          <w:sz w:val="24"/>
          <w:highlight w:val="none"/>
        </w:rPr>
        <w:t>药品字典管理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对医院药品字典数据和系统药品字典数据进行对照。具体要求如下：   </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具备对新增药品进行信息获取和匹配功能。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具备对药品未匹配记录、待确认记录、匹配记录等查询功能。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具备对药品字典数据进行自动匹配和手动匹配两种模式功能。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具备药品说明书上传和查看、药品用量和适应症维护功能。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具备自定义药品知识库要点提示维护功能。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3)</w:t>
      </w:r>
      <w:r>
        <w:rPr>
          <w:rFonts w:hint="eastAsia" w:ascii="仿宋" w:hAnsi="仿宋" w:eastAsia="仿宋" w:cs="仿宋"/>
          <w:color w:val="auto"/>
          <w:sz w:val="24"/>
          <w:highlight w:val="none"/>
        </w:rPr>
        <w:t>给药途径匹配管理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对医院药品给药途径字典数据和系统给药途径字典数据进行对照。具体要求如下：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具备对给药途径未匹配记录、待确认记录、匹配记录等进行查询功能。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4)</w:t>
      </w:r>
      <w:r>
        <w:rPr>
          <w:rFonts w:hint="eastAsia" w:ascii="仿宋" w:hAnsi="仿宋" w:eastAsia="仿宋" w:cs="仿宋"/>
          <w:color w:val="auto"/>
          <w:sz w:val="24"/>
          <w:highlight w:val="none"/>
        </w:rPr>
        <w:t>给药频次匹配管理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对医院药品给药途频次字典数据和系统给药频次字典数据进行对照。具体要求如下：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具备对给药频次未匹配记录、待确认记录、匹配记录等进行查询功能。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5)</w:t>
      </w:r>
      <w:r>
        <w:rPr>
          <w:rFonts w:hint="eastAsia" w:ascii="仿宋" w:hAnsi="仿宋" w:eastAsia="仿宋" w:cs="仿宋"/>
          <w:color w:val="auto"/>
          <w:sz w:val="24"/>
          <w:highlight w:val="none"/>
        </w:rPr>
        <w:t>药品溶媒规则自定义</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对医院药品溶媒规则进行自定义。具体要求如下：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具备对溶媒维护清单、自定义溶媒种类、自定义溶媒浓度等进行查询和编辑功能。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6)</w:t>
      </w:r>
      <w:r>
        <w:rPr>
          <w:rFonts w:hint="eastAsia" w:ascii="仿宋" w:hAnsi="仿宋" w:eastAsia="仿宋" w:cs="仿宋"/>
          <w:color w:val="auto"/>
          <w:sz w:val="24"/>
          <w:highlight w:val="none"/>
        </w:rPr>
        <w:t>TPN药品规则自定义</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对医院TPN药品规则进行自定义。具体要求如下：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具备对医院TPN药品和TPN审核指标等进行维护功能。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7)</w:t>
      </w:r>
      <w:r>
        <w:rPr>
          <w:rFonts w:hint="eastAsia" w:ascii="仿宋" w:hAnsi="仿宋" w:eastAsia="仿宋" w:cs="仿宋"/>
          <w:color w:val="auto"/>
          <w:sz w:val="24"/>
          <w:highlight w:val="none"/>
        </w:rPr>
        <w:t>儿童默认身高体重自定义</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对儿童默认身高体重进行自定义。具体要求如下：</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具备按中国儿童体格发育调查协作组和首都儿科研究所生长发育研究室发布的儿童发育身高/体重标准差单位值，创建默认的18岁以下男、女中位身高和中位体重，并可自定义儿童身高/体重功能。</w:t>
      </w:r>
    </w:p>
    <w:p>
      <w:pPr>
        <w:numPr>
          <w:ilvl w:val="0"/>
          <w:numId w:val="7"/>
        </w:num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用药规则分析引擎</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需自带共性化用药知识分析规则，包含适应症分析、禁忌症分析、给药途径、给药频次、用法用量、相互作用、配伍禁忌、特殊人群用药适宜性等用药情况进行分析，且用药分析规则均有出处和事实依据说明。</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功能要求：共性化用药知识分析规则可通过业务模块对其调用，在相关业务界面进行显示。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具体功能要求如下：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w:t>
      </w:r>
      <w:r>
        <w:rPr>
          <w:rFonts w:hint="eastAsia" w:ascii="仿宋" w:hAnsi="仿宋" w:eastAsia="仿宋" w:cs="仿宋"/>
          <w:color w:val="auto"/>
          <w:sz w:val="24"/>
          <w:highlight w:val="none"/>
        </w:rPr>
        <w:t>药品用药分析规则</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可对单个药物本身的信息进行结构化和数据化，形成用药分析规则，具体要求如下：</w:t>
      </w:r>
    </w:p>
    <w:p>
      <w:pPr>
        <w:numPr>
          <w:ilvl w:val="0"/>
          <w:numId w:val="0"/>
        </w:numPr>
        <w:spacing w:line="360" w:lineRule="auto"/>
        <w:ind w:left="0" w:leftChars="0" w:right="0" w:rightChars="0" w:firstLine="480" w:firstLineChars="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1.1</w:t>
      </w:r>
      <w:r>
        <w:rPr>
          <w:rFonts w:hint="eastAsia" w:ascii="仿宋" w:hAnsi="仿宋" w:eastAsia="仿宋" w:cs="仿宋"/>
          <w:b/>
          <w:bCs w:val="0"/>
          <w:color w:val="auto"/>
          <w:sz w:val="24"/>
          <w:highlight w:val="none"/>
        </w:rPr>
        <w:t>药品剂型适宜性分析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具备对药品剂型和用药途径的适宜性进行自动分析，并提示分析结果功能。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具备对药品剂型和患者年龄的适宜性进行分析，并提示分析结果功能。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具备对药品剂型和患者性别的匹配性进行分析，并提示分析结果功能。</w:t>
      </w:r>
    </w:p>
    <w:p>
      <w:pPr>
        <w:numPr>
          <w:ilvl w:val="0"/>
          <w:numId w:val="0"/>
        </w:numPr>
        <w:spacing w:line="360" w:lineRule="auto"/>
        <w:ind w:left="0" w:leftChars="0" w:right="0" w:rightChars="0" w:firstLine="480" w:firstLineChars="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1.2</w:t>
      </w:r>
      <w:r>
        <w:rPr>
          <w:rFonts w:hint="eastAsia" w:ascii="仿宋" w:hAnsi="仿宋" w:eastAsia="仿宋" w:cs="仿宋"/>
          <w:b/>
          <w:bCs w:val="0"/>
          <w:color w:val="auto"/>
          <w:sz w:val="24"/>
          <w:highlight w:val="none"/>
        </w:rPr>
        <w:t>药品给药途径适宜性分析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具备对药品的禁用给药途径进行分析，并提示分析结果功能。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具备对药品的未提及给药途径进行分析，并提示分析结果功能。</w:t>
      </w:r>
    </w:p>
    <w:p>
      <w:pPr>
        <w:numPr>
          <w:ilvl w:val="0"/>
          <w:numId w:val="0"/>
        </w:numPr>
        <w:spacing w:line="360" w:lineRule="auto"/>
        <w:ind w:left="0" w:leftChars="0" w:right="0" w:rightChars="0" w:firstLine="480" w:firstLineChars="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1.3</w:t>
      </w:r>
      <w:r>
        <w:rPr>
          <w:rFonts w:hint="eastAsia" w:ascii="仿宋" w:hAnsi="仿宋" w:eastAsia="仿宋" w:cs="仿宋"/>
          <w:b/>
          <w:bCs w:val="0"/>
          <w:color w:val="auto"/>
          <w:sz w:val="24"/>
          <w:highlight w:val="none"/>
        </w:rPr>
        <w:t>给药频次适宜性分析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具备结合患者生理状况，对单个药品的给药频次上限进行分析，并提示分析结果功能。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具备结合患者生理状况，对单个药品的给药频次下限进行分析，并提示分析结果功能。</w:t>
      </w:r>
    </w:p>
    <w:p>
      <w:pPr>
        <w:numPr>
          <w:ilvl w:val="0"/>
          <w:numId w:val="0"/>
        </w:numPr>
        <w:spacing w:line="360" w:lineRule="auto"/>
        <w:ind w:left="0" w:leftChars="0" w:right="0" w:rightChars="0" w:firstLine="480" w:firstLineChars="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1.4</w:t>
      </w:r>
      <w:r>
        <w:rPr>
          <w:rFonts w:hint="eastAsia" w:ascii="仿宋" w:hAnsi="仿宋" w:eastAsia="仿宋" w:cs="仿宋"/>
          <w:b/>
          <w:bCs w:val="0"/>
          <w:color w:val="auto"/>
          <w:sz w:val="24"/>
          <w:highlight w:val="none"/>
        </w:rPr>
        <w:t>单张处方药品剂量适宜性分析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具备结合患者生理状况，对单个药品的单次用药极量、单日用药极量、单次常用药量上限、单日常用量上限、常单次用量下限、单日常用量下限进行分析，并提示分析结果功能。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具备对单个药品不可掰片服用的剂量进行分析，并提示分析结果功能。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w:t>
      </w:r>
      <w:r>
        <w:rPr>
          <w:rFonts w:hint="eastAsia" w:ascii="仿宋" w:hAnsi="仿宋" w:eastAsia="仿宋" w:cs="仿宋"/>
          <w:color w:val="auto"/>
          <w:sz w:val="24"/>
          <w:highlight w:val="none"/>
        </w:rPr>
        <w:t>患者用药分析规则</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可结合患者诊断、生理特征和状况等条件，对药品的用药规则进行结构化和数据化，形成用药分析规则，具体要求如下：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疾病诊断与用药适宜性分析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具备结合患者诊断和疾病既往史，对患者用药的禁忌症进行自动分析，并提示分析结果功能。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具备结合患者诊断和相关临床依据，对患者用药的适应症进行自动分析，并提示分析结果功能。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全年龄性别人群用药适宜性分析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具备结合未成年人年龄和性别，对其限制用药、禁慎用药、适应症、用药剂型、用法用量、给药途径、给药频次等进行用药适宜性自动分析，并提示分析结果功能。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具备自定义设置未成年男、女中位身高和中位体重数值用于合理用药分析功能。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具备结合成年人年龄和性别，对其限制用药、禁慎用药、适应症、用药剂型、用法用量、给药途径、给药频次等进行用药适宜性自动分析，并提示分析结果功能。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具备结合老年人年龄、性别，对其限制用药、禁慎用药、适应症、用药剂型、用法用量、给药途径、给药频次等进行用药适宜性自动分析，并提示分析结果功能。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具备结合诊断与患者性别，对其限制用药、禁慎用药、适应症、用药剂型、用法用量、给药途径、给药频次等进行用药适宜性自动分析，并提示分析结果功能。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孕哺人群用药适宜性分析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具备结合患者病生理状态、孕周、诊断等条件，对其限制用药、禁慎用药、适应症、用药剂型、用法用量、给药途径、给药频次等进行妊娠期用药自动分析，并提示分析结果功能。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具备结合患者病生理状态、诊断等条件，对其限制用药、禁慎用药、适应症、用药剂型、用法用药、给药途径、给药频次等进行哺乳期用药自动分析，并提示分析结果功能。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具备对患者从孕妇到产妇的状态变更进行捕捉识别，并对以上相关用药进行分析功能。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药品过敏史与用药适宜性分析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具备结合既往药物过敏史，对用药适宜性进行自动分析，并提示分析结果功能。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具备结合既往药物过敏史，对两种或两种以上用药的交叉过敏情况进行自动分析，并提示分析结果功能。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具备结合既往药物过敏史，对开具药物的成分或辅料成分的过敏进行自动分析，并提示分析结果功能。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具备结合既往食物过敏史，对开具药物的适宜性进行自动分析，并提示分析结果功能。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3)</w:t>
      </w:r>
      <w:r>
        <w:rPr>
          <w:rFonts w:hint="eastAsia" w:ascii="仿宋" w:hAnsi="仿宋" w:eastAsia="仿宋" w:cs="仿宋"/>
          <w:color w:val="auto"/>
          <w:sz w:val="24"/>
          <w:highlight w:val="none"/>
        </w:rPr>
        <w:t>处方/医嘱层面的用药分析规则</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一张处方/医嘱上往往有两种或两种以上药物，当多种药物被一同开具时，涉及到相互作用、配伍禁忌、重复用药等多方面，对处方/医嘱用药规则进行结构化和数据化，形成用药分析规则，具体要求如下：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静脉输注药品适宜性分析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具备对两种及以上静脉输注药品混合使用时是否存在配伍禁忌进行分析，并提示注意事项功能。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具备对两种及以上静脉输注药品在特定情况混合时是否存在配伍问题进行分析，并提示注意事项功能。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具备对静脉输注药品的溶媒选择合理性进行分析，并提示注意事项功能。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具备对中药注射剂单独开具处方进行提示功能。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当同时使用多组配液时，具备对相邻两组输液用药配伍禁忌问题进行分析，并提示注意事项功能。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具备对TPN（肠外营养输液组）配伍问题区别于普通输液药品的分析功能。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体内相互作用分析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具备对不同药物之间的相互作用进行分析，并提示注意事项功能。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具备药物与含酒精成分的药物相互作用进行分析，并提示注意事项功能。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具备对不同中成药成分之间的相互作用进行分析，并提示注意事项功能。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重复用药分析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具备对相同通用名不同剂型的重复用药进行分析，并提示注意事项功能。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具备对同类或作用机制相同的重复用药进行分析，并提示注意事项功能。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具备对相同药品或不同处方中的同个药被开具两次的情况进行分析，并提示注意事项功能。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具备对两种及以上同成分药同时开具的情况进行分析，并提示注意事项功能。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具备对两种以上药理作用机制相同的中成药进行分析，并提示注意事项功能。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具备对相同抗菌谱/相同抗病毒图谱的重复用药进行分析，并提示注意事项功能。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具备对高龄老人多重用药进行分析，并提示注意事项功能。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具备重复用药分析模块急诊另行配置是否启用功能。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3.4</w:t>
      </w:r>
      <w:r>
        <w:rPr>
          <w:rFonts w:hint="eastAsia" w:ascii="仿宋" w:hAnsi="仿宋" w:eastAsia="仿宋" w:cs="仿宋"/>
          <w:color w:val="auto"/>
          <w:sz w:val="24"/>
          <w:highlight w:val="none"/>
        </w:rPr>
        <w:t>药品需成组分析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当处方/医嘱中有粉针剂类药物时，具备对需成组开具进行分析，并提示注意事项功能。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w:t>
      </w:r>
      <w:r>
        <w:rPr>
          <w:rFonts w:hint="eastAsia" w:ascii="仿宋" w:hAnsi="仿宋" w:eastAsia="仿宋" w:cs="仿宋"/>
          <w:color w:val="auto"/>
          <w:sz w:val="24"/>
          <w:highlight w:val="none"/>
        </w:rPr>
        <w:t>门（急）诊处方超规定用药天数分析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具备对门急诊处方用药天数进行分析，并提示分析结果功能。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3.6</w:t>
      </w:r>
      <w:r>
        <w:rPr>
          <w:rFonts w:hint="eastAsia" w:ascii="仿宋" w:hAnsi="仿宋" w:eastAsia="仿宋" w:cs="仿宋"/>
          <w:color w:val="auto"/>
          <w:sz w:val="24"/>
          <w:highlight w:val="none"/>
        </w:rPr>
        <w:t>中药饮片用药分析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具备对十八反十九畏进行分析，并提示分析结果功能。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具备中药饮片与西药的相互作用分析，并提示分析结果功能。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具备中药饮片与中成药的相互作用分析，并提示分析结果功能。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具备结合患者生理状况对中药饮片用药剂量进行分析，并提示分析结果功能。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具备结合患者妊娠期、哺乳期生理状况对中药饮片禁慎用药进行分析，并提示分析结果功能。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具备对饮片处方的总剂量和总味数进行分析，并提示分析结果功能。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具备对中药饮片重复用药进行分析，并提示分析结果功能。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具备对有特殊煎煮要求的中药饮片给药途径进行分析，并提示分析结果功能。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3.7</w:t>
      </w:r>
      <w:r>
        <w:rPr>
          <w:rFonts w:hint="eastAsia" w:ascii="仿宋" w:hAnsi="仿宋" w:eastAsia="仿宋" w:cs="仿宋"/>
          <w:color w:val="auto"/>
          <w:sz w:val="24"/>
          <w:highlight w:val="none"/>
        </w:rPr>
        <w:t>跨处方用药适宜性分析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具备对同一患者在不同科室或跨医疗机构开具的同一药品的单日用药量进行分析，并提示分析结果功能。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具备患者有效临时医嘱与长期医嘱的单日用药量进行分析，并提示分析结果功能。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具备对西药、中成药、中药饮片两两之间的单日用药量进行分析，并提示分析结果功能。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具备对同一患者在不同科室或跨医疗机构开具处方上不同药物的两两间相互作用进行分析，并提示分析结果功能。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具备对患者有效临时医嘱与长期医嘱上不同药物的两两间相互作用进行分析，并提示分析结果功能。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具备对西药、中成药、中药饮片两两之间的相互作用进行分析，并提示分析结果功能。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具备对同一患者在不同科室或跨医疗机构开具处方的重复用药进行分析，并提示分析结果功能。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具备对患者有效临时医嘱与长期医嘱的重复用药进行分析，并提示分析结果功能。</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具备对西药、中成药、中药饮片两两之间的重复用药进行分析，并提示分析结果功能。</w:t>
      </w:r>
    </w:p>
    <w:p>
      <w:pPr>
        <w:pStyle w:val="153"/>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具备按照ATC和药理两种分类方式对同类药物的重复用药进行分析监测功能。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3.8</w:t>
      </w:r>
      <w:r>
        <w:rPr>
          <w:rFonts w:hint="eastAsia" w:ascii="仿宋" w:hAnsi="仿宋" w:eastAsia="仿宋" w:cs="仿宋"/>
          <w:color w:val="auto"/>
          <w:sz w:val="24"/>
          <w:highlight w:val="none"/>
        </w:rPr>
        <w:t>精麻毒药品开药量分析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具备对麻醉药品和精神药品开药量限制进行自动分析，并提示分析结果功能。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具备对毒性药品的开药量限制进行自动分析，并提示分析结果功能。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具备对麻醉药品和精神药品使用天数限制进行分析，并提示分析结果功能。</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具备对麻醉药品和精神药品多日累积使用天数限制进行分析，并提示分析结果功能。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b/>
          <w:bCs/>
          <w:color w:val="auto"/>
          <w:sz w:val="24"/>
          <w:highlight w:val="none"/>
        </w:rPr>
      </w:pPr>
      <w:r>
        <w:rPr>
          <w:rFonts w:hint="eastAsia" w:ascii="仿宋" w:hAnsi="仿宋" w:eastAsia="仿宋" w:cs="仿宋"/>
          <w:b/>
          <w:bCs/>
          <w:color w:val="auto"/>
          <w:sz w:val="24"/>
          <w:szCs w:val="28"/>
          <w:highlight w:val="none"/>
          <w:lang w:val="en-US" w:eastAsia="zh-CN" w:bidi="hi-IN"/>
        </w:rPr>
        <w:t>3.2.5.2.2</w:t>
      </w:r>
      <w:r>
        <w:rPr>
          <w:rFonts w:hint="eastAsia" w:ascii="仿宋" w:hAnsi="仿宋" w:eastAsia="仿宋" w:cs="仿宋"/>
          <w:color w:val="auto"/>
          <w:sz w:val="24"/>
          <w:szCs w:val="24"/>
          <w:highlight w:val="none"/>
        </w:rPr>
        <w:t>合理用药管理系统</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w:t>
      </w:r>
      <w:r>
        <w:rPr>
          <w:rFonts w:hint="eastAsia" w:ascii="仿宋" w:hAnsi="仿宋" w:eastAsia="仿宋" w:cs="仿宋"/>
          <w:b/>
          <w:bCs/>
          <w:color w:val="auto"/>
          <w:sz w:val="24"/>
          <w:highlight w:val="none"/>
        </w:rPr>
        <w:t>门诊医生站合理用药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通过向所有接入的门急诊医生工作站提供合理用药预警与提示，形成集中用药安全管理和用药知识共享，在相同的共性化用药知识规则驱动下，对医生开方实现多维度的用药风险预警和提醒。</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功能要求：可实现在医生开方时进行用药安全提示、用药知识的推送、查询药品说明书和合理用药分析数据的统计功能。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具体功能要求如下：</w:t>
      </w:r>
    </w:p>
    <w:p>
      <w:pPr>
        <w:numPr>
          <w:ilvl w:val="0"/>
          <w:numId w:val="8"/>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处方用药风险自动审查</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在医生开具处方时，对处方中的药物过敏、用药合法合规和用药安全进行自动审查，并将分析结果提示给医生，具体要求如下：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用药风险提示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具备在医生尚未提交处方时，对处方中的某一药品的过敏风险进行提示功能。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具备在医生尚未提交处方时，对处方中的高危药品用药风险进行提示功能。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具备用户自定义要点提示功能。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具备在医生开具药品时，显示系统要点提示或用户自定义要点提示功能。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合理用药分析审查</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具备对医生开具药品的权限进行法律法规和行政管理方面的审查分析，并展示相关提示功能。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具备结合患者生理状况，对处方用药的适宜性进行多维度的审查分析，并展示相关提示功能。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具备对处方中潜在的用药风险进行审查分析，并展示相关提示功能。</w:t>
      </w:r>
    </w:p>
    <w:p>
      <w:pPr>
        <w:numPr>
          <w:ilvl w:val="0"/>
          <w:numId w:val="8"/>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用药知识查询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医生可在开方时查看相关药物的说明书和用药注意事项，具体如下：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支持与门诊临床信息系统对接，在医生站界面嵌入药品的说明书查看路径，并可在开具处方时调阅药品说明书。</w:t>
      </w:r>
    </w:p>
    <w:p>
      <w:pPr>
        <w:numPr>
          <w:ilvl w:val="0"/>
          <w:numId w:val="8"/>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提示信息计时</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医生端用药信息提示具备倒计时功能，并可设置倒计时时长，具体如下：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具备在医生站合理用药提示框显示倒计时功能。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具备对提示框倒计时时长进行自定义设置功能。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w:t>
      </w:r>
      <w:r>
        <w:rPr>
          <w:rFonts w:hint="eastAsia" w:ascii="仿宋" w:hAnsi="仿宋" w:eastAsia="仿宋" w:cs="仿宋"/>
          <w:b/>
          <w:bCs/>
          <w:color w:val="auto"/>
          <w:sz w:val="24"/>
          <w:highlight w:val="none"/>
        </w:rPr>
        <w:t>住院医生站合理用药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通过向所有接入的住院医生工作站提供合理用药预警与提示功能，形成集中用药安全管理和用药知识共享，在相同的共性化用药知识规则驱动下，对医生开具的医嘱实现多维度用药风险预警和提醒。</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功能要求：可实现在医生开方时进行用药安全提示、用药知识的推送、查询药品说明书和合理用药分析数据的统计功能。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具体功能要求如下：</w:t>
      </w:r>
    </w:p>
    <w:p>
      <w:pPr>
        <w:numPr>
          <w:ilvl w:val="0"/>
          <w:numId w:val="9"/>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医嘱用药风险自动审查</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在医生开具医嘱时，对长、临医嘱中的药物过敏、用药合法合规和用药安全进行自动审查，并将分析提示展示给医生，具体要求如下：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用药风险提示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具备在医生尚未提交医嘱时，对长、临医嘱的用药过敏风险进行提示功能。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具备在医生尚未提交处方时，对长、临医嘱中的高危药品用药风险进行提示功能。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具备在医生开具药品医嘱时，显示系统要点提示或用户自定义要点提示功能。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合理用药分析审查</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具备对医生开具药品的权限进行法律法规和行政管理方面的审查分析，并展示相关提示功能。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具备结合患者生理状况，对长、临医嘱中用药的适宜性进行多维度的审查分析，并展示相关提示功能。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具备对长、临医嘱中潜在的用药风险进行审查分析，并展示相关提示功能。</w:t>
      </w:r>
    </w:p>
    <w:p>
      <w:pPr>
        <w:numPr>
          <w:ilvl w:val="0"/>
          <w:numId w:val="9"/>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用药知识查询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医生可在开具医嘱时查看相关药物的说明书和用药注意事项，具体如下：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具备在医生站界面嵌入药品的说明书查看路径功能。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具备在开具医嘱时调阅药品说明书功能。</w:t>
      </w:r>
    </w:p>
    <w:p>
      <w:pPr>
        <w:numPr>
          <w:ilvl w:val="0"/>
          <w:numId w:val="9"/>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提示信息计时</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医生端用药信息提示具备倒计时功能，并可设置倒计时时长，具体要求如下：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具备医生站合理用药提示框信息的倒计时显示功能功能。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具备对提示框的倒计时时长进行自定义设置功能。</w:t>
      </w:r>
    </w:p>
    <w:p>
      <w:pPr>
        <w:numPr>
          <w:ilvl w:val="0"/>
          <w:numId w:val="0"/>
        </w:numPr>
        <w:spacing w:line="360" w:lineRule="auto"/>
        <w:ind w:left="482" w:leftChars="0" w:right="0" w:rightChars="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合理用药医生站嵌入功能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支持与医生工作站对接，通过医生站快捷查询合理用药分析结果，并可查询药品说明书和相关用药知识。便于医生对自己的开方情况有所了解。</w:t>
      </w:r>
    </w:p>
    <w:p>
      <w:pPr>
        <w:numPr>
          <w:ilvl w:val="0"/>
          <w:numId w:val="10"/>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医生站查询嵌入功能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医生站可通过嵌入功能快捷查询药品相关信息，具体要求如下：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医生站药品说明书嵌入查询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具备快捷查看系统中所有药品说明书和医疗机构在用药品说明书功能。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具备对医疗机构在用药品以不同颜色显示有无库存功能。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药品相关知识嵌入查询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具备快捷查询药品知识信息功能。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具备快捷查询药品适应症和禁忌症信息功能。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具备快捷查询抗生素分类信息功能。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具备快捷查询药品相互作用、配伍禁忌、中药禁忌等信息功能。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具备快捷查询药品临床检验检查相关信息功能。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具备快捷查询常用医学公式和临床路径相关信息功能。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具备快捷查询药品说明书修订公告功能。</w:t>
      </w:r>
    </w:p>
    <w:p>
      <w:pPr>
        <w:numPr>
          <w:ilvl w:val="0"/>
          <w:numId w:val="10"/>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医生站合理用药分析结果快捷嵌入功能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医生站可通过嵌入功能快捷查询问题处方分析，便于医生了解自己的开药情况，具体要求如下：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合理用药分析结果嵌入查询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具备在医生站对用药风险进行警示，并可快速查看用药风险功能。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合理用药分析记录嵌入查询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具备在医生站快捷查询合理用药问题历史记录功能。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具备在医生站快捷查看合理用药问题明细信息功能。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w:t>
      </w:r>
      <w:r>
        <w:rPr>
          <w:rFonts w:hint="eastAsia" w:ascii="仿宋" w:hAnsi="仿宋" w:eastAsia="仿宋" w:cs="仿宋"/>
          <w:bCs/>
          <w:color w:val="auto"/>
          <w:kern w:val="2"/>
          <w:sz w:val="24"/>
          <w:szCs w:val="24"/>
          <w:highlight w:val="none"/>
          <w:lang w:val="en-US" w:eastAsia="zh-CN" w:bidi="ar-SA"/>
        </w:rPr>
        <w:t>4</w:t>
      </w:r>
      <w:r>
        <w:rPr>
          <w:rFonts w:hint="default" w:ascii="仿宋" w:hAnsi="仿宋" w:eastAsia="仿宋" w:cs="仿宋"/>
          <w:bCs/>
          <w:color w:val="auto"/>
          <w:kern w:val="2"/>
          <w:sz w:val="24"/>
          <w:szCs w:val="24"/>
          <w:highlight w:val="none"/>
          <w:lang w:val="en-US" w:eastAsia="zh-CN" w:bidi="ar-SA"/>
        </w:rPr>
        <w:t>)</w:t>
      </w:r>
      <w:r>
        <w:rPr>
          <w:rFonts w:hint="eastAsia" w:ascii="仿宋" w:hAnsi="仿宋" w:eastAsia="仿宋" w:cs="仿宋"/>
          <w:b/>
          <w:bCs/>
          <w:color w:val="auto"/>
          <w:sz w:val="24"/>
          <w:highlight w:val="none"/>
        </w:rPr>
        <w:t>合理用药情况统计分析</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查询合理用药的问题处方信息以及问题处方统计。</w:t>
      </w:r>
    </w:p>
    <w:p>
      <w:pPr>
        <w:numPr>
          <w:ilvl w:val="0"/>
          <w:numId w:val="11"/>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合理用药问题处方查询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具备通过科室、医生、患者、药品、问题级别等单项条件查询问题处方功能。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具备通过科室、医生、患者、药品、问题级别等多项条件组合查询问题处方功能。</w:t>
      </w:r>
    </w:p>
    <w:p>
      <w:pPr>
        <w:numPr>
          <w:ilvl w:val="0"/>
          <w:numId w:val="11"/>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合理用药问题处方统计</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具备对问题处方和无问题处方的统计，并以图表形式呈现功能。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具备对问题处方按问题类型进行统计，并以图表形式呈现功能。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具备对问题处方按问题等级进行统计，并以图表形式呈现功能。</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具备统计图表数据下钻查看问题处方明细功能。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3.2.5.2.3</w:t>
      </w:r>
      <w:r>
        <w:rPr>
          <w:rFonts w:hint="eastAsia" w:ascii="仿宋" w:hAnsi="仿宋" w:eastAsia="仿宋" w:cs="仿宋"/>
          <w:color w:val="auto"/>
          <w:sz w:val="24"/>
          <w:szCs w:val="24"/>
          <w:highlight w:val="none"/>
        </w:rPr>
        <w:t>药学智库查询系统</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医生在开方过程中或药师在审方过程中，均可通过浏览药学智库中的静态知识库查询相关用药知识。具体功能要求如下：</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w:t>
      </w:r>
      <w:r>
        <w:rPr>
          <w:rFonts w:hint="eastAsia" w:ascii="仿宋" w:hAnsi="仿宋" w:eastAsia="仿宋" w:cs="仿宋"/>
          <w:b/>
          <w:bCs/>
          <w:color w:val="auto"/>
          <w:sz w:val="24"/>
          <w:highlight w:val="none"/>
        </w:rPr>
        <w:t>药物知识查询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具备根据药品名称检索药品说明书功能。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具备西药按ATC分类、中成药按使用科室功效分类查看功能。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具备查看医疗机构药品电子版说明书功能。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具备查看该药品的用药分析规则和具体规则内容功能。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具备查看药品说明书修订公告内容功能。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w:t>
      </w:r>
      <w:r>
        <w:rPr>
          <w:rFonts w:hint="eastAsia" w:ascii="仿宋" w:hAnsi="仿宋" w:eastAsia="仿宋" w:cs="仿宋"/>
          <w:b/>
          <w:bCs/>
          <w:color w:val="auto"/>
          <w:sz w:val="24"/>
          <w:highlight w:val="none"/>
        </w:rPr>
        <w:t>药物与疾病知识查询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具备根据ICD-10诊断查看用药相关信息功能。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具备根据过敏、病生理、特殊人群等条件筛选用药知识功能。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(3)</w:t>
      </w:r>
      <w:r>
        <w:rPr>
          <w:rFonts w:hint="eastAsia" w:ascii="仿宋" w:hAnsi="仿宋" w:eastAsia="仿宋" w:cs="仿宋"/>
          <w:b/>
          <w:bCs/>
          <w:color w:val="auto"/>
          <w:sz w:val="24"/>
          <w:highlight w:val="none"/>
        </w:rPr>
        <w:t>抗生素分类查询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具备根据过敏、病生理、特殊人群等条件筛选抗生素的用药知识功能。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具备收录中国境内上市的所有抗生素或医疗机构使用抗生素功能。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(4)</w:t>
      </w:r>
      <w:r>
        <w:rPr>
          <w:rFonts w:hint="eastAsia" w:ascii="仿宋" w:hAnsi="仿宋" w:eastAsia="仿宋" w:cs="仿宋"/>
          <w:b/>
          <w:bCs/>
          <w:color w:val="auto"/>
          <w:sz w:val="24"/>
          <w:highlight w:val="none"/>
        </w:rPr>
        <w:t>临床检验检查查询</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具备检索和查看常用临床检验检查项目的知识内容功能。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(5)</w:t>
      </w:r>
      <w:r>
        <w:rPr>
          <w:rFonts w:hint="eastAsia" w:ascii="仿宋" w:hAnsi="仿宋" w:eastAsia="仿宋" w:cs="仿宋"/>
          <w:b/>
          <w:bCs/>
          <w:color w:val="auto"/>
          <w:sz w:val="24"/>
          <w:highlight w:val="none"/>
        </w:rPr>
        <w:t>药物间相互作用查询</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具备选择多个药品并查看药物间相互作用知识功能。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(6)</w:t>
      </w:r>
      <w:r>
        <w:rPr>
          <w:rFonts w:hint="eastAsia" w:ascii="仿宋" w:hAnsi="仿宋" w:eastAsia="仿宋" w:cs="仿宋"/>
          <w:b/>
          <w:bCs/>
          <w:color w:val="auto"/>
          <w:sz w:val="24"/>
          <w:highlight w:val="none"/>
        </w:rPr>
        <w:t>配伍禁忌查询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具备对两个及两个以上静脉输注药品联合用药时的配伍禁忌知识进行查询功能。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具备查询特殊配伍信息功能。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(7)</w:t>
      </w:r>
      <w:r>
        <w:rPr>
          <w:rFonts w:hint="eastAsia" w:ascii="仿宋" w:hAnsi="仿宋" w:eastAsia="仿宋" w:cs="仿宋"/>
          <w:b/>
          <w:bCs/>
          <w:color w:val="auto"/>
          <w:sz w:val="24"/>
          <w:highlight w:val="none"/>
        </w:rPr>
        <w:t>常用医学公式查询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具备多种常用医学公式的查询功能。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具备通过输入公式填入数值自动获得计算结果功能。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(8)</w:t>
      </w:r>
      <w:r>
        <w:rPr>
          <w:rFonts w:hint="eastAsia" w:ascii="仿宋" w:hAnsi="仿宋" w:eastAsia="仿宋" w:cs="仿宋"/>
          <w:b/>
          <w:bCs/>
          <w:color w:val="auto"/>
          <w:sz w:val="24"/>
          <w:highlight w:val="none"/>
        </w:rPr>
        <w:t>中药禁忌查询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具备查询中药相关禁忌、相关人群禁忌等用药知识功能。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具备查询中药使用注意事项等患教用药知识功能。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(9)</w:t>
      </w:r>
      <w:r>
        <w:rPr>
          <w:rFonts w:hint="eastAsia" w:ascii="仿宋" w:hAnsi="仿宋" w:eastAsia="仿宋" w:cs="仿宋"/>
          <w:b/>
          <w:bCs/>
          <w:color w:val="auto"/>
          <w:sz w:val="24"/>
          <w:highlight w:val="none"/>
        </w:rPr>
        <w:t>用药指南查询</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具备对患者饮食和生活方式提供用药教育知识功能。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(10)</w:t>
      </w:r>
      <w:r>
        <w:rPr>
          <w:rFonts w:hint="eastAsia" w:ascii="仿宋" w:hAnsi="仿宋" w:eastAsia="仿宋" w:cs="仿宋"/>
          <w:b/>
          <w:bCs/>
          <w:color w:val="auto"/>
          <w:sz w:val="24"/>
          <w:highlight w:val="none"/>
        </w:rPr>
        <w:t>常用法律法规查询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具备查看医药相关的法律法规知识功能。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具备对中国境内相关医药法律法规知识进行归类显示功能。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(11)</w:t>
      </w:r>
      <w:r>
        <w:rPr>
          <w:rFonts w:hint="eastAsia" w:ascii="仿宋" w:hAnsi="仿宋" w:eastAsia="仿宋" w:cs="仿宋"/>
          <w:b/>
          <w:bCs/>
          <w:color w:val="auto"/>
          <w:sz w:val="24"/>
          <w:highlight w:val="none"/>
        </w:rPr>
        <w:t>物FDA妊娠期分级查询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具备根据FDA妊娠分级的级别查看药物目录功能。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具备采用美国食药监局的妊娠期用药分类标准功能。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具备通过关键字查找药品和查看FDA妊娠期分级相关信息功能。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(12)</w:t>
      </w:r>
      <w:r>
        <w:rPr>
          <w:rFonts w:hint="eastAsia" w:ascii="仿宋" w:hAnsi="仿宋" w:eastAsia="仿宋" w:cs="仿宋"/>
          <w:b/>
          <w:bCs/>
          <w:color w:val="auto"/>
          <w:sz w:val="24"/>
          <w:highlight w:val="none"/>
        </w:rPr>
        <w:t>肝肾功能用药量查询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具备查看患者在肝肾功能不全情况下的用药知识功能。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具备查询肝肾功能不全患者用药剂量的调整方法功能。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具备按药理分类或药品名查询药品功能。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(13)</w:t>
      </w:r>
      <w:r>
        <w:rPr>
          <w:rFonts w:hint="eastAsia" w:ascii="仿宋" w:hAnsi="仿宋" w:eastAsia="仿宋" w:cs="仿宋"/>
          <w:b/>
          <w:bCs/>
          <w:color w:val="auto"/>
          <w:sz w:val="24"/>
          <w:highlight w:val="none"/>
        </w:rPr>
        <w:t>细菌感染用药查询</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具备根据病症、病原菌查询药品和用药情况功能。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(14)</w:t>
      </w:r>
      <w:r>
        <w:rPr>
          <w:rFonts w:hint="eastAsia" w:ascii="仿宋" w:hAnsi="仿宋" w:eastAsia="仿宋" w:cs="仿宋"/>
          <w:b/>
          <w:bCs/>
          <w:color w:val="auto"/>
          <w:sz w:val="24"/>
          <w:highlight w:val="none"/>
        </w:rPr>
        <w:t>中医方剂库查询</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具备按方剂名称查询药物及中药方剂的相关知识信息功能。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(15)</w:t>
      </w:r>
      <w:r>
        <w:rPr>
          <w:rFonts w:hint="eastAsia" w:ascii="仿宋" w:hAnsi="仿宋" w:eastAsia="仿宋" w:cs="仿宋"/>
          <w:b/>
          <w:bCs/>
          <w:color w:val="auto"/>
          <w:sz w:val="24"/>
          <w:highlight w:val="none"/>
        </w:rPr>
        <w:t>临床路径查询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具备按肿瘤诊疗规范查询临床路径功能。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具备按发布年份查询临床路径功能。</w:t>
      </w:r>
    </w:p>
    <w:p>
      <w:pPr>
        <w:spacing w:line="360" w:lineRule="auto"/>
        <w:ind w:left="0" w:right="0"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具备对常见疾病病种查询临床路径功能。</w:t>
      </w:r>
    </w:p>
    <w:p>
      <w:pPr>
        <w:numPr>
          <w:ilvl w:val="0"/>
          <w:numId w:val="0"/>
        </w:numPr>
        <w:spacing w:line="360" w:lineRule="auto"/>
        <w:ind w:left="0" w:leftChars="0" w:right="0" w:rightChars="0" w:firstLine="482"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(16)</w:t>
      </w:r>
      <w:r>
        <w:rPr>
          <w:rFonts w:hint="eastAsia" w:ascii="仿宋" w:hAnsi="仿宋" w:eastAsia="仿宋" w:cs="仿宋"/>
          <w:b/>
          <w:bCs/>
          <w:color w:val="auto"/>
          <w:sz w:val="24"/>
          <w:highlight w:val="none"/>
        </w:rPr>
        <w:t>用户自定义智库</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具备创建医院自定义智库目录功能。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具备向医院自定义智库上传pdf/htm文件功能。</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具备搜索和查看医院自定义智库内容功能。</w:t>
      </w:r>
    </w:p>
    <w:p>
      <w:pPr>
        <w:pStyle w:val="6"/>
        <w:numPr>
          <w:ilvl w:val="0"/>
          <w:numId w:val="0"/>
        </w:numPr>
        <w:tabs>
          <w:tab w:val="left" w:pos="1006"/>
        </w:tabs>
        <w:ind w:left="864" w:leftChars="0" w:hanging="864"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0"/>
          <w:highlight w:val="none"/>
          <w:lang w:val="en-US" w:eastAsia="zh-CN" w:bidi="hi-IN"/>
        </w:rPr>
        <w:t>3.2.5.3</w:t>
      </w:r>
      <w:r>
        <w:rPr>
          <w:rFonts w:hint="eastAsia" w:ascii="仿宋" w:hAnsi="仿宋" w:eastAsia="仿宋" w:cs="仿宋"/>
          <w:color w:val="auto"/>
          <w:highlight w:val="none"/>
        </w:rPr>
        <w:t xml:space="preserve"> 处方点评管理模块</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需依据相关政策要求对处方进行事后的系统自动点评、人工点评和对人工点评结果审核，实现全处方/医嘱点评全过程的追溯和点评工作的统计分析。知识库及其使用规则需满足点评的要求，能够根据患者整个治疗周期的情况（包括病案首页信息如诊断与手术切口类型等、病程记录、所用药品、实验室检查、影像学检查等多个指标）评价用药合理性。</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功能要求：处方/医嘱抽取、处方/医嘱系统自动点评、处方/医嘱人工点评、处方/医嘱人工点评结果审核、处方医嘱点评结果公示和反馈等功能。具体功能要求如下：</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3.2.5.3.1</w:t>
      </w:r>
      <w:r>
        <w:rPr>
          <w:rFonts w:hint="eastAsia" w:ascii="仿宋" w:hAnsi="仿宋" w:eastAsia="仿宋" w:cs="仿宋"/>
          <w:color w:val="auto"/>
          <w:sz w:val="24"/>
          <w:szCs w:val="24"/>
          <w:highlight w:val="none"/>
        </w:rPr>
        <w:t>门急诊处方点评</w:t>
      </w:r>
    </w:p>
    <w:p>
      <w:pPr>
        <w:numPr>
          <w:ilvl w:val="0"/>
          <w:numId w:val="12"/>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门急诊处方点评任务管理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通过设置处方抽取条件创建门急诊处方点评计划，并通过设定点评计划的应用范围等条件抽取处方生成门急诊点评任务，具体要求如下：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门急诊处方点评计划设置</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具备新增/删除/修改/启用/停用/复制门急诊处方点评计划功能。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具备设置不同应用范围、抽取方式和点评范围等常用抽取条件功能。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具备设置患者相关信息、处方医师信息、药品相关信息等更多抽取条件功能。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具备只对指定药品进行自动点评和人工点评功能。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具备设置门急诊处方点评单次抽取计划和定期抽取计划功能。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具备对每个点评计划分别设定点评任务表/工作表显示设置功能。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门急诊处方抽取</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具备按设定的门急诊点评计划实时/指定时间或定期抽取处方功能。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具备对抽取的门急诊处方进行系统自动点评功能。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具备查看抽取的门急诊处方明细功能。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具备删除不符合点评任务要求的抽取结果功能。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门急诊处方点评任务分配</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具备指定和不指定点评人的分配处方点评任务功能。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具备在指定点评人时，可随机平均分配点评任务功能。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具备在指定点评人时，可按科室分配点评任务功能。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具备在各点评阶段删除点评任务功能。</w:t>
      </w:r>
    </w:p>
    <w:p>
      <w:pPr>
        <w:numPr>
          <w:ilvl w:val="0"/>
          <w:numId w:val="12"/>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门急诊处方自动点评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对抽取的门急诊处方进行自动点评，具体要求如下：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门急诊处方自动点评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具备开启/关闭门急诊处方自动分析点评模块功能。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具备对待点评的处方进行自动分析并自动生成点评结果功能。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具备对不合理处方按三大类28小项进行系统自动点评功能。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门急诊处方重新自动点评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具备对处方再次进行自动点评并替换原自动点评结果功能。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具备对单张或多张处方进行重新自动点评功能。</w:t>
      </w:r>
    </w:p>
    <w:p>
      <w:pPr>
        <w:numPr>
          <w:ilvl w:val="0"/>
          <w:numId w:val="12"/>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门急诊处方药师点评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通过查看处方明细和自动点评结果，对处方进行人工复评，具体要求如下：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药师人工点评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具备对自动点评结果的合理性、存在问题进行修改功能。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具备对存在问题的名称、问题代码和问题详情等进行编辑功能。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具备对门急诊处方添加非药品问题功能。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人工点评逐条或批量操作</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具备逐条对处方自动点评结果进行复评功能。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具备批量对处方自动点评结果进行复评功能。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人工点评结果修改</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具备在点评任务的不同阶段对点评结果进行修改功能。</w:t>
      </w:r>
    </w:p>
    <w:p>
      <w:pPr>
        <w:numPr>
          <w:ilvl w:val="0"/>
          <w:numId w:val="12"/>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门急诊处方点评结果查看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门急诊处方点评结果查看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具备分别查看药师点评和系统自动点评结果功能。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具备分别查看药师点评和系统自动点评结果明细功能。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具备导出药师点评和系统自动点评结果明细功能。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门急诊处方点评历史查看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具备记录处方在不同点评阶段的用户操作明细功能。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具备对临床医师屏蔽部分点评历史内容功能。</w:t>
      </w:r>
    </w:p>
    <w:p>
      <w:pPr>
        <w:numPr>
          <w:ilvl w:val="0"/>
          <w:numId w:val="12"/>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门急诊患者信息查看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处方笺查看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具备在点评过程中查看处方笺明细功能。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具备配置处方笺前记显示内容功能。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具备翻页查看不同患者处方笺功能。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具备查看患者所有相关处方功能。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患者相关信息查看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支持对接医疗机构的临床数据中心系统，并进行数据交互功能。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具备通过处方笺调阅患者相关诊断、检验检查和电子病历功能。</w:t>
      </w:r>
    </w:p>
    <w:p>
      <w:pPr>
        <w:numPr>
          <w:ilvl w:val="0"/>
          <w:numId w:val="12"/>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门急诊点评审核</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rPr>
        <w:t>门急诊点评结果审核</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具备逐条或批量对处方点评结果进行审核功能。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具备记录审核不通过理由功能。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具备在点评结果通过审核后生成点评工作表功能。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门急诊点评结果打回</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具备将审核不通过的处方点评结果打回重新点评功能。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门急诊审核不通过重评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具备对审核不通过被打回的处方坚持原点评结果功能。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具备对审核不通过被打回的处方进行点评结果修改功能。</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具备再次提交点评结果进行审核功能。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3.2.5.3.2</w:t>
      </w:r>
      <w:r>
        <w:rPr>
          <w:rFonts w:hint="eastAsia" w:ascii="仿宋" w:hAnsi="仿宋" w:eastAsia="仿宋" w:cs="仿宋"/>
          <w:color w:val="auto"/>
          <w:sz w:val="24"/>
          <w:szCs w:val="24"/>
          <w:highlight w:val="none"/>
        </w:rPr>
        <w:t>住院医嘱点评</w:t>
      </w:r>
    </w:p>
    <w:p>
      <w:pPr>
        <w:numPr>
          <w:ilvl w:val="0"/>
          <w:numId w:val="13"/>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住院医嘱点评任务管理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通过设置住院病历抽取条件创建住院医嘱点评计划，并通过设定点评计划的应用范围等条件抽取住院病历并生成住院医嘱点评任务，具体要求如下：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住院医嘱点评计划设置</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具备新增/删除/修改/启用/停用/复制住院医嘱点评计划功能。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具备设置住院医嘱点评单次抽取计划和定期抽取计划功能。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具备设置不同应用范围、抽取方式和点评范围等常用抽取条件功能。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具备设置患者相关信息、开嘱医师、药品、手术相关信息等更多抽取条件功能。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具备只对指定药品进行自动点评和人工点评功能。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具备对每个点评计划分别设定点评任务表/工作表显示设置功能。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住院病历抽取</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具备按设定的住院医嘱点评计划实时/指定时间或定期抽取病历功能。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具备对抽取的住院医嘱进行系统自动点评功能。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具备查看抽取的住院病历明细功能。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具备删除不符合点评任务要求的抽取结果功能。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住院医嘱点评任务分配</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具备指定和不指定点评人的分配处方点评任务功能。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具备在指定点评人时，可随机平均分配点评任务功能。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具备在指定点评人时，可按科室分配点评任务功能。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具备在各点评阶段删除点评任务功能。</w:t>
      </w:r>
    </w:p>
    <w:p>
      <w:pPr>
        <w:numPr>
          <w:ilvl w:val="0"/>
          <w:numId w:val="13"/>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住院医嘱自动点评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对抽取的住院病历进行自动点评，并生成点评任务，具体要求如下：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住院病历自动点评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具备开启/关闭住院医嘱自动分析点评模块功能。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具备对待点评的住院病历进行自动分析并自动生成点评结果功能。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具备对不合理医嘱按三大类28小项进行系统自动点评功能。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住院医嘱重新自动点评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具备对处方再次进行自动点评并替换原自动点评结果功能。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具备对单张或多张处方进行重新自动点评功能。</w:t>
      </w:r>
    </w:p>
    <w:p>
      <w:pPr>
        <w:numPr>
          <w:ilvl w:val="0"/>
          <w:numId w:val="13"/>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住院医嘱药师点评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通过查看处方明细和自动点评结果，对住院医嘱进行人工复评，具体要求如下：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药师人工点评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具备对住院病历自动点评结果的合理性、存在问题进行修改功能。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具备对医嘱存在问题的名称、问题代码和问题详情等进行编辑功能。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具备对住院病历添加非药品问题功能。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人工点评逐条或批量操作</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具备逐条对病历和医嘱自动点评结果进行复评功能。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具备批量对病历和医嘱自动点评结果进行复评功能。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人工点评结果修改</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具备在点评任务的不同阶段对点评结果进行修改功能。</w:t>
      </w:r>
    </w:p>
    <w:p>
      <w:pPr>
        <w:numPr>
          <w:ilvl w:val="0"/>
          <w:numId w:val="13"/>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住院医嘱点评结果查看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住院医嘱点评结果查看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具备分别查看药师点评和系统自动点评结果功能。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具备分别查看药师点评和系统自动点评结果明细功能。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具备导出药师点评和系统自动点评结果明细功能。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住院医嘱点评历史查看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具备记录病历在不同点评阶段的用户操作明细功能。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具备对临床医师屏蔽部分点评历史内容功能。</w:t>
      </w:r>
    </w:p>
    <w:p>
      <w:pPr>
        <w:numPr>
          <w:ilvl w:val="0"/>
          <w:numId w:val="13"/>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住院患者信息查看</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病历及医嘱查看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具备在点评过程中查看患者信息和医嘱明细功能。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具备对医嘱进行排序和筛选功能。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患者相关信息查看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具备对接医疗机构的临床数据中心系统，并进行数据交互功能。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具备通过病历调阅患者相关诊断、检验检查和电子病历功能。</w:t>
      </w:r>
    </w:p>
    <w:p>
      <w:pPr>
        <w:numPr>
          <w:ilvl w:val="0"/>
          <w:numId w:val="13"/>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住院医嘱点评审核</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rPr>
        <w:t>住院医嘱点评结果审核</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具备逐条或批量对病历点评结果进行审核功能。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具备记录审核不通过理由功能。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具备在点评结果通过审核后生成点评工作表功能。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住院医嘱点评结果打回</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具备将审核不通过的病历点评结果打回重新点评功能。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住院医嘱审核不通过重评</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具备对审核不通过被打回的病历坚持原点评结果功能。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具备对审核不通过被打回的病历进行点评结果修改功能。</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具备再次提交点评结果进行审核功能。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3.2.5.3.3</w:t>
      </w:r>
      <w:r>
        <w:rPr>
          <w:rFonts w:hint="eastAsia" w:ascii="仿宋" w:hAnsi="仿宋" w:eastAsia="仿宋" w:cs="仿宋"/>
          <w:color w:val="auto"/>
          <w:sz w:val="24"/>
          <w:szCs w:val="24"/>
          <w:highlight w:val="none"/>
        </w:rPr>
        <w:t>生成点评结果报表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完成点评任务后，可生成点评结果报表，具体要求如下：</w:t>
      </w:r>
    </w:p>
    <w:p>
      <w:pPr>
        <w:numPr>
          <w:ilvl w:val="0"/>
          <w:numId w:val="0"/>
        </w:numPr>
        <w:spacing w:line="360" w:lineRule="auto"/>
        <w:ind w:left="0" w:leftChars="0" w:right="0" w:rightChars="0" w:firstLine="480" w:firstLineChars="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生成点评结果报表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具备完成点评任务后生成处方点评工作表等统计报表功能。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具备生成点评结果常规统计和分类统计报表功能。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具备生成不同类型专项点评专项报表功能。</w:t>
      </w:r>
    </w:p>
    <w:p>
      <w:pPr>
        <w:numPr>
          <w:ilvl w:val="0"/>
          <w:numId w:val="0"/>
        </w:numPr>
        <w:spacing w:line="360" w:lineRule="auto"/>
        <w:ind w:left="0" w:leftChars="0" w:right="0" w:rightChars="0" w:firstLine="480" w:firstLineChars="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更新点评结果报表</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具备点评结果改变时更新所有点评结果统计报表功能。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3.2.5.3.4</w:t>
      </w:r>
      <w:r>
        <w:rPr>
          <w:rFonts w:hint="eastAsia" w:ascii="仿宋" w:hAnsi="仿宋" w:eastAsia="仿宋" w:cs="仿宋"/>
          <w:color w:val="auto"/>
          <w:sz w:val="24"/>
          <w:szCs w:val="24"/>
          <w:highlight w:val="none"/>
        </w:rPr>
        <w:t>点评结果公示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通过线上发布处方/医嘱点评结果，获取处方医生临床反馈，具体要求如下：</w:t>
      </w:r>
    </w:p>
    <w:p>
      <w:pPr>
        <w:numPr>
          <w:ilvl w:val="0"/>
          <w:numId w:val="14"/>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临床反馈</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点评结果推送</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具备在点评任务完成后将处方/病历点评结果推送给管理人员功能。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点评结果公示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具备配置是否公示点评结果功能。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具备自定义点评结果公示天数功能。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具备对点评结果进行公示/撤销公示功能。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点评结果反馈</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具备对接临床业务系统进行点评结果公示和反馈操作功能。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具备处方医师就处方/病历点评结果提交反馈意见功能。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反馈意见回复</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具备在收到反馈意见后对点评结果进行修改功能。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具备在收到反馈意见后仍坚持原点评结果功能。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回复采纳/继续反馈</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具备医师采纳药师对反馈意见回复内容功能。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具备医师对药师反馈意见回复内容不满意时仍可继续反馈功能。</w:t>
      </w:r>
    </w:p>
    <w:p>
      <w:pPr>
        <w:numPr>
          <w:ilvl w:val="0"/>
          <w:numId w:val="14"/>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点评结果常规统计报表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常规统计报表，包括：点评工作表、综合统计报表、分类统计报表等三类报表：</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处方点评工作表查看和导出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具备对点评结果进行数据统计和多条件筛选功能。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具备自定义点评工作表显示字段和字段排序功能。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具备只显示有问题药品/医嘱功能。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具备导出点评工作表功能。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具备从抽取范围、统计说明了解点评任务基本信息功能。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处方点评结果统计表查看和导出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具备生成处方点评结果统计表，对点评结果进行统计功能。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具备对多条件筛选的点评结果进行统计功能。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具备从统计数据下钻查看处方和病历点评结果功能。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具备导出处方点评结果统计表功能。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处方存在问题统计查看和导出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具备对点评结果按不同问题类型进行分类统计功能。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具备对多条件筛选的存在问题进行统计功能。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具备从统计数据下钻查看处方和病历点评结果功能。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具备导出处方点评存在问题统计表功能。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处方点评问题明细表查看和导出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具备显示处方和病历点评结果明细功能。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具备显示多条件筛选的点评结果明细功能。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具备自定义显示字段和字段排序功能。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具备导出点评结果明细表功能。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处方点评结果差异明细表查看和导出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具备显示人工点评与自动点评不一致的点评结果明细功能。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具备显示多条件筛选的点评结果明细功能。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具备导出点评结果明细表功能。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点评结果统计表（按科室/按医师/按药品）查看/导出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具备生成处方点评结果统计表（按科室/按医师/按药品），对点评结果按科室/按医师/按药品进行分类统计功能。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具备对多条件筛选的点评结果进行统计功能。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具备自定义点评工作表显示字段和字段排序功能。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具备从统计数据下钻查看处方和病历点评结果功能。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具备导出处方点评结果统计表功能。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点评问题统计表（按科室/按医师/按药品）查看/导出</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具备对点评结果按科室/按医师/按药品进行不同问题类型分类统计功能。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具备对多条件筛选的存在问题进行统计功能。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具备从统计数据下钻查看处方和病历点评结果功能。</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具备导出处方点评存在问题统计表功能。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3.2.5.3.5</w:t>
      </w:r>
      <w:r>
        <w:rPr>
          <w:rFonts w:hint="eastAsia" w:ascii="仿宋" w:hAnsi="仿宋" w:eastAsia="仿宋" w:cs="仿宋"/>
          <w:color w:val="auto"/>
          <w:sz w:val="24"/>
          <w:szCs w:val="24"/>
          <w:highlight w:val="none"/>
        </w:rPr>
        <w:t>点评结果归档</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点评结果公示期结束后，可将点评结果归档，具体要求如下：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具备在临床反馈截止后对点评结果进行归档功能。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具备在归档前对点评结果进行修改功能。</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具备在归档后只可查看不能修改功能。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3.2.5.3.6</w:t>
      </w:r>
      <w:r>
        <w:rPr>
          <w:rFonts w:hint="eastAsia" w:ascii="仿宋" w:hAnsi="仿宋" w:eastAsia="仿宋" w:cs="仿宋"/>
          <w:color w:val="auto"/>
          <w:sz w:val="24"/>
          <w:szCs w:val="24"/>
          <w:highlight w:val="none"/>
        </w:rPr>
        <w:t>处方点评个性化配置</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对处方点评流程及功能进行配置和管理，对点评结果报表、回复模板等进行个性化配置，具体要求如下：</w:t>
      </w:r>
    </w:p>
    <w:p>
      <w:pPr>
        <w:numPr>
          <w:ilvl w:val="0"/>
          <w:numId w:val="4"/>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点评流程配置</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处方点评功能开关</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具备对处方点评系统中消息功能进行管理功能。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具备只公示有问题处方和病历点评结果功能。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具备对医师查看点评结果范围进行管理功能。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具备对医师屏蔽点评人信息进行管理功能。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个性化流程配置</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具备对不同类型点评模块的点评流程进行分别设置功能。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具备对人工复评、点评审核、定期计划、临床反馈、点评结果推送、公示点评结果等功能进行开启/关闭操作功能。</w:t>
      </w:r>
    </w:p>
    <w:p>
      <w:pPr>
        <w:numPr>
          <w:ilvl w:val="0"/>
          <w:numId w:val="4"/>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表单个性化配置</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系统表单字段个性化设置</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具备对门急诊处方点评、住院医嘱点评、门急诊处方专项点评、住院医嘱专项点评等点评模块分别进行个性化配置功能。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具备对处方点评/医嘱点评常用抽取条件进行个性化配置功能。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具备对处方点评/医嘱点评的点评任务表字段进行个性化配置功能。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具备对处方点评/医嘱点评的点评工作表字段进行个性化配置功能。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具备对处方点评/医嘱点评的点评结果明细表字段进行个性化配置功能。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具备对处方/病历的“前记”字段进行个性化配置功能。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具备对点评结果分类统计表的字段进行个性化配置功能。</w:t>
      </w:r>
    </w:p>
    <w:p>
      <w:pPr>
        <w:numPr>
          <w:ilvl w:val="0"/>
          <w:numId w:val="4"/>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自定义回复模板</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具备对人工点评备注/审核不通过理由/坚持原点评结果模板/回复反馈意见模板进行自定义设置功能。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具备对自定义回复模板进行新增/启用/停用/删除/修改等操作功能。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具备对自定义回复模板进行多条件筛选和关键词搜索功能。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具备处方点评过程中快速调用自定义回复模板内容功能。</w:t>
      </w:r>
    </w:p>
    <w:p>
      <w:pPr>
        <w:numPr>
          <w:ilvl w:val="0"/>
          <w:numId w:val="4"/>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自定义药品属性</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具备关联医疗机构药品字典及药品标识功能。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具备从药品清单中选择或批量导入药品清单创建自定义药品属性功能。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具备对自定义药品属性进行新增/启用/停用/删除/修改/复制等操作功能。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具备对自定义药品属性进行多条件筛选和关键词搜索功能。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具备使用自定义药品属性进行抽取/筛选处方和病历功能。</w:t>
      </w:r>
    </w:p>
    <w:p>
      <w:pPr>
        <w:numPr>
          <w:ilvl w:val="0"/>
          <w:numId w:val="4"/>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点评方案模板</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8.1</w:t>
      </w:r>
      <w:r>
        <w:rPr>
          <w:rFonts w:hint="eastAsia" w:ascii="仿宋" w:hAnsi="仿宋" w:eastAsia="仿宋" w:cs="仿宋"/>
          <w:color w:val="auto"/>
          <w:sz w:val="24"/>
          <w:highlight w:val="none"/>
        </w:rPr>
        <w:t>点评方案模板管理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具备查看和复制不同类型门急诊处方和住院医嘱系统默认专项点评方案模板功能。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具备新增/复制/修改/停用/启用/删除专项点评方案模板功能。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具备多条件筛选和关键词搜索点评方案模板功能。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具备为不同类型门急诊处方和住院医嘱专项点评创建自定义点评方案模板（包括自定义评价项目和合理处方标准）功能。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8.2</w:t>
      </w:r>
      <w:r>
        <w:rPr>
          <w:rFonts w:hint="eastAsia" w:ascii="仿宋" w:hAnsi="仿宋" w:eastAsia="仿宋" w:cs="仿宋"/>
          <w:color w:val="auto"/>
          <w:sz w:val="24"/>
          <w:highlight w:val="none"/>
        </w:rPr>
        <w:t>特殊评价项目管理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具备新增/修改/删除特殊评价项目功能。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具备自定义创建特殊评价项目（包括自定义评价内容、问题等级、初始扣分等）功能。</w:t>
      </w:r>
    </w:p>
    <w:p>
      <w:pPr>
        <w:numPr>
          <w:ilvl w:val="0"/>
          <w:numId w:val="4"/>
        </w:num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用户权限管控</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9.1</w:t>
      </w:r>
      <w:r>
        <w:rPr>
          <w:rFonts w:hint="eastAsia" w:ascii="仿宋" w:hAnsi="仿宋" w:eastAsia="仿宋" w:cs="仿宋"/>
          <w:color w:val="auto"/>
          <w:sz w:val="24"/>
          <w:highlight w:val="none"/>
        </w:rPr>
        <w:t>用户管理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具备关联医院组织架构，查看和搜索科室和用户功能。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具备查看和编辑用户信息功能。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具备批量对用户账号进行停用/启用操作功能。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具备批量对用户账号的登录密码进行重置功能。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具备批量或逐一对用户进行角色指派功能。</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9.2</w:t>
      </w:r>
      <w:r>
        <w:rPr>
          <w:rFonts w:hint="eastAsia" w:ascii="仿宋" w:hAnsi="仿宋" w:eastAsia="仿宋" w:cs="仿宋"/>
          <w:color w:val="auto"/>
          <w:sz w:val="24"/>
          <w:highlight w:val="none"/>
        </w:rPr>
        <w:t>用户角色管理</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具备查看和修改系统默认用户角色功能。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具备自定义创建用户角色、为不同角色分配不同操作权限功能。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具备对用户角色进行修改/删除/停用/启用等操作功能。</w:t>
      </w:r>
    </w:p>
    <w:p>
      <w:pPr>
        <w:spacing w:line="360" w:lineRule="auto"/>
        <w:ind w:left="0" w:right="0" w:firstLine="48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具备对用户角色进行筛选和搜索功能。</w:t>
      </w:r>
    </w:p>
    <w:p>
      <w:pPr>
        <w:pStyle w:val="6"/>
        <w:numPr>
          <w:ilvl w:val="0"/>
          <w:numId w:val="0"/>
        </w:numPr>
        <w:tabs>
          <w:tab w:val="left" w:pos="720"/>
          <w:tab w:val="left" w:pos="1006"/>
        </w:tabs>
        <w:ind w:left="567" w:leftChars="0" w:right="0" w:righ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bidi="hi-IN"/>
        </w:rPr>
        <w:t>3.2.5.4</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处方智能审核</w:t>
      </w:r>
      <w:r>
        <w:rPr>
          <w:rFonts w:hint="eastAsia" w:ascii="仿宋" w:hAnsi="仿宋" w:eastAsia="仿宋" w:cs="仿宋"/>
          <w:color w:val="auto"/>
          <w:highlight w:val="none"/>
          <w:lang w:val="en-US" w:eastAsia="zh-CN"/>
        </w:rPr>
        <w:t>模块</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3.2.5.4.1</w:t>
      </w:r>
      <w:r>
        <w:rPr>
          <w:rFonts w:hint="eastAsia" w:ascii="仿宋" w:hAnsi="仿宋" w:eastAsia="仿宋" w:cs="仿宋"/>
          <w:color w:val="auto"/>
          <w:sz w:val="24"/>
          <w:szCs w:val="24"/>
          <w:highlight w:val="none"/>
          <w:lang w:eastAsia="zh-CN"/>
        </w:rPr>
        <w:t>处方自动提醒</w:t>
      </w:r>
    </w:p>
    <w:p>
      <w:pPr>
        <w:spacing w:line="360" w:lineRule="auto"/>
        <w:ind w:left="0" w:right="0"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当系统检测到有新的待审核处方时，系统会角标的方式显示待审核处方数量，待审核列表内容自动刷新，方便药师查看审核处方。</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3.2.5.4.2</w:t>
      </w:r>
      <w:r>
        <w:rPr>
          <w:rFonts w:hint="eastAsia" w:ascii="仿宋" w:hAnsi="仿宋" w:eastAsia="仿宋" w:cs="仿宋"/>
          <w:color w:val="auto"/>
          <w:sz w:val="24"/>
          <w:szCs w:val="24"/>
          <w:highlight w:val="none"/>
          <w:lang w:eastAsia="zh-CN"/>
        </w:rPr>
        <w:t>处方智能审核</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待审核处方查询</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实时显示待审核处方列表，显示待审核处方，每个处方自动倒计时，急诊处方区别显示，可通过处方号、就诊号模糊检索，按急诊处方、重审（申诉）、处方时间排序。</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查询患者待审核处方</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按照患者查询该患者当前需要审核的处方，按照患者登记号进行查询。</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处方审核倒计时</w:t>
      </w:r>
    </w:p>
    <w:p>
      <w:pPr>
        <w:tabs>
          <w:tab w:val="left" w:pos="420"/>
        </w:tabs>
        <w:spacing w:before="0" w:after="0"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对每条待审核处方进行倒计时，超时的处方将自动审核通过。</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批量审核处方</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批量对患者的处方进行审核。 </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查看处方详情</w:t>
      </w:r>
    </w:p>
    <w:p>
      <w:pPr>
        <w:tabs>
          <w:tab w:val="left" w:pos="420"/>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查看处方的详细信息，包括患者基本信息、处方详情、处方问题详情、处方审核历史。</w:t>
      </w:r>
    </w:p>
    <w:p>
      <w:pPr>
        <w:tabs>
          <w:tab w:val="left" w:pos="420"/>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显示患者基本信息：门诊号、患者姓名、性别、年龄、出生日期、科室、医生、体重、身高、诊断信息、用药备注</w:t>
      </w:r>
    </w:p>
    <w:p>
      <w:pPr>
        <w:tabs>
          <w:tab w:val="left" w:pos="420"/>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显示处方详情：处方号、药品名称、规格、给药途径、单次用量、用药方法、服药天数、开处方医生工号、开处方医生、患者当前科室、用药组号、药品编码</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双击药品名称查看药品说明书。</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审方通知</w:t>
      </w:r>
    </w:p>
    <w:p>
      <w:pPr>
        <w:tabs>
          <w:tab w:val="left" w:pos="420"/>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通知医师审方结果，包括审方通过、审方打回；医师可在通知界面填写用药理由并且重新提交审核                          </w:t>
      </w:r>
    </w:p>
    <w:p>
      <w:pPr>
        <w:tabs>
          <w:tab w:val="left" w:pos="420"/>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1） 通知进入审方中心</w:t>
      </w:r>
    </w:p>
    <w:p>
      <w:pPr>
        <w:tabs>
          <w:tab w:val="left" w:pos="420"/>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 通知审方被打回</w:t>
      </w:r>
    </w:p>
    <w:p>
      <w:pPr>
        <w:tabs>
          <w:tab w:val="left" w:pos="420"/>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3） 通知审方通过</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4） 审方互动 </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患者信息全景视图</w:t>
      </w:r>
    </w:p>
    <w:p>
      <w:pPr>
        <w:tabs>
          <w:tab w:val="left" w:pos="420"/>
        </w:tabs>
        <w:spacing w:before="0" w:after="0"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为临床药师提供全处方浏览，可按病区、科室、处方（医嘱）状态、诊断、药品、患者信息、危机值等查询浏览处方（医嘱）等；可进行以处方（医嘱）为中心或以患者为中心的视图切换</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检验结果查询</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药师可以查看患者历次检验的具体信息，查看患者的检验指标信息，方便药师进行干预。</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检查结果查询</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药师可以查看患者历次检查的具体信息，方便药师进行干预。</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案例收藏</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有价值的处方审核按主题、级别及分享范围进行收藏，可取消收藏</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医生申诉</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医生对药师的审核结果存在不一致的情况，可进行申诉。</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医生药师在线交流</w:t>
      </w:r>
    </w:p>
    <w:p>
      <w:pPr>
        <w:tabs>
          <w:tab w:val="left" w:pos="420"/>
        </w:tabs>
        <w:spacing w:line="360" w:lineRule="auto"/>
        <w:ind w:left="0" w:right="0"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方便药师和医生对处方情况，进行实时在线交流沟通</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3.2.5.4.3</w:t>
      </w:r>
      <w:r>
        <w:rPr>
          <w:rFonts w:hint="eastAsia" w:ascii="仿宋" w:hAnsi="仿宋" w:eastAsia="仿宋" w:cs="仿宋"/>
          <w:color w:val="auto"/>
          <w:sz w:val="24"/>
          <w:szCs w:val="24"/>
          <w:highlight w:val="none"/>
          <w:lang w:eastAsia="zh-CN"/>
        </w:rPr>
        <w:t>查询模块</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查询历史审核处方</w:t>
      </w:r>
    </w:p>
    <w:p>
      <w:pPr>
        <w:widowControl/>
        <w:spacing w:line="360" w:lineRule="auto"/>
        <w:ind w:left="0" w:right="0"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查询已经完成审核的处方信息           </w:t>
      </w:r>
    </w:p>
    <w:p>
      <w:pPr>
        <w:widowControl/>
        <w:spacing w:line="360" w:lineRule="auto"/>
        <w:ind w:left="0" w:right="0"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显示处方的概要信息：处理状态、就诊号/住院号、处方号、提交时间、患者姓名、性别、年龄、诊断、标识、问题标题、处方内容、科室、床位(住院)、用药备注，审核药师、医生双签理由、药师备注</w:t>
      </w:r>
    </w:p>
    <w:p>
      <w:pPr>
        <w:widowControl/>
        <w:spacing w:line="360" w:lineRule="auto"/>
        <w:ind w:left="0" w:right="0"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通过就诊号/住院号、处方号、登记号模糊查询，通过问题类型、药品查询。通过开始时间、结束时间限定查询。通过审方状态筛选查询：审核通过、审核未通过、超时自动通过、自动审核通过、待审；</w:t>
      </w:r>
    </w:p>
    <w:p>
      <w:pPr>
        <w:widowControl/>
        <w:spacing w:line="360" w:lineRule="auto"/>
        <w:ind w:left="0" w:right="0"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分页显示处方列表</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4) 不同审核状态的处方显示不同颜色</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审方药师列表</w:t>
      </w:r>
    </w:p>
    <w:p>
      <w:pPr>
        <w:spacing w:line="360" w:lineRule="auto"/>
        <w:ind w:left="0" w:right="0"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查询药师审方科室及数据</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3.2.5.4.4</w:t>
      </w:r>
      <w:r>
        <w:rPr>
          <w:rFonts w:hint="eastAsia" w:ascii="仿宋" w:hAnsi="仿宋" w:eastAsia="仿宋" w:cs="仿宋"/>
          <w:color w:val="auto"/>
          <w:sz w:val="24"/>
          <w:szCs w:val="24"/>
          <w:highlight w:val="none"/>
          <w:lang w:eastAsia="zh-CN"/>
        </w:rPr>
        <w:t>统计分析</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处方审核工作情况查询</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时间段内审核药品总数、全部处方数、药处方修改次数汇总、不合格率、审核总任务数、系统拦截率等。</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审核覆盖范围查询</w:t>
      </w:r>
    </w:p>
    <w:p>
      <w:pPr>
        <w:tabs>
          <w:tab w:val="left" w:pos="420"/>
        </w:tabs>
        <w:spacing w:before="0" w:after="0"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时间段内审核的处方药品类型分布</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审核干预情况查询（按科室）</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按科室进行审核的情况汇总，按科室查询总任务数、系统审核不合理任务数、系统审核不合格率、医生修改任务数等，并可按图表查询各科室的任务分布情况。</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审核干预情况查询（按医师）</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按医师进行审核的情况汇总。按医生查询总任务数、系统审核不合理任务数、系统审核不合格率、医生修改任务数等。</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审核干预情况查询（按药品）</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按药品进行审核的情况汇总，查询药品名称、剂型等，药师干预次数、药师干预率、药师拒绝率等。</w:t>
      </w:r>
    </w:p>
    <w:p>
      <w:pPr>
        <w:pStyle w:val="8"/>
        <w:tabs>
          <w:tab w:val="left" w:pos="1008"/>
        </w:tabs>
        <w:spacing w:before="0" w:after="0" w:line="360" w:lineRule="auto"/>
        <w:ind w:left="1287" w:right="0" w:hanging="1009"/>
        <w:rPr>
          <w:rFonts w:hint="eastAsia" w:ascii="仿宋" w:hAnsi="仿宋" w:eastAsia="仿宋" w:cs="仿宋"/>
          <w:color w:val="auto"/>
          <w:sz w:val="24"/>
          <w:highlight w:val="none"/>
          <w:lang w:val="zh-CN"/>
        </w:rPr>
      </w:pPr>
      <w:r>
        <w:rPr>
          <w:rFonts w:hint="eastAsia" w:ascii="仿宋" w:hAnsi="仿宋" w:eastAsia="仿宋" w:cs="仿宋"/>
          <w:color w:val="auto"/>
          <w:highlight w:val="none"/>
        </w:rPr>
        <w:t>审核干预情况查询（按药师）</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lang w:val="zh-CN"/>
        </w:rPr>
        <w:tab/>
      </w:r>
      <w:r>
        <w:rPr>
          <w:rFonts w:hint="eastAsia" w:ascii="仿宋" w:hAnsi="仿宋" w:eastAsia="仿宋" w:cs="仿宋"/>
          <w:color w:val="auto"/>
          <w:sz w:val="24"/>
          <w:highlight w:val="none"/>
          <w:lang w:val="zh-CN"/>
        </w:rPr>
        <w:t>按药师进行审核的情况汇总。查询时间段内药师在线时长、平均审核时长、药师审核总任务数、药师审核率、药师干预率等。</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审核状态查询</w:t>
      </w:r>
    </w:p>
    <w:p>
      <w:pPr>
        <w:tabs>
          <w:tab w:val="left" w:pos="420"/>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人工审核结果分布</w:t>
      </w:r>
    </w:p>
    <w:p>
      <w:pPr>
        <w:pStyle w:val="8"/>
        <w:tabs>
          <w:tab w:val="left" w:pos="1008"/>
        </w:tabs>
        <w:spacing w:before="0" w:after="0" w:line="360" w:lineRule="auto"/>
        <w:ind w:left="1287" w:right="0" w:hanging="1009"/>
        <w:rPr>
          <w:rFonts w:hint="eastAsia" w:ascii="仿宋" w:hAnsi="仿宋" w:eastAsia="仿宋" w:cs="仿宋"/>
          <w:color w:val="auto"/>
          <w:sz w:val="24"/>
          <w:highlight w:val="none"/>
          <w:lang w:val="zh-CN"/>
        </w:rPr>
      </w:pPr>
      <w:r>
        <w:rPr>
          <w:rFonts w:hint="eastAsia" w:ascii="仿宋" w:hAnsi="仿宋" w:eastAsia="仿宋" w:cs="仿宋"/>
          <w:color w:val="auto"/>
          <w:highlight w:val="none"/>
        </w:rPr>
        <w:t>当日审核动态监测</w:t>
      </w:r>
    </w:p>
    <w:p>
      <w:pPr>
        <w:spacing w:line="360" w:lineRule="auto"/>
        <w:ind w:left="-2" w:right="0"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zh-CN"/>
        </w:rPr>
        <w:tab/>
      </w:r>
      <w:r>
        <w:rPr>
          <w:rFonts w:hint="eastAsia" w:ascii="仿宋" w:hAnsi="仿宋" w:eastAsia="仿宋" w:cs="仿宋"/>
          <w:color w:val="auto"/>
          <w:sz w:val="24"/>
          <w:highlight w:val="none"/>
          <w:lang w:val="zh-CN"/>
        </w:rPr>
        <w:t>当日的处方总量、人工审方数量、人工审方拒绝发药数等数据监测。</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lang w:val="zh-CN"/>
        </w:rPr>
      </w:pPr>
      <w:r>
        <w:rPr>
          <w:rFonts w:hint="eastAsia" w:ascii="仿宋" w:hAnsi="仿宋" w:eastAsia="仿宋" w:cs="仿宋"/>
          <w:b/>
          <w:bCs/>
          <w:color w:val="auto"/>
          <w:sz w:val="24"/>
          <w:szCs w:val="28"/>
          <w:highlight w:val="none"/>
          <w:lang w:val="zh-CN" w:eastAsia="zh-CN" w:bidi="hi-IN"/>
        </w:rPr>
        <w:t>3.2.5.4.5</w:t>
      </w:r>
      <w:r>
        <w:rPr>
          <w:rFonts w:hint="eastAsia" w:ascii="仿宋" w:hAnsi="仿宋" w:eastAsia="仿宋" w:cs="仿宋"/>
          <w:color w:val="auto"/>
          <w:sz w:val="24"/>
          <w:szCs w:val="24"/>
          <w:highlight w:val="none"/>
          <w:lang w:eastAsia="zh-CN"/>
        </w:rPr>
        <w:t>系统配置</w:t>
      </w:r>
    </w:p>
    <w:p>
      <w:pPr>
        <w:spacing w:line="360" w:lineRule="auto"/>
        <w:ind w:left="0" w:right="0"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val="zh-CN"/>
        </w:rPr>
        <w:t>包括审方超时时间设定，审方科室设定，药师的审方科室分配开关，药师分配审方科室，审方级别设定，审方时间段设定等功能。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lang w:val="zh-CN"/>
        </w:rPr>
      </w:pPr>
      <w:r>
        <w:rPr>
          <w:rFonts w:hint="eastAsia" w:ascii="仿宋" w:hAnsi="仿宋" w:eastAsia="仿宋" w:cs="仿宋"/>
          <w:b/>
          <w:bCs/>
          <w:color w:val="auto"/>
          <w:sz w:val="24"/>
          <w:szCs w:val="28"/>
          <w:highlight w:val="none"/>
          <w:lang w:val="zh-CN" w:eastAsia="zh-CN" w:bidi="hi-IN"/>
        </w:rPr>
        <w:t>3.2.5.4.6</w:t>
      </w:r>
      <w:r>
        <w:rPr>
          <w:rFonts w:hint="eastAsia" w:ascii="仿宋" w:hAnsi="仿宋" w:eastAsia="仿宋" w:cs="仿宋"/>
          <w:color w:val="auto"/>
          <w:sz w:val="24"/>
          <w:szCs w:val="24"/>
          <w:highlight w:val="none"/>
          <w:lang w:eastAsia="zh-CN"/>
        </w:rPr>
        <w:t>基础数据维护</w:t>
      </w:r>
    </w:p>
    <w:p>
      <w:pPr>
        <w:spacing w:line="360" w:lineRule="auto"/>
        <w:ind w:left="0" w:right="0" w:firstLine="48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zh-CN"/>
        </w:rPr>
        <w:t>包括审核状态管理，药师审核建议管理，科室组模板维护，申诉建议维护，药师在线状态管理，处方自动提醒等功能。</w:t>
      </w:r>
    </w:p>
    <w:p>
      <w:pPr>
        <w:pStyle w:val="6"/>
        <w:numPr>
          <w:ilvl w:val="0"/>
          <w:numId w:val="0"/>
        </w:numPr>
        <w:tabs>
          <w:tab w:val="left" w:pos="1006"/>
        </w:tabs>
        <w:ind w:left="1006" w:leftChars="0" w:right="0" w:rightChars="0" w:hanging="864"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3.2.5.5</w:t>
      </w:r>
      <w:r>
        <w:rPr>
          <w:rFonts w:hint="eastAsia" w:ascii="仿宋" w:hAnsi="仿宋" w:eastAsia="仿宋" w:cs="仿宋"/>
          <w:color w:val="auto"/>
          <w:highlight w:val="none"/>
          <w:lang w:val="en-US" w:eastAsia="zh-CN"/>
        </w:rPr>
        <w:t xml:space="preserve"> 临床药师工作模块</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3.2.5.5.1</w:t>
      </w:r>
      <w:r>
        <w:rPr>
          <w:rFonts w:hint="eastAsia" w:ascii="仿宋" w:hAnsi="仿宋" w:eastAsia="仿宋" w:cs="仿宋"/>
          <w:color w:val="auto"/>
          <w:sz w:val="24"/>
          <w:szCs w:val="24"/>
          <w:highlight w:val="none"/>
        </w:rPr>
        <w:t>住院</w:t>
      </w:r>
      <w:r>
        <w:rPr>
          <w:rFonts w:hint="eastAsia" w:ascii="仿宋" w:hAnsi="仿宋" w:eastAsia="仿宋" w:cs="仿宋"/>
          <w:color w:val="auto"/>
          <w:sz w:val="24"/>
          <w:szCs w:val="24"/>
          <w:highlight w:val="none"/>
          <w:lang w:val="en-US" w:eastAsia="zh-CN"/>
        </w:rPr>
        <w:t>管理</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患者信息监测</w:t>
      </w:r>
    </w:p>
    <w:p>
      <w:pPr>
        <w:widowControl/>
        <w:spacing w:line="360" w:lineRule="auto"/>
        <w:ind w:left="0" w:right="0"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系统能实时获取在院患者医疗数据，让药师及时了解患者用药情况。</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系统能根据药师设置的规则对患者数据进行监测并给与提示。可监测内容合理用药审查结果</w:t>
      </w:r>
    </w:p>
    <w:p>
      <w:pPr>
        <w:pStyle w:val="8"/>
        <w:tabs>
          <w:tab w:val="left" w:pos="1008"/>
        </w:tabs>
        <w:spacing w:before="0" w:after="0" w:line="360" w:lineRule="auto"/>
        <w:ind w:left="1287" w:right="0" w:hanging="1009"/>
        <w:rPr>
          <w:rFonts w:hint="eastAsia" w:ascii="仿宋" w:hAnsi="仿宋" w:eastAsia="仿宋" w:cs="仿宋"/>
          <w:b/>
          <w:bCs/>
          <w:color w:val="auto"/>
          <w:kern w:val="0"/>
          <w:sz w:val="24"/>
          <w:highlight w:val="none"/>
        </w:rPr>
      </w:pPr>
      <w:r>
        <w:rPr>
          <w:rFonts w:hint="eastAsia" w:ascii="仿宋" w:hAnsi="仿宋" w:eastAsia="仿宋" w:cs="仿宋"/>
          <w:color w:val="auto"/>
          <w:highlight w:val="none"/>
        </w:rPr>
        <w:t>药学监护</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监护维度</w:t>
      </w:r>
    </w:p>
    <w:p>
      <w:pPr>
        <w:spacing w:line="360" w:lineRule="auto"/>
        <w:ind w:left="0" w:right="0" w:firstLine="480"/>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系统可提供多种监护维度，既可实现某一患者的深度监护，亦可实现使用某类药品患者的全面监护（如临时申购药品的监护，可以提取患者和药品基本信息、追踪、评价）。系统可根据自定义监护内容自动抓取并提示药师有新增监护对象。</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监护级别、患者类型设置</w:t>
      </w:r>
    </w:p>
    <w:p>
      <w:pPr>
        <w:spacing w:line="360" w:lineRule="auto"/>
        <w:ind w:left="0" w:right="0" w:firstLine="480"/>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系统能智能推荐患者监护级别（分别为一级、二级、三级监护），药师可在系统预判的基础上进行人工确认或调整更改，直观区分重点关注患者、一般患者等。同时，能自定义患者标签，如使用了华法林的患者，方便查找。</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患者信息查询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系统提供患者数据供药师查看，包括患者基本信息、医嘱信息、检查检验信息（报告、图像、趋势图等）、手术信息、会诊信息、病程记录、历史诊疗信息（包括历史诊断/医嘱/检验/检查/药品不良反应）等。</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系统提供患者住院期间药品联用图、时序图。应能自定义生成联用图，直观查看药品使用（联用）情况，并可直接检索药品，查看药品说明书等。应能生成查看患者生命体征，包括：体温、脉搏、呼吸、血压、出/入量、疼痛评分、重点检验值、重点关注药品的时序图，并能自定义设置。</w:t>
      </w:r>
    </w:p>
    <w:p>
      <w:pPr>
        <w:pStyle w:val="8"/>
        <w:tabs>
          <w:tab w:val="left" w:pos="1008"/>
        </w:tabs>
        <w:spacing w:before="0" w:after="0" w:line="360" w:lineRule="auto"/>
        <w:ind w:left="1287" w:right="0" w:hanging="1009"/>
        <w:rPr>
          <w:rFonts w:hint="eastAsia" w:ascii="仿宋" w:hAnsi="仿宋" w:eastAsia="仿宋" w:cs="仿宋"/>
          <w:b/>
          <w:bCs/>
          <w:color w:val="auto"/>
          <w:sz w:val="24"/>
          <w:highlight w:val="none"/>
        </w:rPr>
      </w:pPr>
      <w:r>
        <w:rPr>
          <w:rFonts w:hint="eastAsia" w:ascii="仿宋" w:hAnsi="仿宋" w:eastAsia="仿宋" w:cs="仿宋"/>
          <w:color w:val="auto"/>
          <w:highlight w:val="none"/>
        </w:rPr>
        <w:t>药学查房</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患者信息查看</w:t>
      </w:r>
    </w:p>
    <w:p>
      <w:pPr>
        <w:spacing w:line="360" w:lineRule="auto"/>
        <w:ind w:left="0" w:right="0" w:firstLine="480"/>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支持患者详细信息查看，点击某一患者，即可查看该患者的详细信息，包括药物重整信息、监护记录、住院药历，在同一页面不同标签提供患者基本信息、医嘱、检验、检查、手术、护理信息、药学服务等信息页面供临床药师在查房中调阅。</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查房便签可查看登陆药师编辑过的查房便签信息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1）药师可在查房时进行查房情况的记录及药物治疗日志的编写，支持药师将患者化验信息、检查信息、药物医嘱信息等插入引用，历史记录可进行查看、增加、删除、编辑等。</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2）药师可根据住院号/姓名、患者所在病区、审核状态、带教学员、记录时间等组合条件快速查询患者便签内容。</w:t>
      </w:r>
    </w:p>
    <w:p>
      <w:pPr>
        <w:spacing w:line="360" w:lineRule="auto"/>
        <w:ind w:left="0" w:right="0" w:firstLine="480"/>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3）药师编辑便签可实时按需参照模版添加用药指导、用药监护的内容，可添加既往用药史信息，在建立电子药历时可直接引入引用。</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持续监护</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在监护过程中，系统应能帮助药师开展以下工作：</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1）入院评估</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系统在患者入院时提供评估表单帮助药师准确评估患者的病生情况，应提供各类风险评估公式且部分公式可自动代入患者信息实现快速评估。</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2）合理用药审查</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系统提供合理用药审查结果供药师参考并提供药品说明书、注意事项等数据库辅助药师进行人工确认，并可以进行规则修订。系统支持药师将不合理医嘱反馈给临床医生。</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3）制定监护计划</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根据患者的情况自动推荐患者需要监护的级别，帮助药师快速分析和制定监护计划。在填写监护计划时，系统提供医嘱、检验值自动搜索功能，减轻药师填写工作量；同时，提供监护主题编写和模板快速添加功能，方便药师按主题分类开展监护工作。</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4）制定药物重整计划</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系统支持药师快速生成药物重整计划，将其反馈给临床医生并自动记录医生采纳情况。</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5）发送用药建议</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系统支持药师将用药建议发送给临床医生，并记录医生对于该用药建议的采纳情况。</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6）用药咨询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系统支持药师记录下由患者、医生、护士发起的用药问题和药师的解答。</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7）全程化监护记录</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系统能自动生成患者全程化药学监护记录，并可将其作为患者下一次入院时的重要用药参考信息。支持数据/记录导出、打印等功能。</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药学会诊</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1）可以进行会诊信息筛选，根据患者所在的病区，姓名，住院号，会诊时间。点击数据展示区域的患者名称可以跳转到当前会诊记录详细查看界面。</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2）提供药学会诊内容录入，患者医嘱信息，检验信息，检查信息在线引用。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3）点击会诊界面中患者ID号等，可直接链接至患者的详细信息，如病历、医嘱、检验结果等。</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4）可形成并导出临床药师会诊工作记录表（内容如患者姓名、年龄、性别、第几次住院，临床药师会诊方案，发起会诊医生姓名、医生对临床药师会诊方案的采纳情况等）。</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5）临床药师可对会诊患者进行追踪。</w:t>
      </w:r>
    </w:p>
    <w:p>
      <w:pPr>
        <w:pStyle w:val="8"/>
        <w:tabs>
          <w:tab w:val="left" w:pos="1008"/>
        </w:tabs>
        <w:spacing w:before="0" w:after="0" w:line="360" w:lineRule="auto"/>
        <w:ind w:left="1287" w:right="0" w:hanging="1009"/>
        <w:rPr>
          <w:rFonts w:hint="eastAsia" w:ascii="仿宋" w:hAnsi="仿宋" w:eastAsia="仿宋" w:cs="仿宋"/>
          <w:b/>
          <w:bCs/>
          <w:color w:val="auto"/>
          <w:kern w:val="0"/>
          <w:sz w:val="24"/>
          <w:highlight w:val="none"/>
        </w:rPr>
      </w:pPr>
      <w:r>
        <w:rPr>
          <w:rFonts w:hint="eastAsia" w:ascii="仿宋" w:hAnsi="仿宋" w:eastAsia="仿宋" w:cs="仿宋"/>
          <w:color w:val="auto"/>
          <w:highlight w:val="none"/>
        </w:rPr>
        <w:t>电子药历</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药历书写</w:t>
      </w:r>
      <w:r>
        <w:rPr>
          <w:rFonts w:hint="eastAsia" w:ascii="仿宋" w:hAnsi="仿宋" w:eastAsia="仿宋" w:cs="仿宋"/>
          <w:b/>
          <w:bCs/>
          <w:color w:val="auto"/>
          <w:kern w:val="0"/>
          <w:sz w:val="24"/>
          <w:highlight w:val="none"/>
        </w:rPr>
        <w:tab/>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1）药历的患者基本信息和病程记录，临床药师完成的药学服务项目（其中包括：查房便签、用药建议，用药教育，药学监护等项目）可自动生成药历文书，并可以编辑。</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2）药历格式按医院提供模板格式化保存，并可以关键字检索。</w:t>
      </w:r>
    </w:p>
    <w:p>
      <w:pPr>
        <w:spacing w:line="360" w:lineRule="auto"/>
        <w:ind w:left="0" w:right="0" w:firstLine="480"/>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3）可以查看患者住院期间每次的住院药历记录，可查看药历详情，可手动刷新药历信息列表，选择添加药历可以进行新增，并支持对药历的修改、打印、导出等。</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电子药历归档</w:t>
      </w:r>
      <w:r>
        <w:rPr>
          <w:rFonts w:hint="eastAsia" w:ascii="仿宋" w:hAnsi="仿宋" w:eastAsia="仿宋" w:cs="仿宋"/>
          <w:b/>
          <w:bCs/>
          <w:color w:val="auto"/>
          <w:kern w:val="0"/>
          <w:sz w:val="24"/>
          <w:highlight w:val="none"/>
        </w:rPr>
        <w:tab/>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1）以Word、PDF形式输出打印，并满足续打、重打等场景。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2）医务人员采用身份标识登录电子药历系统完成各项记录等操作并予确认后，系统应当准确记录药历书写者、修订者、审核者。</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3）药师修改时，电子药历系统应当进行身份识别、保存历次修改痕迹、标记准确的修改时间和修改人信息。</w:t>
      </w:r>
    </w:p>
    <w:p>
      <w:pPr>
        <w:spacing w:line="360" w:lineRule="auto"/>
        <w:ind w:left="0" w:right="0" w:firstLine="480"/>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4）电子药历归档：电子药历随患者出院后归档，归档后由电子药历管理部门统一管理。已归档的可以打开药历，不能插入或修改其它文书内容,除非特殊授权。</w:t>
      </w:r>
    </w:p>
    <w:p>
      <w:pPr>
        <w:spacing w:line="360" w:lineRule="auto"/>
        <w:ind w:left="0" w:right="0" w:firstLine="482"/>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进修学员药历带教</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1）进修学员可以在系统中在线向带教老师提交药历文书作业，并支持动态选择要提交的老师。</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2）带教老师可以登录系统调阅学员已提交的药历文书。</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3）带教老师可以在系统中在线批改药历作业，保留批注过程。</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4）支持带教老师在线审核管理药历全流程状态，如：一键退回学员药历，一键审核通过药历。</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药师住院工作量统计</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系统应能客观地量化临床药师的工作，体现药师的工作量和工作价值，可统计：查房天数、医嘱审查情况、监护人数、监护计划数、用药建议数、用药建议（医生）采纳数、用药建议（医生）拒绝数、用药教育数、用药咨询数、药物重整数、药物重整（医生）采纳数、药物重整（医生）拒绝数、入院评估数、药学会诊等数据，应能按自然日、自然周、自然月进行统计。</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3.2.5.5.2</w:t>
      </w:r>
      <w:r>
        <w:rPr>
          <w:rFonts w:hint="eastAsia" w:ascii="仿宋" w:hAnsi="仿宋" w:eastAsia="仿宋" w:cs="仿宋"/>
          <w:color w:val="auto"/>
          <w:sz w:val="24"/>
          <w:szCs w:val="24"/>
          <w:highlight w:val="none"/>
        </w:rPr>
        <w:t>门诊</w:t>
      </w:r>
      <w:r>
        <w:rPr>
          <w:rFonts w:hint="eastAsia" w:ascii="仿宋" w:hAnsi="仿宋" w:eastAsia="仿宋" w:cs="仿宋"/>
          <w:color w:val="auto"/>
          <w:sz w:val="24"/>
          <w:szCs w:val="24"/>
          <w:highlight w:val="none"/>
          <w:lang w:val="en-US" w:eastAsia="zh-CN"/>
        </w:rPr>
        <w:t>管理</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患者档案</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可从HIS系统中（含门/急诊及住院）筛选出符合开展药学门诊的患者并查看其档案，筛选条件应包括就诊卡号、住院号、身份证号、手机号、姓名、年龄、门/急诊、住院、科室、诊断、用药数、风险药物、检验结果等。药师可查阅患者的基本信息、健康信息、就诊记录、预约记录等数据，继而为患者提供优质的门诊药学服务。可标注住院或门急诊的疑难病历，并可形成并导出临床药师疑难病例工作记录表（内容如患者姓名、年龄、性别，关注点等）。</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药物治疗管理（MTM）</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1）应可查看患者既往MTM记录，并可在既往MTM记录的基础上新增一份新的记录。</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2）应支持药师按照标准的药物治疗管理（MTM）流程，记录患者药物治疗管理工作的内容，应包括填写患者的基本信息、健康信息、营养评估、用药评估、疾病评估、问题与治疗、用药计划。</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3）应可将就诊记录中的药品导入至个人用药清单，并提供审核数据库，协助药师发现药物治疗问题，将发现的问题导入治疗问题表。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4）应可打印个人用药记录表（PMR）和药物治疗计划表（MAP）给患者。</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5）应提供用药指导/相互作用等数据库辅助药师开展MTM工作。</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用药咨询</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可记录病人的咨询问题，应可根据咨询问题的类型和咨询药品来匹配相似的咨询记录，协助药师开展药物咨询工作。并可根据患者用药生成用药指单，可打印交给患者。提供用药相关知识库。</w:t>
      </w:r>
    </w:p>
    <w:p>
      <w:pPr>
        <w:pStyle w:val="8"/>
        <w:tabs>
          <w:tab w:val="left" w:pos="1008"/>
        </w:tabs>
        <w:spacing w:before="0" w:after="0" w:line="360" w:lineRule="auto"/>
        <w:ind w:left="1287" w:right="0" w:hanging="1009"/>
        <w:rPr>
          <w:rFonts w:hint="eastAsia" w:ascii="仿宋" w:hAnsi="仿宋" w:eastAsia="仿宋" w:cs="仿宋"/>
          <w:color w:val="auto"/>
          <w:sz w:val="24"/>
          <w:highlight w:val="none"/>
        </w:rPr>
      </w:pPr>
      <w:r>
        <w:rPr>
          <w:rFonts w:hint="eastAsia" w:ascii="仿宋" w:hAnsi="仿宋" w:eastAsia="仿宋" w:cs="仿宋"/>
          <w:color w:val="auto"/>
          <w:highlight w:val="none"/>
        </w:rPr>
        <w:t>药师门诊工作量统计</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1）药师工作统计</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应可统计药师的个人工作量、整体工作量。</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2）咨询内容统计</w:t>
      </w:r>
    </w:p>
    <w:p>
      <w:pPr>
        <w:spacing w:line="360" w:lineRule="auto"/>
        <w:ind w:left="0" w:right="0" w:firstLine="48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应可根据咨询内容、咨询药物类别、咨询对象分别对咨询信息进行分析。</w:t>
      </w:r>
    </w:p>
    <w:p>
      <w:pPr>
        <w:pStyle w:val="6"/>
        <w:numPr>
          <w:ilvl w:val="0"/>
          <w:numId w:val="0"/>
        </w:numPr>
        <w:tabs>
          <w:tab w:val="left" w:pos="1006"/>
        </w:tabs>
        <w:ind w:left="864" w:leftChars="0" w:hanging="864" w:firstLineChars="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bidi="hi-IN"/>
        </w:rPr>
        <w:t>3.2.5.6</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ADR主动监测</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3.2.5.6.1</w:t>
      </w:r>
      <w:r>
        <w:rPr>
          <w:rFonts w:hint="eastAsia" w:ascii="仿宋" w:hAnsi="仿宋" w:eastAsia="仿宋" w:cs="仿宋"/>
          <w:color w:val="auto"/>
          <w:sz w:val="24"/>
          <w:szCs w:val="24"/>
          <w:highlight w:val="none"/>
          <w:lang w:eastAsia="zh-CN"/>
        </w:rPr>
        <w:t>监测计划发起</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1）可实现使用某类药品患者的全面ADR监护（如肾毒性药品的监护，可以自定义诊断、检验检查指标、药物连用天数等触发条件）。</w:t>
      </w:r>
    </w:p>
    <w:p>
      <w:pPr>
        <w:spacing w:before="0" w:after="0" w:line="360" w:lineRule="auto"/>
        <w:ind w:left="0" w:right="0" w:firstLine="480"/>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highlight w:val="none"/>
        </w:rPr>
        <w:t>2）系统可根据自定义监护内容自动抓取并提示药师有新增监护对象。</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3.2.5.6.2</w:t>
      </w:r>
      <w:r>
        <w:rPr>
          <w:rFonts w:hint="eastAsia" w:ascii="仿宋" w:hAnsi="仿宋" w:eastAsia="仿宋" w:cs="仿宋"/>
          <w:color w:val="auto"/>
          <w:sz w:val="24"/>
          <w:szCs w:val="24"/>
          <w:highlight w:val="none"/>
          <w:lang w:eastAsia="zh-CN"/>
        </w:rPr>
        <w:t>监测详情</w:t>
      </w:r>
    </w:p>
    <w:p>
      <w:pPr>
        <w:spacing w:before="0" w:after="0" w:line="360" w:lineRule="auto"/>
        <w:ind w:left="0" w:right="0" w:firstLine="480"/>
        <w:contextualSpacing/>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可以提取患者和药品基本信息、追踪、评价并将评价结果同步给医生。阳性评价结果直接可一键链接至上报界面。</w:t>
      </w:r>
    </w:p>
    <w:p>
      <w:pPr>
        <w:pStyle w:val="6"/>
        <w:numPr>
          <w:ilvl w:val="0"/>
          <w:numId w:val="0"/>
        </w:numPr>
        <w:tabs>
          <w:tab w:val="left" w:pos="1006"/>
        </w:tabs>
        <w:ind w:left="864" w:leftChars="0" w:hanging="864" w:firstLineChars="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bidi="hi-IN"/>
        </w:rPr>
        <w:t>3.2.5.7</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患者用药教育</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3.2.5.7.1</w:t>
      </w:r>
      <w:r>
        <w:rPr>
          <w:rFonts w:hint="eastAsia" w:ascii="仿宋" w:hAnsi="仿宋" w:eastAsia="仿宋" w:cs="仿宋"/>
          <w:color w:val="auto"/>
          <w:sz w:val="24"/>
          <w:szCs w:val="24"/>
          <w:highlight w:val="none"/>
          <w:lang w:eastAsia="zh-CN"/>
        </w:rPr>
        <w:t>内容维护</w:t>
      </w:r>
    </w:p>
    <w:p>
      <w:pPr>
        <w:spacing w:before="0" w:after="0" w:line="360" w:lineRule="auto"/>
        <w:ind w:left="0" w:right="0" w:firstLine="480"/>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highlight w:val="none"/>
        </w:rPr>
        <w:t>系统支持对住院/门诊患者进行用药教育和指导内容记录，并可查看及编辑；可使用系统模板或自定义模板进行快速录入。</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3.2.5.7.2</w:t>
      </w:r>
      <w:r>
        <w:rPr>
          <w:rFonts w:hint="eastAsia" w:ascii="仿宋" w:hAnsi="仿宋" w:eastAsia="仿宋" w:cs="仿宋"/>
          <w:color w:val="auto"/>
          <w:sz w:val="24"/>
          <w:szCs w:val="24"/>
          <w:highlight w:val="none"/>
          <w:lang w:eastAsia="zh-CN"/>
        </w:rPr>
        <w:t>教育输出</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1）可查看患者所用药品的重点用药教育信息。</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2）系统支持从用法用量、药物相互作用、贮藏方法等维度进行用药教育和指导。</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3）系统支持对老年人、妊娠哺乳妇女、儿童、肝肾功能不全等特殊患者进行重点用药教育和指导。</w:t>
      </w:r>
    </w:p>
    <w:p>
      <w:pPr>
        <w:spacing w:before="0" w:after="0" w:line="360" w:lineRule="auto"/>
        <w:ind w:left="0" w:right="0" w:firstLine="48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rPr>
        <w:t>4）可提供住院/门诊患者用药指导单打印。</w:t>
      </w:r>
    </w:p>
    <w:p>
      <w:pPr>
        <w:pStyle w:val="6"/>
        <w:numPr>
          <w:ilvl w:val="0"/>
          <w:numId w:val="0"/>
        </w:numPr>
        <w:tabs>
          <w:tab w:val="left" w:pos="1006"/>
        </w:tabs>
        <w:ind w:left="864" w:leftChars="0" w:hanging="864"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0"/>
          <w:highlight w:val="none"/>
          <w:lang w:val="en-US" w:eastAsia="zh-CN" w:bidi="hi-IN"/>
        </w:rPr>
        <w:t>3.2.5.8</w:t>
      </w:r>
      <w:r>
        <w:rPr>
          <w:rFonts w:hint="eastAsia" w:ascii="仿宋" w:hAnsi="仿宋" w:eastAsia="仿宋" w:cs="仿宋"/>
          <w:color w:val="auto"/>
          <w:highlight w:val="none"/>
        </w:rPr>
        <w:t xml:space="preserve"> GCP管理模块</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临床试验管理系统实现医院对临床试验项目的药品或器械使用情况进行管理，对临床试验项目供管理支撑，支持GCP项目内病人医嘱免费、经费管理、质量管理、项目管理，可覆盖门诊和住院，免费医嘱需嵌入到一体化医生和护士工作站中。</w:t>
      </w:r>
    </w:p>
    <w:p>
      <w:pPr>
        <w:spacing w:before="0" w:after="0" w:line="360" w:lineRule="auto"/>
        <w:ind w:left="0" w:right="0"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可实现从院外可访问系统，能为CRA、CRC提供临床试验项目立项、伦理资料递交、进度管理等功能能够实现远程监察；能够实现兼容I期临床试验管理系统。</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3.2.5.8.1</w:t>
      </w:r>
      <w:r>
        <w:rPr>
          <w:rFonts w:hint="eastAsia" w:ascii="仿宋" w:hAnsi="仿宋" w:eastAsia="仿宋" w:cs="仿宋"/>
          <w:color w:val="auto"/>
          <w:sz w:val="24"/>
          <w:szCs w:val="24"/>
          <w:highlight w:val="none"/>
        </w:rPr>
        <w:t>基础设置</w:t>
      </w:r>
    </w:p>
    <w:p>
      <w:pPr>
        <w:spacing w:before="0" w:after="0" w:line="360" w:lineRule="auto"/>
        <w:ind w:left="0" w:right="0"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该部分支持设置系统中相关的基础参数。包括：药理设置、科研专业组设置、GCP项目立项等。</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3.2.5.8.2</w:t>
      </w:r>
      <w:r>
        <w:rPr>
          <w:rFonts w:hint="eastAsia" w:ascii="仿宋" w:hAnsi="仿宋" w:eastAsia="仿宋" w:cs="仿宋"/>
          <w:color w:val="auto"/>
          <w:sz w:val="24"/>
          <w:szCs w:val="24"/>
          <w:highlight w:val="none"/>
        </w:rPr>
        <w:t>免费医嘱设置</w:t>
      </w:r>
    </w:p>
    <w:p>
      <w:pPr>
        <w:spacing w:before="0" w:after="0" w:line="360" w:lineRule="auto"/>
        <w:ind w:left="0" w:right="0"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实现对GCP项目的免费医嘱设置，并支持免费次数设置、起止时间设置。实现GCP免费挂号或GCP病历书写：设置使用受试者身份证号免费挂号：无需医保卡，免费挂号后即可按正常流程开立或预约申请检查化验。对无法或不能来院患者挂免费GCP号（或无需挂号）后可进行门诊访视病历书写（譬如仅需电话访视及病重、死亡患者、拒绝来院患者的访视记录）。</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3.2.5.8.3</w:t>
      </w:r>
      <w:r>
        <w:rPr>
          <w:rFonts w:hint="eastAsia" w:ascii="仿宋" w:hAnsi="仿宋" w:eastAsia="仿宋" w:cs="仿宋"/>
          <w:color w:val="auto"/>
          <w:sz w:val="24"/>
          <w:szCs w:val="24"/>
          <w:highlight w:val="none"/>
        </w:rPr>
        <w:t>合同经费管理</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机构办将合同交于财务科一份，财务科根据合同及资金往来配置合同经费信息，合同经费信息包括合同编号、项目编号、签订金额、签订例数、第一次打款时间及金额(相当于预充进项目费用)、每笔资金到账时间及金额流水、试验经费（受试者补助、受试者报销、检验检查费、退款、研究者费等）的发放转出流水。GCP项目查询</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支持查询当前所有的CGP立项项目及进度，并支持相关条件检索、项目修改。</w:t>
      </w:r>
    </w:p>
    <w:p>
      <w:pPr>
        <w:spacing w:before="0" w:after="0" w:line="360" w:lineRule="auto"/>
        <w:ind w:left="0" w:right="0"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支持</w:t>
      </w:r>
      <w:r>
        <w:rPr>
          <w:rFonts w:hint="eastAsia" w:ascii="仿宋" w:hAnsi="仿宋" w:eastAsia="仿宋" w:cs="仿宋"/>
          <w:color w:val="auto"/>
          <w:sz w:val="24"/>
          <w:highlight w:val="none"/>
        </w:rPr>
        <w:t>GCP项目信息查询：授权机构管理员账号，不能下医嘱及书写病历，但可查询项目相关的所有检查化验、影像、医嘱、门诊及住院病历，用于机构质量管理员质控、项目稽查、国家现场检查溯源。</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3.2.5.8.4</w:t>
      </w:r>
      <w:r>
        <w:rPr>
          <w:rFonts w:hint="eastAsia" w:ascii="仿宋" w:hAnsi="仿宋" w:eastAsia="仿宋" w:cs="仿宋"/>
          <w:color w:val="auto"/>
          <w:sz w:val="24"/>
          <w:szCs w:val="24"/>
          <w:highlight w:val="none"/>
        </w:rPr>
        <w:t>汇款记录</w:t>
      </w:r>
    </w:p>
    <w:p>
      <w:pPr>
        <w:spacing w:before="0" w:after="0" w:line="360" w:lineRule="auto"/>
        <w:ind w:left="0" w:right="0"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支持对GCP项目的汇款做相关的记录管理。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3.2.5.8.5</w:t>
      </w:r>
      <w:r>
        <w:rPr>
          <w:rFonts w:hint="eastAsia" w:ascii="仿宋" w:hAnsi="仿宋" w:eastAsia="仿宋" w:cs="仿宋"/>
          <w:color w:val="auto"/>
          <w:sz w:val="24"/>
          <w:szCs w:val="24"/>
          <w:highlight w:val="none"/>
        </w:rPr>
        <w:t>药械管理</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入库：GCP中心药房药物/器械管理员将申办者运送至临床试验中心药房的药物/器械进行系统入库</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出库：填写药物/器械信息，根据研究者开具的试验用药品/试验用医疗器械电子申请单，打印带有电子签名的电子申请单，打印发放接收记录表，双方签字，发放相应药物/器械，系统自动出库。</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回收：当回收药物/器械时，研究者开具试验用药品/试验用医疗器械电子退回申请单，GCP中心药房药物/器械管理员确认退回数量，系统自动入库。</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系统需涵盖整个药物/器械管理流程，包括入库、出库、盘点、发放、回收、返还等。</w:t>
      </w:r>
    </w:p>
    <w:p>
      <w:pPr>
        <w:spacing w:before="0" w:after="0" w:line="360" w:lineRule="auto"/>
        <w:ind w:left="0" w:right="0"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药品退回：如节假日、夜班需要领取药物/器械，研究者提前在计划外访视开具医嘱，卫星药房接收储存节假日、夜班药物/器械，系统自动入库卫星药房，当节假日、夜班有受试者领取药物/器械，研究者在系统中开具试验用药品/试验用医疗器械电子申请单，卫星药房药物/器械管理员打印带有电子签名的电子申请单，打印发放接收记录表，双方签字，发放相应药物/器械，系统自动出库卫星药房。当回收药物/器械时，研究者开具试验用药品/试验用医疗器械电子退回申请单，卫星药房药物/器械管理员确认退回数量，系统自动入库卫星药房。当药物/器械从卫星药房退回GCP中心药房，卫星药房药物/器械管理员开具试验用药品/试验用医疗器械电子退回申请单，GCP中心药房药物/器械管理员确认退回数量，系统自动入库GCP中心药房。</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3.2.5.8.6</w:t>
      </w:r>
      <w:r>
        <w:rPr>
          <w:rFonts w:hint="eastAsia" w:ascii="仿宋" w:hAnsi="仿宋" w:eastAsia="仿宋" w:cs="仿宋"/>
          <w:color w:val="auto"/>
          <w:sz w:val="24"/>
          <w:szCs w:val="24"/>
          <w:highlight w:val="none"/>
        </w:rPr>
        <w:t>GCP项目参与者</w:t>
      </w:r>
    </w:p>
    <w:p>
      <w:pPr>
        <w:spacing w:before="0" w:after="0" w:line="360" w:lineRule="auto"/>
        <w:ind w:left="0" w:right="0"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支持为GCP项目添加参与者，并可以指定联系人，设置项目的余额提醒。</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3.2.5.8.7</w:t>
      </w:r>
      <w:r>
        <w:rPr>
          <w:rFonts w:hint="eastAsia" w:ascii="仿宋" w:hAnsi="仿宋" w:eastAsia="仿宋" w:cs="仿宋"/>
          <w:color w:val="auto"/>
          <w:sz w:val="24"/>
          <w:szCs w:val="24"/>
          <w:highlight w:val="none"/>
        </w:rPr>
        <w:t>GCP项目受试者</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支持为GCP项目增加受试者，添加之后会进入到受试者列表中。</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受试者信息包括基本信息、访视进度信息。基本信息（姓名、年龄、身份证号、地址、联系方式、银行卡号、开户行等）通过读取受试者就诊介质（就诊卡/医保卡/身份证等）及手动录入获取。</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当年龄超过方案要求时，系统提示研究者。受试者信息中以红色字体显示受试者参加的项目编号。根据受试者信息自动识别受试者是否有重复入组情况（根据方案要求确定时间段），如有重复入组，系统提示研究者。</w:t>
      </w:r>
    </w:p>
    <w:p>
      <w:pPr>
        <w:spacing w:before="0" w:after="0" w:line="360" w:lineRule="auto"/>
        <w:ind w:left="0" w:right="0"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访视进度信息可显示此受试者进行到的访视期，此信息来自试验流程管理中受试者访视时研究者选择的访视期。</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szCs w:val="28"/>
          <w:highlight w:val="none"/>
          <w:lang w:val="en-US" w:eastAsia="zh-CN" w:bidi="hi-IN"/>
        </w:rPr>
        <w:t>3.2.5.8.8</w:t>
      </w:r>
      <w:r>
        <w:rPr>
          <w:rFonts w:hint="eastAsia" w:ascii="仿宋" w:hAnsi="仿宋" w:eastAsia="仿宋" w:cs="仿宋"/>
          <w:color w:val="auto"/>
          <w:sz w:val="24"/>
          <w:szCs w:val="24"/>
          <w:highlight w:val="none"/>
        </w:rPr>
        <w:t>临床试验医嘱录入</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支持</w:t>
      </w:r>
      <w:r>
        <w:rPr>
          <w:rFonts w:hint="eastAsia" w:ascii="仿宋" w:hAnsi="仿宋" w:eastAsia="仿宋" w:cs="仿宋"/>
          <w:color w:val="auto"/>
          <w:sz w:val="24"/>
          <w:highlight w:val="none"/>
        </w:rPr>
        <w:t>临床试验</w:t>
      </w:r>
      <w:r>
        <w:rPr>
          <w:rFonts w:hint="eastAsia" w:ascii="仿宋" w:hAnsi="仿宋" w:eastAsia="仿宋" w:cs="仿宋"/>
          <w:color w:val="auto"/>
          <w:kern w:val="0"/>
          <w:sz w:val="24"/>
          <w:highlight w:val="none"/>
        </w:rPr>
        <w:t>受试者与普通患者的有不同的医嘱录入入口，支持</w:t>
      </w:r>
      <w:r>
        <w:rPr>
          <w:rFonts w:hint="eastAsia" w:ascii="仿宋" w:hAnsi="仿宋" w:eastAsia="仿宋" w:cs="仿宋"/>
          <w:color w:val="auto"/>
          <w:sz w:val="24"/>
          <w:highlight w:val="none"/>
        </w:rPr>
        <w:t>临床试验</w:t>
      </w:r>
      <w:r>
        <w:rPr>
          <w:rFonts w:hint="eastAsia" w:ascii="仿宋" w:hAnsi="仿宋" w:eastAsia="仿宋" w:cs="仿宋"/>
          <w:color w:val="auto"/>
          <w:kern w:val="0"/>
          <w:sz w:val="24"/>
          <w:highlight w:val="none"/>
        </w:rPr>
        <w:t>项目费用控制，关联提醒。</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研究者根据方案要求开具试验用药品/试验用医疗器械电子申请单（有研究者电子签名），电子申请单发送至GCP药物/器械管理员处；</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节假日、夜班提前开具医嘱，在计划外下开具试验用药品/试验用医疗器械电子申请单（有研究者电子签名），电子申请单发送至GCP药物/器械管理员处。</w:t>
      </w:r>
    </w:p>
    <w:p>
      <w:pPr>
        <w:spacing w:before="0" w:after="0" w:line="360" w:lineRule="auto"/>
        <w:ind w:left="0" w:right="0" w:firstLine="480"/>
        <w:contextualSpacing/>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常规医嘱，通过正常医疗常规流程下，当研究者开具方案禁用药时，系统提示确认是否开具。无论在临床试验模块下开具还是常规医嘱下开具，在医嘱中都能显示。</w:t>
      </w:r>
    </w:p>
    <w:p>
      <w:pPr>
        <w:spacing w:before="0" w:after="0" w:line="360" w:lineRule="auto"/>
        <w:ind w:left="0" w:right="0" w:firstLine="480"/>
        <w:contextualSpacing/>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研究者系统开具检验检查申请后，门诊受试者到医院相应科室进行检验检查，相应科室打印条形码，对受试者进行检验检查；住院受试者由护士打印条形码，受试者去相应科室进行检验检查。流程与常规医疗检验检查相同。检验检查结果出来后，系统提示研究者审阅结果，研究者可通过系统直接读取结果。</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3.2.5.8.9</w:t>
      </w:r>
      <w:r>
        <w:rPr>
          <w:rFonts w:hint="eastAsia" w:ascii="仿宋" w:hAnsi="仿宋" w:eastAsia="仿宋" w:cs="仿宋"/>
          <w:color w:val="auto"/>
          <w:sz w:val="24"/>
          <w:szCs w:val="24"/>
          <w:highlight w:val="none"/>
        </w:rPr>
        <w:t>统计查询</w:t>
      </w:r>
    </w:p>
    <w:p>
      <w:pPr>
        <w:pStyle w:val="150"/>
        <w:spacing w:before="0" w:after="0" w:line="360" w:lineRule="auto"/>
        <w:ind w:left="42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临床试验费用不足时，系统提示金额不足且研究者无法开具检验检查、药品等；</w:t>
      </w:r>
    </w:p>
    <w:p>
      <w:pPr>
        <w:pStyle w:val="150"/>
        <w:spacing w:before="0" w:after="0" w:line="360" w:lineRule="auto"/>
        <w:ind w:left="42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统计各项费用的剩余情况；</w:t>
      </w:r>
    </w:p>
    <w:p>
      <w:pPr>
        <w:pStyle w:val="150"/>
        <w:spacing w:before="0" w:after="0" w:line="360" w:lineRule="auto"/>
        <w:ind w:left="42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统计各个临床试验检验检查费、药费，由财务科转至相应科室；</w:t>
      </w:r>
    </w:p>
    <w:p>
      <w:pPr>
        <w:pStyle w:val="150"/>
        <w:spacing w:before="0" w:after="0" w:line="360" w:lineRule="auto"/>
        <w:ind w:left="42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统计开具的禁用药；</w:t>
      </w:r>
    </w:p>
    <w:p>
      <w:pPr>
        <w:pStyle w:val="150"/>
        <w:spacing w:before="0" w:after="0" w:line="360" w:lineRule="auto"/>
        <w:ind w:left="42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统计药物/器械入库出库、发放、回收、返还数量；</w:t>
      </w:r>
    </w:p>
    <w:p>
      <w:pPr>
        <w:pStyle w:val="150"/>
        <w:spacing w:before="0" w:after="0" w:line="360" w:lineRule="auto"/>
        <w:ind w:left="42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统计受试者访视超窗信息；</w:t>
      </w:r>
    </w:p>
    <w:p>
      <w:pPr>
        <w:pStyle w:val="150"/>
        <w:spacing w:before="0" w:after="0" w:line="360" w:lineRule="auto"/>
        <w:ind w:left="42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统计入组受试者的访视进度信息等。</w:t>
      </w:r>
    </w:p>
    <w:p>
      <w:pPr>
        <w:pStyle w:val="150"/>
        <w:spacing w:before="0" w:after="0" w:line="360" w:lineRule="auto"/>
        <w:ind w:left="42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系统可自动生成标有临床试验标识的受试者信息库；</w:t>
      </w:r>
    </w:p>
    <w:p>
      <w:pPr>
        <w:pStyle w:val="150"/>
        <w:spacing w:before="0" w:after="0" w:line="360" w:lineRule="auto"/>
        <w:ind w:left="42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系统可查询到标有临床试验标识的受试者所有在院的就诊记录及信息；</w:t>
      </w:r>
    </w:p>
    <w:p>
      <w:pPr>
        <w:pStyle w:val="150"/>
        <w:spacing w:before="0" w:after="0" w:line="360" w:lineRule="auto"/>
        <w:ind w:left="420" w:right="0"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系统应当有系统验证，并保存验证记录；设置用户管理、角色管理和权限管理，不同人员或角色具有唯一登录权限；具有稽查轨迹功能，能够显示修改数据与修改原因的记录。若数据处理过程中发生数据转换，确保转换后的数据与原数据一致和该数据转化过程的可见性。</w:t>
      </w:r>
    </w:p>
    <w:p>
      <w:pPr>
        <w:pStyle w:val="4"/>
        <w:numPr>
          <w:ilvl w:val="0"/>
          <w:numId w:val="0"/>
        </w:numPr>
        <w:tabs>
          <w:tab w:val="left" w:pos="720"/>
          <w:tab w:val="left" w:pos="1006"/>
        </w:tabs>
        <w:ind w:left="1006" w:leftChars="0" w:right="0" w:rightChars="0" w:hanging="864" w:firstLineChars="0"/>
        <w:rPr>
          <w:rFonts w:hint="eastAsia" w:ascii="仿宋" w:hAnsi="仿宋" w:eastAsia="仿宋" w:cs="仿宋"/>
          <w:color w:val="auto"/>
          <w:highlight w:val="none"/>
        </w:rPr>
      </w:pPr>
      <w:bookmarkStart w:id="348" w:name="_Toc28401"/>
      <w:bookmarkStart w:id="349" w:name="_Toc3490"/>
      <w:r>
        <w:rPr>
          <w:rFonts w:hint="eastAsia" w:ascii="仿宋" w:hAnsi="仿宋" w:eastAsia="仿宋" w:cs="仿宋"/>
          <w:b/>
          <w:bCs/>
          <w:color w:val="auto"/>
          <w:sz w:val="28"/>
          <w:szCs w:val="28"/>
          <w:highlight w:val="none"/>
          <w:lang w:val="en-US" w:eastAsia="zh-CN" w:bidi="hi-IN"/>
        </w:rPr>
        <w:t>3.2.6</w:t>
      </w:r>
      <w:r>
        <w:rPr>
          <w:rFonts w:hint="eastAsia" w:ascii="仿宋" w:hAnsi="仿宋" w:eastAsia="仿宋" w:cs="仿宋"/>
          <w:color w:val="auto"/>
          <w:highlight w:val="none"/>
        </w:rPr>
        <w:t xml:space="preserve"> 病案及质控管理模块</w:t>
      </w:r>
      <w:bookmarkEnd w:id="348"/>
      <w:bookmarkEnd w:id="349"/>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w:t>
      </w:r>
      <w:r>
        <w:rPr>
          <w:rFonts w:hint="eastAsia" w:ascii="仿宋" w:hAnsi="仿宋" w:eastAsia="仿宋" w:cs="仿宋"/>
          <w:color w:val="auto"/>
          <w:highlight w:val="none"/>
        </w:rPr>
        <w:t>系统概述</w:t>
      </w:r>
      <w:r>
        <w:rPr>
          <w:rFonts w:hint="eastAsia" w:ascii="仿宋" w:hAnsi="仿宋" w:eastAsia="仿宋" w:cs="仿宋"/>
          <w:color w:val="auto"/>
          <w:highlight w:val="none"/>
        </w:rPr>
        <w:tab/>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住院病案管理系统完成患者入院分配病案号；出院病历提交后，提供电子病历回收、质控、编目、归档、借调阅、导出、复印、封存、追踪、查询、统计等功能。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3.2.6.2</w:t>
      </w:r>
      <w:r>
        <w:rPr>
          <w:rFonts w:hint="eastAsia" w:ascii="仿宋" w:hAnsi="仿宋" w:eastAsia="仿宋" w:cs="仿宋"/>
          <w:color w:val="auto"/>
          <w:highlight w:val="none"/>
        </w:rPr>
        <w:t>整体功能</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要求提供接诊日志、出院查询、病案操作、病案编目、病案复核、病案借调阅、病案复印、病案查找、病案常用查询、病案综合查询、状态查询、迟归统计、复印统计、收费统计、借阅查询、工作量统计等功能。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3.2.6.3</w:t>
      </w:r>
      <w:r>
        <w:rPr>
          <w:rFonts w:hint="eastAsia" w:ascii="仿宋" w:hAnsi="仿宋" w:eastAsia="仿宋" w:cs="仿宋"/>
          <w:color w:val="auto"/>
          <w:highlight w:val="none"/>
        </w:rPr>
        <w:t>接诊日志</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要求支持查看住院接诊、病案号分配及创建病历主索引情况。</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3.2.6.4</w:t>
      </w:r>
      <w:r>
        <w:rPr>
          <w:rFonts w:hint="eastAsia" w:ascii="仿宋" w:hAnsi="仿宋" w:eastAsia="仿宋" w:cs="仿宋"/>
          <w:color w:val="auto"/>
          <w:highlight w:val="none"/>
        </w:rPr>
        <w:t>出院查询</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要求支持查询出院病历、迟归病历、批量回收出院病历功能。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3.2.6.5</w:t>
      </w:r>
      <w:r>
        <w:rPr>
          <w:rFonts w:hint="eastAsia" w:ascii="仿宋" w:hAnsi="仿宋" w:eastAsia="仿宋" w:cs="仿宋"/>
          <w:color w:val="auto"/>
          <w:highlight w:val="none"/>
        </w:rPr>
        <w:t>病案操作</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要求支持处理病案流通过程中的回收、上架功能，提供打印条形码、批量操作，撤销操作等功能。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3.2.6.6</w:t>
      </w:r>
      <w:r>
        <w:rPr>
          <w:rFonts w:hint="eastAsia" w:ascii="仿宋" w:hAnsi="仿宋" w:eastAsia="仿宋" w:cs="仿宋"/>
          <w:color w:val="auto"/>
          <w:highlight w:val="none"/>
        </w:rPr>
        <w:t>病案编目</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对病案首页进行编目操作，支持和非全编目（只编诊断和手术操作），支持保存草稿，支持查看无纸化病案，费用，附页等信息。提供内置诊断和手术的编目规则，对编目错误进行验证提示，并且验证可以自维护。</w:t>
      </w:r>
      <w:r>
        <w:rPr>
          <w:rFonts w:hint="eastAsia" w:ascii="仿宋" w:hAnsi="仿宋" w:eastAsia="仿宋" w:cs="仿宋"/>
          <w:color w:val="auto"/>
          <w:highlight w:val="none"/>
          <w:lang w:val="en-US" w:eastAsia="zh-CN"/>
        </w:rPr>
        <w:t>支持编码逻辑校验相关功能。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3.2.6.7</w:t>
      </w:r>
      <w:r>
        <w:rPr>
          <w:rFonts w:hint="eastAsia" w:ascii="仿宋" w:hAnsi="仿宋" w:eastAsia="仿宋" w:cs="仿宋"/>
          <w:color w:val="auto"/>
          <w:highlight w:val="none"/>
        </w:rPr>
        <w:t>病案复核</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要求支持病历无纸化后工作人员对病历内容进行复核操作。</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3.2.6.8</w:t>
      </w:r>
      <w:r>
        <w:rPr>
          <w:rFonts w:hint="eastAsia" w:ascii="仿宋" w:hAnsi="仿宋" w:eastAsia="仿宋" w:cs="仿宋"/>
          <w:color w:val="auto"/>
          <w:highlight w:val="none"/>
        </w:rPr>
        <w:t>病案借调阅、导出</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要求支持针对纸质病历，操作病案借（调）阅，记录借（调）阅人、借（调）阅目的、借（调）阅内容等信息。</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要求支持病案导出功能，导出文件有保护措施。登记导出信息，导出质控的功能。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3.2.6.9</w:t>
      </w:r>
      <w:r>
        <w:rPr>
          <w:rFonts w:hint="eastAsia" w:ascii="仿宋" w:hAnsi="仿宋" w:eastAsia="仿宋" w:cs="仿宋"/>
          <w:color w:val="auto"/>
          <w:highlight w:val="none"/>
        </w:rPr>
        <w:t>病案复印</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要求支持对病案复印进行登记，记录委托人信息、复印张数、复印内容、复印目的等内容，能保存扫描复印人证件并进行收费，记录费用，打印发票功能。复印信息可查询。</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3.2.6.10</w:t>
      </w:r>
      <w:r>
        <w:rPr>
          <w:rFonts w:hint="eastAsia" w:ascii="仿宋" w:hAnsi="仿宋" w:eastAsia="仿宋" w:cs="仿宋"/>
          <w:color w:val="auto"/>
          <w:highlight w:val="none"/>
        </w:rPr>
        <w:t>病案查找</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要求支持通过病案号，患者姓名，证件号码等查询病历并展现病历的示踪流通时间线。</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3.2.6.11</w:t>
      </w:r>
      <w:r>
        <w:rPr>
          <w:rFonts w:hint="eastAsia" w:ascii="仿宋" w:hAnsi="仿宋" w:eastAsia="仿宋" w:cs="仿宋"/>
          <w:color w:val="auto"/>
          <w:highlight w:val="none"/>
        </w:rPr>
        <w:t>病案综合查询</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要求支持自由组合全病案首页数据和首页副页信息、编目数据来作为查询条件检索病历，要求支持创建不同的查询方案，能保存、排序。</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3.2.6.12</w:t>
      </w:r>
      <w:r>
        <w:rPr>
          <w:rFonts w:hint="eastAsia" w:ascii="仿宋" w:hAnsi="仿宋" w:eastAsia="仿宋" w:cs="仿宋"/>
          <w:color w:val="auto"/>
          <w:highlight w:val="none"/>
        </w:rPr>
        <w:t>状态查询</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要求支持查询病案全流程示踪。还包括查询质控不合格病历、未完成特定操作病历、当前状态病历、历史状态病历等。</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3.2.6.13</w:t>
      </w:r>
      <w:r>
        <w:rPr>
          <w:rFonts w:hint="eastAsia" w:ascii="仿宋" w:hAnsi="仿宋" w:eastAsia="仿宋" w:cs="仿宋"/>
          <w:color w:val="auto"/>
          <w:highlight w:val="none"/>
        </w:rPr>
        <w:t>迟归统计</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要求支持统计病历3日、5日、7日迟归情况等病案登记报表。</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3.2.6.14</w:t>
      </w:r>
      <w:r>
        <w:rPr>
          <w:rFonts w:hint="eastAsia" w:ascii="仿宋" w:hAnsi="仿宋" w:eastAsia="仿宋" w:cs="仿宋"/>
          <w:color w:val="auto"/>
          <w:highlight w:val="none"/>
        </w:rPr>
        <w:t>复印统计</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要求支持查询复印明细。</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3.2.6.15</w:t>
      </w:r>
      <w:r>
        <w:rPr>
          <w:rFonts w:hint="eastAsia" w:ascii="仿宋" w:hAnsi="仿宋" w:eastAsia="仿宋" w:cs="仿宋"/>
          <w:color w:val="auto"/>
          <w:highlight w:val="none"/>
        </w:rPr>
        <w:t>收费统计</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要求支持统计病历复印收费明细。</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3.2.6.16</w:t>
      </w:r>
      <w:r>
        <w:rPr>
          <w:rFonts w:hint="eastAsia" w:ascii="仿宋" w:hAnsi="仿宋" w:eastAsia="仿宋" w:cs="仿宋"/>
          <w:color w:val="auto"/>
          <w:highlight w:val="none"/>
        </w:rPr>
        <w:t>借（调）阅、无纸化导出查询</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要求支持按条件查询借调阅病历。</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3.2.6.17</w:t>
      </w:r>
      <w:r>
        <w:rPr>
          <w:rFonts w:hint="eastAsia" w:ascii="仿宋" w:hAnsi="仿宋" w:eastAsia="仿宋" w:cs="仿宋"/>
          <w:color w:val="auto"/>
          <w:highlight w:val="none"/>
        </w:rPr>
        <w:t>工作量统计</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要求支持统计各个步骤的工作量。</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3.2.6.18</w:t>
      </w:r>
      <w:r>
        <w:rPr>
          <w:rFonts w:hint="eastAsia" w:ascii="仿宋" w:hAnsi="仿宋" w:eastAsia="仿宋" w:cs="仿宋"/>
          <w:color w:val="auto"/>
          <w:highlight w:val="none"/>
        </w:rPr>
        <w:t>质控标准维护</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要求支持定义主观评分标准、提示列表标准、保存提示标准、提交控制标准、打印控制标准、自动任务在院质控、自动任务出院质控等。</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3.2.6.19</w:t>
      </w:r>
      <w:r>
        <w:rPr>
          <w:rFonts w:hint="eastAsia" w:ascii="仿宋" w:hAnsi="仿宋" w:eastAsia="仿宋" w:cs="仿宋"/>
          <w:color w:val="auto"/>
          <w:highlight w:val="none"/>
        </w:rPr>
        <w:t>病历质控项目维护</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要求支持病历质控项目分为完整性和一致性两大类。</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3.2.6.20</w:t>
      </w:r>
      <w:r>
        <w:rPr>
          <w:rFonts w:hint="eastAsia" w:ascii="仿宋" w:hAnsi="仿宋" w:eastAsia="仿宋" w:cs="仿宋"/>
          <w:color w:val="auto"/>
          <w:highlight w:val="none"/>
        </w:rPr>
        <w:t>病历质控结构维护</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要求支持实施配置质控功能。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3.2.6.20.1</w:t>
      </w:r>
      <w:r>
        <w:rPr>
          <w:rFonts w:hint="eastAsia" w:ascii="仿宋" w:hAnsi="仿宋" w:eastAsia="仿宋" w:cs="仿宋"/>
          <w:color w:val="auto"/>
          <w:sz w:val="24"/>
          <w:szCs w:val="24"/>
          <w:highlight w:val="none"/>
        </w:rPr>
        <w:t>质控启动开关维护</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要求支持实施配置质控功能时，能够维护质控标准和启动选项，将相关质控标准和启动选项设置为有效。</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3.2.6.20.2</w:t>
      </w:r>
      <w:r>
        <w:rPr>
          <w:rFonts w:hint="eastAsia" w:ascii="仿宋" w:hAnsi="仿宋" w:eastAsia="仿宋" w:cs="仿宋"/>
          <w:color w:val="auto"/>
          <w:sz w:val="24"/>
          <w:szCs w:val="24"/>
          <w:highlight w:val="none"/>
        </w:rPr>
        <w:t>自动质控提示列表</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要求提供医生书写界面提示系统自动检查发现的病历质量问题。</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3.2.6.20.3</w:t>
      </w:r>
      <w:r>
        <w:rPr>
          <w:rFonts w:hint="eastAsia" w:ascii="仿宋" w:hAnsi="仿宋" w:eastAsia="仿宋" w:cs="仿宋"/>
          <w:color w:val="auto"/>
          <w:sz w:val="24"/>
          <w:szCs w:val="24"/>
          <w:highlight w:val="none"/>
        </w:rPr>
        <w:t>环节质控提示列表</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要求提供医生书写界面提示科室质控员发现的环节质控项目。</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3.2.6.20.4</w:t>
      </w:r>
      <w:r>
        <w:rPr>
          <w:rFonts w:hint="eastAsia" w:ascii="仿宋" w:hAnsi="仿宋" w:eastAsia="仿宋" w:cs="仿宋"/>
          <w:color w:val="auto"/>
          <w:sz w:val="24"/>
          <w:szCs w:val="24"/>
          <w:highlight w:val="none"/>
        </w:rPr>
        <w:t>病历环节质控患者列表</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要求提供科室质控员查询环节质控患者列表的功能。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3.2.6.20.5</w:t>
      </w:r>
      <w:r>
        <w:rPr>
          <w:rFonts w:hint="eastAsia" w:ascii="仿宋" w:hAnsi="仿宋" w:eastAsia="仿宋" w:cs="仿宋"/>
          <w:color w:val="auto"/>
          <w:sz w:val="24"/>
          <w:szCs w:val="24"/>
          <w:highlight w:val="none"/>
        </w:rPr>
        <w:t>病历环节质控</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要求提供病历质控员对患者病历集中浏览、标注病历缺陷、添加缺陷项目、发送质控消息的功能。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3.2.6.20.6</w:t>
      </w:r>
      <w:r>
        <w:rPr>
          <w:rFonts w:hint="eastAsia" w:ascii="仿宋" w:hAnsi="仿宋" w:eastAsia="仿宋" w:cs="仿宋"/>
          <w:color w:val="auto"/>
          <w:sz w:val="24"/>
          <w:szCs w:val="24"/>
          <w:highlight w:val="none"/>
        </w:rPr>
        <w:t>病历质控消息查看</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要求提供病历质控员本人所发送的质控消息处理情况查询、浏览、确认的功能，并能统计迟返修病历。</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3.2.6.20.7</w:t>
      </w:r>
      <w:r>
        <w:rPr>
          <w:rFonts w:hint="eastAsia" w:ascii="仿宋" w:hAnsi="仿宋" w:eastAsia="仿宋" w:cs="仿宋"/>
          <w:color w:val="auto"/>
          <w:sz w:val="24"/>
          <w:szCs w:val="24"/>
          <w:highlight w:val="none"/>
        </w:rPr>
        <w:t>复制粘贴权限</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要求提供质控管理员对医生书写病历的复制粘贴操作的控制功能。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3.2.6.20.8</w:t>
      </w:r>
      <w:r>
        <w:rPr>
          <w:rFonts w:hint="eastAsia" w:ascii="仿宋" w:hAnsi="仿宋" w:eastAsia="仿宋" w:cs="仿宋"/>
          <w:color w:val="auto"/>
          <w:sz w:val="24"/>
          <w:szCs w:val="24"/>
          <w:highlight w:val="none"/>
        </w:rPr>
        <w:t>病历终末质控患者列表</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要求提供病历质控员查询终末质控患者列表按特定条件分配质控人员的功能。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3.2.6.20.9</w:t>
      </w:r>
      <w:r>
        <w:rPr>
          <w:rFonts w:hint="eastAsia" w:ascii="仿宋" w:hAnsi="仿宋" w:eastAsia="仿宋" w:cs="仿宋"/>
          <w:color w:val="auto"/>
          <w:sz w:val="24"/>
          <w:szCs w:val="24"/>
          <w:highlight w:val="none"/>
        </w:rPr>
        <w:t>病历终末质控</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要求提供病历质控员对出院患者病历集中浏览、标注病历缺陷、添加缺陷项目的功能。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3.2.6.20.10</w:t>
      </w:r>
      <w:r>
        <w:rPr>
          <w:rFonts w:hint="eastAsia" w:ascii="仿宋" w:hAnsi="仿宋" w:eastAsia="仿宋" w:cs="仿宋"/>
          <w:color w:val="auto"/>
          <w:sz w:val="24"/>
          <w:szCs w:val="24"/>
          <w:highlight w:val="none"/>
        </w:rPr>
        <w:t>病历环节质控明细报表</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要求提供病历环节质控明细内容的统计功能。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3.2.6.20.11</w:t>
      </w:r>
      <w:r>
        <w:rPr>
          <w:rFonts w:hint="eastAsia" w:ascii="仿宋" w:hAnsi="仿宋" w:eastAsia="仿宋" w:cs="仿宋"/>
          <w:color w:val="auto"/>
          <w:sz w:val="24"/>
          <w:szCs w:val="24"/>
          <w:highlight w:val="none"/>
        </w:rPr>
        <w:t>病历终末等级报表</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要求提供病历终末等级的统计功能。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3.2.6.20.12</w:t>
      </w:r>
      <w:r>
        <w:rPr>
          <w:rFonts w:hint="eastAsia" w:ascii="仿宋" w:hAnsi="仿宋" w:eastAsia="仿宋" w:cs="仿宋"/>
          <w:color w:val="auto"/>
          <w:sz w:val="24"/>
          <w:szCs w:val="24"/>
          <w:highlight w:val="none"/>
        </w:rPr>
        <w:t>病历终末质控明细报表</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要求提供病历终末质控详细缺陷的统计功能。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bidi="hi-IN"/>
        </w:rPr>
        <w:t>3.2.6.20.13</w:t>
      </w:r>
      <w:r>
        <w:rPr>
          <w:rFonts w:hint="eastAsia" w:ascii="仿宋" w:hAnsi="仿宋" w:eastAsia="仿宋" w:cs="仿宋"/>
          <w:color w:val="auto"/>
          <w:sz w:val="24"/>
          <w:szCs w:val="24"/>
          <w:highlight w:val="none"/>
        </w:rPr>
        <w:t>病历单分类报表</w:t>
      </w:r>
    </w:p>
    <w:p>
      <w:pPr>
        <w:pStyle w:val="148"/>
        <w:spacing w:before="0" w:after="0"/>
        <w:contextualSpacing/>
        <w:rPr>
          <w:rFonts w:hint="eastAsia" w:ascii="仿宋" w:hAnsi="仿宋" w:eastAsia="仿宋" w:cs="仿宋"/>
          <w:color w:val="auto"/>
          <w:sz w:val="24"/>
          <w:szCs w:val="24"/>
          <w:highlight w:val="none"/>
        </w:rPr>
      </w:pPr>
      <w:r>
        <w:rPr>
          <w:rFonts w:hint="eastAsia" w:ascii="仿宋" w:hAnsi="仿宋" w:eastAsia="仿宋" w:cs="仿宋"/>
          <w:color w:val="auto"/>
          <w:highlight w:val="none"/>
        </w:rPr>
        <w:t>要求提供病历单分类质控项目的统计功能。</w:t>
      </w:r>
    </w:p>
    <w:p>
      <w:pPr>
        <w:pStyle w:val="7"/>
        <w:numPr>
          <w:ilvl w:val="4"/>
          <w:numId w:val="0"/>
        </w:numPr>
        <w:tabs>
          <w:tab w:val="clear" w:pos="0"/>
        </w:tabs>
        <w:spacing w:before="0" w:after="0" w:line="360" w:lineRule="auto"/>
        <w:ind w:left="1009" w:leftChars="0" w:right="0" w:rightChars="0" w:hanging="1009"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8"/>
          <w:highlight w:val="none"/>
          <w:lang w:val="en-US" w:eastAsia="zh-CN" w:bidi="hi-IN"/>
        </w:rPr>
        <w:t>3.2.6.20.14</w:t>
      </w:r>
      <w:r>
        <w:rPr>
          <w:rFonts w:hint="eastAsia" w:ascii="仿宋" w:hAnsi="仿宋" w:eastAsia="仿宋" w:cs="仿宋"/>
          <w:color w:val="auto"/>
          <w:sz w:val="24"/>
          <w:szCs w:val="24"/>
          <w:highlight w:val="none"/>
        </w:rPr>
        <w:t>病历质控项目查询报表</w:t>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要求提供指定病历质控项目的查询统计功能。</w:t>
      </w:r>
    </w:p>
    <w:p>
      <w:pPr>
        <w:pStyle w:val="4"/>
        <w:numPr>
          <w:ilvl w:val="0"/>
          <w:numId w:val="0"/>
        </w:numPr>
        <w:tabs>
          <w:tab w:val="left" w:pos="720"/>
          <w:tab w:val="left" w:pos="1006"/>
        </w:tabs>
        <w:ind w:left="1006" w:leftChars="0" w:right="0" w:rightChars="0" w:hanging="864" w:firstLineChars="0"/>
        <w:rPr>
          <w:rFonts w:hint="eastAsia" w:ascii="仿宋" w:hAnsi="仿宋" w:eastAsia="仿宋" w:cs="仿宋"/>
          <w:color w:val="auto"/>
          <w:highlight w:val="none"/>
        </w:rPr>
      </w:pPr>
      <w:bookmarkStart w:id="350" w:name="_Toc29546"/>
      <w:bookmarkStart w:id="351" w:name="_Toc30286"/>
      <w:r>
        <w:rPr>
          <w:rFonts w:hint="eastAsia" w:ascii="仿宋" w:hAnsi="仿宋" w:eastAsia="仿宋" w:cs="仿宋"/>
          <w:b/>
          <w:bCs/>
          <w:color w:val="auto"/>
          <w:sz w:val="28"/>
          <w:szCs w:val="28"/>
          <w:highlight w:val="none"/>
          <w:lang w:val="en-US" w:eastAsia="zh-CN" w:bidi="hi-IN"/>
        </w:rPr>
        <w:t>3.2.7</w:t>
      </w:r>
      <w:r>
        <w:rPr>
          <w:rFonts w:hint="eastAsia" w:ascii="仿宋" w:hAnsi="仿宋" w:eastAsia="仿宋" w:cs="仿宋"/>
          <w:color w:val="auto"/>
          <w:highlight w:val="none"/>
        </w:rPr>
        <w:t xml:space="preserve"> 危急值管理模块</w:t>
      </w:r>
      <w:bookmarkEnd w:id="350"/>
      <w:bookmarkEnd w:id="351"/>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3.2.7.1</w:t>
      </w:r>
      <w:r>
        <w:rPr>
          <w:rFonts w:hint="eastAsia" w:ascii="仿宋" w:hAnsi="仿宋" w:eastAsia="仿宋" w:cs="仿宋"/>
          <w:color w:val="auto"/>
          <w:highlight w:val="none"/>
        </w:rPr>
        <w:t>系统概述</w:t>
      </w:r>
      <w:r>
        <w:rPr>
          <w:rFonts w:hint="eastAsia" w:ascii="仿宋" w:hAnsi="仿宋" w:eastAsia="仿宋" w:cs="仿宋"/>
          <w:color w:val="auto"/>
          <w:highlight w:val="none"/>
        </w:rPr>
        <w:tab/>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支持与检检系统、检查系统，病理系统，输血系统，心电系统、临床系统对接，支持短信平台、微信公众号对接，实现危急值以微信、短信的形式推送功能。实现患者临床辅助检查中危急值的闭环管理。</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3.2.7.2</w:t>
      </w:r>
      <w:r>
        <w:rPr>
          <w:rFonts w:hint="eastAsia" w:ascii="仿宋" w:hAnsi="仿宋" w:eastAsia="仿宋" w:cs="仿宋"/>
          <w:color w:val="auto"/>
          <w:highlight w:val="none"/>
        </w:rPr>
        <w:t>整体功能</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要求提供临床提醒、临床接收、临床处理、查询统计等功能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3.2.7.3</w:t>
      </w:r>
      <w:r>
        <w:rPr>
          <w:rFonts w:hint="eastAsia" w:ascii="仿宋" w:hAnsi="仿宋" w:eastAsia="仿宋" w:cs="仿宋"/>
          <w:color w:val="auto"/>
          <w:highlight w:val="none"/>
        </w:rPr>
        <w:t>临床提醒</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要求支持危急值平台接收到医技系统的危急值报告后在HIS提醒用户包含消息提醒、图标系统提醒。</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3.2.7.4</w:t>
      </w:r>
      <w:r>
        <w:rPr>
          <w:rFonts w:hint="eastAsia" w:ascii="仿宋" w:hAnsi="仿宋" w:eastAsia="仿宋" w:cs="仿宋"/>
          <w:color w:val="auto"/>
          <w:highlight w:val="none"/>
        </w:rPr>
        <w:t>消息提醒</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按患者就诊类型，就诊科室、发生时间配置消息接收用户，在HIS系统界面弹出危急值消息提醒，在未处理情况下每隔一段时间就会再次弹出，直到处理完成，确保危急值处理率；支持危急值的多级提醒，当危急值未及时处理时继续向上级发送消息提醒，督促完成危急值的处理。</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3.2.7.5</w:t>
      </w:r>
      <w:r>
        <w:rPr>
          <w:rFonts w:hint="eastAsia" w:ascii="仿宋" w:hAnsi="仿宋" w:eastAsia="仿宋" w:cs="仿宋"/>
          <w:color w:val="auto"/>
          <w:highlight w:val="none"/>
        </w:rPr>
        <w:t>图标系统提醒</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要求支持当患者存在危急值须处理时，在患者床位图、信息条显示危急值图标，可以快速打开查看患者危急值记录。</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3.2.7.6</w:t>
      </w:r>
      <w:r>
        <w:rPr>
          <w:rFonts w:hint="eastAsia" w:ascii="仿宋" w:hAnsi="仿宋" w:eastAsia="仿宋" w:cs="仿宋"/>
          <w:color w:val="auto"/>
          <w:highlight w:val="none"/>
        </w:rPr>
        <w:t>临床接收</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要求支持临床人员看到危急值提醒后，可以查看到患者的基本信息与危急值报告信息，需要先进行危急值接收，后台自动反馈回医技系统。</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3.2.7.7</w:t>
      </w:r>
      <w:r>
        <w:rPr>
          <w:rFonts w:hint="eastAsia" w:ascii="仿宋" w:hAnsi="仿宋" w:eastAsia="仿宋" w:cs="仿宋"/>
          <w:color w:val="auto"/>
          <w:highlight w:val="none"/>
        </w:rPr>
        <w:t>临床处理</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要求支持临床人员对危急值的一系列操作：医嘱录入、病程书写。</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3.2.7.8</w:t>
      </w:r>
      <w:r>
        <w:rPr>
          <w:rFonts w:hint="eastAsia" w:ascii="仿宋" w:hAnsi="仿宋" w:eastAsia="仿宋" w:cs="仿宋"/>
          <w:color w:val="auto"/>
          <w:highlight w:val="none"/>
        </w:rPr>
        <w:t>医嘱录入</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要求支持链入HIS医嘱录入模块，录入医嘱后与危急值记录绑定。</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3.2.7.9</w:t>
      </w:r>
      <w:r>
        <w:rPr>
          <w:rFonts w:hint="eastAsia" w:ascii="仿宋" w:hAnsi="仿宋" w:eastAsia="仿宋" w:cs="仿宋"/>
          <w:color w:val="auto"/>
          <w:highlight w:val="none"/>
        </w:rPr>
        <w:t>病程书写</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要求支持链入电子病历系统，书写危急值病程记录并绑定起来。</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lang w:val="en-US" w:eastAsia="zh-CN" w:bidi="hi-IN"/>
        </w:rPr>
        <w:t>3.2.7.10</w:t>
      </w:r>
      <w:r>
        <w:rPr>
          <w:rFonts w:hint="eastAsia" w:ascii="仿宋" w:hAnsi="仿宋" w:eastAsia="仿宋" w:cs="仿宋"/>
          <w:color w:val="auto"/>
          <w:highlight w:val="none"/>
        </w:rPr>
        <w:t>查询统计</w:t>
      </w:r>
    </w:p>
    <w:p>
      <w:pPr>
        <w:pStyle w:val="148"/>
        <w:spacing w:before="0" w:after="0"/>
        <w:contextualSpacing/>
        <w:rPr>
          <w:rFonts w:hint="eastAsia" w:ascii="仿宋" w:hAnsi="仿宋" w:eastAsia="仿宋" w:cs="仿宋"/>
          <w:color w:val="auto"/>
          <w:highlight w:val="none"/>
        </w:rPr>
      </w:pPr>
      <w:r>
        <w:rPr>
          <w:rFonts w:hint="eastAsia" w:ascii="仿宋" w:hAnsi="仿宋" w:eastAsia="仿宋" w:cs="仿宋"/>
          <w:color w:val="auto"/>
          <w:highlight w:val="none"/>
        </w:rPr>
        <w:t>要求支持为医院医务管理部门提供危急值报告记录查询、危急值完成比例报表、危急值分布报表。</w:t>
      </w:r>
    </w:p>
    <w:p>
      <w:pPr>
        <w:pStyle w:val="4"/>
        <w:numPr>
          <w:ilvl w:val="0"/>
          <w:numId w:val="0"/>
        </w:numPr>
        <w:tabs>
          <w:tab w:val="left" w:pos="720"/>
          <w:tab w:val="left" w:pos="1006"/>
        </w:tabs>
        <w:ind w:left="1006" w:leftChars="0" w:right="0" w:rightChars="0" w:hanging="864" w:firstLineChars="0"/>
        <w:rPr>
          <w:rFonts w:hint="eastAsia" w:ascii="仿宋" w:hAnsi="仿宋" w:eastAsia="仿宋" w:cs="仿宋"/>
          <w:color w:val="auto"/>
          <w:highlight w:val="none"/>
        </w:rPr>
      </w:pPr>
      <w:bookmarkStart w:id="352" w:name="_Toc14244"/>
      <w:bookmarkStart w:id="353" w:name="_Toc15811"/>
      <w:bookmarkStart w:id="354" w:name="OLE_LINK17"/>
      <w:bookmarkStart w:id="355" w:name="OLE_LINK18"/>
      <w:r>
        <w:rPr>
          <w:rFonts w:hint="eastAsia" w:ascii="仿宋" w:hAnsi="仿宋" w:eastAsia="仿宋" w:cs="仿宋"/>
          <w:b/>
          <w:bCs/>
          <w:color w:val="auto"/>
          <w:sz w:val="28"/>
          <w:szCs w:val="28"/>
          <w:highlight w:val="none"/>
          <w:lang w:val="en-US" w:eastAsia="zh-CN" w:bidi="hi-IN"/>
        </w:rPr>
        <w:t>3.2.8</w:t>
      </w:r>
      <w:r>
        <w:rPr>
          <w:rFonts w:hint="eastAsia" w:ascii="仿宋" w:hAnsi="仿宋" w:eastAsia="仿宋" w:cs="仿宋"/>
          <w:color w:val="auto"/>
          <w:highlight w:val="none"/>
        </w:rPr>
        <w:t xml:space="preserve"> 医务管理模块</w:t>
      </w:r>
      <w:bookmarkEnd w:id="352"/>
      <w:bookmarkEnd w:id="353"/>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3.2.8.1</w:t>
      </w:r>
      <w:r>
        <w:rPr>
          <w:rFonts w:hint="eastAsia" w:ascii="仿宋" w:hAnsi="仿宋" w:eastAsia="仿宋" w:cs="仿宋"/>
          <w:color w:val="auto"/>
          <w:highlight w:val="none"/>
        </w:rPr>
        <w:t>医务管理首页</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具备门（急）诊患者动态数据查看和详细列表查看功能，类型包括门诊患者、急诊患者、发热患者。</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具备住院患者动态数据查看和详情列表查看功能，类型包括新入患者、在区患者、出区患者、死亡患者、在院患者、出院患者、病危患者、病重患者、抢救患者、ICU患者、危急值、手术患者、输血患者。</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具备关注患者功能，支持关注或者取消关注患者，方便快速查阅患者信息。</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具备重点患者告警，重点提醒当日发生的死亡患者、危急值超时处理患者。</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具备临床科室患者分布，图表展示各临床科室新入、在区、出区、死亡动态变化趋势。</w:t>
      </w:r>
    </w:p>
    <w:p>
      <w:pPr>
        <w:pStyle w:val="153"/>
        <w:snapToGrid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具备集中展示待办任务功能，可以提醒需要管理部门审核单据，快速处理。</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iCs/>
          <w:color w:val="auto"/>
          <w:sz w:val="24"/>
          <w:highlight w:val="none"/>
        </w:rPr>
      </w:pPr>
      <w:r>
        <w:rPr>
          <w:rFonts w:hint="eastAsia" w:ascii="仿宋" w:hAnsi="仿宋" w:eastAsia="仿宋" w:cs="仿宋"/>
          <w:b/>
          <w:bCs/>
          <w:iCs/>
          <w:color w:val="auto"/>
          <w:sz w:val="24"/>
          <w:szCs w:val="20"/>
          <w:highlight w:val="none"/>
          <w:lang w:val="en-US" w:eastAsia="zh-CN" w:bidi="hi-IN"/>
        </w:rPr>
        <w:t>3.2.8.2</w:t>
      </w:r>
      <w:r>
        <w:rPr>
          <w:rFonts w:hint="eastAsia" w:ascii="仿宋" w:hAnsi="仿宋" w:eastAsia="仿宋" w:cs="仿宋"/>
          <w:color w:val="auto"/>
          <w:highlight w:val="none"/>
        </w:rPr>
        <w:t>医疗质量统计分析</w:t>
      </w:r>
    </w:p>
    <w:p>
      <w:pPr>
        <w:numPr>
          <w:ilvl w:val="0"/>
          <w:numId w:val="15"/>
        </w:numPr>
        <w:tabs>
          <w:tab w:val="left" w:pos="312"/>
          <w:tab w:val="left" w:pos="732"/>
        </w:tabs>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highlight w:val="none"/>
        </w:rPr>
        <w:t>住院手术质量统计分析</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对住院手术质量与安全指标进行统计功能，包括：手术人次、一级手术量及占比、二级手术量及占比、三级手术量及占比、四级手术量及占比、非计划再次手术监测例数、住院重大手术总例数、二次以上手术量。</w:t>
      </w:r>
    </w:p>
    <w:p>
      <w:pPr>
        <w:pStyle w:val="153"/>
        <w:snapToGrid w:val="0"/>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color w:val="auto"/>
          <w:sz w:val="24"/>
          <w:szCs w:val="24"/>
          <w:highlight w:val="none"/>
        </w:rPr>
        <w:t>具备多维度统计，并图表展示统计结果，可查看具体明细。</w:t>
      </w:r>
    </w:p>
    <w:p>
      <w:pPr>
        <w:numPr>
          <w:ilvl w:val="0"/>
          <w:numId w:val="15"/>
        </w:numPr>
        <w:tabs>
          <w:tab w:val="left" w:pos="312"/>
          <w:tab w:val="left" w:pos="732"/>
        </w:tabs>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highlight w:val="none"/>
        </w:rPr>
        <w:t>会诊质量统计分析</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具备会诊情况监测功能，按申请科室和受邀科室统计全院会诊申请情况、接收情况、完成情况，包括科间会诊、多学科会诊、院外会诊。</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具备会诊满意度监测功能，按申请会诊和受邀会诊角度分别统计会诊反馈评价和满意度结果，包括评价率和满意率。</w:t>
      </w:r>
    </w:p>
    <w:p>
      <w:pPr>
        <w:pStyle w:val="153"/>
        <w:snapToGrid w:val="0"/>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color w:val="auto"/>
          <w:sz w:val="24"/>
          <w:szCs w:val="24"/>
          <w:highlight w:val="none"/>
        </w:rPr>
        <w:t>具备统计结果图表展示功能，并可查看具体明细。</w:t>
      </w:r>
    </w:p>
    <w:p>
      <w:pPr>
        <w:numPr>
          <w:ilvl w:val="0"/>
          <w:numId w:val="15"/>
        </w:numPr>
        <w:tabs>
          <w:tab w:val="left" w:pos="312"/>
          <w:tab w:val="left" w:pos="732"/>
        </w:tabs>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highlight w:val="none"/>
        </w:rPr>
        <w:t>临床路径质量统计分析</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具备路径重点指标分析，包括路径病种数、出院患者总数、入径人数（率）、完成人数（率）、变异人数（率）、退出人数（率）、路径患者比例（%）、平均住院日、平均费用、平均药费，并支持同比、环比。</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具备按出院科室维度统计路径重点指标。</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具备按路径名称维度统计路径重点指标。</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具备路径工作管理情况多维度统计分析功能，包括按科室、医生、病种分别展示符合率、入径率、完成率、退出率。</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具备路径质量管理情况多维度统计分析功能，包括按科室、病种分别展示治愈人数（率）、好转人数（率）、死亡人数（率）。</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具备经济效益管理情况多维度统计分析功能，包括按科室、路径分别统计平均住院费、平均药品费、平均卫生材料费、平均住院日。</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具备路径变异/退出分析功能，统计变异和退出不同原因的发生数据，支持发生例数和累计占比图表分析。</w:t>
      </w:r>
    </w:p>
    <w:p>
      <w:pPr>
        <w:pStyle w:val="153"/>
        <w:snapToGrid w:val="0"/>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color w:val="auto"/>
          <w:sz w:val="24"/>
          <w:szCs w:val="24"/>
          <w:highlight w:val="none"/>
        </w:rPr>
        <w:t>具备统计结果图表展示功能，并可查看具体明细。</w:t>
      </w:r>
    </w:p>
    <w:p>
      <w:pPr>
        <w:numPr>
          <w:ilvl w:val="0"/>
          <w:numId w:val="15"/>
        </w:numPr>
        <w:tabs>
          <w:tab w:val="left" w:pos="312"/>
          <w:tab w:val="left" w:pos="732"/>
        </w:tabs>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highlight w:val="none"/>
        </w:rPr>
        <w:t>抗菌药物统计分析</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需提供门急诊抗菌药物、住院抗菌药物、手术抗菌药物相关质量指标统计分析，包括使用人次、使用强度、使用品种等。</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具备门(急)诊抗菌药物情况多维度统计分析功能，包括按科室、医生分别展示抗菌药物处方人次、抗菌药物静脉使用人次、抗菌药物费用、人均使用抗菌药物品种数。</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具备住院抗菌药物使用情况多维度统计分析功能，包括按科室、医生分别展示人均使用抗菌药物费用、住院患者抗菌药物使用强度、住院抗菌药物使用率、特殊使用级抗菌药物使用率。</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具备手术患者抗菌药物情况多维度统计分析功能，包括按科室、医生分别展示I类切口患者使用抗菌药物例次及占比、I类切口手术预防使用抗菌药物例次及占比、手术患者使用抗菌药物例次及占比。</w:t>
      </w:r>
    </w:p>
    <w:p>
      <w:pPr>
        <w:pStyle w:val="153"/>
        <w:snapToGrid w:val="0"/>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color w:val="auto"/>
          <w:sz w:val="24"/>
          <w:szCs w:val="24"/>
          <w:highlight w:val="none"/>
        </w:rPr>
        <w:t>具备统计结果图表展示功能，并可查看具体明细。</w:t>
      </w:r>
    </w:p>
    <w:p>
      <w:pPr>
        <w:numPr>
          <w:ilvl w:val="0"/>
          <w:numId w:val="15"/>
        </w:numPr>
        <w:tabs>
          <w:tab w:val="left" w:pos="312"/>
          <w:tab w:val="left" w:pos="732"/>
        </w:tabs>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highlight w:val="none"/>
        </w:rPr>
        <w:t>住院输血质量统计分析</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具备输血量情况多维度统计分析功能，包括按科室、血液分类分别展示不同血液类型输血量、不同血型输血量。</w:t>
      </w:r>
    </w:p>
    <w:p>
      <w:pPr>
        <w:pStyle w:val="153"/>
        <w:snapToGrid w:val="0"/>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color w:val="auto"/>
          <w:sz w:val="24"/>
          <w:szCs w:val="24"/>
          <w:highlight w:val="none"/>
        </w:rPr>
        <w:t>具备统计结果图表展示功能，并可查看具体明细。</w:t>
      </w:r>
    </w:p>
    <w:p>
      <w:pPr>
        <w:numPr>
          <w:ilvl w:val="0"/>
          <w:numId w:val="15"/>
        </w:numPr>
        <w:tabs>
          <w:tab w:val="left" w:pos="312"/>
          <w:tab w:val="left" w:pos="732"/>
        </w:tabs>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highlight w:val="none"/>
        </w:rPr>
        <w:t>危急值质量统计分析</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具备危急值发布情况统计分析，根据医技科室统计门（急）诊、住院科室的危急值发布信息、召回信息、接收信息、处理信息，并分析超时情况。</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具备门（急）诊危急值处理情况统计分析，根据处理科室统计危急值发布信息、处理信息，包括接收数、处理数、超时处理数、平均处理时长。</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局别住院危急值处理情况统计分析，根据处理科室统计危急值发布信息、处理信息，包括接收数、处理数、超时处理数、平均处理时长。</w:t>
      </w:r>
    </w:p>
    <w:p>
      <w:pPr>
        <w:pStyle w:val="153"/>
        <w:snapToGrid w:val="0"/>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color w:val="auto"/>
          <w:sz w:val="24"/>
          <w:szCs w:val="24"/>
          <w:highlight w:val="none"/>
        </w:rPr>
        <w:t>具备统计结果图表展示功能，并可查看具体明细。</w:t>
      </w:r>
    </w:p>
    <w:p>
      <w:pPr>
        <w:numPr>
          <w:ilvl w:val="0"/>
          <w:numId w:val="15"/>
        </w:numPr>
        <w:tabs>
          <w:tab w:val="left" w:pos="312"/>
          <w:tab w:val="left" w:pos="732"/>
        </w:tabs>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iCs/>
          <w:color w:val="auto"/>
          <w:sz w:val="24"/>
          <w:highlight w:val="none"/>
        </w:rPr>
        <w:t>政策性指标统计</w:t>
      </w:r>
    </w:p>
    <w:p>
      <w:pPr>
        <w:pStyle w:val="153"/>
        <w:snapToGrid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三级公立医院绩效考核指标、医院等级评审指标、质量安全改进目标和各专业质控工作改进目标相关指标等。</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highlight w:val="none"/>
          <w:shd w:val="clear" w:color="auto" w:fill="FFFFFF"/>
        </w:rPr>
      </w:pPr>
      <w:r>
        <w:rPr>
          <w:rFonts w:hint="eastAsia" w:ascii="仿宋" w:hAnsi="仿宋" w:eastAsia="仿宋" w:cs="仿宋"/>
          <w:b/>
          <w:bCs/>
          <w:color w:val="auto"/>
          <w:sz w:val="24"/>
          <w:szCs w:val="20"/>
          <w:highlight w:val="none"/>
          <w:shd w:val="clear" w:fill="FFFFFF"/>
          <w:lang w:val="en-US" w:eastAsia="zh-CN" w:bidi="hi-IN"/>
        </w:rPr>
        <w:t>3.2.8.3</w:t>
      </w:r>
      <w:r>
        <w:rPr>
          <w:rFonts w:hint="eastAsia" w:ascii="仿宋" w:hAnsi="仿宋" w:eastAsia="仿宋" w:cs="仿宋"/>
          <w:color w:val="auto"/>
          <w:highlight w:val="none"/>
        </w:rPr>
        <w:t>医疗质量管理</w:t>
      </w:r>
    </w:p>
    <w:p>
      <w:pPr>
        <w:numPr>
          <w:ilvl w:val="0"/>
          <w:numId w:val="16"/>
        </w:numPr>
        <w:tabs>
          <w:tab w:val="left" w:pos="420"/>
        </w:tabs>
        <w:spacing w:line="360" w:lineRule="auto"/>
        <w:ind w:left="42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重大手术/疑难手术管理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具备重大手术申请审批功能，支持动态角色审批配置功能。</w:t>
      </w:r>
    </w:p>
    <w:p>
      <w:pPr>
        <w:pStyle w:val="153"/>
        <w:snapToGrid w:val="0"/>
        <w:spacing w:line="360" w:lineRule="auto"/>
        <w:ind w:left="0" w:right="0" w:firstLine="48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szCs w:val="24"/>
          <w:highlight w:val="none"/>
        </w:rPr>
        <w:t>支持与住院医生站系统对接，实现开立手术医嘱与重大手术审批结果过程关联功能，要求重大手术审批通过后，对应手术医嘱才可签署通过。</w:t>
      </w:r>
    </w:p>
    <w:p>
      <w:pPr>
        <w:numPr>
          <w:ilvl w:val="0"/>
          <w:numId w:val="16"/>
        </w:numPr>
        <w:tabs>
          <w:tab w:val="left" w:pos="420"/>
        </w:tabs>
        <w:spacing w:line="360" w:lineRule="auto"/>
        <w:ind w:left="42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抗菌药物审批管理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具备限制级抗菌药物紧急情况下24小时内限制使用功能，非紧急需科主任审批。</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具备特殊级抗菌药物紧急情况下24小时内限制使用功能，非紧急需会诊后由医务科审批。</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具备审批流程自定义配置功能，根据院内管理进行灵活调整。</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具备抗菌药物会诊专家维护功能。</w:t>
      </w:r>
    </w:p>
    <w:p>
      <w:pPr>
        <w:pStyle w:val="153"/>
        <w:snapToGrid w:val="0"/>
        <w:spacing w:line="360" w:lineRule="auto"/>
        <w:ind w:left="0" w:right="0" w:firstLine="48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szCs w:val="24"/>
          <w:highlight w:val="none"/>
        </w:rPr>
        <w:t>支持与住院医生站对接，实现抗菌药物申请、审批功能。</w:t>
      </w:r>
    </w:p>
    <w:p>
      <w:pPr>
        <w:numPr>
          <w:ilvl w:val="0"/>
          <w:numId w:val="16"/>
        </w:numPr>
        <w:tabs>
          <w:tab w:val="left" w:pos="420"/>
        </w:tabs>
        <w:spacing w:line="360" w:lineRule="auto"/>
        <w:ind w:left="42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多学科会诊/院外会诊审批管理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具备院内大会诊跟踪管理功能，医务管理人员对院内大会诊进行申请、审批、安排。</w:t>
      </w:r>
    </w:p>
    <w:p>
      <w:pPr>
        <w:pStyle w:val="153"/>
        <w:snapToGrid w:val="0"/>
        <w:spacing w:line="360" w:lineRule="auto"/>
        <w:ind w:left="0" w:right="0" w:firstLine="48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szCs w:val="24"/>
          <w:highlight w:val="none"/>
        </w:rPr>
        <w:t>具备院外大会诊申请、审批管理，医务管理人员可调整邀请院区科室、邀请专家及邀请时间，完成后打印会诊邀请函。</w:t>
      </w:r>
    </w:p>
    <w:p>
      <w:pPr>
        <w:numPr>
          <w:ilvl w:val="0"/>
          <w:numId w:val="16"/>
        </w:numPr>
        <w:tabs>
          <w:tab w:val="left" w:pos="420"/>
        </w:tabs>
        <w:spacing w:line="360" w:lineRule="auto"/>
        <w:ind w:left="42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输血申请单三级审核</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具备临床用血审批管理功能，若同一个患者一天（24小时内）申请备血量大于800ML小于1600ML则科主任审批，大于1600ML则医务科审批。</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具备紧急用血事后审批功能，并在整个审批流程中醒目显示紧急标记。</w:t>
      </w:r>
    </w:p>
    <w:p>
      <w:pPr>
        <w:pStyle w:val="153"/>
        <w:snapToGrid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支持与住院医生站输血申请单据对接,实现获取输血申请功能。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highlight w:val="none"/>
          <w:shd w:val="clear" w:color="auto" w:fill="FFFFFF"/>
        </w:rPr>
      </w:pPr>
      <w:r>
        <w:rPr>
          <w:rFonts w:hint="eastAsia" w:ascii="仿宋" w:hAnsi="仿宋" w:eastAsia="仿宋" w:cs="仿宋"/>
          <w:b/>
          <w:bCs/>
          <w:color w:val="auto"/>
          <w:sz w:val="24"/>
          <w:szCs w:val="20"/>
          <w:highlight w:val="none"/>
          <w:shd w:val="clear" w:fill="FFFFFF"/>
          <w:lang w:val="en-US" w:eastAsia="zh-CN" w:bidi="hi-IN"/>
        </w:rPr>
        <w:t>3.2.8.4</w:t>
      </w:r>
      <w:r>
        <w:rPr>
          <w:rFonts w:hint="eastAsia" w:ascii="仿宋" w:hAnsi="仿宋" w:eastAsia="仿宋" w:cs="仿宋"/>
          <w:color w:val="auto"/>
          <w:highlight w:val="none"/>
        </w:rPr>
        <w:t>医师人力资源管理</w:t>
      </w:r>
    </w:p>
    <w:p>
      <w:pPr>
        <w:numPr>
          <w:ilvl w:val="0"/>
          <w:numId w:val="17"/>
        </w:numPr>
        <w:tabs>
          <w:tab w:val="left" w:pos="4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医师基本档案管理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具备医师档案基本信息个人登记和附件上传功能。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具备教育经历相关信息登记及材料上传功能，包括学校、学历、学位、起止时间、专业。</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具备工作经历相关信息登记及材料上传功能，包括工作单位、部门、岗位、起止时间。</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具备职称信息相关信息登记及材料上传功能。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具备证书信息相关信息登记及材料上传功能，包括资格证书、执业证书。</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具备培训记录相关信息登记功能。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具备考试记录相关信息登记功能。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具备医师个人档案信息保存、提交、审核、退回流程操作功能。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具备不同管理层级查看管辖范围内的档案信息功能。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具备医师基础档案信息更新清单EXCEL导入功能。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具备医师培训记录信息更新清单EXCEL导入功能。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具备医师考试记录信息更新清单EXCEL导入功能。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支持与医师权限管理功能对接，实现医师医疗权限档案功能，集中展示医师在院内有效医疗行为权限。</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支持与新技术新项目管理功能对接，实现展示每个医师院内开展新技术情况。</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支持与奖惩积分管理功能对接，实现医师奖惩历史记录展示。</w:t>
      </w:r>
    </w:p>
    <w:p>
      <w:pPr>
        <w:pStyle w:val="153"/>
        <w:snapToGrid w:val="0"/>
        <w:spacing w:line="360" w:lineRule="auto"/>
        <w:ind w:left="0" w:right="0" w:firstLine="48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szCs w:val="24"/>
          <w:highlight w:val="none"/>
        </w:rPr>
        <w:t>支持与投诉纠纷管理功能对接，实现医师投诉记录、纠纷记录展示。</w:t>
      </w:r>
    </w:p>
    <w:p>
      <w:pPr>
        <w:numPr>
          <w:ilvl w:val="0"/>
          <w:numId w:val="17"/>
        </w:numPr>
        <w:tabs>
          <w:tab w:val="left" w:pos="4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医师资质权限管理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具备医师</w:t>
      </w:r>
      <w:r>
        <w:rPr>
          <w:rFonts w:hint="eastAsia" w:ascii="仿宋" w:hAnsi="仿宋" w:eastAsia="仿宋" w:cs="仿宋"/>
          <w:color w:val="auto"/>
          <w:sz w:val="24"/>
          <w:szCs w:val="24"/>
          <w:highlight w:val="none"/>
          <w:shd w:val="clear" w:color="auto" w:fill="FFFFFF"/>
        </w:rPr>
        <w:t>资质</w:t>
      </w:r>
      <w:r>
        <w:rPr>
          <w:rFonts w:hint="eastAsia" w:ascii="仿宋" w:hAnsi="仿宋" w:eastAsia="仿宋" w:cs="仿宋"/>
          <w:color w:val="auto"/>
          <w:sz w:val="24"/>
          <w:szCs w:val="24"/>
          <w:highlight w:val="none"/>
        </w:rPr>
        <w:t>权限集中授权管理功能，并对权限变更进行日志记录。</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药品处方权限动态授权功能，权限范围包括一般处方权、毒麻精处方权、特殊药品处方权、抗菌药物权限、抗肿瘤药物权限，支持设置权限有效授予时间，并与临床业务系统中开立处方/医嘱行为系统管控，控制无权限不允许开立。</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具备诊疗行为权限动态授权功能，权限范围包括用血权限、会诊权限、门诊出诊权限。</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具备业务科室动态授权功能，为医生开通允许登录的业务科室范围。</w:t>
      </w:r>
    </w:p>
    <w:p>
      <w:pPr>
        <w:pStyle w:val="153"/>
        <w:snapToGrid w:val="0"/>
        <w:spacing w:line="360" w:lineRule="auto"/>
        <w:ind w:left="0" w:right="0" w:firstLine="48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szCs w:val="24"/>
          <w:highlight w:val="none"/>
        </w:rPr>
        <w:t>具备医师权限申请变更功能，医生个人提交权限变更申请，申请待开通权限列表，经科主任、医务科审批后，系统自动启用授权，并在业务系统中生效。</w:t>
      </w:r>
    </w:p>
    <w:p>
      <w:pPr>
        <w:numPr>
          <w:ilvl w:val="0"/>
          <w:numId w:val="17"/>
        </w:numPr>
        <w:tabs>
          <w:tab w:val="left" w:pos="4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手术分级权限管理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具备手术分级目录管理功能，维护手术对应手术分类关系以及手术等级。</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具备手术分级权限动态授权功能，可根据手术等级、手术分类、手术名称不同方式进行授权。</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具备医师手术权限申请变更功能，医生个人提交权限变更申请，申请待开通手术等级或者手术名称范围，经科主任、医务科审批后，系统自动启用授权，并在业务系统中生效。</w:t>
      </w:r>
    </w:p>
    <w:p>
      <w:pPr>
        <w:pStyle w:val="153"/>
        <w:snapToGrid w:val="0"/>
        <w:spacing w:line="360" w:lineRule="auto"/>
        <w:ind w:left="0" w:right="0" w:firstLine="48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szCs w:val="24"/>
          <w:highlight w:val="none"/>
        </w:rPr>
        <w:t>支持与业务系统数据互通和管控，开立手术通知单，根据手术操作码和手术名称过滤拥有对应权限主刀医师范围，不允许选择范围外医师。</w:t>
      </w:r>
    </w:p>
    <w:p>
      <w:pPr>
        <w:numPr>
          <w:ilvl w:val="0"/>
          <w:numId w:val="17"/>
        </w:numPr>
        <w:tabs>
          <w:tab w:val="left" w:pos="4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新技术新项目管理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具备新技术新项目开展目录维护功能，允许批量导入新技术目录，目录内的项目作为全院各科室新技术申请和开展范围，针对部分新技术可设置允许开展科室范围。</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具备院内可开展新技术各科室发起新技术申请功能，上级部门完成审批，同意后方可在科室内部开展新技术，支持动态审批流程。</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具备新技术新项目开展过程中患者跟踪登记功能，对患者不良事件、并发症情况进行评估提交上级部门审核，审核确认纳入新技术开展例数统计。</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具备新技术新项目评价功能，评价新技术继续开展、转常规、中止，支持对评价内容做详情说明。</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具备新技术新项目已开展列表导出功能。</w:t>
      </w:r>
    </w:p>
    <w:p>
      <w:pPr>
        <w:pStyle w:val="153"/>
        <w:snapToGrid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具备新技术新项目开展情况统计功能，按照科室、开展时间、技术类别进行统计，并支持导出。</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highlight w:val="none"/>
          <w:shd w:val="clear" w:color="auto" w:fill="FFFFFF"/>
        </w:rPr>
      </w:pPr>
      <w:r>
        <w:rPr>
          <w:rFonts w:hint="eastAsia" w:ascii="仿宋" w:hAnsi="仿宋" w:eastAsia="仿宋" w:cs="仿宋"/>
          <w:b/>
          <w:bCs/>
          <w:color w:val="auto"/>
          <w:sz w:val="24"/>
          <w:szCs w:val="20"/>
          <w:highlight w:val="none"/>
          <w:shd w:val="clear" w:fill="FFFFFF"/>
          <w:lang w:val="en-US" w:eastAsia="zh-CN" w:bidi="hi-IN"/>
        </w:rPr>
        <w:t>3.2.8.5</w:t>
      </w:r>
      <w:r>
        <w:rPr>
          <w:rFonts w:hint="eastAsia" w:ascii="仿宋" w:hAnsi="仿宋" w:eastAsia="仿宋" w:cs="仿宋"/>
          <w:color w:val="auto"/>
          <w:highlight w:val="none"/>
        </w:rPr>
        <w:t>医疗组织管理</w:t>
      </w:r>
    </w:p>
    <w:p>
      <w:pPr>
        <w:widowControl/>
        <w:numPr>
          <w:ilvl w:val="0"/>
          <w:numId w:val="18"/>
        </w:numPr>
        <w:tabs>
          <w:tab w:val="left" w:pos="4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医疗组管理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具备医疗组维护管理，可由管理部门或者科室负责人直接维护，按照科室医疗组分组情况维护组长、组员。</w:t>
      </w:r>
    </w:p>
    <w:p>
      <w:pPr>
        <w:pStyle w:val="153"/>
        <w:snapToGrid w:val="0"/>
        <w:spacing w:line="360" w:lineRule="auto"/>
        <w:ind w:left="0" w:right="0" w:firstLine="48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szCs w:val="24"/>
          <w:highlight w:val="none"/>
        </w:rPr>
        <w:t>具备医疗组维护变更日志记录功能，可以方便查看记录操作人员信息。</w:t>
      </w:r>
    </w:p>
    <w:p>
      <w:pPr>
        <w:widowControl/>
        <w:numPr>
          <w:ilvl w:val="0"/>
          <w:numId w:val="18"/>
        </w:numPr>
        <w:tabs>
          <w:tab w:val="left" w:pos="42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shd w:val="clear" w:color="auto" w:fill="FFFFFF"/>
        </w:rPr>
        <w:t>专家委员会管理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具备多学科会诊专家名单维护功能。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具备院外专家名单维护功能。</w:t>
      </w:r>
    </w:p>
    <w:p>
      <w:pPr>
        <w:pStyle w:val="153"/>
        <w:snapToGrid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具备抗菌药物会诊专家名单维护功能。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0"/>
          <w:highlight w:val="none"/>
          <w:lang w:val="en-US" w:eastAsia="zh-CN" w:bidi="hi-IN"/>
        </w:rPr>
        <w:t>3.2.8.6</w:t>
      </w:r>
      <w:r>
        <w:rPr>
          <w:rFonts w:hint="eastAsia" w:ascii="仿宋" w:hAnsi="仿宋" w:eastAsia="仿宋" w:cs="仿宋"/>
          <w:color w:val="auto"/>
          <w:highlight w:val="none"/>
        </w:rPr>
        <w:t>医师值班排班管理</w:t>
      </w:r>
    </w:p>
    <w:p>
      <w:pPr>
        <w:numPr>
          <w:ilvl w:val="0"/>
          <w:numId w:val="19"/>
        </w:num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医师值班管理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具备一线班、二线班、三线班、听班班组类别维护和白班、夜班、全班班次进行值班排班功能。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具备科室/病区组合排班、临时用户排班功能。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具备上级部门查看临床科室排班情况和值班人员工作量统计与导出功能。</w:t>
      </w:r>
    </w:p>
    <w:p>
      <w:pPr>
        <w:pStyle w:val="153"/>
        <w:numPr>
          <w:ilvl w:val="0"/>
          <w:numId w:val="20"/>
        </w:numPr>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住院医师日常排班管理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具备临床科室医生和行政科室职工日常排班，可提供按周排班、按班组（科室、病区）排班方式；</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具备排班人员标签功能，辅助排班识别，标记事假、产假、孕产假、援藏、外派等；</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具备添加班种功能，个性化维护科室班种，适配不同科室排班需求；</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具备排班审核流程，包括草稿保存、发布、撤回、导出排班功能；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具备快速排班功能，包括复制排班、人员序列自动排班；</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具备排班汇总功能，各科室排班自动关联生成全院排班汇总表；</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具备医师查看个人排班表、科室领导查看管辖科室整体排班表和医务领导查看院区所有科室排班表功能；</w:t>
      </w:r>
    </w:p>
    <w:p>
      <w:pPr>
        <w:pStyle w:val="153"/>
        <w:widowControl/>
        <w:snapToGrid w:val="0"/>
        <w:spacing w:line="360" w:lineRule="auto"/>
        <w:ind w:left="0" w:right="0"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具备跨部门排班，添加本科室人员或者他科人员，适配医院人力调度变化。</w:t>
      </w:r>
    </w:p>
    <w:p>
      <w:pPr>
        <w:pStyle w:val="153"/>
        <w:numPr>
          <w:ilvl w:val="0"/>
          <w:numId w:val="20"/>
        </w:numPr>
        <w:snapToGrid w:val="0"/>
        <w:spacing w:line="360" w:lineRule="auto"/>
        <w:ind w:left="0" w:right="0"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医生电子交班</w:t>
      </w:r>
    </w:p>
    <w:p>
      <w:pPr>
        <w:pStyle w:val="153"/>
        <w:snapToGrid w:val="0"/>
        <w:spacing w:line="360" w:lineRule="auto"/>
        <w:ind w:left="900" w:right="0" w:firstLine="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根据医院实际交班模式，实现电子交接班。</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iCs/>
          <w:color w:val="auto"/>
          <w:sz w:val="24"/>
          <w:highlight w:val="none"/>
        </w:rPr>
      </w:pPr>
      <w:r>
        <w:rPr>
          <w:rFonts w:hint="eastAsia" w:ascii="仿宋" w:hAnsi="仿宋" w:eastAsia="仿宋" w:cs="仿宋"/>
          <w:b/>
          <w:bCs/>
          <w:iCs/>
          <w:color w:val="auto"/>
          <w:sz w:val="24"/>
          <w:szCs w:val="20"/>
          <w:highlight w:val="none"/>
          <w:lang w:val="en-US" w:eastAsia="zh-CN" w:bidi="hi-IN"/>
        </w:rPr>
        <w:t>3.2.8.7</w:t>
      </w:r>
      <w:r>
        <w:rPr>
          <w:rFonts w:hint="eastAsia" w:ascii="仿宋" w:hAnsi="仿宋" w:eastAsia="仿宋" w:cs="仿宋"/>
          <w:color w:val="auto"/>
          <w:highlight w:val="none"/>
        </w:rPr>
        <w:t>医疗日常事务管理</w:t>
      </w:r>
    </w:p>
    <w:p>
      <w:pPr>
        <w:numPr>
          <w:ilvl w:val="0"/>
          <w:numId w:val="21"/>
        </w:numPr>
        <w:tabs>
          <w:tab w:val="left" w:pos="312"/>
          <w:tab w:val="left" w:pos="732"/>
        </w:tabs>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highlight w:val="none"/>
        </w:rPr>
        <w:t>投诉纠纷管理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院患者投诉、院内投诉登记功能，支持投诉上报，登记投诉人员描述的事件经过或者情况；支持转送科室调查，要求指定科室回复处理情况；支持投诉直接处理，确认科室处理效果和说明投诉是否有效；支持转纠纷，进入医疗纠纷处理流程进行专项跟踪。</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具备医疗纠纷登记和过程管理功能，可进行科室调解、医院调解、第三方调解、医疗事故鉴定、法律诉讼、费用信息、结案信息过程记录登记，最终形成完整的医疗纠纷档案。</w:t>
      </w:r>
    </w:p>
    <w:p>
      <w:pPr>
        <w:pStyle w:val="153"/>
        <w:snapToGrid w:val="0"/>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color w:val="auto"/>
          <w:sz w:val="24"/>
          <w:szCs w:val="24"/>
          <w:highlight w:val="none"/>
        </w:rPr>
        <w:t>具备投诉纠纷相关统计分析功能，包括按科室、按员工、按原因、按年度进行统计</w:t>
      </w:r>
    </w:p>
    <w:p>
      <w:pPr>
        <w:numPr>
          <w:ilvl w:val="0"/>
          <w:numId w:val="21"/>
        </w:numPr>
        <w:tabs>
          <w:tab w:val="left" w:pos="312"/>
          <w:tab w:val="left" w:pos="732"/>
        </w:tabs>
        <w:spacing w:line="360" w:lineRule="auto"/>
        <w:rPr>
          <w:rFonts w:hint="eastAsia" w:ascii="仿宋" w:hAnsi="仿宋" w:eastAsia="仿宋" w:cs="仿宋"/>
          <w:color w:val="auto"/>
          <w:sz w:val="24"/>
          <w:szCs w:val="24"/>
          <w:highlight w:val="none"/>
        </w:rPr>
      </w:pPr>
      <w:r>
        <w:rPr>
          <w:rFonts w:hint="eastAsia" w:ascii="仿宋" w:hAnsi="仿宋" w:eastAsia="仿宋" w:cs="仿宋"/>
          <w:iCs/>
          <w:color w:val="auto"/>
          <w:sz w:val="24"/>
          <w:highlight w:val="none"/>
        </w:rPr>
        <w:t>奖惩积分登记</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具备医院积分规则维护和新考核周期自动初始化功能。</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具备医生积分奖励、扣除、申诉、审核的流程管理功能。</w:t>
      </w:r>
    </w:p>
    <w:p>
      <w:pPr>
        <w:pStyle w:val="153"/>
        <w:snapToGrid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具备医生积分查询、统计、导出的功能。</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iCs/>
          <w:color w:val="auto"/>
          <w:sz w:val="24"/>
          <w:highlight w:val="none"/>
        </w:rPr>
      </w:pPr>
      <w:r>
        <w:rPr>
          <w:rFonts w:hint="eastAsia" w:ascii="仿宋" w:hAnsi="仿宋" w:eastAsia="仿宋" w:cs="仿宋"/>
          <w:b/>
          <w:bCs/>
          <w:iCs/>
          <w:color w:val="auto"/>
          <w:sz w:val="24"/>
          <w:szCs w:val="20"/>
          <w:highlight w:val="none"/>
          <w:lang w:val="en-US" w:eastAsia="zh-CN" w:bidi="hi-IN"/>
        </w:rPr>
        <w:t>3.2.8.8</w:t>
      </w:r>
      <w:r>
        <w:rPr>
          <w:rFonts w:hint="eastAsia" w:ascii="仿宋" w:hAnsi="仿宋" w:eastAsia="仿宋" w:cs="仿宋"/>
          <w:color w:val="auto"/>
          <w:highlight w:val="none"/>
        </w:rPr>
        <w:t>台账本管理</w:t>
      </w:r>
    </w:p>
    <w:p>
      <w:pPr>
        <w:numPr>
          <w:ilvl w:val="0"/>
          <w:numId w:val="0"/>
        </w:numPr>
        <w:tabs>
          <w:tab w:val="left" w:pos="312"/>
          <w:tab w:val="left" w:pos="732"/>
        </w:tabs>
        <w:spacing w:line="360" w:lineRule="auto"/>
        <w:ind w:left="0" w:leftChars="0" w:right="0" w:rightChars="0" w:firstLine="480" w:firstLineChars="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A．</w:t>
      </w:r>
      <w:r>
        <w:rPr>
          <w:rFonts w:hint="eastAsia" w:ascii="仿宋" w:hAnsi="仿宋" w:eastAsia="仿宋" w:cs="仿宋"/>
          <w:iCs/>
          <w:color w:val="auto"/>
          <w:sz w:val="24"/>
          <w:highlight w:val="none"/>
        </w:rPr>
        <w:t>临床台账8大本</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临床八大台账本、科务会台账本、临床科室质量自查登记本，其中临床八大台账本包括：术前讨论记录台账本、危重病人抢救台账本、疑难病例讨论台账本、非计划再次手术台账本、住院超30天患者台账本、死亡病例讨论台账本、差错事故台账本、出院病人台账本。</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具备从诊疗病历中获取患者信息、诊疗信息、医嘱信息、文书信息等节点数据。</w:t>
      </w:r>
    </w:p>
    <w:p>
      <w:pPr>
        <w:pStyle w:val="153"/>
        <w:snapToGrid w:val="0"/>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color w:val="auto"/>
          <w:sz w:val="24"/>
          <w:szCs w:val="24"/>
          <w:highlight w:val="none"/>
        </w:rPr>
        <w:t>具备台账本信息修改和打印功能。</w:t>
      </w:r>
    </w:p>
    <w:p>
      <w:pPr>
        <w:numPr>
          <w:ilvl w:val="0"/>
          <w:numId w:val="0"/>
        </w:numPr>
        <w:tabs>
          <w:tab w:val="left" w:pos="312"/>
          <w:tab w:val="left" w:pos="732"/>
        </w:tabs>
        <w:spacing w:line="360" w:lineRule="auto"/>
        <w:ind w:left="0" w:leftChars="0" w:right="0" w:rightChars="0" w:firstLine="480" w:firstLineChars="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B．</w:t>
      </w:r>
      <w:r>
        <w:rPr>
          <w:rFonts w:hint="eastAsia" w:ascii="仿宋" w:hAnsi="仿宋" w:eastAsia="仿宋" w:cs="仿宋"/>
          <w:iCs/>
          <w:color w:val="auto"/>
          <w:sz w:val="24"/>
          <w:highlight w:val="none"/>
        </w:rPr>
        <w:t xml:space="preserve"> 台账本任务提醒管理</w:t>
      </w:r>
    </w:p>
    <w:p>
      <w:pPr>
        <w:pStyle w:val="153"/>
        <w:snapToGrid w:val="0"/>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具备台账本缺漏任务提醒功能。</w:t>
      </w:r>
    </w:p>
    <w:p>
      <w:pPr>
        <w:pStyle w:val="153"/>
        <w:snapToGrid w:val="0"/>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szCs w:val="24"/>
          <w:highlight w:val="none"/>
        </w:rPr>
        <w:t>具备下达任务通知、反馈确认功能，如漏填或待填任务下达。</w:t>
      </w:r>
    </w:p>
    <w:p>
      <w:pPr>
        <w:pStyle w:val="6"/>
        <w:numPr>
          <w:ilvl w:val="0"/>
          <w:numId w:val="0"/>
        </w:numPr>
        <w:tabs>
          <w:tab w:val="left" w:pos="1006"/>
          <w:tab w:val="left" w:pos="1008"/>
        </w:tabs>
        <w:ind w:left="866" w:leftChars="0" w:right="0" w:rightChars="0" w:hanging="1008" w:firstLineChars="0"/>
        <w:rPr>
          <w:rFonts w:hint="eastAsia" w:ascii="仿宋" w:hAnsi="仿宋" w:eastAsia="仿宋" w:cs="仿宋"/>
          <w:iCs/>
          <w:color w:val="auto"/>
          <w:sz w:val="24"/>
          <w:highlight w:val="none"/>
        </w:rPr>
      </w:pPr>
      <w:r>
        <w:rPr>
          <w:rFonts w:hint="eastAsia" w:ascii="仿宋" w:hAnsi="仿宋" w:eastAsia="仿宋" w:cs="仿宋"/>
          <w:b/>
          <w:bCs/>
          <w:iCs/>
          <w:color w:val="auto"/>
          <w:sz w:val="24"/>
          <w:szCs w:val="20"/>
          <w:highlight w:val="none"/>
          <w:lang w:val="en-US" w:eastAsia="zh-CN" w:bidi="hi-IN"/>
        </w:rPr>
        <w:t>3.2.8.9</w:t>
      </w:r>
      <w:r>
        <w:rPr>
          <w:rFonts w:hint="eastAsia" w:ascii="仿宋" w:hAnsi="仿宋" w:eastAsia="仿宋" w:cs="仿宋"/>
          <w:color w:val="auto"/>
          <w:highlight w:val="none"/>
        </w:rPr>
        <w:t>院内制度管理</w:t>
      </w:r>
    </w:p>
    <w:p>
      <w:pPr>
        <w:numPr>
          <w:ilvl w:val="0"/>
          <w:numId w:val="22"/>
        </w:numPr>
        <w:tabs>
          <w:tab w:val="left" w:pos="312"/>
          <w:tab w:val="left" w:pos="732"/>
        </w:tabs>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院内制度文件管理</w:t>
      </w:r>
    </w:p>
    <w:p>
      <w:pPr>
        <w:tabs>
          <w:tab w:val="left" w:pos="312"/>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iCs/>
          <w:color w:val="auto"/>
          <w:sz w:val="24"/>
          <w:highlight w:val="none"/>
        </w:rPr>
        <w:t>具备院内公告管理功能，可</w:t>
      </w:r>
      <w:r>
        <w:rPr>
          <w:rFonts w:hint="eastAsia" w:ascii="仿宋" w:hAnsi="仿宋" w:eastAsia="仿宋" w:cs="仿宋"/>
          <w:color w:val="auto"/>
          <w:sz w:val="24"/>
          <w:highlight w:val="none"/>
        </w:rPr>
        <w:t>发布制度文件、公示公告、院内通知，可对公告内容预览、编辑、撤回、删除操作。</w:t>
      </w:r>
    </w:p>
    <w:p>
      <w:pPr>
        <w:tabs>
          <w:tab w:val="left" w:pos="312"/>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具备制度文件管理功能，管理人员进行制度目录和制度文件的日常管理和维护，包括制度目录的编辑、废止、删除、下载和制度文件的编辑、废止、删除、下载、统计、附件上传。</w:t>
      </w:r>
    </w:p>
    <w:p>
      <w:pPr>
        <w:tabs>
          <w:tab w:val="left" w:pos="312"/>
        </w:tabs>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具备制度文件按不同范围发布管理功能，如按科室、按人员，让指定范围人员可接收到相关制度文件。</w:t>
      </w:r>
    </w:p>
    <w:p>
      <w:pPr>
        <w:tabs>
          <w:tab w:val="left" w:pos="312"/>
        </w:tabs>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color w:val="auto"/>
          <w:sz w:val="24"/>
          <w:highlight w:val="none"/>
        </w:rPr>
        <w:t>具备制度文件发布统计和查阅结果统计功能。</w:t>
      </w:r>
    </w:p>
    <w:p>
      <w:pPr>
        <w:numPr>
          <w:ilvl w:val="0"/>
          <w:numId w:val="22"/>
        </w:numPr>
        <w:tabs>
          <w:tab w:val="left" w:pos="312"/>
          <w:tab w:val="left" w:pos="732"/>
        </w:tabs>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制度查阅</w:t>
      </w:r>
    </w:p>
    <w:p>
      <w:pPr>
        <w:tabs>
          <w:tab w:val="left" w:pos="312"/>
        </w:tabs>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具备制度文件搜索、收藏、下载、预览功能。</w:t>
      </w:r>
    </w:p>
    <w:p>
      <w:pPr>
        <w:tabs>
          <w:tab w:val="left" w:pos="312"/>
        </w:tabs>
        <w:spacing w:line="360" w:lineRule="auto"/>
        <w:ind w:left="0" w:right="0" w:firstLine="480"/>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具备通知公告查阅功能。</w:t>
      </w:r>
    </w:p>
    <w:p>
      <w:pPr>
        <w:tabs>
          <w:tab w:val="left" w:pos="312"/>
        </w:tabs>
        <w:spacing w:line="360" w:lineRule="auto"/>
        <w:ind w:left="0" w:right="0" w:firstLine="480"/>
        <w:rPr>
          <w:rFonts w:hint="eastAsia" w:ascii="仿宋" w:hAnsi="仿宋" w:eastAsia="仿宋" w:cs="仿宋"/>
          <w:color w:val="auto"/>
          <w:highlight w:val="none"/>
        </w:rPr>
      </w:pPr>
      <w:r>
        <w:rPr>
          <w:rFonts w:hint="eastAsia" w:ascii="仿宋" w:hAnsi="仿宋" w:eastAsia="仿宋" w:cs="仿宋"/>
          <w:iCs/>
          <w:color w:val="auto"/>
          <w:sz w:val="24"/>
          <w:highlight w:val="none"/>
        </w:rPr>
        <w:t>支持与住院医生站、住院护士站、医技系统等业务系统对接，实现制度查询端免登陆便捷访问功能。</w:t>
      </w:r>
    </w:p>
    <w:p>
      <w:pPr>
        <w:pStyle w:val="3"/>
        <w:numPr>
          <w:ilvl w:val="0"/>
          <w:numId w:val="0"/>
        </w:numPr>
        <w:tabs>
          <w:tab w:val="left" w:pos="432"/>
          <w:tab w:val="left" w:pos="576"/>
        </w:tabs>
        <w:ind w:left="576" w:leftChars="0" w:hanging="576" w:firstLineChars="0"/>
        <w:rPr>
          <w:rFonts w:hint="eastAsia" w:ascii="仿宋" w:hAnsi="仿宋" w:eastAsia="仿宋" w:cs="仿宋"/>
          <w:color w:val="auto"/>
          <w:highlight w:val="none"/>
        </w:rPr>
      </w:pPr>
      <w:bookmarkStart w:id="356" w:name="_Toc20519"/>
      <w:bookmarkStart w:id="357" w:name="_Toc20979"/>
      <w:r>
        <w:rPr>
          <w:rFonts w:hint="eastAsia" w:ascii="仿宋" w:hAnsi="仿宋" w:eastAsia="仿宋" w:cs="仿宋"/>
          <w:b/>
          <w:bCs/>
          <w:color w:val="auto"/>
          <w:kern w:val="0"/>
          <w:sz w:val="30"/>
          <w:szCs w:val="30"/>
          <w:highlight w:val="none"/>
          <w:lang w:val="en-US" w:eastAsia="zh-CN" w:bidi="hi-IN"/>
        </w:rPr>
        <w:t>3.3</w:t>
      </w:r>
      <w:r>
        <w:rPr>
          <w:rFonts w:hint="eastAsia" w:ascii="仿宋" w:hAnsi="仿宋" w:eastAsia="仿宋" w:cs="仿宋"/>
          <w:color w:val="auto"/>
          <w:highlight w:val="none"/>
        </w:rPr>
        <w:t>集成平台</w:t>
      </w:r>
      <w:bookmarkEnd w:id="356"/>
      <w:bookmarkEnd w:id="357"/>
    </w:p>
    <w:bookmarkEnd w:id="354"/>
    <w:bookmarkEnd w:id="355"/>
    <w:p>
      <w:pPr>
        <w:pStyle w:val="4"/>
        <w:numPr>
          <w:ilvl w:val="0"/>
          <w:numId w:val="0"/>
        </w:numPr>
        <w:tabs>
          <w:tab w:val="left" w:pos="576"/>
          <w:tab w:val="left" w:pos="720"/>
        </w:tabs>
        <w:ind w:left="720" w:leftChars="0" w:hanging="720" w:firstLineChars="0"/>
        <w:rPr>
          <w:rFonts w:hint="eastAsia" w:ascii="仿宋" w:hAnsi="仿宋" w:eastAsia="仿宋" w:cs="仿宋"/>
          <w:color w:val="auto"/>
          <w:highlight w:val="none"/>
        </w:rPr>
      </w:pPr>
      <w:bookmarkStart w:id="358" w:name="_Toc31295"/>
      <w:bookmarkStart w:id="359" w:name="_Toc22306"/>
      <w:r>
        <w:rPr>
          <w:rFonts w:hint="eastAsia" w:ascii="仿宋" w:hAnsi="仿宋" w:eastAsia="仿宋" w:cs="仿宋"/>
          <w:b/>
          <w:bCs/>
          <w:color w:val="auto"/>
          <w:sz w:val="28"/>
          <w:szCs w:val="28"/>
          <w:highlight w:val="none"/>
          <w:lang w:val="en-US" w:eastAsia="zh-CN" w:bidi="hi-IN"/>
        </w:rPr>
        <w:t>3.3.1</w:t>
      </w:r>
      <w:r>
        <w:rPr>
          <w:rFonts w:hint="eastAsia" w:ascii="仿宋" w:hAnsi="仿宋" w:eastAsia="仿宋" w:cs="仿宋"/>
          <w:color w:val="auto"/>
          <w:highlight w:val="none"/>
        </w:rPr>
        <w:t>基础平台</w:t>
      </w:r>
      <w:bookmarkEnd w:id="358"/>
      <w:bookmarkEnd w:id="359"/>
    </w:p>
    <w:p>
      <w:pPr>
        <w:pStyle w:val="6"/>
        <w:numPr>
          <w:ilvl w:val="0"/>
          <w:numId w:val="0"/>
        </w:numPr>
        <w:tabs>
          <w:tab w:val="left" w:pos="720"/>
          <w:tab w:val="left" w:pos="1006"/>
        </w:tabs>
        <w:ind w:left="864" w:leftChars="0" w:hanging="864"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0"/>
          <w:highlight w:val="none"/>
          <w:lang w:val="en-US" w:eastAsia="zh-CN" w:bidi="hi-IN"/>
        </w:rPr>
        <w:t>3.3.1.1</w:t>
      </w:r>
      <w:r>
        <w:rPr>
          <w:rFonts w:hint="eastAsia" w:ascii="仿宋" w:hAnsi="仿宋" w:eastAsia="仿宋" w:cs="仿宋"/>
          <w:color w:val="auto"/>
          <w:highlight w:val="none"/>
        </w:rPr>
        <w:t>数据交换平台</w:t>
      </w:r>
    </w:p>
    <w:p>
      <w:pPr>
        <w:spacing w:line="360" w:lineRule="auto"/>
        <w:ind w:left="0" w:right="0" w:firstLine="480"/>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平台完全采用基于的消息传输机制，具备消息跟踪机制，具有消息路由功能，具有消息仓库，消息</w:t>
      </w:r>
      <w:r>
        <w:rPr>
          <w:rFonts w:hint="eastAsia" w:ascii="仿宋" w:hAnsi="仿宋" w:eastAsia="仿宋" w:cs="仿宋"/>
          <w:color w:val="auto"/>
          <w:sz w:val="24"/>
          <w:szCs w:val="24"/>
          <w:highlight w:val="none"/>
        </w:rPr>
        <w:t>能够持久化。</w:t>
      </w:r>
    </w:p>
    <w:p>
      <w:pPr>
        <w:pStyle w:val="7"/>
        <w:numPr>
          <w:ilvl w:val="4"/>
          <w:numId w:val="0"/>
        </w:numPr>
        <w:tabs>
          <w:tab w:val="left" w:pos="1006"/>
          <w:tab w:val="clear" w:pos="0"/>
        </w:tabs>
        <w:spacing w:before="0" w:after="0" w:line="360" w:lineRule="auto"/>
        <w:ind w:left="1009" w:leftChars="0" w:right="0" w:rightChars="0" w:hanging="1009"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hi-IN"/>
        </w:rPr>
        <w:t>3.3.1.1.1</w:t>
      </w:r>
      <w:r>
        <w:rPr>
          <w:rFonts w:hint="eastAsia" w:ascii="仿宋" w:hAnsi="仿宋" w:eastAsia="仿宋" w:cs="仿宋"/>
          <w:b/>
          <w:bCs/>
          <w:color w:val="auto"/>
          <w:sz w:val="24"/>
          <w:szCs w:val="24"/>
          <w:highlight w:val="none"/>
        </w:rPr>
        <w:t>数据采集工具（ETL）</w:t>
      </w:r>
    </w:p>
    <w:tbl>
      <w:tblPr>
        <w:tblStyle w:val="38"/>
        <w:tblW w:w="0" w:type="auto"/>
        <w:jc w:val="center"/>
        <w:tblLayout w:type="fixed"/>
        <w:tblCellMar>
          <w:top w:w="0" w:type="dxa"/>
          <w:left w:w="108" w:type="dxa"/>
          <w:bottom w:w="0" w:type="dxa"/>
          <w:right w:w="108" w:type="dxa"/>
        </w:tblCellMar>
      </w:tblPr>
      <w:tblGrid>
        <w:gridCol w:w="2118"/>
        <w:gridCol w:w="6601"/>
      </w:tblGrid>
      <w:tr>
        <w:tblPrEx>
          <w:tblCellMar>
            <w:top w:w="0" w:type="dxa"/>
            <w:left w:w="108" w:type="dxa"/>
            <w:bottom w:w="0" w:type="dxa"/>
            <w:right w:w="108" w:type="dxa"/>
          </w:tblCellMar>
        </w:tblPrEx>
        <w:trPr>
          <w:trHeight w:val="90" w:hRule="atLeast"/>
          <w:jc w:val="center"/>
        </w:trPr>
        <w:tc>
          <w:tcPr>
            <w:tcW w:w="2118"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功能名称</w:t>
            </w:r>
          </w:p>
        </w:tc>
        <w:tc>
          <w:tcPr>
            <w:tcW w:w="6601"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需求说明与参数要求</w:t>
            </w:r>
          </w:p>
        </w:tc>
      </w:tr>
      <w:tr>
        <w:tblPrEx>
          <w:tblCellMar>
            <w:top w:w="0" w:type="dxa"/>
            <w:left w:w="108" w:type="dxa"/>
            <w:bottom w:w="0" w:type="dxa"/>
            <w:right w:w="108" w:type="dxa"/>
          </w:tblCellMar>
        </w:tblPrEx>
        <w:trPr>
          <w:trHeight w:val="90" w:hRule="atLeast"/>
          <w:jc w:val="center"/>
        </w:trPr>
        <w:tc>
          <w:tcPr>
            <w:tcW w:w="211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数据采集工具</w:t>
            </w:r>
          </w:p>
          <w:p>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（ETL）</w:t>
            </w:r>
          </w:p>
        </w:tc>
        <w:tc>
          <w:tcPr>
            <w:tcW w:w="66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具备多种数据库类型的数据源采集配置；</w:t>
            </w:r>
          </w:p>
        </w:tc>
      </w:tr>
      <w:tr>
        <w:tblPrEx>
          <w:tblCellMar>
            <w:top w:w="0" w:type="dxa"/>
            <w:left w:w="108" w:type="dxa"/>
            <w:bottom w:w="0" w:type="dxa"/>
            <w:right w:w="108" w:type="dxa"/>
          </w:tblCellMar>
        </w:tblPrEx>
        <w:trPr>
          <w:trHeight w:val="164" w:hRule="atLeast"/>
          <w:jc w:val="center"/>
        </w:trPr>
        <w:tc>
          <w:tcPr>
            <w:tcW w:w="211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2"/>
                <w:szCs w:val="22"/>
                <w:highlight w:val="none"/>
              </w:rPr>
            </w:pPr>
          </w:p>
        </w:tc>
        <w:tc>
          <w:tcPr>
            <w:tcW w:w="66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采用主流数据同步工具，采用数据库动态日志捕获同步技术，确保与业务数据源的一致性控制在毫秒级以内。</w:t>
            </w:r>
          </w:p>
        </w:tc>
      </w:tr>
      <w:tr>
        <w:tblPrEx>
          <w:tblCellMar>
            <w:top w:w="0" w:type="dxa"/>
            <w:left w:w="108" w:type="dxa"/>
            <w:bottom w:w="0" w:type="dxa"/>
            <w:right w:w="108" w:type="dxa"/>
          </w:tblCellMar>
        </w:tblPrEx>
        <w:trPr>
          <w:trHeight w:val="164" w:hRule="atLeast"/>
          <w:jc w:val="center"/>
        </w:trPr>
        <w:tc>
          <w:tcPr>
            <w:tcW w:w="211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2"/>
                <w:szCs w:val="22"/>
                <w:highlight w:val="none"/>
              </w:rPr>
            </w:pPr>
          </w:p>
        </w:tc>
        <w:tc>
          <w:tcPr>
            <w:tcW w:w="66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出现异常情况，应向系统管理员发送警告，发送警告的方式有多种，包括并不限于邮件、短信等方式，警告信息附有详细的出错信息，方便管理员排查异常错误。</w:t>
            </w:r>
          </w:p>
        </w:tc>
      </w:tr>
      <w:tr>
        <w:tblPrEx>
          <w:tblCellMar>
            <w:top w:w="0" w:type="dxa"/>
            <w:left w:w="108" w:type="dxa"/>
            <w:bottom w:w="0" w:type="dxa"/>
            <w:right w:w="108" w:type="dxa"/>
          </w:tblCellMar>
        </w:tblPrEx>
        <w:trPr>
          <w:trHeight w:val="120" w:hRule="atLeast"/>
          <w:jc w:val="center"/>
        </w:trPr>
        <w:tc>
          <w:tcPr>
            <w:tcW w:w="211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2"/>
                <w:szCs w:val="22"/>
                <w:highlight w:val="none"/>
              </w:rPr>
            </w:pPr>
          </w:p>
        </w:tc>
        <w:tc>
          <w:tcPr>
            <w:tcW w:w="66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数据采集具有详细的记录日志；可以根据日志跟踪解决数据采集错误，查看采集工具日常运行情况；</w:t>
            </w:r>
          </w:p>
        </w:tc>
      </w:tr>
      <w:tr>
        <w:tblPrEx>
          <w:tblCellMar>
            <w:top w:w="0" w:type="dxa"/>
            <w:left w:w="108" w:type="dxa"/>
            <w:bottom w:w="0" w:type="dxa"/>
            <w:right w:w="108" w:type="dxa"/>
          </w:tblCellMar>
        </w:tblPrEx>
        <w:trPr>
          <w:trHeight w:val="90" w:hRule="atLeast"/>
          <w:jc w:val="center"/>
        </w:trPr>
        <w:tc>
          <w:tcPr>
            <w:tcW w:w="211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2"/>
                <w:szCs w:val="22"/>
                <w:highlight w:val="none"/>
              </w:rPr>
            </w:pPr>
          </w:p>
        </w:tc>
        <w:tc>
          <w:tcPr>
            <w:tcW w:w="66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bookmarkStart w:id="360" w:name="OLE_LINK6"/>
            <w:r>
              <w:rPr>
                <w:rFonts w:hint="eastAsia" w:ascii="仿宋" w:hAnsi="仿宋" w:eastAsia="仿宋" w:cs="仿宋"/>
                <w:color w:val="auto"/>
                <w:sz w:val="22"/>
                <w:szCs w:val="22"/>
                <w:highlight w:val="none"/>
              </w:rPr>
              <w:t>具备</w:t>
            </w:r>
            <w:bookmarkEnd w:id="360"/>
            <w:r>
              <w:rPr>
                <w:rFonts w:hint="eastAsia" w:ascii="仿宋" w:hAnsi="仿宋" w:eastAsia="仿宋" w:cs="仿宋"/>
                <w:color w:val="auto"/>
                <w:sz w:val="22"/>
                <w:szCs w:val="22"/>
                <w:highlight w:val="none"/>
              </w:rPr>
              <w:t>增量数据采集功能，可以自动采集同步新产生的增量数据；</w:t>
            </w:r>
          </w:p>
        </w:tc>
      </w:tr>
      <w:tr>
        <w:tblPrEx>
          <w:tblCellMar>
            <w:top w:w="0" w:type="dxa"/>
            <w:left w:w="108" w:type="dxa"/>
            <w:bottom w:w="0" w:type="dxa"/>
            <w:right w:w="108" w:type="dxa"/>
          </w:tblCellMar>
        </w:tblPrEx>
        <w:trPr>
          <w:trHeight w:val="90" w:hRule="atLeast"/>
          <w:jc w:val="center"/>
        </w:trPr>
        <w:tc>
          <w:tcPr>
            <w:tcW w:w="211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2"/>
                <w:szCs w:val="22"/>
                <w:highlight w:val="none"/>
              </w:rPr>
            </w:pPr>
          </w:p>
        </w:tc>
        <w:tc>
          <w:tcPr>
            <w:tcW w:w="66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当数据源结构变化时，不会影响正常采集工作；</w:t>
            </w:r>
          </w:p>
        </w:tc>
      </w:tr>
      <w:tr>
        <w:tblPrEx>
          <w:tblCellMar>
            <w:top w:w="0" w:type="dxa"/>
            <w:left w:w="108" w:type="dxa"/>
            <w:bottom w:w="0" w:type="dxa"/>
            <w:right w:w="108" w:type="dxa"/>
          </w:tblCellMar>
        </w:tblPrEx>
        <w:trPr>
          <w:trHeight w:val="176" w:hRule="atLeast"/>
          <w:jc w:val="center"/>
        </w:trPr>
        <w:tc>
          <w:tcPr>
            <w:tcW w:w="211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2"/>
                <w:szCs w:val="22"/>
                <w:highlight w:val="none"/>
              </w:rPr>
            </w:pPr>
          </w:p>
        </w:tc>
        <w:tc>
          <w:tcPr>
            <w:tcW w:w="66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具备数据质量的校验;过滤不符合要求的数据，过滤结果</w:t>
            </w:r>
            <w:r>
              <w:rPr>
                <w:rFonts w:hint="eastAsia" w:ascii="仿宋" w:hAnsi="仿宋" w:eastAsia="仿宋" w:cs="仿宋"/>
                <w:color w:val="auto"/>
                <w:sz w:val="22"/>
                <w:szCs w:val="22"/>
                <w:highlight w:val="none"/>
                <w:lang w:val="en-US" w:eastAsia="zh-CN"/>
              </w:rPr>
              <w:t>提交</w:t>
            </w:r>
            <w:r>
              <w:rPr>
                <w:rFonts w:hint="eastAsia" w:ascii="仿宋" w:hAnsi="仿宋" w:eastAsia="仿宋" w:cs="仿宋"/>
                <w:color w:val="auto"/>
                <w:sz w:val="22"/>
                <w:szCs w:val="22"/>
                <w:highlight w:val="none"/>
              </w:rPr>
              <w:t>业务主管部门确认，</w:t>
            </w:r>
            <w:r>
              <w:rPr>
                <w:rFonts w:hint="eastAsia" w:ascii="仿宋" w:hAnsi="仿宋" w:eastAsia="仿宋" w:cs="仿宋"/>
                <w:color w:val="auto"/>
                <w:sz w:val="22"/>
                <w:szCs w:val="22"/>
                <w:highlight w:val="none"/>
                <w:lang w:val="en-US" w:eastAsia="zh-CN"/>
              </w:rPr>
              <w:t>或者</w:t>
            </w:r>
            <w:r>
              <w:rPr>
                <w:rFonts w:hint="eastAsia" w:ascii="仿宋" w:hAnsi="仿宋" w:eastAsia="仿宋" w:cs="仿宋"/>
                <w:color w:val="auto"/>
                <w:sz w:val="22"/>
                <w:szCs w:val="22"/>
                <w:highlight w:val="none"/>
              </w:rPr>
              <w:t>由业务单位修正之后再进行抽取。</w:t>
            </w:r>
          </w:p>
        </w:tc>
      </w:tr>
    </w:tbl>
    <w:p>
      <w:pPr>
        <w:pStyle w:val="7"/>
        <w:numPr>
          <w:ilvl w:val="4"/>
          <w:numId w:val="0"/>
        </w:numPr>
        <w:tabs>
          <w:tab w:val="left" w:pos="1006"/>
          <w:tab w:val="clear" w:pos="0"/>
        </w:tabs>
        <w:spacing w:before="0" w:after="0" w:line="360" w:lineRule="auto"/>
        <w:ind w:left="1008" w:leftChars="0" w:hanging="1008" w:firstLineChars="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bidi="hi-IN"/>
        </w:rPr>
        <w:t>3.3.1.1.2</w:t>
      </w:r>
      <w:r>
        <w:rPr>
          <w:rFonts w:hint="eastAsia" w:ascii="仿宋" w:hAnsi="仿宋" w:eastAsia="仿宋" w:cs="仿宋"/>
          <w:color w:val="auto"/>
          <w:sz w:val="24"/>
          <w:szCs w:val="24"/>
          <w:highlight w:val="none"/>
        </w:rPr>
        <w:t>服务总线（ESB）</w:t>
      </w:r>
    </w:p>
    <w:p>
      <w:pPr>
        <w:pStyle w:val="148"/>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基于SOA架构，要求服务总线能够提供用于提高IT敏捷性和适应业务需求的面向服务的基础架构。能够无缝地整合服务总线的集成功能和服务管理。能够加速配置和部署，简化跨SOA的共享服务的管理。</w:t>
      </w:r>
    </w:p>
    <w:tbl>
      <w:tblPr>
        <w:tblStyle w:val="38"/>
        <w:tblW w:w="0" w:type="auto"/>
        <w:jc w:val="center"/>
        <w:tblLayout w:type="fixed"/>
        <w:tblCellMar>
          <w:top w:w="0" w:type="dxa"/>
          <w:left w:w="108" w:type="dxa"/>
          <w:bottom w:w="0" w:type="dxa"/>
          <w:right w:w="108" w:type="dxa"/>
        </w:tblCellMar>
      </w:tblPr>
      <w:tblGrid>
        <w:gridCol w:w="2225"/>
        <w:gridCol w:w="6934"/>
      </w:tblGrid>
      <w:tr>
        <w:tblPrEx>
          <w:tblCellMar>
            <w:top w:w="0" w:type="dxa"/>
            <w:left w:w="108" w:type="dxa"/>
            <w:bottom w:w="0" w:type="dxa"/>
            <w:right w:w="108" w:type="dxa"/>
          </w:tblCellMar>
        </w:tblPrEx>
        <w:trPr>
          <w:trHeight w:val="90" w:hRule="atLeast"/>
          <w:jc w:val="center"/>
        </w:trPr>
        <w:tc>
          <w:tcPr>
            <w:tcW w:w="222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功能名称</w:t>
            </w:r>
          </w:p>
        </w:tc>
        <w:tc>
          <w:tcPr>
            <w:tcW w:w="6934"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需求说明与参数要求</w:t>
            </w:r>
          </w:p>
        </w:tc>
      </w:tr>
      <w:tr>
        <w:tblPrEx>
          <w:tblCellMar>
            <w:top w:w="0" w:type="dxa"/>
            <w:left w:w="108" w:type="dxa"/>
            <w:bottom w:w="0" w:type="dxa"/>
            <w:right w:w="108" w:type="dxa"/>
          </w:tblCellMar>
        </w:tblPrEx>
        <w:trPr>
          <w:trHeight w:val="90" w:hRule="atLeast"/>
          <w:jc w:val="center"/>
        </w:trPr>
        <w:tc>
          <w:tcPr>
            <w:tcW w:w="2225"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服务引擎</w:t>
            </w:r>
          </w:p>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（ESB）</w:t>
            </w: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支持热备高可用性部署，主备机之间配置、消息库可实时同步，当主机修复后，消息会转回主机中继续处理。</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支持HL7v2、HL7v3标准库。支持HL7v2、HL7v3、国家互联互通CDA标准、FHIR、XML、JSON标准和规范，提供对这些标准处理的工具。</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遵循SOA设计原则和技术标准，能够构建标准的企业服务总线平台，提供松耦合模式；</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具有跨队列、消息代理和数据转换一体化的面向服务架构，有成熟的适配器，可将不同的后端应用数据和数据库抽象成一致的对象模型；</w:t>
            </w:r>
          </w:p>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能提供配置的方式，自定义数据交换格式；</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具备创建定制适配器、消息、业务服务、业务操作和业务流程以及数据转换的向导；</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支持统一的数据交互开发运行环境，以创建和扩展图形化数据转换业务流程建模，可同时进行图形化和基于代码或文档的开发工作，为服务提供远程调用支持。提供服务卸载和更新服务；</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支持数据处理结果图形化全局流程显示，并提供流程树状显示，展示在整个流程中路由内每个节点数据的状态，方便用户进行问题排查;</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具备应用系统之间各功能服务和接口的调用权限管理，提供应用节点与应用节点之间，应用节点到接口服务之间的权限控制，以保证数据交换的合法性；</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支持多种通讯协议，包括但不限于TCP/IP、SOAP Web 服务、REST Web 服务、文件、定时器、DLL、Kafka、数据库。</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具备基于规则的数据发布/订阅服务和SQL、对象访问支持；支持基于多路由的消息队列选择和传输；</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满足平台数据交互高并发、大数据量、实时性高等需求，保持高性能运行；</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具备基于业务流程的流程配置服务，定制化服务配置。支持远程调用服务和分布式服务调用，实现负载均衡，故障转移等基本功能；</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具备对每一个消息传输环节的监控和审核，对于数据传输状况有较灵活的反馈服务，具有自动补传、重传等功能；</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可配置的管理系统，支持业务行为监控和商业智能。可以和第三方的应用系统管理软件协同工作，具有基于门户的中央管理配置信息、业务流程消息管理工具，消息浏览器、业务流程监控查看工具、事件管理和报警、以及端对端的跨应用消息跟踪工具；</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具备应用节点和接口服务的统一配置管理，监控平台应能对各接口调用历史进行负载和响应时间分析，以便通过集成平台来一步优化性能。 集成平台配置管理系统应能支持数据协议和公用代码标准化管理；</w:t>
            </w:r>
          </w:p>
        </w:tc>
      </w:tr>
      <w:tr>
        <w:tblPrEx>
          <w:tblCellMar>
            <w:top w:w="0" w:type="dxa"/>
            <w:left w:w="108" w:type="dxa"/>
            <w:bottom w:w="0" w:type="dxa"/>
            <w:right w:w="108" w:type="dxa"/>
          </w:tblCellMar>
        </w:tblPrEx>
        <w:trPr>
          <w:trHeight w:val="90" w:hRule="atLeast"/>
          <w:jc w:val="center"/>
        </w:trPr>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snapToGrid w:val="0"/>
              <w:jc w:val="center"/>
              <w:rPr>
                <w:rFonts w:hint="eastAsia" w:ascii="仿宋" w:hAnsi="仿宋" w:eastAsia="仿宋" w:cs="仿宋"/>
                <w:color w:val="auto"/>
                <w:sz w:val="21"/>
                <w:szCs w:val="21"/>
                <w:highlight w:val="none"/>
              </w:rPr>
            </w:pPr>
          </w:p>
        </w:tc>
        <w:tc>
          <w:tcPr>
            <w:tcW w:w="6934"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免费配合后续院内新的信息系统的对接</w:t>
            </w:r>
          </w:p>
        </w:tc>
      </w:tr>
    </w:tbl>
    <w:p>
      <w:pPr>
        <w:pStyle w:val="6"/>
        <w:numPr>
          <w:ilvl w:val="0"/>
          <w:numId w:val="0"/>
        </w:numPr>
        <w:tabs>
          <w:tab w:val="left" w:pos="720"/>
          <w:tab w:val="left" w:pos="1006"/>
        </w:tabs>
        <w:ind w:left="864" w:leftChars="0" w:hanging="864" w:firstLineChars="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bidi="hi-IN"/>
        </w:rPr>
        <w:t>3.3.1.2</w:t>
      </w:r>
      <w:r>
        <w:rPr>
          <w:rFonts w:hint="eastAsia" w:ascii="仿宋" w:hAnsi="仿宋" w:eastAsia="仿宋" w:cs="仿宋"/>
          <w:b/>
          <w:bCs/>
          <w:color w:val="auto"/>
          <w:sz w:val="18"/>
          <w:szCs w:val="18"/>
          <w:highlight w:val="none"/>
        </w:rPr>
        <w:t>数据安全管理</w:t>
      </w:r>
    </w:p>
    <w:tbl>
      <w:tblPr>
        <w:tblStyle w:val="38"/>
        <w:tblW w:w="0" w:type="auto"/>
        <w:jc w:val="center"/>
        <w:tblLayout w:type="fixed"/>
        <w:tblCellMar>
          <w:top w:w="0" w:type="dxa"/>
          <w:left w:w="108" w:type="dxa"/>
          <w:bottom w:w="0" w:type="dxa"/>
          <w:right w:w="108" w:type="dxa"/>
        </w:tblCellMar>
      </w:tblPr>
      <w:tblGrid>
        <w:gridCol w:w="2253"/>
        <w:gridCol w:w="7026"/>
      </w:tblGrid>
      <w:tr>
        <w:tblPrEx>
          <w:tblCellMar>
            <w:top w:w="0" w:type="dxa"/>
            <w:left w:w="108" w:type="dxa"/>
            <w:bottom w:w="0" w:type="dxa"/>
            <w:right w:w="108" w:type="dxa"/>
          </w:tblCellMar>
        </w:tblPrEx>
        <w:trPr>
          <w:trHeight w:val="260" w:hRule="atLeast"/>
          <w:jc w:val="center"/>
        </w:trPr>
        <w:tc>
          <w:tcPr>
            <w:tcW w:w="2253"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功能名称</w:t>
            </w:r>
          </w:p>
        </w:tc>
        <w:tc>
          <w:tcPr>
            <w:tcW w:w="7026"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需求说明与参数要求</w:t>
            </w:r>
          </w:p>
        </w:tc>
      </w:tr>
      <w:tr>
        <w:tblPrEx>
          <w:tblCellMar>
            <w:top w:w="0" w:type="dxa"/>
            <w:left w:w="108" w:type="dxa"/>
            <w:bottom w:w="0" w:type="dxa"/>
            <w:right w:w="108" w:type="dxa"/>
          </w:tblCellMar>
        </w:tblPrEx>
        <w:trPr>
          <w:trHeight w:val="763"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概览</w:t>
            </w:r>
          </w:p>
        </w:tc>
        <w:tc>
          <w:tcPr>
            <w:tcW w:w="70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具备查看近7日、近30日数据安全概况。</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具备统计和分析敏感字段及趋势、命中规则、脱敏算法占比、审计日志趋势等。</w:t>
            </w:r>
          </w:p>
        </w:tc>
      </w:tr>
      <w:tr>
        <w:tblPrEx>
          <w:tblCellMar>
            <w:top w:w="0" w:type="dxa"/>
            <w:left w:w="108" w:type="dxa"/>
            <w:bottom w:w="0" w:type="dxa"/>
            <w:right w:w="108" w:type="dxa"/>
          </w:tblCellMar>
        </w:tblPrEx>
        <w:trPr>
          <w:trHeight w:val="1265"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脱敏算法管理</w:t>
            </w:r>
          </w:p>
        </w:tc>
        <w:tc>
          <w:tcPr>
            <w:tcW w:w="70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具备字符遮盖算法，支持对字符遮盖的参数的输入和保存功能。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具备关键字替换算法，可实现对字符串替换、身份证随机替换、手机号随机替换的参数输入和保存。</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具备泛化脱敏算法，可实现对日期、地址进行泛化范围配置功能。</w:t>
            </w:r>
          </w:p>
        </w:tc>
      </w:tr>
      <w:tr>
        <w:tblPrEx>
          <w:tblCellMar>
            <w:top w:w="0" w:type="dxa"/>
            <w:left w:w="108" w:type="dxa"/>
            <w:bottom w:w="0" w:type="dxa"/>
            <w:right w:w="108" w:type="dxa"/>
          </w:tblCellMar>
        </w:tblPrEx>
        <w:trPr>
          <w:trHeight w:val="1191"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脱敏规则管理</w:t>
            </w:r>
          </w:p>
        </w:tc>
        <w:tc>
          <w:tcPr>
            <w:tcW w:w="70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具备结构化和非结构化数据的脱敏功能。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具备按照字段名称、脱敏算法、内容等展示脱敏规则列表信息。</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具备添加规则功能，实现基于字段配置脱敏算法和参数功能。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具备规则的修改、删除和查询功能。</w:t>
            </w:r>
          </w:p>
        </w:tc>
      </w:tr>
      <w:tr>
        <w:tblPrEx>
          <w:tblCellMar>
            <w:top w:w="0" w:type="dxa"/>
            <w:left w:w="108" w:type="dxa"/>
            <w:bottom w:w="0" w:type="dxa"/>
            <w:right w:w="108" w:type="dxa"/>
          </w:tblCellMar>
        </w:tblPrEx>
        <w:trPr>
          <w:trHeight w:val="763"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页面水印管理</w:t>
            </w:r>
          </w:p>
        </w:tc>
        <w:tc>
          <w:tcPr>
            <w:tcW w:w="70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具备添加水印功能，并支持添加多种类型的水印和效果预览功能。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具备对已添加的水印进行编辑、删除和查询预览的功能。</w:t>
            </w:r>
          </w:p>
          <w:p>
            <w:pP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trHeight w:val="763"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数据安全审计</w:t>
            </w:r>
          </w:p>
        </w:tc>
        <w:tc>
          <w:tcPr>
            <w:tcW w:w="70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具备通过统一界面查看数据库的审计会话日志功能。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具备通过IP地址和时间范围搜索会话日志功能。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具备会话日志导出至本地功能。</w:t>
            </w:r>
          </w:p>
        </w:tc>
      </w:tr>
      <w:tr>
        <w:tblPrEx>
          <w:tblCellMar>
            <w:top w:w="0" w:type="dxa"/>
            <w:left w:w="108" w:type="dxa"/>
            <w:bottom w:w="0" w:type="dxa"/>
            <w:right w:w="108" w:type="dxa"/>
          </w:tblCellMar>
        </w:tblPrEx>
        <w:trPr>
          <w:trHeight w:val="519"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黑白名单管理</w:t>
            </w:r>
          </w:p>
        </w:tc>
        <w:tc>
          <w:tcPr>
            <w:tcW w:w="70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具备通过IP地址搜索黑名单/白名单功能</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具备通过统一界面查看数据库的黑名单和白名单功能</w:t>
            </w:r>
          </w:p>
        </w:tc>
      </w:tr>
    </w:tbl>
    <w:p>
      <w:pPr>
        <w:pStyle w:val="6"/>
        <w:numPr>
          <w:ilvl w:val="0"/>
          <w:numId w:val="0"/>
        </w:numPr>
        <w:tabs>
          <w:tab w:val="left" w:pos="1006"/>
        </w:tabs>
        <w:ind w:left="862" w:leftChars="0" w:right="0" w:rightChars="0" w:hanging="862"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bidi="hi-IN"/>
        </w:rPr>
        <w:t>3.3.1.3</w:t>
      </w:r>
      <w:r>
        <w:rPr>
          <w:rFonts w:hint="eastAsia" w:ascii="仿宋" w:hAnsi="仿宋" w:eastAsia="仿宋" w:cs="仿宋"/>
          <w:b/>
          <w:bCs/>
          <w:color w:val="auto"/>
          <w:sz w:val="21"/>
          <w:szCs w:val="21"/>
          <w:highlight w:val="none"/>
        </w:rPr>
        <w:t>主数据管理</w:t>
      </w:r>
    </w:p>
    <w:tbl>
      <w:tblPr>
        <w:tblStyle w:val="38"/>
        <w:tblW w:w="0" w:type="auto"/>
        <w:tblInd w:w="0" w:type="dxa"/>
        <w:tblLayout w:type="fixed"/>
        <w:tblCellMar>
          <w:top w:w="0" w:type="dxa"/>
          <w:left w:w="108" w:type="dxa"/>
          <w:bottom w:w="0" w:type="dxa"/>
          <w:right w:w="108" w:type="dxa"/>
        </w:tblCellMar>
      </w:tblPr>
      <w:tblGrid>
        <w:gridCol w:w="2210"/>
        <w:gridCol w:w="6889"/>
      </w:tblGrid>
      <w:tr>
        <w:tblPrEx>
          <w:tblCellMar>
            <w:top w:w="0" w:type="dxa"/>
            <w:left w:w="108" w:type="dxa"/>
            <w:bottom w:w="0" w:type="dxa"/>
            <w:right w:w="108" w:type="dxa"/>
          </w:tblCellMar>
        </w:tblPrEx>
        <w:trPr>
          <w:trHeight w:val="278" w:hRule="atLeast"/>
        </w:trPr>
        <w:tc>
          <w:tcPr>
            <w:tcW w:w="2210"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功能名称</w:t>
            </w:r>
          </w:p>
        </w:tc>
        <w:tc>
          <w:tcPr>
            <w:tcW w:w="6889"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需求说明与参数要求</w:t>
            </w:r>
          </w:p>
        </w:tc>
      </w:tr>
      <w:tr>
        <w:tblPrEx>
          <w:tblCellMar>
            <w:top w:w="0" w:type="dxa"/>
            <w:left w:w="108" w:type="dxa"/>
            <w:bottom w:w="0" w:type="dxa"/>
            <w:right w:w="108" w:type="dxa"/>
          </w:tblCellMar>
        </w:tblPrEx>
        <w:trPr>
          <w:trHeight w:val="2271" w:hRule="atLeast"/>
        </w:trPr>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主数据管理</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支持各类国内、国际以及行业相关代码规则规范，例如：全国组织机构代码编制规则（GB/T 11714-1997）、中华人民共和国行政区划代码(GB/T 2260-2007/XG1-2016）、人的性别代码(GB/T 2261.1-2003)、婚姻状况代码（GB/T 2261.2-2003）、职业分类与代码（GB/T 6565-2015）、疾病分类与代码（GB/T 14396-2016）、临床疾病分类与代码（DB33/T 855-2011）、临床实验室试验项目分类与编码（DB33/T 903-2013）、《国家基本医疗保险、工伤保险和生育保险药品目录》、《医疗器械分类规则》、《全国医疗服务价格项目规范》等相关国标、行标。</w:t>
            </w:r>
          </w:p>
        </w:tc>
      </w:tr>
      <w:tr>
        <w:tblPrEx>
          <w:tblCellMar>
            <w:top w:w="0" w:type="dxa"/>
            <w:left w:w="108" w:type="dxa"/>
            <w:bottom w:w="0" w:type="dxa"/>
            <w:right w:w="108" w:type="dxa"/>
          </w:tblCellMar>
        </w:tblPrEx>
        <w:trPr>
          <w:trHeight w:val="815"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能够集中统一地管理全院的基础数据、术语以及编码规则，能够通过平台对各业务系统提供相关服务，实现基础数据的同步或匹配，以规范数据的统计口径，提高数据质量。</w:t>
            </w:r>
          </w:p>
        </w:tc>
      </w:tr>
      <w:tr>
        <w:tblPrEx>
          <w:tblCellMar>
            <w:top w:w="0" w:type="dxa"/>
            <w:left w:w="108" w:type="dxa"/>
            <w:bottom w:w="0" w:type="dxa"/>
            <w:right w:w="108" w:type="dxa"/>
          </w:tblCellMar>
        </w:tblPrEx>
        <w:trPr>
          <w:trHeight w:val="546"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支持数据字典的注册、更新、订阅发布服务，其中发布服务支持定时发布，对于未发布的变更数据支持撤回操作。</w:t>
            </w:r>
          </w:p>
        </w:tc>
      </w:tr>
      <w:tr>
        <w:tblPrEx>
          <w:tblCellMar>
            <w:top w:w="0" w:type="dxa"/>
            <w:left w:w="108" w:type="dxa"/>
            <w:bottom w:w="0" w:type="dxa"/>
            <w:right w:w="108" w:type="dxa"/>
          </w:tblCellMar>
        </w:tblPrEx>
        <w:trPr>
          <w:trHeight w:val="409"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支持基于统一数据字典的映射功能和翻转服务；</w:t>
            </w:r>
          </w:p>
        </w:tc>
      </w:tr>
      <w:tr>
        <w:tblPrEx>
          <w:tblCellMar>
            <w:top w:w="0" w:type="dxa"/>
            <w:left w:w="108" w:type="dxa"/>
            <w:bottom w:w="0" w:type="dxa"/>
            <w:right w:w="108" w:type="dxa"/>
          </w:tblCellMar>
        </w:tblPrEx>
        <w:trPr>
          <w:trHeight w:val="546" w:hRule="atLeast"/>
        </w:trPr>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基础服务</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spacing w:line="240" w:lineRule="auto"/>
              <w:ind w:left="0" w:right="0" w:firstLine="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支持从医院现有业务系统同步人员、科室、病区、药品、材料等相关信息，建立与主数据同步的对应管理。</w:t>
            </w:r>
          </w:p>
        </w:tc>
      </w:tr>
      <w:tr>
        <w:tblPrEx>
          <w:tblCellMar>
            <w:top w:w="0" w:type="dxa"/>
            <w:left w:w="108" w:type="dxa"/>
            <w:bottom w:w="0" w:type="dxa"/>
            <w:right w:w="108" w:type="dxa"/>
          </w:tblCellMar>
        </w:tblPrEx>
        <w:trPr>
          <w:trHeight w:val="452"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lang w:val="en-US" w:eastAsia="zh-CN"/>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能够</w:t>
            </w:r>
            <w:r>
              <w:rPr>
                <w:rFonts w:hint="eastAsia" w:ascii="仿宋" w:hAnsi="仿宋" w:eastAsia="仿宋" w:cs="仿宋"/>
                <w:color w:val="auto"/>
                <w:sz w:val="21"/>
                <w:szCs w:val="21"/>
                <w:highlight w:val="none"/>
              </w:rPr>
              <w:t>提供遵循标准的患者、医疗卫生服务人员、医疗卫生机构（科室）、术语注册服务；</w:t>
            </w:r>
          </w:p>
        </w:tc>
      </w:tr>
      <w:tr>
        <w:tblPrEx>
          <w:tblCellMar>
            <w:top w:w="0" w:type="dxa"/>
            <w:left w:w="108" w:type="dxa"/>
            <w:bottom w:w="0" w:type="dxa"/>
            <w:right w:w="108" w:type="dxa"/>
          </w:tblCellMar>
        </w:tblPrEx>
        <w:trPr>
          <w:trHeight w:val="546"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能够</w:t>
            </w:r>
            <w:r>
              <w:rPr>
                <w:rFonts w:hint="eastAsia" w:ascii="仿宋" w:hAnsi="仿宋" w:eastAsia="仿宋" w:cs="仿宋"/>
                <w:color w:val="auto"/>
                <w:sz w:val="21"/>
                <w:szCs w:val="21"/>
                <w:highlight w:val="none"/>
              </w:rPr>
              <w:t>提供遵循标准的HL7消息转换服务、中心字典上传服务、厂家字典上传服务、中心字典查询服务、字典转换服务；</w:t>
            </w:r>
          </w:p>
        </w:tc>
      </w:tr>
      <w:tr>
        <w:tblPrEx>
          <w:tblCellMar>
            <w:top w:w="0" w:type="dxa"/>
            <w:left w:w="108" w:type="dxa"/>
            <w:bottom w:w="0" w:type="dxa"/>
            <w:right w:w="108" w:type="dxa"/>
          </w:tblCellMar>
        </w:tblPrEx>
        <w:trPr>
          <w:trHeight w:val="409"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能够</w:t>
            </w:r>
            <w:r>
              <w:rPr>
                <w:rFonts w:hint="eastAsia" w:ascii="仿宋" w:hAnsi="仿宋" w:eastAsia="仿宋" w:cs="仿宋"/>
                <w:color w:val="auto"/>
                <w:sz w:val="21"/>
                <w:szCs w:val="21"/>
                <w:highlight w:val="none"/>
              </w:rPr>
              <w:t>提供遵循标准代理服务、代理服务、通用数据库操作服务。</w:t>
            </w:r>
          </w:p>
        </w:tc>
      </w:tr>
      <w:tr>
        <w:tblPrEx>
          <w:tblCellMar>
            <w:top w:w="0" w:type="dxa"/>
            <w:left w:w="108" w:type="dxa"/>
            <w:bottom w:w="0" w:type="dxa"/>
            <w:right w:w="108" w:type="dxa"/>
          </w:tblCellMar>
        </w:tblPrEx>
        <w:trPr>
          <w:trHeight w:val="409"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能够对主数据按照不同的维度进行分类分组管理。</w:t>
            </w:r>
          </w:p>
        </w:tc>
      </w:tr>
      <w:tr>
        <w:tblPrEx>
          <w:tblCellMar>
            <w:top w:w="0" w:type="dxa"/>
            <w:left w:w="108" w:type="dxa"/>
            <w:bottom w:w="0" w:type="dxa"/>
            <w:right w:w="108" w:type="dxa"/>
          </w:tblCellMar>
        </w:tblPrEx>
        <w:trPr>
          <w:trHeight w:val="409"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提供主数据查询功能，并支持组合、异常数据规则查询等多种查询方式。</w:t>
            </w:r>
          </w:p>
        </w:tc>
      </w:tr>
      <w:tr>
        <w:tblPrEx>
          <w:tblCellMar>
            <w:top w:w="0" w:type="dxa"/>
            <w:left w:w="108" w:type="dxa"/>
            <w:bottom w:w="0" w:type="dxa"/>
            <w:right w:w="108" w:type="dxa"/>
          </w:tblCellMar>
        </w:tblPrEx>
        <w:trPr>
          <w:trHeight w:val="546"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支持统计字典数量、字典数据量、接口调用次数等数据，并能够以图形化方式展现出来</w:t>
            </w:r>
          </w:p>
        </w:tc>
      </w:tr>
      <w:tr>
        <w:tblPrEx>
          <w:tblCellMar>
            <w:top w:w="0" w:type="dxa"/>
            <w:left w:w="108" w:type="dxa"/>
            <w:bottom w:w="0" w:type="dxa"/>
            <w:right w:w="108" w:type="dxa"/>
          </w:tblCellMar>
        </w:tblPrEx>
        <w:trPr>
          <w:trHeight w:val="1083"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主数据管理建设完成数据的值域标准制定，实现建立院内标准体系及互操作提供必要的语义保证，主数据管理平台支持院内标准值域的统一管理，通过值域查询和推送服务确保院内各个系统之间值域的一致性。值域字典，支持被自定义字典里的某一张字典引用，也可直接被业务调用。</w:t>
            </w:r>
          </w:p>
        </w:tc>
      </w:tr>
      <w:tr>
        <w:tblPrEx>
          <w:tblCellMar>
            <w:top w:w="0" w:type="dxa"/>
            <w:left w:w="108" w:type="dxa"/>
            <w:bottom w:w="0" w:type="dxa"/>
            <w:right w:w="108" w:type="dxa"/>
          </w:tblCellMar>
        </w:tblPrEx>
        <w:trPr>
          <w:trHeight w:val="546" w:hRule="atLeast"/>
        </w:trPr>
        <w:tc>
          <w:tcPr>
            <w:tcW w:w="221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字典管理</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支持国家卫生数据字典录入管理，支持前台新增编辑表格属性、外键、索引；字典的主键生成规则可配置</w:t>
            </w:r>
          </w:p>
        </w:tc>
      </w:tr>
      <w:tr>
        <w:tblPrEx>
          <w:tblCellMar>
            <w:top w:w="0" w:type="dxa"/>
            <w:left w:w="108" w:type="dxa"/>
            <w:bottom w:w="0" w:type="dxa"/>
            <w:right w:w="108" w:type="dxa"/>
          </w:tblCellMar>
        </w:tblPrEx>
        <w:trPr>
          <w:trHeight w:val="546"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支持前台单条维护、支持文件批量导入；新增数据时，主键将自动生成，不需手动维护或者第三方传送。</w:t>
            </w:r>
          </w:p>
        </w:tc>
      </w:tr>
      <w:tr>
        <w:tblPrEx>
          <w:tblCellMar>
            <w:top w:w="0" w:type="dxa"/>
            <w:left w:w="108" w:type="dxa"/>
            <w:bottom w:w="0" w:type="dxa"/>
            <w:right w:w="108" w:type="dxa"/>
          </w:tblCellMar>
        </w:tblPrEx>
        <w:trPr>
          <w:trHeight w:val="409"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针对医院管理的不同需求，支持主数据维护多套组织架构。 </w:t>
            </w:r>
          </w:p>
        </w:tc>
      </w:tr>
      <w:tr>
        <w:tblPrEx>
          <w:tblCellMar>
            <w:top w:w="0" w:type="dxa"/>
            <w:left w:w="108" w:type="dxa"/>
            <w:bottom w:w="0" w:type="dxa"/>
            <w:right w:w="108" w:type="dxa"/>
          </w:tblCellMar>
        </w:tblPrEx>
        <w:trPr>
          <w:trHeight w:val="409"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提供中心字典及私有字典的管理及对照功能；</w:t>
            </w:r>
          </w:p>
        </w:tc>
      </w:tr>
      <w:tr>
        <w:tblPrEx>
          <w:tblCellMar>
            <w:top w:w="0" w:type="dxa"/>
            <w:left w:w="108" w:type="dxa"/>
            <w:bottom w:w="0" w:type="dxa"/>
            <w:right w:w="108" w:type="dxa"/>
          </w:tblCellMar>
        </w:tblPrEx>
        <w:trPr>
          <w:trHeight w:val="409" w:hRule="atLeast"/>
        </w:trPr>
        <w:tc>
          <w:tcPr>
            <w:tcW w:w="221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1"/>
                <w:szCs w:val="21"/>
                <w:highlight w:val="none"/>
              </w:rPr>
            </w:pP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支持国际HL7 CDA Level3标准体系。</w:t>
            </w:r>
          </w:p>
        </w:tc>
      </w:tr>
      <w:tr>
        <w:tblPrEx>
          <w:tblCellMar>
            <w:top w:w="0" w:type="dxa"/>
            <w:left w:w="108" w:type="dxa"/>
            <w:bottom w:w="0" w:type="dxa"/>
            <w:right w:w="108" w:type="dxa"/>
          </w:tblCellMar>
        </w:tblPrEx>
        <w:trPr>
          <w:trHeight w:val="904" w:hRule="atLeast"/>
        </w:trPr>
        <w:tc>
          <w:tcPr>
            <w:tcW w:w="2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术语管理</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pStyle w:val="5"/>
              <w:bidi w:val="0"/>
              <w:spacing w:line="240" w:lineRule="auto"/>
              <w:ind w:left="0" w:right="0" w:firstLine="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持标准术语集录入管理，能够统一管理各个系统和平台术语的对照关系、能够保证各个系统的术语与平台术语的一致性；例如：疾病术语：能够统一管理和维护临床诊断、能够统一管理和维护ICD10、能够管理和维护临床诊断与ICD10之间的关系。</w:t>
            </w:r>
          </w:p>
        </w:tc>
      </w:tr>
    </w:tbl>
    <w:p>
      <w:pPr>
        <w:pStyle w:val="6"/>
        <w:numPr>
          <w:ilvl w:val="0"/>
          <w:numId w:val="0"/>
        </w:numPr>
        <w:tabs>
          <w:tab w:val="left" w:pos="1006"/>
        </w:tabs>
        <w:ind w:left="864" w:leftChars="0" w:hanging="864" w:firstLineChars="0"/>
        <w:rPr>
          <w:rFonts w:hint="eastAsia" w:ascii="仿宋" w:hAnsi="仿宋" w:eastAsia="仿宋" w:cs="仿宋"/>
          <w:color w:val="auto"/>
          <w:kern w:val="2"/>
          <w:highlight w:val="none"/>
        </w:rPr>
      </w:pPr>
      <w:r>
        <w:rPr>
          <w:rFonts w:hint="eastAsia" w:ascii="仿宋" w:hAnsi="仿宋" w:eastAsia="仿宋" w:cs="仿宋"/>
          <w:b/>
          <w:bCs/>
          <w:color w:val="auto"/>
          <w:kern w:val="2"/>
          <w:sz w:val="24"/>
          <w:szCs w:val="20"/>
          <w:highlight w:val="none"/>
          <w:lang w:val="en-US" w:eastAsia="zh-CN" w:bidi="hi-IN"/>
        </w:rPr>
        <w:t>3.3.1.4</w:t>
      </w:r>
      <w:r>
        <w:rPr>
          <w:rFonts w:hint="eastAsia" w:ascii="仿宋" w:hAnsi="仿宋" w:eastAsia="仿宋" w:cs="仿宋"/>
          <w:color w:val="auto"/>
          <w:highlight w:val="none"/>
        </w:rPr>
        <w:t>患者主索引管理</w:t>
      </w:r>
    </w:p>
    <w:p>
      <w:pPr>
        <w:pStyle w:val="148"/>
        <w:rPr>
          <w:rFonts w:hint="eastAsia" w:ascii="仿宋" w:hAnsi="仿宋" w:eastAsia="仿宋" w:cs="仿宋"/>
          <w:b/>
          <w:bCs/>
          <w:color w:val="auto"/>
          <w:sz w:val="18"/>
          <w:szCs w:val="18"/>
          <w:highlight w:val="none"/>
        </w:rPr>
      </w:pPr>
      <w:r>
        <w:rPr>
          <w:rFonts w:hint="eastAsia" w:ascii="仿宋" w:hAnsi="仿宋" w:eastAsia="仿宋" w:cs="仿宋"/>
          <w:color w:val="auto"/>
          <w:kern w:val="2"/>
          <w:highlight w:val="none"/>
        </w:rPr>
        <w:t>患者主索引，建立全院级别的患者唯一身份标识即患者主索引。解决目前医院各个应用系统数据标准不统一，维护方式不统一，患者信息管理不统一等问题。</w:t>
      </w:r>
    </w:p>
    <w:p>
      <w:pPr>
        <w:pStyle w:val="148"/>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实现医院数据全面整合，快速处理患者信息主数据来源更新和精确同步，有效控制录入的患者数据质量，保障患者数据一致性和历史诊疗数据的连贯性。为建设数据中心，实现以主索引为主线的患者全息视图打下基础。能够参考患者主索引管理模式，建立院区，医联体、科室以及职工等不同维度的主索引管理。</w:t>
      </w:r>
    </w:p>
    <w:tbl>
      <w:tblPr>
        <w:tblStyle w:val="38"/>
        <w:tblW w:w="0" w:type="auto"/>
        <w:jc w:val="center"/>
        <w:tblLayout w:type="fixed"/>
        <w:tblCellMar>
          <w:top w:w="0" w:type="dxa"/>
          <w:left w:w="108" w:type="dxa"/>
          <w:bottom w:w="0" w:type="dxa"/>
          <w:right w:w="108" w:type="dxa"/>
        </w:tblCellMar>
      </w:tblPr>
      <w:tblGrid>
        <w:gridCol w:w="2182"/>
        <w:gridCol w:w="6797"/>
      </w:tblGrid>
      <w:tr>
        <w:tblPrEx>
          <w:tblCellMar>
            <w:top w:w="0" w:type="dxa"/>
            <w:left w:w="108" w:type="dxa"/>
            <w:bottom w:w="0" w:type="dxa"/>
            <w:right w:w="108" w:type="dxa"/>
          </w:tblCellMar>
        </w:tblPrEx>
        <w:trPr>
          <w:trHeight w:val="216" w:hRule="atLeast"/>
          <w:jc w:val="center"/>
        </w:trPr>
        <w:tc>
          <w:tcPr>
            <w:tcW w:w="2182"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功能名称</w:t>
            </w:r>
          </w:p>
        </w:tc>
        <w:tc>
          <w:tcPr>
            <w:tcW w:w="6797"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需求说明与参数要求</w:t>
            </w:r>
          </w:p>
        </w:tc>
      </w:tr>
      <w:tr>
        <w:tblPrEx>
          <w:tblCellMar>
            <w:top w:w="0" w:type="dxa"/>
            <w:left w:w="108" w:type="dxa"/>
            <w:bottom w:w="0" w:type="dxa"/>
            <w:right w:w="108" w:type="dxa"/>
          </w:tblCellMar>
        </w:tblPrEx>
        <w:trPr>
          <w:trHeight w:val="425"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信息注册</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能够接受来自不同系统的患者登记信息注册。能够发布患者注册、患者更新和患者删除消息。</w:t>
            </w:r>
          </w:p>
        </w:tc>
      </w:tr>
      <w:tr>
        <w:tblPrEx>
          <w:tblCellMar>
            <w:top w:w="0" w:type="dxa"/>
            <w:left w:w="108" w:type="dxa"/>
            <w:bottom w:w="0" w:type="dxa"/>
            <w:right w:w="108" w:type="dxa"/>
          </w:tblCellMar>
        </w:tblPrEx>
        <w:trPr>
          <w:trHeight w:val="425"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合并拆分</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要求能够根据匹配规则自动合并（逻辑合并）、拆分或标识疑似多条患者记录。匹配规则可以自定义设置。</w:t>
            </w:r>
          </w:p>
        </w:tc>
      </w:tr>
      <w:tr>
        <w:tblPrEx>
          <w:tblCellMar>
            <w:top w:w="0" w:type="dxa"/>
            <w:left w:w="108" w:type="dxa"/>
            <w:bottom w:w="0" w:type="dxa"/>
            <w:right w:w="108" w:type="dxa"/>
          </w:tblCellMar>
        </w:tblPrEx>
        <w:trPr>
          <w:trHeight w:val="842"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患者清理</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能够自定义患者清理规则进行患者清理，能够通过初步分析、清洗、最终分析，根据预先定义的规则剔除、更正现有的无效或不准确的数据，提供干净一致的标准化数据以提高数据处理效率，同时根据分析结果确定字段在数据匹配过程中的可靠性，从而制定合理的匹配、链接规则。</w:t>
            </w:r>
          </w:p>
        </w:tc>
      </w:tr>
      <w:tr>
        <w:tblPrEx>
          <w:tblCellMar>
            <w:top w:w="0" w:type="dxa"/>
            <w:left w:w="108" w:type="dxa"/>
            <w:bottom w:w="0" w:type="dxa"/>
            <w:right w:w="108" w:type="dxa"/>
          </w:tblCellMar>
        </w:tblPrEx>
        <w:trPr>
          <w:trHeight w:val="308"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离线辅助调整</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患者在注册时没有提供身份证、医保卡等确定患者唯一标识信息，但能够根据患者基本信息如姓名、性别、出生年月等匹配成功时，使用临时全局标识，事后根据易变信息如联系方式、住址等采用人工判断方法完成身份匹配及检查信息重新一致化归档</w:t>
            </w:r>
          </w:p>
        </w:tc>
      </w:tr>
      <w:tr>
        <w:tblPrEx>
          <w:tblCellMar>
            <w:top w:w="0" w:type="dxa"/>
            <w:left w:w="108" w:type="dxa"/>
            <w:bottom w:w="0" w:type="dxa"/>
            <w:right w:w="108" w:type="dxa"/>
          </w:tblCellMar>
        </w:tblPrEx>
        <w:trPr>
          <w:trHeight w:val="308"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历史信息处理</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能够处理各个系统中的患者登记信息历史数据。</w:t>
            </w:r>
          </w:p>
        </w:tc>
      </w:tr>
      <w:tr>
        <w:tblPrEx>
          <w:tblCellMar>
            <w:top w:w="0" w:type="dxa"/>
            <w:left w:w="108" w:type="dxa"/>
            <w:bottom w:w="0" w:type="dxa"/>
            <w:right w:w="108" w:type="dxa"/>
          </w:tblCellMar>
        </w:tblPrEx>
        <w:trPr>
          <w:trHeight w:val="633"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患者时间轴</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支持以时间纵轴的形式查看患者信息在EMPI系统中的历次变更时间点、变更类型和造成变更的医疗系统名称，变更类型有新增、修改、合并、拆分；支持查看变更时间点的患者详细变更信息</w:t>
            </w:r>
          </w:p>
        </w:tc>
      </w:tr>
      <w:tr>
        <w:tblPrEx>
          <w:tblCellMar>
            <w:top w:w="0" w:type="dxa"/>
            <w:left w:w="108" w:type="dxa"/>
            <w:bottom w:w="0" w:type="dxa"/>
            <w:right w:w="108" w:type="dxa"/>
          </w:tblCellMar>
        </w:tblPrEx>
        <w:trPr>
          <w:trHeight w:val="308"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主索引服务</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主索引验证服务，包括主索引信息验证、主索引信息调用等服务。</w:t>
            </w:r>
          </w:p>
        </w:tc>
      </w:tr>
      <w:tr>
        <w:tblPrEx>
          <w:tblCellMar>
            <w:top w:w="0" w:type="dxa"/>
            <w:left w:w="108" w:type="dxa"/>
            <w:bottom w:w="0" w:type="dxa"/>
            <w:right w:w="108" w:type="dxa"/>
          </w:tblCellMar>
        </w:tblPrEx>
        <w:trPr>
          <w:trHeight w:val="425"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标准化处理</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对主索引信息进行数据标准化处理。要求能够维护数据标准编码和各系统编码与统一编码的对照映射关系。</w:t>
            </w:r>
          </w:p>
        </w:tc>
      </w:tr>
      <w:tr>
        <w:tblPrEx>
          <w:tblCellMar>
            <w:top w:w="0" w:type="dxa"/>
            <w:left w:w="108" w:type="dxa"/>
            <w:bottom w:w="0" w:type="dxa"/>
            <w:right w:w="108" w:type="dxa"/>
          </w:tblCellMar>
        </w:tblPrEx>
        <w:trPr>
          <w:trHeight w:val="369"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主索引消息传输</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对主索引信息的变化能够在各业务系统中进行消息传输，保证数据一致性。</w:t>
            </w:r>
          </w:p>
        </w:tc>
      </w:tr>
      <w:tr>
        <w:tblPrEx>
          <w:tblCellMar>
            <w:top w:w="0" w:type="dxa"/>
            <w:left w:w="108" w:type="dxa"/>
            <w:bottom w:w="0" w:type="dxa"/>
            <w:right w:w="108" w:type="dxa"/>
          </w:tblCellMar>
        </w:tblPrEx>
        <w:trPr>
          <w:trHeight w:val="633"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标识交叉索引服务</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通过对不同系统提供的患者信息进行综合分析，为来自不同系统确定为同一患者的记录建立交叉索引，然后为跨系统的患者身份识别提供服务。要求能够根据患者的本地索引获得患者主索引或患者的其他本地索引。</w:t>
            </w:r>
          </w:p>
        </w:tc>
      </w:tr>
      <w:tr>
        <w:tblPrEx>
          <w:tblCellMar>
            <w:top w:w="0" w:type="dxa"/>
            <w:left w:w="108" w:type="dxa"/>
            <w:bottom w:w="0" w:type="dxa"/>
            <w:right w:w="108" w:type="dxa"/>
          </w:tblCellMar>
        </w:tblPrEx>
        <w:trPr>
          <w:trHeight w:val="633"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在线快速匹配法</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在患者具有身份证、医保卡号、驾驶证等明确个人身份信息时，结合患者姓名、性别、出生年月等基本信息，采用在线匹配方法验证属性，确定患者唯一标识，不间断医疗业务流程</w:t>
            </w:r>
          </w:p>
        </w:tc>
      </w:tr>
      <w:tr>
        <w:tblPrEx>
          <w:tblCellMar>
            <w:top w:w="0" w:type="dxa"/>
            <w:left w:w="108" w:type="dxa"/>
            <w:bottom w:w="0" w:type="dxa"/>
            <w:right w:w="108" w:type="dxa"/>
          </w:tblCellMar>
        </w:tblPrEx>
        <w:trPr>
          <w:trHeight w:val="425"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患者基本信息查询管理</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按照患者ID列表、姓名、出生年月、性别、地址等条件进行查询，从而获得患者详细的注册信息</w:t>
            </w:r>
          </w:p>
        </w:tc>
      </w:tr>
      <w:tr>
        <w:tblPrEx>
          <w:tblCellMar>
            <w:top w:w="0" w:type="dxa"/>
            <w:left w:w="108" w:type="dxa"/>
            <w:bottom w:w="0" w:type="dxa"/>
            <w:right w:w="108" w:type="dxa"/>
          </w:tblCellMar>
        </w:tblPrEx>
        <w:trPr>
          <w:trHeight w:val="842"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审计跟踪与节点验证管理</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能够按照人员、角色等进行安全管理，对相关安全行为进行审核，对违反安全政策的行为进行探测，以及对受保护医疗数据的违规操作行为进行跟踪，从而可以约束用户违规操作，同时对可能发生的问题进行监测和分析以及在发生医疗纠纷时提供相关证据</w:t>
            </w:r>
          </w:p>
        </w:tc>
      </w:tr>
      <w:tr>
        <w:tblPrEx>
          <w:tblCellMar>
            <w:top w:w="0" w:type="dxa"/>
            <w:left w:w="108" w:type="dxa"/>
            <w:bottom w:w="0" w:type="dxa"/>
            <w:right w:w="108" w:type="dxa"/>
          </w:tblCellMar>
        </w:tblPrEx>
        <w:trPr>
          <w:trHeight w:val="308"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统一服务接口</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提供统一对外服务接口，方便业务系统的调用</w:t>
            </w:r>
          </w:p>
        </w:tc>
      </w:tr>
      <w:tr>
        <w:tblPrEx>
          <w:tblCellMar>
            <w:top w:w="0" w:type="dxa"/>
            <w:left w:w="108" w:type="dxa"/>
            <w:bottom w:w="0" w:type="dxa"/>
            <w:right w:w="108" w:type="dxa"/>
          </w:tblCellMar>
        </w:tblPrEx>
        <w:trPr>
          <w:trHeight w:val="284"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记录操作日志</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主索引系统业务记录发生的变化都需要记录操作日志，并能实现回退</w:t>
            </w:r>
          </w:p>
        </w:tc>
      </w:tr>
      <w:tr>
        <w:tblPrEx>
          <w:tblCellMar>
            <w:top w:w="0" w:type="dxa"/>
            <w:left w:w="108" w:type="dxa"/>
            <w:bottom w:w="0" w:type="dxa"/>
            <w:right w:w="108" w:type="dxa"/>
          </w:tblCellMar>
        </w:tblPrEx>
        <w:trPr>
          <w:trHeight w:val="320" w:hRule="atLeast"/>
          <w:jc w:val="center"/>
        </w:trPr>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监控器</w:t>
            </w:r>
          </w:p>
        </w:tc>
        <w:tc>
          <w:tcPr>
            <w:tcW w:w="6797"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支持各个维度的患者数据统计信息的可视化报告。例如：特定时间区间内注册到EMPI中的患者总数、新增患者总数、合并患者总数、新增患者占比和患者合并率；并以图形化的形式进行展示和统计分析。</w:t>
            </w:r>
          </w:p>
        </w:tc>
      </w:tr>
    </w:tbl>
    <w:p>
      <w:pPr>
        <w:pStyle w:val="6"/>
        <w:numPr>
          <w:ilvl w:val="0"/>
          <w:numId w:val="0"/>
        </w:numPr>
        <w:tabs>
          <w:tab w:val="left" w:pos="720"/>
          <w:tab w:val="left" w:pos="1006"/>
        </w:tabs>
        <w:spacing w:line="360" w:lineRule="auto"/>
        <w:ind w:left="864" w:leftChars="0" w:hanging="864"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3.3.1.5</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平台服务管理</w:t>
      </w:r>
    </w:p>
    <w:p>
      <w:pPr>
        <w:pStyle w:val="7"/>
        <w:numPr>
          <w:ilvl w:val="4"/>
          <w:numId w:val="0"/>
        </w:numPr>
        <w:tabs>
          <w:tab w:val="left" w:pos="1006"/>
          <w:tab w:val="clear" w:pos="0"/>
        </w:tabs>
        <w:spacing w:before="0" w:after="0" w:line="360" w:lineRule="auto"/>
        <w:ind w:left="1008" w:leftChars="0" w:hanging="1008" w:firstLineChars="0"/>
        <w:rPr>
          <w:rFonts w:hint="eastAsia" w:ascii="仿宋" w:hAnsi="仿宋" w:eastAsia="仿宋" w:cs="仿宋"/>
          <w:b/>
          <w:bCs/>
          <w:color w:val="auto"/>
          <w:kern w:val="2"/>
          <w:sz w:val="18"/>
          <w:szCs w:val="18"/>
          <w:highlight w:val="none"/>
        </w:rPr>
      </w:pPr>
      <w:r>
        <w:rPr>
          <w:rFonts w:hint="eastAsia" w:ascii="仿宋" w:hAnsi="仿宋" w:eastAsia="仿宋" w:cs="仿宋"/>
          <w:b/>
          <w:bCs/>
          <w:color w:val="auto"/>
          <w:kern w:val="2"/>
          <w:sz w:val="18"/>
          <w:szCs w:val="18"/>
          <w:highlight w:val="none"/>
          <w:lang w:val="en-US" w:eastAsia="zh-CN" w:bidi="hi-IN"/>
        </w:rPr>
        <w:t>3.3.1.5.1</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z w:val="24"/>
          <w:szCs w:val="24"/>
          <w:highlight w:val="none"/>
        </w:rPr>
        <w:t>管理</w:t>
      </w:r>
    </w:p>
    <w:p>
      <w:pPr>
        <w:pStyle w:val="148"/>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rPr>
        <w:t>服务</w:t>
      </w:r>
      <w:r>
        <w:rPr>
          <w:rFonts w:hint="eastAsia" w:ascii="仿宋" w:hAnsi="仿宋" w:eastAsia="仿宋" w:cs="仿宋"/>
          <w:b/>
          <w:bCs/>
          <w:color w:val="auto"/>
          <w:kern w:val="2"/>
          <w:sz w:val="21"/>
          <w:szCs w:val="21"/>
          <w:highlight w:val="none"/>
          <w:lang w:val="en-US" w:eastAsia="zh-CN"/>
        </w:rPr>
        <w:t>配置</w:t>
      </w:r>
      <w:r>
        <w:rPr>
          <w:rFonts w:hint="eastAsia" w:ascii="仿宋" w:hAnsi="仿宋" w:eastAsia="仿宋" w:cs="仿宋"/>
          <w:b/>
          <w:bCs/>
          <w:color w:val="auto"/>
          <w:sz w:val="21"/>
          <w:szCs w:val="21"/>
          <w:highlight w:val="none"/>
        </w:rPr>
        <w:t>管理是数字化医院综合平台医疗信息交换层的核心内容，主要解决数字化医院综合平台与医院各业务信息系统间数据交换的问题。通过服务接口的标准化，使得服务可以提供给在任何异构平台和任何用户接口使用。</w:t>
      </w:r>
    </w:p>
    <w:tbl>
      <w:tblPr>
        <w:tblStyle w:val="38"/>
        <w:tblW w:w="0" w:type="auto"/>
        <w:jc w:val="center"/>
        <w:tblLayout w:type="fixed"/>
        <w:tblCellMar>
          <w:top w:w="0" w:type="dxa"/>
          <w:left w:w="108" w:type="dxa"/>
          <w:bottom w:w="0" w:type="dxa"/>
          <w:right w:w="108" w:type="dxa"/>
        </w:tblCellMar>
      </w:tblPr>
      <w:tblGrid>
        <w:gridCol w:w="2080"/>
        <w:gridCol w:w="6479"/>
      </w:tblGrid>
      <w:tr>
        <w:tblPrEx>
          <w:tblCellMar>
            <w:top w:w="0" w:type="dxa"/>
            <w:left w:w="108" w:type="dxa"/>
            <w:bottom w:w="0" w:type="dxa"/>
            <w:right w:w="108" w:type="dxa"/>
          </w:tblCellMar>
        </w:tblPrEx>
        <w:trPr>
          <w:trHeight w:val="108" w:hRule="atLeast"/>
          <w:jc w:val="center"/>
        </w:trPr>
        <w:tc>
          <w:tcPr>
            <w:tcW w:w="2080"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功能名称</w:t>
            </w:r>
          </w:p>
        </w:tc>
        <w:tc>
          <w:tcPr>
            <w:tcW w:w="6479"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需求说明与参数要求</w:t>
            </w:r>
          </w:p>
        </w:tc>
      </w:tr>
      <w:tr>
        <w:tblPrEx>
          <w:tblCellMar>
            <w:top w:w="0" w:type="dxa"/>
            <w:left w:w="108" w:type="dxa"/>
            <w:bottom w:w="0" w:type="dxa"/>
            <w:right w:w="108" w:type="dxa"/>
          </w:tblCellMar>
        </w:tblPrEx>
        <w:trPr>
          <w:trHeight w:val="213" w:hRule="atLeast"/>
          <w:jc w:val="center"/>
        </w:trPr>
        <w:tc>
          <w:tcPr>
            <w:tcW w:w="2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适配器</w:t>
            </w:r>
          </w:p>
        </w:tc>
        <w:tc>
          <w:tcPr>
            <w:tcW w:w="6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能够支持多种类型的适配去，适配器种类包括但不限于xDBC、 TCP/IP 、 HTTP、 File、 COM、 SOAP、 REST等。</w:t>
            </w:r>
          </w:p>
        </w:tc>
      </w:tr>
      <w:tr>
        <w:tblPrEx>
          <w:tblCellMar>
            <w:top w:w="0" w:type="dxa"/>
            <w:left w:w="108" w:type="dxa"/>
            <w:bottom w:w="0" w:type="dxa"/>
            <w:right w:w="108" w:type="dxa"/>
          </w:tblCellMar>
        </w:tblPrEx>
        <w:trPr>
          <w:trHeight w:val="192" w:hRule="atLeast"/>
          <w:jc w:val="center"/>
        </w:trPr>
        <w:tc>
          <w:tcPr>
            <w:tcW w:w="20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配置管理</w:t>
            </w:r>
          </w:p>
        </w:tc>
        <w:tc>
          <w:tcPr>
            <w:tcW w:w="6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提供人员注册与用户管理；</w:t>
            </w:r>
          </w:p>
        </w:tc>
      </w:tr>
      <w:tr>
        <w:tblPrEx>
          <w:tblCellMar>
            <w:top w:w="0" w:type="dxa"/>
            <w:left w:w="108" w:type="dxa"/>
            <w:bottom w:w="0" w:type="dxa"/>
            <w:right w:w="108" w:type="dxa"/>
          </w:tblCellMar>
        </w:tblPrEx>
        <w:trPr>
          <w:trHeight w:val="192" w:hRule="atLeast"/>
          <w:jc w:val="center"/>
        </w:trPr>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1"/>
                <w:szCs w:val="21"/>
                <w:highlight w:val="none"/>
              </w:rPr>
            </w:pPr>
          </w:p>
        </w:tc>
        <w:tc>
          <w:tcPr>
            <w:tcW w:w="6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提供机构注册与科室管理；</w:t>
            </w:r>
          </w:p>
        </w:tc>
      </w:tr>
      <w:tr>
        <w:tblPrEx>
          <w:tblCellMar>
            <w:top w:w="0" w:type="dxa"/>
            <w:left w:w="108" w:type="dxa"/>
            <w:bottom w:w="0" w:type="dxa"/>
            <w:right w:w="108" w:type="dxa"/>
          </w:tblCellMar>
        </w:tblPrEx>
        <w:trPr>
          <w:trHeight w:val="192" w:hRule="atLeast"/>
          <w:jc w:val="center"/>
        </w:trPr>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1"/>
                <w:szCs w:val="21"/>
                <w:highlight w:val="none"/>
              </w:rPr>
            </w:pPr>
          </w:p>
        </w:tc>
        <w:tc>
          <w:tcPr>
            <w:tcW w:w="6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提供服务申请、服务注册、服务调试、服务授权与服务发布管理；</w:t>
            </w:r>
          </w:p>
        </w:tc>
      </w:tr>
      <w:tr>
        <w:tblPrEx>
          <w:tblCellMar>
            <w:top w:w="0" w:type="dxa"/>
            <w:left w:w="108" w:type="dxa"/>
            <w:bottom w:w="0" w:type="dxa"/>
            <w:right w:w="108" w:type="dxa"/>
          </w:tblCellMar>
        </w:tblPrEx>
        <w:trPr>
          <w:trHeight w:val="192" w:hRule="atLeast"/>
          <w:jc w:val="center"/>
        </w:trPr>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1"/>
                <w:szCs w:val="21"/>
                <w:highlight w:val="none"/>
              </w:rPr>
            </w:pPr>
          </w:p>
        </w:tc>
        <w:tc>
          <w:tcPr>
            <w:tcW w:w="6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提供服务流程配置及服务调用监控功能；</w:t>
            </w:r>
          </w:p>
        </w:tc>
      </w:tr>
      <w:tr>
        <w:tblPrEx>
          <w:tblCellMar>
            <w:top w:w="0" w:type="dxa"/>
            <w:left w:w="108" w:type="dxa"/>
            <w:bottom w:w="0" w:type="dxa"/>
            <w:right w:w="108" w:type="dxa"/>
          </w:tblCellMar>
        </w:tblPrEx>
        <w:trPr>
          <w:trHeight w:val="192" w:hRule="atLeast"/>
          <w:jc w:val="center"/>
        </w:trPr>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1"/>
                <w:szCs w:val="21"/>
                <w:highlight w:val="none"/>
              </w:rPr>
            </w:pPr>
          </w:p>
        </w:tc>
        <w:tc>
          <w:tcPr>
            <w:tcW w:w="6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提供应用注册及应用功能模块注册功能。</w:t>
            </w:r>
          </w:p>
        </w:tc>
      </w:tr>
      <w:tr>
        <w:tblPrEx>
          <w:tblCellMar>
            <w:top w:w="0" w:type="dxa"/>
            <w:left w:w="108" w:type="dxa"/>
            <w:bottom w:w="0" w:type="dxa"/>
            <w:right w:w="108" w:type="dxa"/>
          </w:tblCellMar>
        </w:tblPrEx>
        <w:trPr>
          <w:trHeight w:val="192" w:hRule="atLeast"/>
          <w:jc w:val="center"/>
        </w:trPr>
        <w:tc>
          <w:tcPr>
            <w:tcW w:w="208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安全管理</w:t>
            </w:r>
          </w:p>
        </w:tc>
        <w:tc>
          <w:tcPr>
            <w:tcW w:w="6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需可以提供节点认证功能，加强对平台接入；</w:t>
            </w:r>
          </w:p>
        </w:tc>
      </w:tr>
      <w:tr>
        <w:tblPrEx>
          <w:tblCellMar>
            <w:top w:w="0" w:type="dxa"/>
            <w:left w:w="108" w:type="dxa"/>
            <w:bottom w:w="0" w:type="dxa"/>
            <w:right w:w="108" w:type="dxa"/>
          </w:tblCellMar>
        </w:tblPrEx>
        <w:trPr>
          <w:trHeight w:val="192" w:hRule="atLeast"/>
          <w:jc w:val="center"/>
        </w:trPr>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1"/>
                <w:szCs w:val="21"/>
                <w:highlight w:val="none"/>
              </w:rPr>
            </w:pPr>
          </w:p>
        </w:tc>
        <w:tc>
          <w:tcPr>
            <w:tcW w:w="6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提供审计管理功能；</w:t>
            </w:r>
          </w:p>
        </w:tc>
      </w:tr>
      <w:tr>
        <w:tblPrEx>
          <w:tblCellMar>
            <w:top w:w="0" w:type="dxa"/>
            <w:left w:w="108" w:type="dxa"/>
            <w:bottom w:w="0" w:type="dxa"/>
            <w:right w:w="108" w:type="dxa"/>
          </w:tblCellMar>
        </w:tblPrEx>
        <w:trPr>
          <w:trHeight w:val="196" w:hRule="atLeast"/>
          <w:jc w:val="center"/>
        </w:trPr>
        <w:tc>
          <w:tcPr>
            <w:tcW w:w="20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1"/>
                <w:szCs w:val="21"/>
                <w:highlight w:val="none"/>
              </w:rPr>
            </w:pPr>
          </w:p>
        </w:tc>
        <w:tc>
          <w:tcPr>
            <w:tcW w:w="64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支持隐私数据的过滤控制与管理。</w:t>
            </w:r>
          </w:p>
        </w:tc>
      </w:tr>
    </w:tbl>
    <w:p>
      <w:pPr>
        <w:pStyle w:val="7"/>
        <w:numPr>
          <w:ilvl w:val="4"/>
          <w:numId w:val="0"/>
        </w:numPr>
        <w:tabs>
          <w:tab w:val="left" w:pos="1006"/>
          <w:tab w:val="clear" w:pos="0"/>
        </w:tabs>
        <w:spacing w:before="0" w:after="0" w:line="360" w:lineRule="auto"/>
        <w:ind w:left="1008" w:leftChars="0" w:hanging="1008" w:firstLineChars="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bidi="hi-IN"/>
        </w:rPr>
        <w:t>3.3.1.5.2</w:t>
      </w:r>
      <w:r>
        <w:rPr>
          <w:rFonts w:hint="eastAsia" w:ascii="仿宋" w:hAnsi="仿宋" w:eastAsia="仿宋" w:cs="仿宋"/>
          <w:color w:val="auto"/>
          <w:sz w:val="24"/>
          <w:szCs w:val="24"/>
          <w:highlight w:val="none"/>
        </w:rPr>
        <w:t>平台监控运维</w:t>
      </w:r>
    </w:p>
    <w:p>
      <w:pPr>
        <w:pStyle w:val="148"/>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能够完成对当前集成平台上运行的所有内容进行监控和管理，提供图形化用户界面，能够实时查看测数据交换平台上硬件服务器情况、数据库性能情况、各个系统组件的状态、日志、异常等内容，并进行记录、统计与分析。同时支持通过Web浏览器方式，为系统管理员提供远程性能监控与远程日志查看功能。</w:t>
      </w:r>
    </w:p>
    <w:tbl>
      <w:tblPr>
        <w:tblStyle w:val="38"/>
        <w:tblW w:w="0" w:type="auto"/>
        <w:jc w:val="center"/>
        <w:tblLayout w:type="fixed"/>
        <w:tblCellMar>
          <w:top w:w="0" w:type="dxa"/>
          <w:left w:w="108" w:type="dxa"/>
          <w:bottom w:w="0" w:type="dxa"/>
          <w:right w:w="108" w:type="dxa"/>
        </w:tblCellMar>
      </w:tblPr>
      <w:tblGrid>
        <w:gridCol w:w="2093"/>
        <w:gridCol w:w="6665"/>
      </w:tblGrid>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功能名称</w:t>
            </w:r>
          </w:p>
        </w:tc>
        <w:tc>
          <w:tcPr>
            <w:tcW w:w="666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需求说明与参数要求</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监控配置</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能对平台的各项参数进行配置，包括配置各个监控参数的报警阈值等</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平台架构展示</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展示平台的整体系统架构及单套系统在整体架构中的情况，相关内容能够以图形界面的形式展示出来，并支持大屏展示。</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服务总览</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对医院服务全状态的展示，且可查可筛可选可控，以关系架构方式排布服务关系。</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服务结构展示</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服务的提供者和调用者，展现服务的提供情况和各系统的消费情况，相关内容能够以图形界面的形式展现出来，并支持大屏展示。</w:t>
            </w:r>
          </w:p>
          <w:p>
            <w:pPr>
              <w:ind w:left="0" w:right="0"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支持按照厂商维度进行应用接入的展示以及查看应用调用次数的统计分析情况。</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厂商信息管理</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管理各厂商所属各个系统，支持厂商信息和系统信息的新增、编辑、查询和删除</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服务交互监控</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够监控各个服务被调用的情况，能够查看服务详情，包括但不限于服务调用链路、耗时、路由名称、消息ID，实时分钟内的调用次数，调用峰值，负载量，空闲量，负载时间，空闲时间，服务平均处理时间等关键性指标。</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服务查询</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支持模糊查询。支持多条件组合查询，例如：患者门诊号、住院号、姓名、身份证号、卡号标识。</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信息监控</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查看各个代理的基本信息，包括代理下执行组信息，各个执行组服务端口，及代理当前的负载情况：包括交易数情况，CPU占用情况、内存占用情况等。</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日志、异常信息监控</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autoSpaceDE w:val="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能够记录平台的日志，关键节点的日志信息必须有。具备日志和异常信息检索以及分类统计功能。同时能够支持选择性关闭路由中消息追踪功能，减少不必要排错消息存储，节省磁盘空间。</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消息监控</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各个队列管理器信息，包括名称，是否启动，连接端口，所管理的开放的通道，自身日志、各个的队列深度、在本地资源中的占用量等。</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数据库监控</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监控各数据库的表空间占用率、SQL语句命中率、连接数、用户数等信息。</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异常情况监控</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能够监控整个平台运行环境的异常总量、平均值、实时异常量、异常处理情况等。</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服务控制</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pStyle w:val="148"/>
              <w:spacing w:line="240" w:lineRule="auto"/>
              <w:ind w:left="0" w:right="0" w:firstLine="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rPr>
              <w:t>要求对被监控对象进行启动、停止、重启操作。</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服务器监控</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监控各服务器的CPU、内存、磁盘使用率。</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网络监控</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监控网络的PING值、信息负载等情况。</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告警管理</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pStyle w:val="148"/>
              <w:spacing w:line="240" w:lineRule="auto"/>
              <w:ind w:left="0" w:right="0" w:firstLine="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rPr>
              <w:t>能够及时了解当前的监控信息，当监控对象的性能参数超过告警阈值时，时产生报警。告警阈值能够分级设置，不同级别产生不同的告警。通过多种告警手段提供现场和远程告警，并且可定制发送方式和告警的优先级。</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信息平台监控</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支持通过大屏对主数据、EMPI和共享文档的相关情况进行了监控。主数据分析主要对历史、每月下发和上传的数据量以及注册、分发和查询，按时间统计服务调用趋势图等重要服务的状态进行监控。共享文档可对一周内院内的共享文档生成数量进行汇总。EMPI对患者合并数、合并率等重要指标可进行实时汇总与统计。</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监控可视化</w:t>
            </w:r>
          </w:p>
        </w:tc>
        <w:tc>
          <w:tcPr>
            <w:tcW w:w="6665" w:type="dxa"/>
            <w:tcBorders>
              <w:top w:val="single" w:color="000000" w:sz="4" w:space="0"/>
              <w:left w:val="single" w:color="000000" w:sz="4" w:space="0"/>
              <w:bottom w:val="single" w:color="000000" w:sz="4" w:space="0"/>
              <w:right w:val="single" w:color="000000" w:sz="4" w:space="0"/>
            </w:tcBorders>
            <w:noWrap w:val="0"/>
            <w:vAlign w:val="center"/>
          </w:tcPr>
          <w:p>
            <w:pPr>
              <w:pStyle w:val="148"/>
              <w:spacing w:line="240" w:lineRule="auto"/>
              <w:ind w:left="0" w:right="0" w:firstLine="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rPr>
              <w:t>实现图形化方式直观地显示监控信息，并能够进行统计分析。</w:t>
            </w:r>
          </w:p>
        </w:tc>
      </w:tr>
    </w:tbl>
    <w:p>
      <w:pPr>
        <w:pStyle w:val="4"/>
        <w:numPr>
          <w:ilvl w:val="0"/>
          <w:numId w:val="0"/>
        </w:numPr>
        <w:tabs>
          <w:tab w:val="left" w:pos="576"/>
          <w:tab w:val="left" w:pos="720"/>
        </w:tabs>
        <w:ind w:left="720" w:leftChars="0" w:hanging="720" w:firstLineChars="0"/>
        <w:rPr>
          <w:rFonts w:hint="eastAsia" w:ascii="仿宋" w:hAnsi="仿宋" w:eastAsia="仿宋" w:cs="仿宋"/>
          <w:color w:val="auto"/>
          <w:kern w:val="2"/>
          <w:highlight w:val="none"/>
        </w:rPr>
      </w:pPr>
      <w:bookmarkStart w:id="361" w:name="_Toc22308"/>
      <w:bookmarkStart w:id="362" w:name="_Toc24175"/>
      <w:r>
        <w:rPr>
          <w:rFonts w:hint="eastAsia" w:ascii="仿宋" w:hAnsi="仿宋" w:eastAsia="仿宋" w:cs="仿宋"/>
          <w:b/>
          <w:bCs/>
          <w:color w:val="auto"/>
          <w:kern w:val="2"/>
          <w:sz w:val="28"/>
          <w:szCs w:val="28"/>
          <w:highlight w:val="none"/>
          <w:lang w:val="en-US" w:eastAsia="zh-CN" w:bidi="hi-IN"/>
        </w:rPr>
        <w:t>3.3.2</w:t>
      </w:r>
      <w:r>
        <w:rPr>
          <w:rFonts w:hint="eastAsia" w:ascii="仿宋" w:hAnsi="仿宋" w:eastAsia="仿宋" w:cs="仿宋"/>
          <w:color w:val="auto"/>
          <w:highlight w:val="none"/>
        </w:rPr>
        <w:t>数据中心</w:t>
      </w:r>
      <w:bookmarkEnd w:id="361"/>
      <w:bookmarkEnd w:id="362"/>
    </w:p>
    <w:p>
      <w:pPr>
        <w:pStyle w:val="148"/>
        <w:rPr>
          <w:rFonts w:hint="eastAsia" w:ascii="仿宋" w:hAnsi="仿宋" w:eastAsia="仿宋" w:cs="仿宋"/>
          <w:color w:val="auto"/>
          <w:kern w:val="2"/>
          <w:highlight w:val="none"/>
        </w:rPr>
      </w:pPr>
      <w:r>
        <w:rPr>
          <w:rFonts w:hint="eastAsia" w:ascii="仿宋" w:hAnsi="仿宋" w:eastAsia="仿宋" w:cs="仿宋"/>
          <w:color w:val="auto"/>
          <w:kern w:val="2"/>
          <w:highlight w:val="none"/>
        </w:rPr>
        <w:t>支持通过CDC技术，实现数据变更动态捕获，能够对行数据的增、删、改进行捕获并记录，用于数据同步，提升数据同步能力。</w:t>
      </w:r>
    </w:p>
    <w:p>
      <w:pPr>
        <w:pStyle w:val="148"/>
        <w:rPr>
          <w:rFonts w:hint="eastAsia" w:ascii="仿宋" w:hAnsi="仿宋" w:eastAsia="仿宋" w:cs="仿宋"/>
          <w:color w:val="auto"/>
          <w:highlight w:val="none"/>
        </w:rPr>
      </w:pPr>
      <w:r>
        <w:rPr>
          <w:rFonts w:hint="eastAsia" w:ascii="仿宋" w:hAnsi="仿宋" w:eastAsia="仿宋" w:cs="仿宋"/>
          <w:color w:val="auto"/>
          <w:kern w:val="2"/>
          <w:highlight w:val="none"/>
        </w:rPr>
        <w:t>能够与医院信息化相关所有系统进行数据集成。包括但不限于以下系统His、EMR、护理数据、病案数据、手麻数据、血库数据、检查数据、检验数据、体检数据、康复治疗数据、设备物资数据、院感数据、不良事件数据、ICU数据、DRGS数据、HRP数据、单病种数据、合理用药数据、急诊数据、人力资源数据、透析数据、药库药房数据。</w:t>
      </w:r>
    </w:p>
    <w:p>
      <w:pPr>
        <w:pStyle w:val="6"/>
        <w:numPr>
          <w:ilvl w:val="0"/>
          <w:numId w:val="0"/>
        </w:numPr>
        <w:tabs>
          <w:tab w:val="left" w:pos="720"/>
          <w:tab w:val="left" w:pos="1006"/>
        </w:tabs>
        <w:ind w:left="864" w:leftChars="0" w:hanging="864" w:firstLineChars="0"/>
        <w:rPr>
          <w:rFonts w:hint="eastAsia" w:ascii="仿宋" w:hAnsi="仿宋" w:eastAsia="仿宋" w:cs="仿宋"/>
          <w:color w:val="auto"/>
          <w:kern w:val="2"/>
          <w:highlight w:val="none"/>
        </w:rPr>
      </w:pPr>
      <w:r>
        <w:rPr>
          <w:rFonts w:hint="eastAsia" w:ascii="仿宋" w:hAnsi="仿宋" w:eastAsia="仿宋" w:cs="仿宋"/>
          <w:b/>
          <w:bCs/>
          <w:color w:val="auto"/>
          <w:kern w:val="2"/>
          <w:sz w:val="24"/>
          <w:szCs w:val="20"/>
          <w:highlight w:val="none"/>
          <w:lang w:val="en-US" w:eastAsia="zh-CN" w:bidi="hi-IN"/>
        </w:rPr>
        <w:t>3.3.2.1</w:t>
      </w:r>
      <w:r>
        <w:rPr>
          <w:rFonts w:hint="eastAsia" w:ascii="仿宋" w:hAnsi="仿宋" w:eastAsia="仿宋" w:cs="仿宋"/>
          <w:color w:val="auto"/>
          <w:highlight w:val="none"/>
        </w:rPr>
        <w:t>操作型数据存储（ODS）</w:t>
      </w:r>
    </w:p>
    <w:p>
      <w:pPr>
        <w:pStyle w:val="148"/>
        <w:ind w:left="0" w:right="0" w:firstLine="420"/>
        <w:rPr>
          <w:rFonts w:hint="eastAsia" w:ascii="仿宋" w:hAnsi="仿宋" w:eastAsia="仿宋" w:cs="仿宋"/>
          <w:color w:val="auto"/>
          <w:kern w:val="2"/>
          <w:highlight w:val="none"/>
        </w:rPr>
      </w:pPr>
      <w:r>
        <w:rPr>
          <w:rFonts w:hint="eastAsia" w:ascii="仿宋" w:hAnsi="仿宋" w:eastAsia="仿宋" w:cs="仿宋"/>
          <w:color w:val="auto"/>
          <w:kern w:val="2"/>
          <w:highlight w:val="none"/>
        </w:rPr>
        <w:t>ODS库是医院医疗信息原始业务数据库的镜像库，定时与医疗信息业务数据库进行同步，为后面的数据转换、数据仓库建立提供稳定、可靠的数据源。ODS库的设置，缓解了ETL过程中频繁访问生产数据服务器产生的大批量数据交换对医院信息平台及网络造成的压力，并最大限度降低数据数据仓库对原有业务系统的影响。</w:t>
      </w:r>
    </w:p>
    <w:p>
      <w:pPr>
        <w:pStyle w:val="148"/>
        <w:ind w:left="0" w:right="0" w:firstLine="420"/>
        <w:rPr>
          <w:rFonts w:hint="eastAsia" w:ascii="仿宋" w:hAnsi="仿宋" w:eastAsia="仿宋" w:cs="仿宋"/>
          <w:color w:val="auto"/>
          <w:kern w:val="2"/>
          <w:highlight w:val="none"/>
        </w:rPr>
      </w:pPr>
      <w:r>
        <w:rPr>
          <w:rFonts w:hint="eastAsia" w:ascii="仿宋" w:hAnsi="仿宋" w:eastAsia="仿宋" w:cs="仿宋"/>
          <w:color w:val="auto"/>
          <w:kern w:val="2"/>
          <w:highlight w:val="none"/>
        </w:rPr>
        <w:t>ODS数据库主要涵盖临床和管理数据，对数据即时查询、数据仓库、面向患者的公众信息服务以及区域卫生提供数据层支持。同时，ODS数据库支持整个医院范围内各业务系统的协同，可以与CDR结合作为院内临床及其他业务驱动的数据，为医院内平台级别的应用（非POS应用），如统一调阅等提供信息支撑。</w:t>
      </w:r>
    </w:p>
    <w:p>
      <w:pPr>
        <w:pStyle w:val="148"/>
        <w:ind w:left="0" w:right="0" w:firstLine="420"/>
        <w:rPr>
          <w:rFonts w:hint="eastAsia" w:ascii="仿宋" w:hAnsi="仿宋" w:eastAsia="仿宋" w:cs="仿宋"/>
          <w:color w:val="auto"/>
          <w:kern w:val="2"/>
          <w:highlight w:val="none"/>
        </w:rPr>
      </w:pPr>
      <w:r>
        <w:rPr>
          <w:rFonts w:hint="eastAsia" w:ascii="仿宋" w:hAnsi="仿宋" w:eastAsia="仿宋" w:cs="仿宋"/>
          <w:color w:val="auto"/>
          <w:kern w:val="2"/>
          <w:highlight w:val="none"/>
        </w:rPr>
        <w:t>ODS数据库主要是作为CDR存储库外的业务需求的补充。除了电子病历外，医院信息平台还需要支持一些其他业务</w:t>
      </w:r>
      <w:r>
        <w:rPr>
          <w:rFonts w:hint="eastAsia" w:ascii="仿宋" w:hAnsi="仿宋" w:eastAsia="仿宋" w:cs="仿宋"/>
          <w:color w:val="auto"/>
          <w:kern w:val="2"/>
          <w:highlight w:val="none"/>
          <w:lang w:eastAsia="zh-CN"/>
        </w:rPr>
        <w:t>。</w:t>
      </w:r>
    </w:p>
    <w:p>
      <w:pPr>
        <w:pStyle w:val="6"/>
        <w:numPr>
          <w:ilvl w:val="0"/>
          <w:numId w:val="0"/>
        </w:numPr>
        <w:tabs>
          <w:tab w:val="left" w:pos="720"/>
          <w:tab w:val="left" w:pos="1006"/>
        </w:tabs>
        <w:ind w:left="864" w:leftChars="0" w:hanging="864" w:firstLineChars="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bidi="hi-IN"/>
        </w:rPr>
        <w:t>3.3.2.2</w:t>
      </w:r>
      <w:r>
        <w:rPr>
          <w:rFonts w:hint="eastAsia" w:ascii="仿宋" w:hAnsi="仿宋" w:eastAsia="仿宋" w:cs="仿宋"/>
          <w:color w:val="auto"/>
          <w:highlight w:val="none"/>
        </w:rPr>
        <w:t>临床数据中心（CDR ）</w:t>
      </w:r>
    </w:p>
    <w:p>
      <w:pPr>
        <w:pStyle w:val="14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临床数据中心（CDR）是以患者为中心，将患者所有的临床诊疗信息进行统一的整合存储，同时在此基础之上实现数据的管理与共享。临床数据中心对病人诊疗数据(数值、文字、波形、图像)进行统一有效管理和标准化存储,实现患者临床信息的整合，在此基础上通过整合其他相关信息数据，建立面向医院管理层的决策分析系统，同时满足对医疗数据进行科研和临床决策支持等的需要，以及支持区域医疗信息的共享。</w:t>
      </w:r>
    </w:p>
    <w:tbl>
      <w:tblPr>
        <w:tblStyle w:val="38"/>
        <w:tblW w:w="0" w:type="auto"/>
        <w:jc w:val="center"/>
        <w:tblLayout w:type="fixed"/>
        <w:tblCellMar>
          <w:top w:w="0" w:type="dxa"/>
          <w:left w:w="108" w:type="dxa"/>
          <w:bottom w:w="0" w:type="dxa"/>
          <w:right w:w="108" w:type="dxa"/>
        </w:tblCellMar>
      </w:tblPr>
      <w:tblGrid>
        <w:gridCol w:w="2093"/>
        <w:gridCol w:w="6520"/>
      </w:tblGrid>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功能名称</w:t>
            </w:r>
          </w:p>
        </w:tc>
        <w:tc>
          <w:tcPr>
            <w:tcW w:w="6520"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需求说明与参数要求</w:t>
            </w:r>
          </w:p>
        </w:tc>
      </w:tr>
      <w:tr>
        <w:tblPrEx>
          <w:tblCellMar>
            <w:top w:w="0" w:type="dxa"/>
            <w:left w:w="108" w:type="dxa"/>
            <w:bottom w:w="0" w:type="dxa"/>
            <w:right w:w="108" w:type="dxa"/>
          </w:tblCellMar>
        </w:tblPrEx>
        <w:trPr>
          <w:trHeight w:val="559" w:hRule="atLeast"/>
          <w:jc w:val="center"/>
        </w:trPr>
        <w:tc>
          <w:tcPr>
            <w:tcW w:w="20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数据存储</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临床数据中心数据可根据医院系统的建设情况，可分别采用实时或准实时数据采集，满足医院临床数据展示及共享需求。</w:t>
            </w:r>
          </w:p>
        </w:tc>
      </w:tr>
      <w:tr>
        <w:tblPrEx>
          <w:tblCellMar>
            <w:top w:w="0" w:type="dxa"/>
            <w:left w:w="108" w:type="dxa"/>
            <w:bottom w:w="0" w:type="dxa"/>
            <w:right w:w="108" w:type="dxa"/>
          </w:tblCellMar>
        </w:tblPrEx>
        <w:trPr>
          <w:trHeight w:val="559"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临床中心可根据医院的实际应用场景，采用不同的架构设计，如大数据分布式架构。</w:t>
            </w:r>
          </w:p>
        </w:tc>
      </w:tr>
      <w:tr>
        <w:tblPrEx>
          <w:tblCellMar>
            <w:top w:w="0" w:type="dxa"/>
            <w:left w:w="108" w:type="dxa"/>
            <w:bottom w:w="0" w:type="dxa"/>
            <w:right w:w="108" w:type="dxa"/>
          </w:tblCellMar>
        </w:tblPrEx>
        <w:trPr>
          <w:trHeight w:val="559"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临床数据中心需内置数据质量管理功能，并内置相应的数据中心规则，并可通过相应的数据质量规则配置，来实现数据中心不同业务域的数据的数据质量稽查，如一致性、完整性、及时性、整合性等，保障数据中心数据的准确性</w:t>
            </w:r>
          </w:p>
        </w:tc>
      </w:tr>
      <w:tr>
        <w:tblPrEx>
          <w:tblCellMar>
            <w:top w:w="0" w:type="dxa"/>
            <w:left w:w="108" w:type="dxa"/>
            <w:bottom w:w="0" w:type="dxa"/>
            <w:right w:w="108" w:type="dxa"/>
          </w:tblCellMar>
        </w:tblPrEx>
        <w:trPr>
          <w:trHeight w:val="559"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数据中心数据内容的定义功能，能够对基础信息库中的数据进行存储和管理；并将基础库信息按照结构化数据形式存储起来。基础信息库要求包括患者的人口学信息、医疗卫生人员的注册信息、以及各种医疗卫生、公共卫生术语字典数据等。</w:t>
            </w:r>
          </w:p>
        </w:tc>
      </w:tr>
      <w:tr>
        <w:tblPrEx>
          <w:tblCellMar>
            <w:top w:w="0" w:type="dxa"/>
            <w:left w:w="108" w:type="dxa"/>
            <w:bottom w:w="0" w:type="dxa"/>
            <w:right w:w="108" w:type="dxa"/>
          </w:tblCellMar>
        </w:tblPrEx>
        <w:trPr>
          <w:trHeight w:val="678"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建立临床信息数据库，遵循国家卫计委《WS 445-2014 电子病历基本数据集》，至少包含标准要求的16类数据集、28类业务域、58个数据子集和128个数据模型的内容；支持自定义扩展数据集；</w:t>
            </w:r>
          </w:p>
        </w:tc>
      </w:tr>
      <w:tr>
        <w:tblPrEx>
          <w:tblCellMar>
            <w:top w:w="0" w:type="dxa"/>
            <w:left w:w="108" w:type="dxa"/>
            <w:bottom w:w="0" w:type="dxa"/>
            <w:right w:w="108" w:type="dxa"/>
          </w:tblCellMar>
        </w:tblPrEx>
        <w:trPr>
          <w:trHeight w:val="502"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建立电子病历文档库，遵循国家卫计委《电子病历共享文档规范》，至少包含标准要求的53类共享文档；并支持自定义扩展；</w:t>
            </w:r>
          </w:p>
        </w:tc>
      </w:tr>
      <w:tr>
        <w:tblPrEx>
          <w:tblCellMar>
            <w:top w:w="0" w:type="dxa"/>
            <w:left w:w="108" w:type="dxa"/>
            <w:bottom w:w="0" w:type="dxa"/>
            <w:right w:w="108" w:type="dxa"/>
          </w:tblCellMar>
        </w:tblPrEx>
        <w:trPr>
          <w:trHeight w:val="502"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能够支持转诊记录指医疗机构之间进行患者转诊（转入或转出）的主要工作记录的存储。</w:t>
            </w:r>
          </w:p>
        </w:tc>
      </w:tr>
      <w:tr>
        <w:tblPrEx>
          <w:tblCellMar>
            <w:top w:w="0" w:type="dxa"/>
            <w:left w:w="108" w:type="dxa"/>
            <w:bottom w:w="0" w:type="dxa"/>
            <w:right w:w="108" w:type="dxa"/>
          </w:tblCellMar>
        </w:tblPrEx>
        <w:trPr>
          <w:trHeight w:val="502"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能够对包括出生医学证明、死亡医学证明、传染病报告、出生缺陷儿登记等进行存储。</w:t>
            </w:r>
          </w:p>
        </w:tc>
      </w:tr>
      <w:tr>
        <w:tblPrEx>
          <w:tblCellMar>
            <w:top w:w="0" w:type="dxa"/>
            <w:left w:w="108" w:type="dxa"/>
            <w:bottom w:w="0" w:type="dxa"/>
            <w:right w:w="108" w:type="dxa"/>
          </w:tblCellMar>
        </w:tblPrEx>
        <w:trPr>
          <w:trHeight w:val="502"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能够按照标准的临床业务模型对患者数据。就诊数据、医嘱数据及各类报告文书等数据进行整合存储，建立关联关系。</w:t>
            </w:r>
          </w:p>
        </w:tc>
      </w:tr>
      <w:tr>
        <w:tblPrEx>
          <w:tblCellMar>
            <w:top w:w="0" w:type="dxa"/>
            <w:left w:w="108" w:type="dxa"/>
            <w:bottom w:w="0" w:type="dxa"/>
            <w:right w:w="108" w:type="dxa"/>
          </w:tblCellMar>
        </w:tblPrEx>
        <w:trPr>
          <w:trHeight w:val="502"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能够提供标准的服务接口，用户可以在整合后的临床数据基础上定义新的应用，进行决策分析，医学科研，商业智能(BI)。</w:t>
            </w:r>
          </w:p>
        </w:tc>
      </w:tr>
      <w:tr>
        <w:tblPrEx>
          <w:tblCellMar>
            <w:top w:w="0" w:type="dxa"/>
            <w:left w:w="108" w:type="dxa"/>
            <w:bottom w:w="0" w:type="dxa"/>
            <w:right w:w="108" w:type="dxa"/>
          </w:tblCellMar>
        </w:tblPrEx>
        <w:trPr>
          <w:trHeight w:val="502"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可基于服务总线、患者主索引对数据中心数据获取构建服务，基于患者主索引可以侦测到重复的病人，快速、准确、全面定位病人诊疗信息。</w:t>
            </w:r>
          </w:p>
        </w:tc>
      </w:tr>
      <w:tr>
        <w:tblPrEx>
          <w:tblCellMar>
            <w:top w:w="0" w:type="dxa"/>
            <w:left w:w="108" w:type="dxa"/>
            <w:bottom w:w="0" w:type="dxa"/>
            <w:right w:w="108" w:type="dxa"/>
          </w:tblCellMar>
        </w:tblPrEx>
        <w:trPr>
          <w:trHeight w:val="502"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提供CDA文档注册、存储、访问管理。</w:t>
            </w:r>
          </w:p>
        </w:tc>
      </w:tr>
      <w:tr>
        <w:tblPrEx>
          <w:tblCellMar>
            <w:top w:w="0" w:type="dxa"/>
            <w:left w:w="108" w:type="dxa"/>
            <w:bottom w:w="0" w:type="dxa"/>
            <w:right w:w="108" w:type="dxa"/>
          </w:tblCellMar>
        </w:tblPrEx>
        <w:trPr>
          <w:trHeight w:val="502"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支持对历史临床数据进行抽取、清洗、转换，按标准化、结构化、非结构化分类存储。支持通过后结构化技术进行智能提取、语义分词、同义词匹配，提升互操作能力，实现医疗文书数据交换和利用能力。</w:t>
            </w:r>
          </w:p>
        </w:tc>
      </w:tr>
      <w:tr>
        <w:tblPrEx>
          <w:tblCellMar>
            <w:top w:w="0" w:type="dxa"/>
            <w:left w:w="108" w:type="dxa"/>
            <w:bottom w:w="0" w:type="dxa"/>
            <w:right w:w="108" w:type="dxa"/>
          </w:tblCellMar>
        </w:tblPrEx>
        <w:trPr>
          <w:trHeight w:val="489"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支持非结构化数据的存储，如图片、pdf、html、word等</w:t>
            </w:r>
          </w:p>
        </w:tc>
      </w:tr>
      <w:tr>
        <w:tblPrEx>
          <w:tblCellMar>
            <w:top w:w="0" w:type="dxa"/>
            <w:left w:w="108" w:type="dxa"/>
            <w:bottom w:w="0" w:type="dxa"/>
            <w:right w:w="108" w:type="dxa"/>
          </w:tblCellMar>
        </w:tblPrEx>
        <w:trPr>
          <w:trHeight w:val="489"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rPr>
            </w:pPr>
          </w:p>
        </w:tc>
        <w:tc>
          <w:tcPr>
            <w:tcW w:w="652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能够提供临床数据中心概览、外部引用概览等可视化分析。</w:t>
            </w:r>
          </w:p>
        </w:tc>
      </w:tr>
      <w:tr>
        <w:tblPrEx>
          <w:tblCellMar>
            <w:top w:w="0" w:type="dxa"/>
            <w:left w:w="108" w:type="dxa"/>
            <w:bottom w:w="0" w:type="dxa"/>
            <w:right w:w="108" w:type="dxa"/>
          </w:tblCellMar>
        </w:tblPrEx>
        <w:trPr>
          <w:trHeight w:val="489"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rPr>
            </w:pPr>
          </w:p>
        </w:tc>
        <w:tc>
          <w:tcPr>
            <w:tcW w:w="6520" w:type="dxa"/>
            <w:tcBorders>
              <w:top w:val="single" w:color="000000" w:sz="4" w:space="0"/>
              <w:left w:val="single" w:color="000000" w:sz="4" w:space="0"/>
              <w:bottom w:val="single" w:color="000000" w:sz="4" w:space="0"/>
              <w:right w:val="single" w:color="000000" w:sz="4" w:space="0"/>
            </w:tcBorders>
            <w:noWrap w:val="0"/>
            <w:vAlign w:val="top"/>
          </w:tcPr>
          <w:p>
            <w:pPr>
              <w:pStyle w:val="153"/>
              <w:ind w:left="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临床文档库应符合卫健委电子病历共享文档规范和电子病历基本数据集标准的XML文档，主要应用于医联体临床数据交换及区域医疗信息共享与协同。</w:t>
            </w:r>
          </w:p>
        </w:tc>
      </w:tr>
      <w:tr>
        <w:tblPrEx>
          <w:tblCellMar>
            <w:top w:w="0" w:type="dxa"/>
            <w:left w:w="108" w:type="dxa"/>
            <w:bottom w:w="0" w:type="dxa"/>
            <w:right w:w="108" w:type="dxa"/>
          </w:tblCellMar>
        </w:tblPrEx>
        <w:trPr>
          <w:trHeight w:val="489"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4"/>
                <w:szCs w:val="24"/>
                <w:highlight w:val="none"/>
                <w:lang w:val="en-US" w:eastAsia="zh-CN"/>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床工作涉及机构内的所有医疗和护理人员，数据的存储需要考虑到大量的并发应用，尤其在每日的高峰时期并发量可能会达到成百上千，所以数据库的选择必须采用大并发、高性能的企业级数据库平台。同时在数据结构的设计上根据规范性原则构建，同时需要采用保留必要冗余、数据分主题存放的技术提高数据访问的性能。做到在大并发、复杂条件下海量的的临床数据检索。</w:t>
            </w:r>
          </w:p>
        </w:tc>
      </w:tr>
    </w:tbl>
    <w:p>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临床数据中心CDR至少整合、清洗包括但不限于以下业务域数据</w:t>
      </w:r>
    </w:p>
    <w:tbl>
      <w:tblPr>
        <w:tblStyle w:val="38"/>
        <w:tblW w:w="0" w:type="auto"/>
        <w:jc w:val="center"/>
        <w:tblLayout w:type="fixed"/>
        <w:tblCellMar>
          <w:top w:w="0" w:type="dxa"/>
          <w:left w:w="108" w:type="dxa"/>
          <w:bottom w:w="0" w:type="dxa"/>
          <w:right w:w="108" w:type="dxa"/>
        </w:tblCellMar>
      </w:tblPr>
      <w:tblGrid>
        <w:gridCol w:w="2079"/>
        <w:gridCol w:w="4158"/>
      </w:tblGrid>
      <w:tr>
        <w:tblPrEx>
          <w:tblCellMar>
            <w:top w:w="0" w:type="dxa"/>
            <w:left w:w="108" w:type="dxa"/>
            <w:bottom w:w="0" w:type="dxa"/>
            <w:right w:w="108" w:type="dxa"/>
          </w:tblCellMar>
        </w:tblPrEx>
        <w:trPr>
          <w:trHeight w:val="13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BEBEBE"/>
            <w:noWrap w:val="0"/>
            <w:vAlign w:val="bottom"/>
          </w:tcPr>
          <w:p>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分类</w:t>
            </w:r>
          </w:p>
        </w:tc>
        <w:tc>
          <w:tcPr>
            <w:tcW w:w="4158" w:type="dxa"/>
            <w:tcBorders>
              <w:top w:val="single" w:color="000000" w:sz="4" w:space="0"/>
              <w:bottom w:val="single" w:color="000000" w:sz="4" w:space="0"/>
              <w:right w:val="single" w:color="000000" w:sz="4" w:space="0"/>
            </w:tcBorders>
            <w:shd w:val="clear" w:color="auto" w:fill="BEBEBE"/>
            <w:noWrap w:val="0"/>
            <w:vAlign w:val="bottom"/>
          </w:tcPr>
          <w:p>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表名</w:t>
            </w:r>
          </w:p>
        </w:tc>
      </w:tr>
      <w:tr>
        <w:tblPrEx>
          <w:tblCellMar>
            <w:top w:w="0" w:type="dxa"/>
            <w:left w:w="108" w:type="dxa"/>
            <w:bottom w:w="0" w:type="dxa"/>
            <w:right w:w="108" w:type="dxa"/>
          </w:tblCellMar>
        </w:tblPrEx>
        <w:trPr>
          <w:trHeight w:val="117" w:hRule="atLeast"/>
          <w:jc w:val="center"/>
        </w:trPr>
        <w:tc>
          <w:tcPr>
            <w:tcW w:w="2079" w:type="dxa"/>
            <w:vMerge w:val="restart"/>
            <w:tcBorders>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患者信息域</w:t>
            </w: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就诊时患者基本信息表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患者联系人表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患者地址表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其他证件表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保险信息</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血型信息</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皮试记录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过敏信息</w:t>
            </w:r>
          </w:p>
        </w:tc>
      </w:tr>
      <w:tr>
        <w:tblPrEx>
          <w:tblCellMar>
            <w:top w:w="0" w:type="dxa"/>
            <w:left w:w="108" w:type="dxa"/>
            <w:bottom w:w="0" w:type="dxa"/>
            <w:right w:w="108" w:type="dxa"/>
          </w:tblCellMar>
        </w:tblPrEx>
        <w:trPr>
          <w:trHeight w:val="117" w:hRule="atLeast"/>
          <w:jc w:val="center"/>
        </w:trPr>
        <w:tc>
          <w:tcPr>
            <w:tcW w:w="2079" w:type="dxa"/>
            <w:vMerge w:val="restart"/>
            <w:tcBorders>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就诊信息域</w:t>
            </w: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门诊预约信息表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医生排班表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门诊叫号记录表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门诊就诊表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门诊诊断表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门诊诊病历信息</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急观登记表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住院床位信息</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新生儿信息</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住院预约表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住院就诊记录表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住院转科转床记录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住院诊断表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会诊记录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实际会诊人员</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随访记录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随访记录明细</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随访记录文件</w:t>
            </w:r>
          </w:p>
        </w:tc>
      </w:tr>
      <w:tr>
        <w:tblPrEx>
          <w:tblCellMar>
            <w:top w:w="0" w:type="dxa"/>
            <w:left w:w="108" w:type="dxa"/>
            <w:bottom w:w="0" w:type="dxa"/>
            <w:right w:w="108" w:type="dxa"/>
          </w:tblCellMar>
        </w:tblPrEx>
        <w:trPr>
          <w:trHeight w:val="117" w:hRule="atLeast"/>
          <w:jc w:val="center"/>
        </w:trPr>
        <w:tc>
          <w:tcPr>
            <w:tcW w:w="2079" w:type="dxa"/>
            <w:vMerge w:val="restart"/>
            <w:tcBorders>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医嘱/处方信息域</w:t>
            </w: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门急诊药品处方表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门急诊非药处方表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住院药品医嘱表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住院非药医嘱表</w:t>
            </w:r>
          </w:p>
        </w:tc>
      </w:tr>
      <w:tr>
        <w:tblPrEx>
          <w:tblCellMar>
            <w:top w:w="0" w:type="dxa"/>
            <w:left w:w="108" w:type="dxa"/>
            <w:bottom w:w="0" w:type="dxa"/>
            <w:right w:w="108" w:type="dxa"/>
          </w:tblCellMar>
        </w:tblPrEx>
        <w:trPr>
          <w:trHeight w:val="117" w:hRule="atLeast"/>
          <w:jc w:val="center"/>
        </w:trPr>
        <w:tc>
          <w:tcPr>
            <w:tcW w:w="2079" w:type="dxa"/>
            <w:vMerge w:val="restart"/>
            <w:tcBorders>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用药信息域</w:t>
            </w: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门急诊发药记录表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门急诊发药明细表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门急诊输液记录表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门急诊输液明细表</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门急诊输液巡视记录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门急诊用药记录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住院发药记录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住院发药明细</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住院输液记录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住院输液巡视记录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住院用药执行记录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药品入库账单</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药品入库明细</w:t>
            </w:r>
          </w:p>
        </w:tc>
      </w:tr>
      <w:tr>
        <w:tblPrEx>
          <w:tblCellMar>
            <w:top w:w="0" w:type="dxa"/>
            <w:left w:w="108" w:type="dxa"/>
            <w:bottom w:w="0" w:type="dxa"/>
            <w:right w:w="108" w:type="dxa"/>
          </w:tblCellMar>
        </w:tblPrEx>
        <w:trPr>
          <w:trHeight w:val="117"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药品出库账单</w:t>
            </w:r>
          </w:p>
        </w:tc>
      </w:tr>
      <w:tr>
        <w:tblPrEx>
          <w:tblCellMar>
            <w:top w:w="0" w:type="dxa"/>
            <w:left w:w="108" w:type="dxa"/>
            <w:bottom w:w="0" w:type="dxa"/>
            <w:right w:w="108" w:type="dxa"/>
          </w:tblCellMar>
        </w:tblPrEx>
        <w:trPr>
          <w:trHeight w:val="121" w:hRule="atLeast"/>
          <w:jc w:val="center"/>
        </w:trPr>
        <w:tc>
          <w:tcPr>
            <w:tcW w:w="2079" w:type="dxa"/>
            <w:vMerge w:val="continue"/>
            <w:tcBorders>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158" w:type="dxa"/>
            <w:tcBorders>
              <w:bottom w:val="single" w:color="000000" w:sz="4" w:space="0"/>
              <w:right w:val="single" w:color="000000" w:sz="4" w:space="0"/>
            </w:tcBorders>
            <w:noWrap w:val="0"/>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药品出库明细</w:t>
            </w:r>
          </w:p>
        </w:tc>
      </w:tr>
    </w:tbl>
    <w:p>
      <w:pPr>
        <w:pStyle w:val="6"/>
        <w:numPr>
          <w:ilvl w:val="0"/>
          <w:numId w:val="0"/>
        </w:numPr>
        <w:tabs>
          <w:tab w:val="left" w:pos="720"/>
          <w:tab w:val="left" w:pos="1006"/>
        </w:tabs>
        <w:ind w:left="864" w:leftChars="0" w:hanging="864" w:firstLineChars="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bidi="hi-IN"/>
        </w:rPr>
        <w:t>3.3.2.3</w:t>
      </w:r>
      <w:r>
        <w:rPr>
          <w:rFonts w:hint="eastAsia" w:ascii="仿宋" w:hAnsi="仿宋" w:eastAsia="仿宋" w:cs="仿宋"/>
          <w:color w:val="auto"/>
          <w:highlight w:val="none"/>
        </w:rPr>
        <w:t>管理数据中心（MDR）</w:t>
      </w:r>
    </w:p>
    <w:p>
      <w:pPr>
        <w:pStyle w:val="148"/>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管理数据中心以主题和指标的方式对医院运营管理数据进行抽取和分析，通过对管理数据中心建立数据模型，为医院管理和决策提供数据支撑服务。</w:t>
      </w:r>
    </w:p>
    <w:tbl>
      <w:tblPr>
        <w:tblStyle w:val="38"/>
        <w:tblW w:w="0" w:type="auto"/>
        <w:jc w:val="center"/>
        <w:tblLayout w:type="fixed"/>
        <w:tblCellMar>
          <w:top w:w="0" w:type="dxa"/>
          <w:left w:w="108" w:type="dxa"/>
          <w:bottom w:w="0" w:type="dxa"/>
          <w:right w:w="108" w:type="dxa"/>
        </w:tblCellMar>
      </w:tblPr>
      <w:tblGrid>
        <w:gridCol w:w="2093"/>
        <w:gridCol w:w="6520"/>
      </w:tblGrid>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32"/>
                <w:szCs w:val="28"/>
                <w:highlight w:val="none"/>
              </w:rPr>
            </w:pPr>
            <w:r>
              <w:rPr>
                <w:rFonts w:hint="eastAsia" w:ascii="仿宋" w:hAnsi="仿宋" w:eastAsia="仿宋" w:cs="仿宋"/>
                <w:b/>
                <w:bCs/>
                <w:color w:val="auto"/>
                <w:sz w:val="20"/>
                <w:szCs w:val="20"/>
                <w:highlight w:val="none"/>
              </w:rPr>
              <w:t>功能名称</w:t>
            </w:r>
          </w:p>
        </w:tc>
        <w:tc>
          <w:tcPr>
            <w:tcW w:w="6520"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32"/>
                <w:szCs w:val="28"/>
                <w:highlight w:val="none"/>
              </w:rPr>
            </w:pPr>
            <w:r>
              <w:rPr>
                <w:rFonts w:hint="eastAsia" w:ascii="仿宋" w:hAnsi="仿宋" w:eastAsia="仿宋" w:cs="仿宋"/>
                <w:b/>
                <w:bCs/>
                <w:color w:val="auto"/>
                <w:sz w:val="20"/>
                <w:szCs w:val="20"/>
                <w:highlight w:val="none"/>
              </w:rPr>
              <w:t>需求说明与参数要求</w:t>
            </w:r>
          </w:p>
        </w:tc>
      </w:tr>
      <w:tr>
        <w:tblPrEx>
          <w:tblCellMar>
            <w:top w:w="0" w:type="dxa"/>
            <w:left w:w="108" w:type="dxa"/>
            <w:bottom w:w="0" w:type="dxa"/>
            <w:right w:w="108" w:type="dxa"/>
          </w:tblCellMar>
        </w:tblPrEx>
        <w:trPr>
          <w:trHeight w:val="678"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指标管理</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 xml:space="preserve">可针对医院关注对象建立指标，指标建立支持指标公式利用加、减、乘、除等算法计算合成指标，并可以设置指标数据长度和数据类型，添加指标说明，说明链接。支持指标建立、修改、删除基本功能；并可按照业务对指标建立多个目录，具备目录增删改基本功能。 </w:t>
            </w:r>
          </w:p>
        </w:tc>
      </w:tr>
      <w:tr>
        <w:tblPrEx>
          <w:tblCellMar>
            <w:top w:w="0" w:type="dxa"/>
            <w:left w:w="108" w:type="dxa"/>
            <w:bottom w:w="0" w:type="dxa"/>
            <w:right w:w="108" w:type="dxa"/>
          </w:tblCellMar>
        </w:tblPrEx>
        <w:trPr>
          <w:trHeight w:val="678"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维度管理</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可根据医院关注角度建立维度，对维度设置数据类型，选择字典名称。针对单一维度可新增或者引用其他维度方式以建立下钻维度。</w:t>
            </w:r>
          </w:p>
        </w:tc>
      </w:tr>
      <w:tr>
        <w:tblPrEx>
          <w:tblCellMar>
            <w:top w:w="0" w:type="dxa"/>
            <w:left w:w="108" w:type="dxa"/>
            <w:bottom w:w="0" w:type="dxa"/>
            <w:right w:w="108" w:type="dxa"/>
          </w:tblCellMar>
        </w:tblPrEx>
        <w:trPr>
          <w:trHeight w:val="678"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指标数据采集</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提供指标数据的定时采集参数配置功能，支持批量配置，功能包括：数据源配置、采集模型配置、采集调度管理、错误日志查看等。</w:t>
            </w:r>
          </w:p>
        </w:tc>
      </w:tr>
      <w:tr>
        <w:tblPrEx>
          <w:tblCellMar>
            <w:top w:w="0" w:type="dxa"/>
            <w:left w:w="108" w:type="dxa"/>
            <w:bottom w:w="0" w:type="dxa"/>
            <w:right w:w="108" w:type="dxa"/>
          </w:tblCellMar>
        </w:tblPrEx>
        <w:trPr>
          <w:trHeight w:val="475" w:hRule="atLeast"/>
          <w:jc w:val="center"/>
        </w:trPr>
        <w:tc>
          <w:tcPr>
            <w:tcW w:w="20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指标数据存储</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提供统一的指标数据仓库；</w:t>
            </w:r>
          </w:p>
        </w:tc>
      </w:tr>
      <w:tr>
        <w:tblPrEx>
          <w:tblCellMar>
            <w:top w:w="0" w:type="dxa"/>
            <w:left w:w="108" w:type="dxa"/>
            <w:bottom w:w="0" w:type="dxa"/>
            <w:right w:w="108" w:type="dxa"/>
          </w:tblCellMar>
        </w:tblPrEx>
        <w:trPr>
          <w:trHeight w:val="553"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0"/>
                <w:szCs w:val="20"/>
                <w:highlight w:val="none"/>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提供支撑指标统计数据的明细数据仓库；</w:t>
            </w:r>
          </w:p>
        </w:tc>
      </w:tr>
      <w:tr>
        <w:tblPrEx>
          <w:tblCellMar>
            <w:top w:w="0" w:type="dxa"/>
            <w:left w:w="108" w:type="dxa"/>
            <w:bottom w:w="0" w:type="dxa"/>
            <w:right w:w="108" w:type="dxa"/>
          </w:tblCellMar>
        </w:tblPrEx>
        <w:trPr>
          <w:trHeight w:val="678" w:hRule="atLeast"/>
          <w:jc w:val="center"/>
        </w:trPr>
        <w:tc>
          <w:tcPr>
            <w:tcW w:w="20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指标数据服务</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提供指标数据的存储、获取服务；用于支撑基于指标仓库的综合分析系统；</w:t>
            </w:r>
          </w:p>
        </w:tc>
      </w:tr>
      <w:tr>
        <w:tblPrEx>
          <w:tblCellMar>
            <w:top w:w="0" w:type="dxa"/>
            <w:left w:w="108" w:type="dxa"/>
            <w:bottom w:w="0" w:type="dxa"/>
            <w:right w:w="108" w:type="dxa"/>
          </w:tblCellMar>
        </w:tblPrEx>
        <w:trPr>
          <w:trHeight w:val="678" w:hRule="atLeast"/>
          <w:jc w:val="center"/>
        </w:trPr>
        <w:tc>
          <w:tcPr>
            <w:tcW w:w="209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 w:hAnsi="仿宋" w:eastAsia="仿宋" w:cs="仿宋"/>
                <w:color w:val="auto"/>
                <w:sz w:val="20"/>
                <w:szCs w:val="20"/>
                <w:highlight w:val="none"/>
              </w:rPr>
            </w:pP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32"/>
                <w:szCs w:val="28"/>
                <w:highlight w:val="none"/>
              </w:rPr>
            </w:pPr>
            <w:r>
              <w:rPr>
                <w:rFonts w:hint="eastAsia" w:ascii="仿宋" w:hAnsi="仿宋" w:eastAsia="仿宋" w:cs="仿宋"/>
                <w:color w:val="auto"/>
                <w:sz w:val="20"/>
                <w:szCs w:val="20"/>
                <w:highlight w:val="none"/>
              </w:rPr>
              <w:t>提供按条件、按权限的指标数据获取服务，用于提供给外部系统使用指标统计数据；</w:t>
            </w:r>
          </w:p>
        </w:tc>
      </w:tr>
    </w:tbl>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管理数据中心（MDR）要求具备以下功能：</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支持实时或近实时的数据存储方式。通过对医院数据仓库的数据抽取、清洗、转换处理后集中存储，所产生的数据支持灵活的查询利用。</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支持根据医院业务管理域设计管理数据中心的存储结构模型。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支持医院运营管理和医疗质量管理KPI监管指标的内置，指标包含业务量、收入、工作效率、感染、合理用药主题。</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支持通过数据校验机制保障前台展示数据和业务系统数据以及相关外挂报表数据口径的一致性。</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支持包括院区、时间、时段、科室、科室扩展、标志、事实多维度模型。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支持包括门诊业务、门诊费用、门诊效率、住院业务、住院收入、住院效率、住院医保宽表模型。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支持包括门诊业务、门诊费用、门诊效率、住院业务、住院收入、住院效率、住院医保等事实表模型。</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支持包括按年、季度、月度、院区、科室、医生统计的汇总表模型。</w:t>
      </w:r>
    </w:p>
    <w:p>
      <w:pPr>
        <w:spacing w:line="360" w:lineRule="auto"/>
        <w:ind w:left="0" w:right="0" w:firstLine="480"/>
        <w:rPr>
          <w:rFonts w:hint="eastAsia" w:ascii="仿宋" w:hAnsi="仿宋" w:eastAsia="仿宋" w:cs="仿宋"/>
          <w:color w:val="auto"/>
          <w:sz w:val="24"/>
          <w:szCs w:val="24"/>
          <w:highlight w:val="none"/>
          <w:lang w:bidi="ar"/>
        </w:rPr>
      </w:pPr>
      <w:r>
        <w:rPr>
          <w:rFonts w:hint="eastAsia" w:ascii="仿宋" w:hAnsi="仿宋" w:eastAsia="仿宋" w:cs="仿宋"/>
          <w:color w:val="auto"/>
          <w:sz w:val="24"/>
          <w:highlight w:val="none"/>
        </w:rPr>
        <w:t>MDR中应包含且不限于如下数据模型：</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w:t>
      </w:r>
      <w:r>
        <w:rPr>
          <w:rFonts w:hint="eastAsia" w:ascii="仿宋" w:hAnsi="仿宋" w:eastAsia="仿宋" w:cs="仿宋"/>
          <w:color w:val="auto"/>
          <w:sz w:val="24"/>
          <w:szCs w:val="24"/>
          <w:highlight w:val="none"/>
          <w:lang w:bidi="ar"/>
        </w:rPr>
        <w:t>门急诊业务量：支持对门急诊工作量，门急诊预约量，医生排班，医生出勤，排队叫号，门诊体检，门诊患者信息，等进行数据整合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2.</w:t>
      </w:r>
      <w:r>
        <w:rPr>
          <w:rFonts w:hint="eastAsia" w:ascii="仿宋" w:hAnsi="仿宋" w:eastAsia="仿宋" w:cs="仿宋"/>
          <w:color w:val="auto"/>
          <w:sz w:val="24"/>
          <w:szCs w:val="24"/>
          <w:highlight w:val="none"/>
          <w:lang w:bidi="ar"/>
        </w:rPr>
        <w:t>门急诊费用：支持对门急诊费用，门急诊检查费用，门急诊检验费用，门急诊医保总费用等进行数据整合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3.</w:t>
      </w:r>
      <w:r>
        <w:rPr>
          <w:rFonts w:hint="eastAsia" w:ascii="仿宋" w:hAnsi="仿宋" w:eastAsia="仿宋" w:cs="仿宋"/>
          <w:color w:val="auto"/>
          <w:sz w:val="24"/>
          <w:szCs w:val="24"/>
          <w:highlight w:val="none"/>
          <w:lang w:bidi="ar"/>
        </w:rPr>
        <w:t>住院业务量：支持对入院业务量，出院业务量，住院床位使用情况等进行数据整合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4.</w:t>
      </w:r>
      <w:r>
        <w:rPr>
          <w:rFonts w:hint="eastAsia" w:ascii="仿宋" w:hAnsi="仿宋" w:eastAsia="仿宋" w:cs="仿宋"/>
          <w:color w:val="auto"/>
          <w:sz w:val="24"/>
          <w:szCs w:val="24"/>
          <w:highlight w:val="none"/>
          <w:lang w:bidi="ar"/>
        </w:rPr>
        <w:t>住院费用：支持对住院药品费用，住院检查费用，住院检验费用，住院治疗费用等进行数据整合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5.</w:t>
      </w:r>
      <w:r>
        <w:rPr>
          <w:rFonts w:hint="eastAsia" w:ascii="仿宋" w:hAnsi="仿宋" w:eastAsia="仿宋" w:cs="仿宋"/>
          <w:color w:val="auto"/>
          <w:sz w:val="24"/>
          <w:szCs w:val="24"/>
          <w:highlight w:val="none"/>
          <w:lang w:bidi="ar"/>
        </w:rPr>
        <w:t>病案信息：支持对病案出院业务量分析，病案手术业务量分析，病案诊断信息，病案病历记录分析，病案临床路径分析等进行数据整合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6.</w:t>
      </w:r>
      <w:r>
        <w:rPr>
          <w:rFonts w:hint="eastAsia" w:ascii="仿宋" w:hAnsi="仿宋" w:eastAsia="仿宋" w:cs="仿宋"/>
          <w:color w:val="auto"/>
          <w:sz w:val="24"/>
          <w:szCs w:val="24"/>
          <w:highlight w:val="none"/>
          <w:lang w:bidi="ar"/>
        </w:rPr>
        <w:t xml:space="preserve">医嘱信息：支持对门急诊医嘱信息，住院医嘱信息等进行数据整合 </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7.</w:t>
      </w:r>
      <w:r>
        <w:rPr>
          <w:rFonts w:hint="eastAsia" w:ascii="仿宋" w:hAnsi="仿宋" w:eastAsia="仿宋" w:cs="仿宋"/>
          <w:color w:val="auto"/>
          <w:sz w:val="24"/>
          <w:szCs w:val="24"/>
          <w:highlight w:val="none"/>
          <w:lang w:bidi="ar"/>
        </w:rPr>
        <w:t>手术信息：支持对住院手术业务量分析，日间手术分析，门诊手术业务量分析，等进行数据整合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8.</w:t>
      </w:r>
      <w:r>
        <w:rPr>
          <w:rFonts w:hint="eastAsia" w:ascii="仿宋" w:hAnsi="仿宋" w:eastAsia="仿宋" w:cs="仿宋"/>
          <w:color w:val="auto"/>
          <w:sz w:val="24"/>
          <w:szCs w:val="24"/>
          <w:highlight w:val="none"/>
          <w:lang w:bidi="ar"/>
        </w:rPr>
        <w:t>检验检查信息：支持对危急值质控信息，检验信息，检验明细信息，检查信息，检查明细信息等进行数据整合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9.</w:t>
      </w:r>
      <w:r>
        <w:rPr>
          <w:rFonts w:hint="eastAsia" w:ascii="仿宋" w:hAnsi="仿宋" w:eastAsia="仿宋" w:cs="仿宋"/>
          <w:color w:val="auto"/>
          <w:sz w:val="24"/>
          <w:szCs w:val="24"/>
          <w:highlight w:val="none"/>
          <w:lang w:bidi="ar"/>
        </w:rPr>
        <w:t>人力资源信息：支持对人力资源分析,医生出勤分析等进行数据整合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10.</w:t>
      </w:r>
      <w:r>
        <w:rPr>
          <w:rFonts w:hint="eastAsia" w:ascii="仿宋" w:hAnsi="仿宋" w:eastAsia="仿宋" w:cs="仿宋"/>
          <w:color w:val="auto"/>
          <w:sz w:val="24"/>
          <w:szCs w:val="24"/>
          <w:highlight w:val="none"/>
          <w:lang w:bidi="ar"/>
        </w:rPr>
        <w:t>医院感染信息：支持对细菌信息，感染信息等进行数据整合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11.</w:t>
      </w:r>
      <w:r>
        <w:rPr>
          <w:rFonts w:hint="eastAsia" w:ascii="仿宋" w:hAnsi="仿宋" w:eastAsia="仿宋" w:cs="仿宋"/>
          <w:color w:val="auto"/>
          <w:sz w:val="24"/>
          <w:szCs w:val="24"/>
          <w:highlight w:val="none"/>
          <w:lang w:bidi="ar"/>
        </w:rPr>
        <w:t>不良事件信息：对门诊不良事件数据，药品不良事件数据，院感不良事件数据等进行数据整合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12.</w:t>
      </w:r>
      <w:r>
        <w:rPr>
          <w:rFonts w:hint="eastAsia" w:ascii="仿宋" w:hAnsi="仿宋" w:eastAsia="仿宋" w:cs="仿宋"/>
          <w:color w:val="auto"/>
          <w:sz w:val="24"/>
          <w:szCs w:val="24"/>
          <w:highlight w:val="none"/>
          <w:lang w:bidi="ar"/>
        </w:rPr>
        <w:t>处方信息：支持对门急诊处方数量，门急诊处方金额等进行数据整合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13.</w:t>
      </w:r>
      <w:r>
        <w:rPr>
          <w:rFonts w:hint="eastAsia" w:ascii="仿宋" w:hAnsi="仿宋" w:eastAsia="仿宋" w:cs="仿宋"/>
          <w:color w:val="auto"/>
          <w:sz w:val="24"/>
          <w:szCs w:val="24"/>
          <w:highlight w:val="none"/>
          <w:lang w:bidi="ar"/>
        </w:rPr>
        <w:t>药品信息：门诊药品费用分析，药库进销存，药房进销存，住院抗菌药物使用情况，住院药房发药工作量，住院药品费用分析，门诊药房发药工作量等进行数据整合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14.</w:t>
      </w:r>
      <w:r>
        <w:rPr>
          <w:rFonts w:hint="eastAsia" w:ascii="仿宋" w:hAnsi="仿宋" w:eastAsia="仿宋" w:cs="仿宋"/>
          <w:color w:val="auto"/>
          <w:sz w:val="24"/>
          <w:szCs w:val="24"/>
          <w:highlight w:val="none"/>
          <w:lang w:bidi="ar"/>
        </w:rPr>
        <w:t>单病种：支持对单病种病例等进行数据整合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15.</w:t>
      </w:r>
      <w:r>
        <w:rPr>
          <w:rFonts w:hint="eastAsia" w:ascii="仿宋" w:hAnsi="仿宋" w:eastAsia="仿宋" w:cs="仿宋"/>
          <w:color w:val="auto"/>
          <w:sz w:val="24"/>
          <w:szCs w:val="24"/>
          <w:highlight w:val="none"/>
          <w:lang w:bidi="ar"/>
        </w:rPr>
        <w:t>临床用血：支持对血库输血情况等进行数据整合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16.</w:t>
      </w:r>
      <w:r>
        <w:rPr>
          <w:rFonts w:hint="eastAsia" w:ascii="仿宋" w:hAnsi="仿宋" w:eastAsia="仿宋" w:cs="仿宋"/>
          <w:color w:val="auto"/>
          <w:sz w:val="24"/>
          <w:szCs w:val="24"/>
          <w:highlight w:val="none"/>
          <w:lang w:bidi="ar"/>
        </w:rPr>
        <w:t>VTE：支持对静脉血栓栓塞相关病例数据等进行数据整合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17.</w:t>
      </w:r>
      <w:r>
        <w:rPr>
          <w:rFonts w:hint="eastAsia" w:ascii="仿宋" w:hAnsi="仿宋" w:eastAsia="仿宋" w:cs="仿宋"/>
          <w:color w:val="auto"/>
          <w:sz w:val="24"/>
          <w:szCs w:val="24"/>
          <w:highlight w:val="none"/>
          <w:lang w:bidi="ar"/>
        </w:rPr>
        <w:t>主数据：支持对科室信息，病区信息，医护信息，医院信息，手术信息等进行数据整合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18.</w:t>
      </w:r>
      <w:r>
        <w:rPr>
          <w:rFonts w:hint="eastAsia" w:ascii="仿宋" w:hAnsi="仿宋" w:eastAsia="仿宋" w:cs="仿宋"/>
          <w:color w:val="auto"/>
          <w:sz w:val="24"/>
          <w:szCs w:val="24"/>
          <w:highlight w:val="none"/>
          <w:lang w:bidi="ar"/>
        </w:rPr>
        <w:t>病历：支持对病历质量控制，病历质量评分，会诊信息等进行数据整合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19.</w:t>
      </w:r>
      <w:r>
        <w:rPr>
          <w:rFonts w:hint="eastAsia" w:ascii="仿宋" w:hAnsi="仿宋" w:eastAsia="仿宋" w:cs="仿宋"/>
          <w:color w:val="auto"/>
          <w:sz w:val="24"/>
          <w:szCs w:val="24"/>
          <w:highlight w:val="none"/>
          <w:lang w:bidi="ar"/>
        </w:rPr>
        <w:t>患者安全：支持对患者安全压疮分析，患者安全手术并发症，患者安全跌倒坠床，患者安全麻醉分析，患者安全重点疾病等进行数据整合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20.</w:t>
      </w:r>
      <w:r>
        <w:rPr>
          <w:rFonts w:hint="eastAsia" w:ascii="仿宋" w:hAnsi="仿宋" w:eastAsia="仿宋" w:cs="仿宋"/>
          <w:color w:val="auto"/>
          <w:sz w:val="24"/>
          <w:szCs w:val="24"/>
          <w:highlight w:val="none"/>
          <w:lang w:bidi="ar"/>
        </w:rPr>
        <w:t>处方审核：支持对审方-处方监测，审方-医嘱监测等进行数据整合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21.</w:t>
      </w:r>
      <w:r>
        <w:rPr>
          <w:rFonts w:hint="eastAsia" w:ascii="仿宋" w:hAnsi="仿宋" w:eastAsia="仿宋" w:cs="仿宋"/>
          <w:color w:val="auto"/>
          <w:sz w:val="24"/>
          <w:szCs w:val="24"/>
          <w:highlight w:val="none"/>
          <w:lang w:bidi="ar"/>
        </w:rPr>
        <w:t>卫统上报：支持对卫统上报门诊业务量，卫统上报住院业务量，卫统上报门诊费用，卫统上报住院费用，卫统上报合计统计等进行数据整合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bidi="ar"/>
        </w:rPr>
      </w:pPr>
      <w:r>
        <w:rPr>
          <w:rFonts w:hint="eastAsia" w:ascii="仿宋" w:hAnsi="仿宋" w:eastAsia="仿宋" w:cs="仿宋"/>
          <w:bCs/>
          <w:color w:val="auto"/>
          <w:kern w:val="2"/>
          <w:sz w:val="24"/>
          <w:szCs w:val="24"/>
          <w:highlight w:val="none"/>
          <w:lang w:val="en-US" w:eastAsia="zh-CN" w:bidi="ar"/>
        </w:rPr>
        <w:t>22.</w:t>
      </w:r>
      <w:r>
        <w:rPr>
          <w:rFonts w:hint="eastAsia" w:ascii="仿宋" w:hAnsi="仿宋" w:eastAsia="仿宋" w:cs="仿宋"/>
          <w:color w:val="auto"/>
          <w:sz w:val="24"/>
          <w:szCs w:val="24"/>
          <w:highlight w:val="none"/>
          <w:lang w:bidi="ar"/>
        </w:rPr>
        <w:t>物资统计：支持对物资报损信息，物资出库信息，物资请领信息，物资入库信息，物资委托代销信息，物资消耗信息，物资移库信息，物资暂估信息等进行数据整合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23.</w:t>
      </w:r>
      <w:r>
        <w:rPr>
          <w:rFonts w:hint="eastAsia" w:ascii="仿宋" w:hAnsi="仿宋" w:eastAsia="仿宋" w:cs="仿宋"/>
          <w:color w:val="auto"/>
          <w:sz w:val="24"/>
          <w:szCs w:val="24"/>
          <w:highlight w:val="none"/>
          <w:lang w:bidi="ar"/>
        </w:rPr>
        <w:t>医保信息：支持对医保门诊费用，医保住院费用，医保总控等进行数据整合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24.</w:t>
      </w:r>
      <w:r>
        <w:rPr>
          <w:rFonts w:hint="eastAsia" w:ascii="仿宋" w:hAnsi="仿宋" w:eastAsia="仿宋" w:cs="仿宋"/>
          <w:color w:val="auto"/>
          <w:sz w:val="24"/>
          <w:szCs w:val="24"/>
          <w:highlight w:val="none"/>
          <w:lang w:val="en-US" w:eastAsia="zh-CN" w:bidi="ar"/>
        </w:rPr>
        <w:t>护理信息：支持护理管理、护理质量等信息的数据整合；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25.</w:t>
      </w:r>
      <w:r>
        <w:rPr>
          <w:rFonts w:hint="eastAsia" w:ascii="仿宋" w:hAnsi="仿宋" w:eastAsia="仿宋" w:cs="仿宋"/>
          <w:color w:val="auto"/>
          <w:sz w:val="24"/>
          <w:szCs w:val="24"/>
          <w:highlight w:val="none"/>
          <w:lang w:val="en-US" w:eastAsia="zh-CN" w:bidi="ar"/>
        </w:rPr>
        <w:t>医务管理：支持医务管理、质量管理等信息的数据整合；</w:t>
      </w:r>
    </w:p>
    <w:p>
      <w:pPr>
        <w:pStyle w:val="153"/>
        <w:numPr>
          <w:ilvl w:val="0"/>
          <w:numId w:val="0"/>
        </w:numPr>
        <w:spacing w:line="360" w:lineRule="auto"/>
        <w:ind w:left="0" w:leftChars="0" w:right="0" w:rightChars="0" w:firstLine="480" w:firstLineChars="0"/>
        <w:rPr>
          <w:rFonts w:hint="eastAsia" w:ascii="仿宋" w:hAnsi="仿宋" w:eastAsia="仿宋" w:cs="仿宋"/>
          <w:color w:val="auto"/>
          <w:highlight w:val="none"/>
        </w:rPr>
      </w:pPr>
      <w:r>
        <w:rPr>
          <w:rFonts w:hint="eastAsia" w:ascii="仿宋" w:hAnsi="仿宋" w:eastAsia="仿宋" w:cs="仿宋"/>
          <w:bCs/>
          <w:color w:val="auto"/>
          <w:kern w:val="2"/>
          <w:sz w:val="28"/>
          <w:szCs w:val="22"/>
          <w:highlight w:val="none"/>
          <w:lang w:val="en-US" w:eastAsia="zh-CN" w:bidi="ar-SA"/>
        </w:rPr>
        <w:t>26.</w:t>
      </w:r>
      <w:r>
        <w:rPr>
          <w:rFonts w:hint="eastAsia" w:ascii="仿宋" w:hAnsi="仿宋" w:eastAsia="仿宋" w:cs="仿宋"/>
          <w:color w:val="auto"/>
          <w:sz w:val="24"/>
          <w:szCs w:val="24"/>
          <w:highlight w:val="none"/>
          <w:lang w:val="en-US" w:eastAsia="zh-CN" w:bidi="ar"/>
        </w:rPr>
        <w:t>临床药学：支持临床药学等信息的数据整合。</w:t>
      </w:r>
    </w:p>
    <w:p>
      <w:pPr>
        <w:pStyle w:val="6"/>
        <w:numPr>
          <w:ilvl w:val="0"/>
          <w:numId w:val="0"/>
        </w:numPr>
        <w:tabs>
          <w:tab w:val="left" w:pos="720"/>
          <w:tab w:val="left" w:pos="1006"/>
        </w:tabs>
        <w:ind w:left="864" w:leftChars="0" w:hanging="864"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hi-IN"/>
        </w:rPr>
        <w:t>3.3.2.4</w:t>
      </w:r>
      <w:r>
        <w:rPr>
          <w:rFonts w:hint="eastAsia" w:ascii="仿宋" w:hAnsi="仿宋" w:eastAsia="仿宋" w:cs="仿宋"/>
          <w:color w:val="auto"/>
          <w:sz w:val="24"/>
          <w:szCs w:val="24"/>
          <w:highlight w:val="none"/>
        </w:rPr>
        <w:t>科研数据中心（RDR）</w:t>
      </w:r>
    </w:p>
    <w:p>
      <w:pPr>
        <w:pStyle w:val="149"/>
        <w:widowControl/>
        <w:autoSpaceDE w:val="0"/>
        <w:spacing w:line="360" w:lineRule="auto"/>
        <w:ind w:left="0" w:right="0" w:firstLine="480"/>
        <w:rPr>
          <w:rFonts w:hint="eastAsia" w:ascii="仿宋" w:hAnsi="仿宋" w:eastAsia="仿宋" w:cs="仿宋"/>
          <w:b/>
          <w:bCs/>
          <w:color w:val="auto"/>
          <w:sz w:val="18"/>
          <w:szCs w:val="18"/>
          <w:highlight w:val="none"/>
        </w:rPr>
      </w:pPr>
      <w:r>
        <w:rPr>
          <w:rFonts w:hint="eastAsia" w:ascii="仿宋" w:hAnsi="仿宋" w:eastAsia="仿宋" w:cs="仿宋"/>
          <w:b/>
          <w:bCs/>
          <w:color w:val="auto"/>
          <w:sz w:val="24"/>
          <w:szCs w:val="24"/>
          <w:highlight w:val="none"/>
        </w:rPr>
        <w:t>围绕临床科研需求建立科研数据中心，在科研数据处理、科研随访信息处理、科研样本管理、科研项目管理等方面，结合相关模型，对科研数据进行智能化处理。</w:t>
      </w:r>
    </w:p>
    <w:tbl>
      <w:tblPr>
        <w:tblStyle w:val="38"/>
        <w:tblW w:w="0" w:type="auto"/>
        <w:tblInd w:w="0" w:type="dxa"/>
        <w:tblLayout w:type="fixed"/>
        <w:tblCellMar>
          <w:top w:w="0" w:type="dxa"/>
          <w:left w:w="108" w:type="dxa"/>
          <w:bottom w:w="0" w:type="dxa"/>
          <w:right w:w="108" w:type="dxa"/>
        </w:tblCellMar>
      </w:tblPr>
      <w:tblGrid>
        <w:gridCol w:w="2151"/>
        <w:gridCol w:w="6708"/>
      </w:tblGrid>
      <w:tr>
        <w:tblPrEx>
          <w:tblCellMar>
            <w:top w:w="0" w:type="dxa"/>
            <w:left w:w="108" w:type="dxa"/>
            <w:bottom w:w="0" w:type="dxa"/>
            <w:right w:w="108" w:type="dxa"/>
          </w:tblCellMar>
        </w:tblPrEx>
        <w:trPr>
          <w:trHeight w:val="303" w:hRule="atLeast"/>
        </w:trPr>
        <w:tc>
          <w:tcPr>
            <w:tcW w:w="2151"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功能名称</w:t>
            </w:r>
          </w:p>
        </w:tc>
        <w:tc>
          <w:tcPr>
            <w:tcW w:w="6708"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需求说明与参数要求</w:t>
            </w:r>
          </w:p>
        </w:tc>
      </w:tr>
      <w:tr>
        <w:tblPrEx>
          <w:tblCellMar>
            <w:top w:w="0" w:type="dxa"/>
            <w:left w:w="108" w:type="dxa"/>
            <w:bottom w:w="0" w:type="dxa"/>
            <w:right w:w="108" w:type="dxa"/>
          </w:tblCellMar>
        </w:tblPrEx>
        <w:trPr>
          <w:trHeight w:val="1183"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数据建模</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能够使用通用数据模型（CDM），将不同来源的医疗数据构建统一的标准形式，以达到不同类型、来源、编码和信息之间的关系进行详细的定义。</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CDM使用相同的分析程序在各自的机构内进行分析，而最终各自的研究结果可以进行标准化整合，得出多中心的、更大范围的、多数据源的观察性研究结论。</w:t>
            </w:r>
          </w:p>
        </w:tc>
      </w:tr>
      <w:tr>
        <w:tblPrEx>
          <w:tblCellMar>
            <w:top w:w="0" w:type="dxa"/>
            <w:left w:w="108" w:type="dxa"/>
            <w:bottom w:w="0" w:type="dxa"/>
            <w:right w:w="108" w:type="dxa"/>
          </w:tblCellMar>
        </w:tblPrEx>
        <w:trPr>
          <w:trHeight w:val="890"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数据采集</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具备将平台数据通过映射的方式和科研数据中心形成对应关系功能，辅助科研数据中心数据汇聚。 </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具备通过关系型数据库进行对照功能，可根据数据需求灵活修正对照关系。 </w:t>
            </w:r>
          </w:p>
        </w:tc>
      </w:tr>
      <w:tr>
        <w:tblPrEx>
          <w:tblCellMar>
            <w:top w:w="0" w:type="dxa"/>
            <w:left w:w="108" w:type="dxa"/>
            <w:bottom w:w="0" w:type="dxa"/>
            <w:right w:w="108" w:type="dxa"/>
          </w:tblCellMar>
        </w:tblPrEx>
        <w:trPr>
          <w:trHeight w:val="890"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数据采集器</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具备通过周期性规则的编排设置控制数据采集任务的执行。</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具备通过并发的方式进行任务的采集。 </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具备参照已定义的数据采集规范标准，完成批量数据采集工作。</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具备通过批量数据接收服务在中心端完成数据缓存。 </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具备数据预处理：将数据按批存储在采集工具里并逐行进行数据清洗。 </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具备数据分发服务：将预处理完成的增量数据导入科研数据中心。</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具备全量数据采集和增量数据采集相结合的方式进行任务调度。</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具备全模型数据采集和指定模型数据采集的方式进行精细化调度。</w:t>
            </w:r>
          </w:p>
        </w:tc>
      </w:tr>
      <w:tr>
        <w:tblPrEx>
          <w:tblCellMar>
            <w:top w:w="0" w:type="dxa"/>
            <w:left w:w="108" w:type="dxa"/>
            <w:bottom w:w="0" w:type="dxa"/>
            <w:right w:w="108" w:type="dxa"/>
          </w:tblCellMar>
        </w:tblPrEx>
        <w:trPr>
          <w:trHeight w:val="890"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6"/>
              <w:numPr>
                <w:ilvl w:val="0"/>
                <w:numId w:val="0"/>
              </w:numPr>
              <w:spacing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数据采集监控</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具备数据作业管理包含了作业编辑、管理、提交以及任务调度功能。</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具备在数据传输过程中监控网络情况，并在网络波动的情况下保障数据完整性。 </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具备在数据传输中实现字段级、表级多级监控功能。</w:t>
            </w:r>
          </w:p>
        </w:tc>
      </w:tr>
      <w:tr>
        <w:tblPrEx>
          <w:tblCellMar>
            <w:top w:w="0" w:type="dxa"/>
            <w:left w:w="108" w:type="dxa"/>
            <w:bottom w:w="0" w:type="dxa"/>
            <w:right w:w="108" w:type="dxa"/>
          </w:tblCellMar>
        </w:tblPrEx>
        <w:trPr>
          <w:trHeight w:val="3235"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6"/>
              <w:numPr>
                <w:ilvl w:val="0"/>
                <w:numId w:val="0"/>
              </w:numPr>
              <w:spacing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数据集成</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具备以临床科研通用数据模型管理、存储科研样本数据。</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支持结构化、非结构化数据的混合处理，并满足快速数据存取和数据并发处理要求。</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支持以 ETL 方式实现数据集成，转换为标准数据格式后进行汇总与存储，实现非结构化向结构化数据转换。</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具备使用通用数据模型的指标目录维护所有对应于临床数据中心的医疗事件模型的字段。支持对通用数据模型进行扩充。</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具备以通用数据模型为基础对临床科研模型进行全局、专科、队列模型分层。</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具备对通用数据模型等多种数据模型的管理。</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具备对不同权限用户进行权限配置，不同科室的用户可以查看特定专病库的数据。</w:t>
            </w:r>
          </w:p>
        </w:tc>
      </w:tr>
      <w:tr>
        <w:tblPrEx>
          <w:tblCellMar>
            <w:top w:w="0" w:type="dxa"/>
            <w:left w:w="108" w:type="dxa"/>
            <w:bottom w:w="0" w:type="dxa"/>
            <w:right w:w="108" w:type="dxa"/>
          </w:tblCellMar>
        </w:tblPrEx>
        <w:trPr>
          <w:trHeight w:val="1183"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6"/>
              <w:numPr>
                <w:ilvl w:val="0"/>
                <w:numId w:val="0"/>
              </w:numPr>
              <w:spacing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数据存储</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现回顾性和前瞻性数据的统一管理。科研数据中心的数据存储方式灵活多样，可以建设全量数据库，满足全院各个系统工作者对科研的需求；也可以独立建设面向不同专科、不同专病以及不同内容和方向的主题库，满足以最小的建设成本实现专科和专病的临床研究及学科建设和发展。</w:t>
            </w:r>
          </w:p>
        </w:tc>
      </w:tr>
      <w:tr>
        <w:tblPrEx>
          <w:tblCellMar>
            <w:top w:w="0" w:type="dxa"/>
            <w:left w:w="108" w:type="dxa"/>
            <w:bottom w:w="0" w:type="dxa"/>
            <w:right w:w="108" w:type="dxa"/>
          </w:tblCellMar>
        </w:tblPrEx>
        <w:trPr>
          <w:trHeight w:val="1476"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6"/>
              <w:numPr>
                <w:ilvl w:val="0"/>
                <w:numId w:val="0"/>
              </w:numPr>
              <w:spacing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科研中心</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具备提供一个全局视角，用于观察各专病库建设情况。</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具备通过切换左上方专病库下拉菜单，从多个角度给予使用者明晰的专病库现况视图。</w:t>
            </w:r>
          </w:p>
          <w:p>
            <w:pPr>
              <w:pStyle w:val="149"/>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具备观察各专病库的样本数据量、指标数量、指标业务来源分布、专病库数量变化趋势等。</w:t>
            </w:r>
          </w:p>
        </w:tc>
      </w:tr>
      <w:tr>
        <w:tblPrEx>
          <w:tblCellMar>
            <w:top w:w="0" w:type="dxa"/>
            <w:left w:w="108" w:type="dxa"/>
            <w:bottom w:w="0" w:type="dxa"/>
            <w:right w:w="108" w:type="dxa"/>
          </w:tblCellMar>
        </w:tblPrEx>
        <w:trPr>
          <w:trHeight w:val="2649"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6"/>
              <w:numPr>
                <w:ilvl w:val="0"/>
                <w:numId w:val="0"/>
              </w:numPr>
              <w:spacing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指标管理</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具备对全量指标集进行补充和调整、修改、删除等设置。</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具备提供指标目录，可以快速实现对所有应于临床数据中心的指标字段的维护。</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具备对多种数据项的多样化设置及管理，丰富科研指标体系和指标维度。</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具备将业务指标按照研究标准转化为研究指标。</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具备科研数据值域和临床数据值域的代码映射和转化功能。</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具备对专科指标集的补充和调整、修改、删除等设置。</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具备多病种专科指标集分类管理，至少包括技术指标和业务指标。</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具备根据专病需求和研究方向，按通用模型分类选取不同的指标，形成专科指标集。</w:t>
            </w:r>
          </w:p>
        </w:tc>
      </w:tr>
      <w:tr>
        <w:tblPrEx>
          <w:tblCellMar>
            <w:top w:w="0" w:type="dxa"/>
            <w:left w:w="108" w:type="dxa"/>
            <w:bottom w:w="0" w:type="dxa"/>
            <w:right w:w="108" w:type="dxa"/>
          </w:tblCellMar>
        </w:tblPrEx>
        <w:trPr>
          <w:trHeight w:val="596"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6"/>
              <w:numPr>
                <w:ilvl w:val="0"/>
                <w:numId w:val="0"/>
              </w:numPr>
              <w:spacing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权限安全管理</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支持在受控的前提下开放数据接口，以便未来为不同的研究课题、项目和其他数据分析提供数据，设置用户权限，角色权限以及数据共享安全管理。</w:t>
            </w:r>
          </w:p>
        </w:tc>
      </w:tr>
      <w:tr>
        <w:tblPrEx>
          <w:tblCellMar>
            <w:top w:w="0" w:type="dxa"/>
            <w:left w:w="108" w:type="dxa"/>
            <w:bottom w:w="0" w:type="dxa"/>
            <w:right w:w="108" w:type="dxa"/>
          </w:tblCellMar>
        </w:tblPrEx>
        <w:trPr>
          <w:trHeight w:val="1183"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6"/>
              <w:numPr>
                <w:ilvl w:val="0"/>
                <w:numId w:val="0"/>
              </w:numPr>
              <w:spacing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数据治理</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够将临床数据中影响科研研究过程的术语和病历文书进行归一化、后结构化处理，将诸如检验、用药等在临床数据记录过程中产生的相同语义不同表述的情况进行一致化处理，以及通过自然语义处理技术把病例中的大段文本按待研究的指标进行结构化提取。</w:t>
            </w:r>
          </w:p>
        </w:tc>
      </w:tr>
      <w:tr>
        <w:tblPrEx>
          <w:tblCellMar>
            <w:top w:w="0" w:type="dxa"/>
            <w:left w:w="108" w:type="dxa"/>
            <w:bottom w:w="0" w:type="dxa"/>
            <w:right w:w="108" w:type="dxa"/>
          </w:tblCellMar>
        </w:tblPrEx>
        <w:trPr>
          <w:trHeight w:val="1485" w:hRule="atLeast"/>
        </w:trPr>
        <w:tc>
          <w:tcPr>
            <w:tcW w:w="2151" w:type="dxa"/>
            <w:tcBorders>
              <w:top w:val="single" w:color="000000" w:sz="4" w:space="0"/>
              <w:left w:val="single" w:color="000000" w:sz="4" w:space="0"/>
              <w:bottom w:val="single" w:color="000000" w:sz="4" w:space="0"/>
              <w:right w:val="single" w:color="000000" w:sz="4" w:space="0"/>
            </w:tcBorders>
            <w:noWrap w:val="0"/>
            <w:vAlign w:val="center"/>
          </w:tcPr>
          <w:p>
            <w:pPr>
              <w:pStyle w:val="6"/>
              <w:numPr>
                <w:ilvl w:val="0"/>
                <w:numId w:val="0"/>
              </w:numPr>
              <w:spacing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数据脱敏</w:t>
            </w:r>
          </w:p>
        </w:tc>
        <w:tc>
          <w:tcPr>
            <w:tcW w:w="6708" w:type="dxa"/>
            <w:tcBorders>
              <w:top w:val="single" w:color="000000" w:sz="4" w:space="0"/>
              <w:left w:val="single" w:color="000000" w:sz="4" w:space="0"/>
              <w:bottom w:val="single" w:color="000000" w:sz="4" w:space="0"/>
              <w:right w:val="single" w:color="000000" w:sz="4" w:space="0"/>
            </w:tcBorders>
            <w:noWrap w:val="0"/>
            <w:vAlign w:val="center"/>
          </w:tcPr>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具备后台隐藏患者的个人信息功能，包括患者姓名、身份证号、住址、手机号等敏感数据。</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具备数据库中敏感字段的加密和解密功能以保护健康档案</w:t>
            </w:r>
          </w:p>
          <w:p>
            <w:pPr>
              <w:pStyle w:val="149"/>
              <w:widowControl/>
              <w:autoSpaceDE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具备在需要定位到具体患者时，可以在申请通过后，用患者就诊号或者EMPI号来定位具体患者。</w:t>
            </w:r>
          </w:p>
        </w:tc>
      </w:tr>
    </w:tbl>
    <w:p>
      <w:pPr>
        <w:pStyle w:val="148"/>
        <w:ind w:left="0" w:right="0" w:firstLine="0"/>
        <w:rPr>
          <w:rFonts w:hint="eastAsia" w:ascii="仿宋" w:hAnsi="仿宋" w:eastAsia="仿宋" w:cs="仿宋"/>
          <w:color w:val="auto"/>
          <w:highlight w:val="none"/>
        </w:rPr>
      </w:pPr>
    </w:p>
    <w:p>
      <w:pPr>
        <w:pStyle w:val="4"/>
        <w:numPr>
          <w:ilvl w:val="0"/>
          <w:numId w:val="0"/>
        </w:numPr>
        <w:tabs>
          <w:tab w:val="left" w:pos="576"/>
          <w:tab w:val="left" w:pos="720"/>
        </w:tabs>
        <w:ind w:left="720" w:leftChars="0" w:hanging="720" w:firstLineChars="0"/>
        <w:rPr>
          <w:rFonts w:hint="eastAsia" w:ascii="仿宋" w:hAnsi="仿宋" w:eastAsia="仿宋" w:cs="仿宋"/>
          <w:b/>
          <w:bCs/>
          <w:color w:val="auto"/>
          <w:sz w:val="36"/>
          <w:szCs w:val="36"/>
          <w:highlight w:val="none"/>
        </w:rPr>
      </w:pPr>
      <w:bookmarkStart w:id="363" w:name="_Toc12222"/>
      <w:bookmarkStart w:id="364" w:name="_Toc19662"/>
      <w:r>
        <w:rPr>
          <w:rFonts w:hint="eastAsia" w:ascii="仿宋" w:hAnsi="仿宋" w:eastAsia="仿宋" w:cs="仿宋"/>
          <w:b/>
          <w:bCs/>
          <w:color w:val="auto"/>
          <w:sz w:val="36"/>
          <w:szCs w:val="36"/>
          <w:highlight w:val="none"/>
          <w:lang w:val="en-US" w:eastAsia="zh-CN" w:bidi="hi-IN"/>
        </w:rPr>
        <w:t>3.3.3</w:t>
      </w:r>
      <w:r>
        <w:rPr>
          <w:rFonts w:hint="eastAsia" w:ascii="仿宋" w:hAnsi="仿宋" w:eastAsia="仿宋" w:cs="仿宋"/>
          <w:b/>
          <w:bCs/>
          <w:color w:val="auto"/>
          <w:sz w:val="36"/>
          <w:szCs w:val="36"/>
          <w:highlight w:val="none"/>
        </w:rPr>
        <w:t>应用平台</w:t>
      </w:r>
      <w:bookmarkEnd w:id="363"/>
      <w:bookmarkEnd w:id="364"/>
    </w:p>
    <w:p>
      <w:pPr>
        <w:pStyle w:val="6"/>
        <w:numPr>
          <w:ilvl w:val="0"/>
          <w:numId w:val="0"/>
        </w:numPr>
        <w:tabs>
          <w:tab w:val="left" w:pos="720"/>
          <w:tab w:val="left" w:pos="1006"/>
        </w:tabs>
        <w:ind w:left="864" w:leftChars="0" w:hanging="864"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hi-IN"/>
        </w:rPr>
        <w:t>3.3.3.1</w:t>
      </w:r>
      <w:r>
        <w:rPr>
          <w:rFonts w:hint="eastAsia" w:ascii="仿宋" w:hAnsi="仿宋" w:eastAsia="仿宋" w:cs="仿宋"/>
          <w:b/>
          <w:bCs/>
          <w:color w:val="auto"/>
          <w:sz w:val="24"/>
          <w:szCs w:val="24"/>
          <w:highlight w:val="none"/>
        </w:rPr>
        <w:t>应用集成平台</w:t>
      </w:r>
    </w:p>
    <w:tbl>
      <w:tblPr>
        <w:tblStyle w:val="38"/>
        <w:tblW w:w="0" w:type="auto"/>
        <w:jc w:val="center"/>
        <w:tblLayout w:type="fixed"/>
        <w:tblCellMar>
          <w:top w:w="0" w:type="dxa"/>
          <w:left w:w="108" w:type="dxa"/>
          <w:bottom w:w="0" w:type="dxa"/>
          <w:right w:w="108" w:type="dxa"/>
        </w:tblCellMar>
      </w:tblPr>
      <w:tblGrid>
        <w:gridCol w:w="2094"/>
        <w:gridCol w:w="6529"/>
      </w:tblGrid>
      <w:tr>
        <w:tblPrEx>
          <w:tblCellMar>
            <w:top w:w="0" w:type="dxa"/>
            <w:left w:w="108" w:type="dxa"/>
            <w:bottom w:w="0" w:type="dxa"/>
            <w:right w:w="108" w:type="dxa"/>
          </w:tblCellMar>
        </w:tblPrEx>
        <w:trPr>
          <w:trHeight w:val="69" w:hRule="atLeast"/>
          <w:jc w:val="center"/>
        </w:trPr>
        <w:tc>
          <w:tcPr>
            <w:tcW w:w="2094"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功能名称</w:t>
            </w:r>
          </w:p>
        </w:tc>
        <w:tc>
          <w:tcPr>
            <w:tcW w:w="6529"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需求说明与参数要求</w:t>
            </w:r>
          </w:p>
        </w:tc>
      </w:tr>
      <w:tr>
        <w:tblPrEx>
          <w:tblCellMar>
            <w:top w:w="0" w:type="dxa"/>
            <w:left w:w="108" w:type="dxa"/>
            <w:bottom w:w="0" w:type="dxa"/>
            <w:right w:w="108" w:type="dxa"/>
          </w:tblCellMar>
        </w:tblPrEx>
        <w:trPr>
          <w:trHeight w:val="428" w:hRule="atLeast"/>
          <w:jc w:val="center"/>
        </w:trPr>
        <w:tc>
          <w:tcPr>
            <w:tcW w:w="20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统一用户管理</w:t>
            </w: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通过统一用户管理的功能，可以确保医院人员信息的统一性，避免出现一个用户多个系统有多套账号。避免用户信息冗余、用户信息对应不正确等问题。</w:t>
            </w:r>
          </w:p>
        </w:tc>
      </w:tr>
      <w:tr>
        <w:tblPrEx>
          <w:tblCellMar>
            <w:top w:w="0" w:type="dxa"/>
            <w:left w:w="108" w:type="dxa"/>
            <w:bottom w:w="0" w:type="dxa"/>
            <w:right w:w="108" w:type="dxa"/>
          </w:tblCellMar>
        </w:tblPrEx>
        <w:trPr>
          <w:trHeight w:val="428"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jc w:val="center"/>
              <w:rPr>
                <w:rFonts w:hint="eastAsia" w:ascii="仿宋" w:hAnsi="仿宋" w:eastAsia="仿宋" w:cs="仿宋"/>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能够管理门户平台的所有角色，可进行角色的新增、编辑、删除、角色权限配置，还可查看拥有该角色的用户列表</w:t>
            </w:r>
          </w:p>
        </w:tc>
      </w:tr>
      <w:tr>
        <w:tblPrEx>
          <w:tblCellMar>
            <w:top w:w="0" w:type="dxa"/>
            <w:left w:w="108" w:type="dxa"/>
            <w:bottom w:w="0" w:type="dxa"/>
            <w:right w:w="108" w:type="dxa"/>
          </w:tblCellMar>
        </w:tblPrEx>
        <w:trPr>
          <w:trHeight w:val="428"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jc w:val="center"/>
              <w:rPr>
                <w:rFonts w:hint="eastAsia" w:ascii="仿宋" w:hAnsi="仿宋" w:eastAsia="仿宋" w:cs="仿宋"/>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能够管理门户平台的所有用户，可进行用户的新增、导入、编辑、启用、停用和初始化密码，从而实现用户信息、用户状态、用户关联角色的实时更新。</w:t>
            </w:r>
          </w:p>
        </w:tc>
      </w:tr>
      <w:tr>
        <w:tblPrEx>
          <w:tblCellMar>
            <w:top w:w="0" w:type="dxa"/>
            <w:left w:w="108" w:type="dxa"/>
            <w:bottom w:w="0" w:type="dxa"/>
            <w:right w:w="108" w:type="dxa"/>
          </w:tblCellMar>
        </w:tblPrEx>
        <w:trPr>
          <w:trHeight w:val="489" w:hRule="atLeast"/>
          <w:jc w:val="center"/>
        </w:trPr>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统一用户认证管理</w:t>
            </w: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支持CA和单点登录等。实现门户一处登录，所有系统登录的功能。</w:t>
            </w:r>
          </w:p>
          <w:p>
            <w:pPr>
              <w:tabs>
                <w:tab w:val="left" w:pos="126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实现用户认证的统一管理。规范统一医院的用户认证，统一放在中心认证服务器进行验证。</w:t>
            </w:r>
          </w:p>
        </w:tc>
      </w:tr>
      <w:tr>
        <w:tblPrEx>
          <w:tblCellMar>
            <w:top w:w="0" w:type="dxa"/>
            <w:left w:w="108" w:type="dxa"/>
            <w:bottom w:w="0" w:type="dxa"/>
            <w:right w:w="108" w:type="dxa"/>
          </w:tblCellMar>
        </w:tblPrEx>
        <w:trPr>
          <w:trHeight w:val="489" w:hRule="atLeast"/>
          <w:jc w:val="center"/>
        </w:trPr>
        <w:tc>
          <w:tcPr>
            <w:tcW w:w="20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统一授权管理</w:t>
            </w: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对于集成门户的内容进行统一的授权。权限控制灵活度高，支持，精确度高，可以定位到某个用户对于某一块集成内容功能菜单级别的控制。</w:t>
            </w:r>
          </w:p>
        </w:tc>
      </w:tr>
      <w:tr>
        <w:tblPrEx>
          <w:tblCellMar>
            <w:top w:w="0" w:type="dxa"/>
            <w:left w:w="108" w:type="dxa"/>
            <w:bottom w:w="0" w:type="dxa"/>
            <w:right w:w="108" w:type="dxa"/>
          </w:tblCellMar>
        </w:tblPrEx>
        <w:trPr>
          <w:trHeight w:val="489"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jc w:val="center"/>
              <w:rPr>
                <w:rFonts w:hint="eastAsia" w:ascii="仿宋" w:hAnsi="仿宋" w:eastAsia="仿宋" w:cs="仿宋"/>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能够查看各应用对应的角色及用户，可批量给应用分配角色，更新用户权限。</w:t>
            </w:r>
          </w:p>
        </w:tc>
      </w:tr>
      <w:tr>
        <w:tblPrEx>
          <w:tblCellMar>
            <w:top w:w="0" w:type="dxa"/>
            <w:left w:w="108" w:type="dxa"/>
            <w:bottom w:w="0" w:type="dxa"/>
            <w:right w:w="108" w:type="dxa"/>
          </w:tblCellMar>
        </w:tblPrEx>
        <w:trPr>
          <w:trHeight w:val="489"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jc w:val="center"/>
              <w:rPr>
                <w:rFonts w:hint="eastAsia" w:ascii="仿宋" w:hAnsi="仿宋" w:eastAsia="仿宋" w:cs="仿宋"/>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支持在页面中查看某一个用户拥有的所有权限支持数据同步的方式，将维护的用户信息和用户角色关系下发到业务对接系统。</w:t>
            </w:r>
          </w:p>
        </w:tc>
      </w:tr>
      <w:tr>
        <w:tblPrEx>
          <w:tblCellMar>
            <w:top w:w="0" w:type="dxa"/>
            <w:left w:w="108" w:type="dxa"/>
            <w:bottom w:w="0" w:type="dxa"/>
            <w:right w:w="108" w:type="dxa"/>
          </w:tblCellMar>
        </w:tblPrEx>
        <w:trPr>
          <w:trHeight w:val="489" w:hRule="atLeast"/>
          <w:jc w:val="center"/>
        </w:trPr>
        <w:tc>
          <w:tcPr>
            <w:tcW w:w="20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应用门户</w:t>
            </w: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提供统一的基于B/S的Web版医院应用门户平台；</w:t>
            </w:r>
          </w:p>
        </w:tc>
      </w:tr>
      <w:tr>
        <w:tblPrEx>
          <w:tblCellMar>
            <w:top w:w="0" w:type="dxa"/>
            <w:left w:w="108" w:type="dxa"/>
            <w:bottom w:w="0" w:type="dxa"/>
            <w:right w:w="108" w:type="dxa"/>
          </w:tblCellMar>
        </w:tblPrEx>
        <w:trPr>
          <w:trHeight w:val="489"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val="0"/>
              <w:jc w:val="center"/>
              <w:rPr>
                <w:rFonts w:hint="eastAsia" w:ascii="仿宋" w:hAnsi="仿宋" w:eastAsia="仿宋" w:cs="仿宋"/>
                <w:b/>
                <w:bCs/>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提供基于Web的界面集成功能；</w:t>
            </w:r>
          </w:p>
        </w:tc>
      </w:tr>
      <w:tr>
        <w:tblPrEx>
          <w:tblCellMar>
            <w:top w:w="0" w:type="dxa"/>
            <w:left w:w="108" w:type="dxa"/>
            <w:bottom w:w="0" w:type="dxa"/>
            <w:right w:w="108" w:type="dxa"/>
          </w:tblCellMar>
        </w:tblPrEx>
        <w:trPr>
          <w:trHeight w:val="489"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snapToGrid w:val="0"/>
              <w:jc w:val="center"/>
              <w:rPr>
                <w:rFonts w:hint="eastAsia" w:ascii="仿宋" w:hAnsi="仿宋" w:eastAsia="仿宋" w:cs="仿宋"/>
                <w:b/>
                <w:bCs/>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提供消息处理功能。</w:t>
            </w:r>
          </w:p>
        </w:tc>
      </w:tr>
      <w:tr>
        <w:tblPrEx>
          <w:tblCellMar>
            <w:top w:w="0" w:type="dxa"/>
            <w:left w:w="108" w:type="dxa"/>
            <w:bottom w:w="0" w:type="dxa"/>
            <w:right w:w="108" w:type="dxa"/>
          </w:tblCellMar>
        </w:tblPrEx>
        <w:trPr>
          <w:trHeight w:val="489"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snapToGrid w:val="0"/>
              <w:jc w:val="center"/>
              <w:rPr>
                <w:rFonts w:hint="eastAsia" w:ascii="仿宋" w:hAnsi="仿宋" w:eastAsia="仿宋" w:cs="仿宋"/>
                <w:b/>
                <w:bCs/>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支持首页个性化配置。</w:t>
            </w:r>
          </w:p>
        </w:tc>
      </w:tr>
      <w:tr>
        <w:tblPrEx>
          <w:tblCellMar>
            <w:top w:w="0" w:type="dxa"/>
            <w:left w:w="108" w:type="dxa"/>
            <w:bottom w:w="0" w:type="dxa"/>
            <w:right w:w="108" w:type="dxa"/>
          </w:tblCellMar>
        </w:tblPrEx>
        <w:trPr>
          <w:trHeight w:val="489"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snapToGrid w:val="0"/>
              <w:jc w:val="center"/>
              <w:rPr>
                <w:rFonts w:hint="eastAsia" w:ascii="仿宋" w:hAnsi="仿宋" w:eastAsia="仿宋" w:cs="仿宋"/>
                <w:b/>
                <w:bCs/>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支持系统内通知发送，在发送通知时可根据用户或用户组批量发送通知消息。</w:t>
            </w:r>
          </w:p>
        </w:tc>
      </w:tr>
      <w:tr>
        <w:tblPrEx>
          <w:tblCellMar>
            <w:top w:w="0" w:type="dxa"/>
            <w:left w:w="108" w:type="dxa"/>
            <w:bottom w:w="0" w:type="dxa"/>
            <w:right w:w="108" w:type="dxa"/>
          </w:tblCellMar>
        </w:tblPrEx>
        <w:trPr>
          <w:trHeight w:val="489"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snapToGrid w:val="0"/>
              <w:jc w:val="center"/>
              <w:rPr>
                <w:rFonts w:hint="eastAsia" w:ascii="仿宋" w:hAnsi="仿宋" w:eastAsia="仿宋" w:cs="仿宋"/>
                <w:b/>
                <w:bCs/>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支持在门户首页查看通知、日程安排。常用手册文件下载。</w:t>
            </w:r>
          </w:p>
        </w:tc>
      </w:tr>
      <w:tr>
        <w:tblPrEx>
          <w:tblCellMar>
            <w:top w:w="0" w:type="dxa"/>
            <w:left w:w="108" w:type="dxa"/>
            <w:bottom w:w="0" w:type="dxa"/>
            <w:right w:w="108" w:type="dxa"/>
          </w:tblCellMar>
        </w:tblPrEx>
        <w:trPr>
          <w:trHeight w:val="489"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snapToGrid w:val="0"/>
              <w:jc w:val="center"/>
              <w:rPr>
                <w:rFonts w:hint="eastAsia" w:ascii="仿宋" w:hAnsi="仿宋" w:eastAsia="仿宋" w:cs="仿宋"/>
                <w:b/>
                <w:bCs/>
                <w:color w:val="auto"/>
                <w:sz w:val="24"/>
                <w:szCs w:val="24"/>
                <w:highlight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门户系统要轻量级部署，对浏览器高兼容性；</w:t>
            </w:r>
          </w:p>
        </w:tc>
      </w:tr>
      <w:tr>
        <w:tblPrEx>
          <w:tblCellMar>
            <w:top w:w="0" w:type="dxa"/>
            <w:left w:w="108" w:type="dxa"/>
            <w:bottom w:w="0" w:type="dxa"/>
            <w:right w:w="108" w:type="dxa"/>
          </w:tblCellMar>
        </w:tblPrEx>
        <w:trPr>
          <w:trHeight w:val="489" w:hRule="atLeast"/>
          <w:jc w:val="center"/>
        </w:trPr>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1260"/>
              </w:tabs>
              <w:snapToGrid w:val="0"/>
              <w:jc w:val="center"/>
              <w:rPr>
                <w:rFonts w:hint="eastAsia" w:ascii="仿宋" w:hAnsi="仿宋" w:eastAsia="仿宋" w:cs="仿宋"/>
                <w:b/>
                <w:bCs/>
                <w:color w:val="auto"/>
                <w:sz w:val="24"/>
                <w:szCs w:val="24"/>
                <w:highlight w:val="none"/>
                <w:lang w:val="en-US" w:eastAsia="zh-CN"/>
              </w:rPr>
            </w:pP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当统一认证服务器出现故障时，统一门户登陆系统将调用各子系统的登陆功能，保证系统可用。</w:t>
            </w:r>
          </w:p>
        </w:tc>
      </w:tr>
      <w:tr>
        <w:tblPrEx>
          <w:tblCellMar>
            <w:top w:w="0" w:type="dxa"/>
            <w:left w:w="108" w:type="dxa"/>
            <w:bottom w:w="0" w:type="dxa"/>
            <w:right w:w="108" w:type="dxa"/>
          </w:tblCellMar>
        </w:tblPrEx>
        <w:trPr>
          <w:trHeight w:val="489" w:hRule="atLeast"/>
          <w:jc w:val="center"/>
        </w:trPr>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日志管理</w:t>
            </w:r>
          </w:p>
        </w:tc>
        <w:tc>
          <w:tcPr>
            <w:tcW w:w="6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支持查看单点登录接口调用日志信息</w:t>
            </w:r>
          </w:p>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支持查看系统登录记录，查看登录人员的用户名、登录ip等用户信息。</w:t>
            </w:r>
          </w:p>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支持查看系统数据变更内容与对应操作员信息，当操作员修改系统数据时，可对修改内容进行记录。</w:t>
            </w:r>
          </w:p>
        </w:tc>
      </w:tr>
    </w:tbl>
    <w:p>
      <w:pPr>
        <w:pStyle w:val="6"/>
        <w:numPr>
          <w:ilvl w:val="0"/>
          <w:numId w:val="0"/>
        </w:numPr>
        <w:tabs>
          <w:tab w:val="left" w:pos="720"/>
          <w:tab w:val="left" w:pos="1006"/>
        </w:tabs>
        <w:ind w:left="864" w:leftChars="0" w:hanging="864"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bidi="hi-IN"/>
        </w:rPr>
        <w:t>3.3.3.2</w:t>
      </w:r>
      <w:r>
        <w:rPr>
          <w:rFonts w:hint="eastAsia" w:ascii="仿宋" w:hAnsi="仿宋" w:eastAsia="仿宋" w:cs="仿宋"/>
          <w:color w:val="auto"/>
          <w:sz w:val="24"/>
          <w:szCs w:val="24"/>
          <w:highlight w:val="none"/>
        </w:rPr>
        <w:t>临床全息视图</w:t>
      </w:r>
    </w:p>
    <w:p>
      <w:pPr>
        <w:spacing w:line="360" w:lineRule="auto"/>
        <w:ind w:left="0" w:right="0" w:firstLine="4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患者全息视图支持嵌入一体化医护工作站中，以方便用户操作；支持不同权限的医护人员的调阅。</w:t>
      </w:r>
    </w:p>
    <w:p>
      <w:pPr>
        <w:spacing w:line="360" w:lineRule="auto"/>
        <w:ind w:left="0" w:right="0"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患者全息视图内容包括且不限于患者基本信息、就诊信息、诊断信息、医嘱信息、执行记录信息、检查结果、检验结果、病理结果、手术信息、生命体征信息、病历信息等。</w:t>
      </w:r>
    </w:p>
    <w:tbl>
      <w:tblPr>
        <w:tblStyle w:val="38"/>
        <w:tblW w:w="0" w:type="auto"/>
        <w:jc w:val="center"/>
        <w:tblLayout w:type="fixed"/>
        <w:tblCellMar>
          <w:top w:w="0" w:type="dxa"/>
          <w:left w:w="108" w:type="dxa"/>
          <w:bottom w:w="0" w:type="dxa"/>
          <w:right w:w="108" w:type="dxa"/>
        </w:tblCellMar>
      </w:tblPr>
      <w:tblGrid>
        <w:gridCol w:w="2093"/>
        <w:gridCol w:w="6520"/>
      </w:tblGrid>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功能名称</w:t>
            </w:r>
          </w:p>
        </w:tc>
        <w:tc>
          <w:tcPr>
            <w:tcW w:w="6520"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tabs>
                <w:tab w:val="left" w:pos="1260"/>
              </w:tabs>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需求说明与参数要求</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pStyle w:val="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患者列表</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bCs/>
                <w:smallCaps/>
                <w:color w:val="auto"/>
                <w:sz w:val="24"/>
                <w:szCs w:val="24"/>
                <w:highlight w:val="none"/>
              </w:rPr>
              <w:t>可以支持按照各种人口统计学条件（年龄，地域，主治医生，入院病因，性别，入院时间，住院/门诊/急诊等）进行查询、统计、筛选和排序，方便医生进行患者的自主管理。</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pStyle w:val="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患者脱敏</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需支持患者敏感信息脱敏功能，系统支持通过后台根据不同的角色，配置不同的脱敏措施。</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pStyle w:val="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水印功能</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支持水印功能，可根据不同的登录用户显示相应的访问用户水印</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pStyle w:val="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时间轴管理</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支持按就诊时间轴展示患者门急诊、住院和体检就诊等情况。</w:t>
            </w:r>
          </w:p>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支持通过概览形式展示患者历次就诊资料情况。</w:t>
            </w:r>
          </w:p>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支持详细临床资料查看。</w:t>
            </w:r>
          </w:p>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支持按医生诊疗需要单独查看门急诊、住院或体检类别的就诊记录。</w:t>
            </w:r>
          </w:p>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支持本科室就诊记录筛选。</w:t>
            </w: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支持就诊时间维度和临床资料维度切换查看。</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pStyle w:val="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重点人群</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支持临床医生、护士关注重点患者。</w:t>
            </w:r>
          </w:p>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支持实现重点患者跟踪分组功能。</w:t>
            </w:r>
          </w:p>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支持集中浏览关注患者列表和患者分组的编辑功能。</w:t>
            </w:r>
          </w:p>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支持快捷查看患者详细资料信息。</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top"/>
          </w:tcPr>
          <w:p>
            <w:pPr>
              <w:pStyle w:val="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就诊类型管理</w:t>
            </w:r>
          </w:p>
        </w:tc>
        <w:tc>
          <w:tcPr>
            <w:tcW w:w="6520"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sz w:val="24"/>
                <w:szCs w:val="24"/>
                <w:highlight w:val="none"/>
              </w:rPr>
            </w:pPr>
            <w:r>
              <w:rPr>
                <w:rFonts w:hint="eastAsia" w:ascii="仿宋" w:hAnsi="仿宋" w:eastAsia="仿宋" w:cs="仿宋"/>
                <w:bCs/>
                <w:smallCaps/>
                <w:color w:val="auto"/>
                <w:sz w:val="24"/>
                <w:szCs w:val="24"/>
                <w:highlight w:val="none"/>
              </w:rPr>
              <w:t>可以支持按照门诊、住院或者综合模式来查看患者在各种就诊类型下的所有相关信息。</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top"/>
          </w:tcPr>
          <w:p>
            <w:pPr>
              <w:pStyle w:val="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维度管理</w:t>
            </w:r>
          </w:p>
        </w:tc>
        <w:tc>
          <w:tcPr>
            <w:tcW w:w="6520"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可以支持在一个在院期间或者就诊类型下某一维度下所有相关分类信息以及历史记录，这些维度包括且不限于：</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患者基本信息维度；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诊断信息维度；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门诊处方维度；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住院医嘱维度；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患者检验信息维度；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患者检查信息维度；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患者生命体征信息维度；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用药记录维度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患者诊疗文书维度；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患者病案维度；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患者用血维度；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患者手术维度；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患者护理维度；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患者病理维度；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患者过敏维度；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患者体检维度；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患者健康信息维度</w:t>
            </w:r>
          </w:p>
          <w:p>
            <w:pPr>
              <w:widowControl/>
              <w:numPr>
                <w:ilvl w:val="0"/>
                <w:numId w:val="23"/>
              </w:numPr>
              <w:jc w:val="left"/>
              <w:rPr>
                <w:rFonts w:hint="eastAsia" w:ascii="仿宋" w:hAnsi="仿宋" w:eastAsia="仿宋" w:cs="仿宋"/>
                <w:bCs/>
                <w:smallCaps/>
                <w:color w:val="auto"/>
                <w:sz w:val="24"/>
                <w:szCs w:val="24"/>
                <w:highlight w:val="none"/>
              </w:rPr>
            </w:pPr>
            <w:r>
              <w:rPr>
                <w:rFonts w:hint="eastAsia" w:ascii="仿宋" w:hAnsi="仿宋" w:eastAsia="仿宋" w:cs="仿宋"/>
                <w:bCs/>
                <w:smallCaps/>
                <w:color w:val="auto"/>
                <w:sz w:val="24"/>
                <w:szCs w:val="24"/>
                <w:highlight w:val="none"/>
              </w:rPr>
              <w:t>转诊信息维度；</w:t>
            </w:r>
          </w:p>
          <w:p>
            <w:pPr>
              <w:widowControl/>
              <w:jc w:val="left"/>
              <w:rPr>
                <w:rFonts w:hint="eastAsia" w:ascii="仿宋" w:hAnsi="仿宋" w:eastAsia="仿宋" w:cs="仿宋"/>
                <w:color w:val="auto"/>
                <w:sz w:val="24"/>
                <w:szCs w:val="24"/>
                <w:highlight w:val="none"/>
              </w:rPr>
            </w:pPr>
            <w:r>
              <w:rPr>
                <w:rFonts w:hint="eastAsia" w:ascii="仿宋" w:hAnsi="仿宋" w:eastAsia="仿宋" w:cs="仿宋"/>
                <w:bCs/>
                <w:smallCaps/>
                <w:color w:val="auto"/>
                <w:sz w:val="24"/>
                <w:szCs w:val="24"/>
                <w:highlight w:val="none"/>
              </w:rPr>
              <w:t>并支持维度下信息的对比和展示。</w:t>
            </w:r>
          </w:p>
        </w:tc>
      </w:tr>
      <w:tr>
        <w:tblPrEx>
          <w:tblCellMar>
            <w:top w:w="0" w:type="dxa"/>
            <w:left w:w="108" w:type="dxa"/>
            <w:bottom w:w="0" w:type="dxa"/>
            <w:right w:w="108" w:type="dxa"/>
          </w:tblCellMar>
        </w:tblPrEx>
        <w:trPr>
          <w:jc w:val="center"/>
        </w:trPr>
        <w:tc>
          <w:tcPr>
            <w:tcW w:w="2093" w:type="dxa"/>
            <w:tcBorders>
              <w:top w:val="single" w:color="000000" w:sz="4" w:space="0"/>
              <w:left w:val="single" w:color="000000" w:sz="4" w:space="0"/>
              <w:bottom w:val="single" w:color="000000" w:sz="4" w:space="0"/>
              <w:right w:val="single" w:color="000000" w:sz="4" w:space="0"/>
            </w:tcBorders>
            <w:noWrap w:val="0"/>
            <w:vAlign w:val="top"/>
          </w:tcPr>
          <w:p>
            <w:pPr>
              <w:pStyle w:val="15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体征记录</w:t>
            </w:r>
          </w:p>
        </w:tc>
        <w:tc>
          <w:tcPr>
            <w:tcW w:w="6520" w:type="dxa"/>
            <w:tcBorders>
              <w:top w:val="single" w:color="000000" w:sz="4" w:space="0"/>
              <w:left w:val="single" w:color="000000" w:sz="4" w:space="0"/>
              <w:bottom w:val="single" w:color="000000" w:sz="4" w:space="0"/>
              <w:right w:val="single" w:color="000000" w:sz="4" w:space="0"/>
            </w:tcBorders>
            <w:noWrap w:val="0"/>
            <w:vAlign w:val="top"/>
          </w:tcPr>
          <w:p>
            <w:pPr>
              <w:pStyle w:val="15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支持住院患者体温等体征信息按就诊日期趋势变化展示。</w:t>
            </w:r>
          </w:p>
          <w:p>
            <w:pPr>
              <w:pStyle w:val="15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支持按照日期快速定位切换。</w:t>
            </w:r>
          </w:p>
        </w:tc>
      </w:tr>
    </w:tbl>
    <w:p>
      <w:pPr>
        <w:pStyle w:val="6"/>
        <w:numPr>
          <w:ilvl w:val="0"/>
          <w:numId w:val="0"/>
        </w:numPr>
        <w:tabs>
          <w:tab w:val="left" w:pos="720"/>
          <w:tab w:val="left" w:pos="1006"/>
        </w:tabs>
        <w:ind w:left="864" w:leftChars="0" w:hanging="864" w:firstLineChars="0"/>
        <w:rPr>
          <w:rFonts w:hint="eastAsia" w:ascii="仿宋" w:hAnsi="仿宋" w:eastAsia="仿宋" w:cs="仿宋"/>
          <w:color w:val="auto"/>
          <w:sz w:val="24"/>
          <w:szCs w:val="24"/>
          <w:highlight w:val="none"/>
        </w:rPr>
      </w:pPr>
      <w:bookmarkStart w:id="365" w:name="OLE_LINK13"/>
      <w:r>
        <w:rPr>
          <w:rFonts w:hint="eastAsia" w:ascii="仿宋" w:hAnsi="仿宋" w:eastAsia="仿宋" w:cs="仿宋"/>
          <w:b/>
          <w:bCs/>
          <w:color w:val="auto"/>
          <w:sz w:val="24"/>
          <w:szCs w:val="24"/>
          <w:highlight w:val="none"/>
          <w:lang w:val="en-US" w:eastAsia="zh-CN" w:bidi="hi-IN"/>
        </w:rPr>
        <w:t>3.3.3.3</w:t>
      </w:r>
      <w:r>
        <w:rPr>
          <w:rFonts w:hint="eastAsia" w:ascii="仿宋" w:hAnsi="仿宋" w:eastAsia="仿宋" w:cs="仿宋"/>
          <w:color w:val="auto"/>
          <w:sz w:val="24"/>
          <w:szCs w:val="24"/>
          <w:highlight w:val="none"/>
        </w:rPr>
        <w:t>业务闭环管理</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够根据《电子病历系统功能应用水平分级评价方法和标准》中以电子病历为核心的医院信息化建设的评级中，六级要求实现全流程数据跟踪和闭环管理。提高患者医疗安全为核心目标，通过流程梳理、扩展信息化工具，对流程中的监控点，并对监控点实行质控管理，来实现闭环管理。</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支持可按场景提供给业务系统需要的闭环页面调阅。</w:t>
      </w:r>
    </w:p>
    <w:p>
      <w:pPr>
        <w:spacing w:line="360" w:lineRule="auto"/>
        <w:ind w:left="0" w:right="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支持按照医院不同的业务规则配置闭环流程及节点属性，对闭环获取业务数据的接口服务调用情况、服务调用耗时情况进行实时监控。</w:t>
      </w:r>
    </w:p>
    <w:p>
      <w:pPr>
        <w:spacing w:line="360" w:lineRule="auto"/>
        <w:ind w:left="0" w:right="0" w:firstLine="48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支持按照医院要求提供界面配置节点执行的时限标准，从而进行时限相关的预警提醒；</w:t>
      </w:r>
    </w:p>
    <w:p>
      <w:pPr>
        <w:spacing w:line="360" w:lineRule="auto"/>
        <w:ind w:left="0" w:right="0" w:firstLine="48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支持对来源于各个业务系统的数据质量进行可视化校验，从而保证闭环展示数据的高质量。</w:t>
      </w:r>
    </w:p>
    <w:p>
      <w:pPr>
        <w:spacing w:line="360" w:lineRule="auto"/>
        <w:ind w:left="0" w:right="0" w:firstLine="48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支持提供可视化分析工具，方便实施快速验证闭环节点数据质量问题，帮助实施在相对较短时间内保证闭环展示数据的准确性：</w:t>
      </w:r>
    </w:p>
    <w:p>
      <w:pPr>
        <w:spacing w:line="360" w:lineRule="auto"/>
        <w:ind w:left="0" w:right="0" w:firstLine="48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支持对全部闭环的监控概览，包含：闭环调试完成情况分析、未消费服务分析，帮助实施或医院快速了解闭环整体联调完成情况；</w:t>
      </w:r>
    </w:p>
    <w:p>
      <w:pPr>
        <w:spacing w:line="360" w:lineRule="auto"/>
        <w:ind w:left="0" w:right="0" w:firstLine="48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支持对全部闭环节点的监控详情，包含：数据完整性、合理性、时效性方面，直接定位每个闭环的节点调试情况，主要含：必选节点缺失情况、时间异常情况、核心字段空值、值域异常情况；</w:t>
      </w:r>
    </w:p>
    <w:p>
      <w:pPr>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支持</w:t>
      </w:r>
      <w:r>
        <w:rPr>
          <w:rFonts w:hint="eastAsia" w:ascii="仿宋" w:hAnsi="仿宋" w:eastAsia="仿宋" w:cs="仿宋"/>
          <w:color w:val="auto"/>
          <w:sz w:val="24"/>
          <w:highlight w:val="none"/>
        </w:rPr>
        <w:t>闭环展示前端界面自动校验节点信息展示是否完整，并提示缺失哪些内容；</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应包括且不限于如下闭环追踪</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w:t>
      </w:r>
      <w:r>
        <w:rPr>
          <w:rFonts w:hint="eastAsia" w:ascii="仿宋" w:hAnsi="仿宋" w:eastAsia="仿宋" w:cs="仿宋"/>
          <w:color w:val="auto"/>
          <w:sz w:val="24"/>
          <w:highlight w:val="none"/>
        </w:rPr>
        <w:t>住院患者追踪闭环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支持患者本次在医院就诊的物理位置和时间的集中采集，节点包含 ：入院、入区、转出病区、转入病区、入手术室、麻醉开始、麻醉取消、手术开始、手术取消、手术结束、入复苏室、出复苏室、出手术室、检查签到、检查结束、患者出区、患者出院节点。</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w:t>
      </w:r>
      <w:r>
        <w:rPr>
          <w:rFonts w:hint="eastAsia" w:ascii="仿宋" w:hAnsi="仿宋" w:eastAsia="仿宋" w:cs="仿宋"/>
          <w:color w:val="auto"/>
          <w:sz w:val="24"/>
          <w:highlight w:val="none"/>
        </w:rPr>
        <w:t>门诊常规检验标本闭环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支持患者门诊常规检验标本在各个医疗服务点上的人员、时间和状态的集中采集，节点包含 ：检验申请开立、缴费、试管条码打印、标本采集、标本运送、标本签收、标本撤销、标本拒收、标本入库、取消入库、上机检测、初始报告、报告审核、报告撤销、报告发布。</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3)</w:t>
      </w:r>
      <w:r>
        <w:rPr>
          <w:rFonts w:hint="eastAsia" w:ascii="仿宋" w:hAnsi="仿宋" w:eastAsia="仿宋" w:cs="仿宋"/>
          <w:color w:val="auto"/>
          <w:sz w:val="24"/>
          <w:highlight w:val="none"/>
        </w:rPr>
        <w:t>住院常规检验标本闭环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支持患者住院常规检验标本在各个医疗服务点上的人员、时间和状态的集中采集，节点包含 ：检验申请开立、检验申请撤回、医嘱审核、医嘱作废、医嘱执行、试管条码打印、标本采集、标本运送、标本签收、标本入库、上机检测、初始报告、报告审核、报告撤销、报告发布。</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4)</w:t>
      </w:r>
      <w:r>
        <w:rPr>
          <w:rFonts w:hint="eastAsia" w:ascii="仿宋" w:hAnsi="仿宋" w:eastAsia="仿宋" w:cs="仿宋"/>
          <w:color w:val="auto"/>
          <w:sz w:val="24"/>
          <w:highlight w:val="none"/>
        </w:rPr>
        <w:t>住院检验危急值闭环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支持患者住院检验危急值在各个医疗服务点上的人员、时间和状态的集中采集，节点包含 ：危急值生成、危急值复核、危急值发布医生接收、护士接收、通知医生、医生处理危急值、危急值处理反馈、危急值医技确认。</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5)</w:t>
      </w:r>
      <w:r>
        <w:rPr>
          <w:rFonts w:hint="eastAsia" w:ascii="仿宋" w:hAnsi="仿宋" w:eastAsia="仿宋" w:cs="仿宋"/>
          <w:color w:val="auto"/>
          <w:sz w:val="24"/>
          <w:highlight w:val="none"/>
        </w:rPr>
        <w:t>门诊检验危急值闭环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支持患者门诊检验危急值在各个医疗服务点上的人员、时间和状态的集中采集，节点包含 ：危急值生成、危急值复核、危急值发布、医生接收、医生处理危急值、危急值处理反馈、、危急值医技确认。</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6)</w:t>
      </w:r>
      <w:r>
        <w:rPr>
          <w:rFonts w:hint="eastAsia" w:ascii="仿宋" w:hAnsi="仿宋" w:eastAsia="仿宋" w:cs="仿宋"/>
          <w:color w:val="auto"/>
          <w:sz w:val="24"/>
          <w:highlight w:val="none"/>
        </w:rPr>
        <w:t>门诊检查危急值闭环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支持患者门诊检查危急值在各个医疗服务点上的人员、时间和状态的集中采集，节点包含 ：危急值生成、危急值复核、危急值发布、医生接收、医生处理危急值、危急值处理反馈、危急值医技确认。</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7)</w:t>
      </w:r>
      <w:r>
        <w:rPr>
          <w:rFonts w:hint="eastAsia" w:ascii="仿宋" w:hAnsi="仿宋" w:eastAsia="仿宋" w:cs="仿宋"/>
          <w:color w:val="auto"/>
          <w:sz w:val="24"/>
          <w:highlight w:val="none"/>
        </w:rPr>
        <w:t>住院检查危急值闭环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支持患者住院检查危急值在各个医疗服务点上的人员、时间和状态的集中采集，节点包含 ：危急值生成、危急值复核、危急值发布、护士接收、通知医生、医生接收、医生处理危急值、危急值处理反馈、、危急值医技确认。</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8)</w:t>
      </w:r>
      <w:r>
        <w:rPr>
          <w:rFonts w:hint="eastAsia" w:ascii="仿宋" w:hAnsi="仿宋" w:eastAsia="仿宋" w:cs="仿宋"/>
          <w:color w:val="auto"/>
          <w:sz w:val="24"/>
          <w:highlight w:val="none"/>
        </w:rPr>
        <w:t>手术医嘱（主流程）闭环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支持患者手术医嘱（主流程）在各个医疗服务点上的人员、时间和状态的集中采集，节点包含 ：术前同意、术前同意取消、手术申请、手术医嘱撤回、手术医嘱作废、手术医嘱审核、手术审核、手术安排、病人出区、入手术室、麻醉前核查、麻醉开始、手术前核查、手术开始、手术结束、器械登记、患者出手术室、患者回病区。</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9)</w:t>
      </w:r>
      <w:r>
        <w:rPr>
          <w:rFonts w:hint="eastAsia" w:ascii="仿宋" w:hAnsi="仿宋" w:eastAsia="仿宋" w:cs="仿宋"/>
          <w:color w:val="auto"/>
          <w:sz w:val="24"/>
          <w:highlight w:val="none"/>
        </w:rPr>
        <w:t>麻醉闭环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支持患者手术麻醉在各个医疗服务点上的人员、时间和状态的集中采集，节点包含 ：</w:t>
      </w:r>
      <w:r>
        <w:rPr>
          <w:rFonts w:hint="eastAsia" w:ascii="仿宋" w:hAnsi="仿宋" w:eastAsia="仿宋" w:cs="仿宋"/>
          <w:color w:val="auto"/>
          <w:sz w:val="24"/>
          <w:highlight w:val="none"/>
          <w:lang w:bidi="ar"/>
        </w:rPr>
        <w:t>麻醉前评估、入麻醉室、麻醉前核查、麻醉开始、麻醉记录、麻醉结束、入复苏室、出复苏室。</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10)</w:t>
      </w:r>
      <w:r>
        <w:rPr>
          <w:rFonts w:hint="eastAsia" w:ascii="仿宋" w:hAnsi="仿宋" w:eastAsia="仿宋" w:cs="仿宋"/>
          <w:color w:val="auto"/>
          <w:sz w:val="24"/>
          <w:highlight w:val="none"/>
        </w:rPr>
        <w:t>住院治疗流程闭环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支持患者住院治疗流程在各个医疗服务点上的人员、时间和状态的集中采集，节点包含 ：电子申请、医嘱审核、医嘱作废、医嘱执行、停止医嘱、停止审核、住院治疗计划、住院治疗预约、出病区治疗、治疗登记、入治疗室、治疗开始、治疗结束、出治疗室、治疗完成回病区。</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11)</w:t>
      </w:r>
      <w:r>
        <w:rPr>
          <w:rFonts w:hint="eastAsia" w:ascii="仿宋" w:hAnsi="仿宋" w:eastAsia="仿宋" w:cs="仿宋"/>
          <w:color w:val="auto"/>
          <w:sz w:val="24"/>
          <w:highlight w:val="none"/>
        </w:rPr>
        <w:t>门诊治疗流程闭环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支持患者门诊治疗流程在各个医疗服务点上的人员、时间和状态的集中采集，节点包含 ：门诊治疗申请、取消门诊治疗申请、门诊治疗计划、门诊治疗预约、治疗开始、治疗结束。</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12)</w:t>
      </w:r>
      <w:r>
        <w:rPr>
          <w:rFonts w:hint="eastAsia" w:ascii="仿宋" w:hAnsi="仿宋" w:eastAsia="仿宋" w:cs="仿宋"/>
          <w:color w:val="auto"/>
          <w:sz w:val="24"/>
          <w:highlight w:val="none"/>
        </w:rPr>
        <w:t>住院口服药医嘱闭环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口服药医嘱的在各个医疗服务点上的人员、时间和状态的集中采集，节点包含：医嘱下达、医嘱撤回、医嘱审核、医嘱作废（DC）、医嘱执行、药师审核自动审核通过、药师审核人工审核通过、药师审核不通过、住院药房发药、自助机包药、住院药房摆药、配送装箱、配送转运、配送签收、服药执行、停止医嘱、停止审核。</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13)</w:t>
      </w:r>
      <w:r>
        <w:rPr>
          <w:rFonts w:hint="eastAsia" w:ascii="仿宋" w:hAnsi="仿宋" w:eastAsia="仿宋" w:cs="仿宋"/>
          <w:color w:val="auto"/>
          <w:sz w:val="24"/>
          <w:highlight w:val="none"/>
        </w:rPr>
        <w:t>输液医嘱（静配中心）闭环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输液医嘱（静配中心）的在各个医疗服务点上的人员、时间和状态的集中采集，节点包含：医嘱下达、医嘱撤回、医嘱审核、医嘱作废（DC）、医嘱执行、药师审核自动审核通过、药师审核人工审核通过、药师审核不通过、住院药房发药、住院药房摆药、药品进仓、药品冲配、药品出仓、配送装箱、配送转运、配送签收、皮试开始、皮试结束、输液执行、输液巡视、输液停止、输液执行完毕、停止医嘱、停止审核、护士上报输液不良反应、职能部门处理、归档。</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14)</w:t>
      </w:r>
      <w:r>
        <w:rPr>
          <w:rFonts w:hint="eastAsia" w:ascii="仿宋" w:hAnsi="仿宋" w:eastAsia="仿宋" w:cs="仿宋"/>
          <w:color w:val="auto"/>
          <w:sz w:val="24"/>
          <w:highlight w:val="none"/>
        </w:rPr>
        <w:t>住院注射医嘱闭环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支持患者注射医嘱的在各个医疗服务点上的人员、时间和状态的集中采集，节点包含 ：医嘱下达、医嘱撤回、医嘱审核、医嘱作废（DC）、医嘱执行、药师审核自动审核通过、药师审核人工审核通过、药师审核不通过、住院药房发药、配送装箱、配送转运、配送签收、注射液配制、皮试开始、皮试结束、注射执行、停止医嘱、停止审核、护士上报不良反应、职能部门处理、归档。</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lang w:bidi="ar"/>
        </w:rPr>
      </w:pPr>
      <w:r>
        <w:rPr>
          <w:rFonts w:hint="default" w:ascii="仿宋" w:hAnsi="仿宋" w:eastAsia="仿宋" w:cs="仿宋"/>
          <w:bCs/>
          <w:color w:val="auto"/>
          <w:kern w:val="2"/>
          <w:sz w:val="24"/>
          <w:szCs w:val="24"/>
          <w:highlight w:val="none"/>
          <w:lang w:val="en-US" w:eastAsia="zh-CN" w:bidi="ar"/>
        </w:rPr>
        <w:t>15)</w:t>
      </w:r>
      <w:r>
        <w:rPr>
          <w:rFonts w:hint="eastAsia" w:ascii="仿宋" w:hAnsi="仿宋" w:eastAsia="仿宋" w:cs="仿宋"/>
          <w:color w:val="auto"/>
          <w:sz w:val="24"/>
          <w:highlight w:val="none"/>
        </w:rPr>
        <w:t>住院抗菌药物闭环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支持患者住院抗菌药物的在各个医疗服务点上的人员、时间和状态的集中采集，节点包含 ：医嘱下达、抗菌药物审批（上级医师审批或科主任审批或医务科审批或药剂科审批）、医嘱撤回、医嘱审核、医嘱作废（DC）、医嘱执行、药师审核自动审核通过、药师审核人工审核通过、药师审核不通过、住院药房发药、配送装箱、配送转运、配送签收、用药执行、停止医嘱、停止审核、护士上报不良反应、职能部门处理、归档。</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16)</w:t>
      </w:r>
      <w:r>
        <w:rPr>
          <w:rFonts w:hint="eastAsia" w:ascii="仿宋" w:hAnsi="仿宋" w:eastAsia="仿宋" w:cs="仿宋"/>
          <w:color w:val="auto"/>
          <w:sz w:val="24"/>
          <w:highlight w:val="none"/>
        </w:rPr>
        <w:t>住院自备药闭环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支持患者住院自备药的在各个医疗服务点上的人员、时间和状态的集中采集，节点包含 ：医嘱下达、医嘱撤回、医嘱审核、医嘱作废（DC）、医嘱执行、药师审核自动审核通过、药师审核人工审核通过、药师审核不通过、服药执行、停止医嘱、停止审核。</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17)</w:t>
      </w:r>
      <w:r>
        <w:rPr>
          <w:rFonts w:hint="eastAsia" w:ascii="仿宋" w:hAnsi="仿宋" w:eastAsia="仿宋" w:cs="仿宋"/>
          <w:color w:val="auto"/>
          <w:sz w:val="24"/>
          <w:highlight w:val="none"/>
        </w:rPr>
        <w:t>住院出院带药闭环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支持患者住院出院带药的在各个医疗服务点上的人员、时间和状态的集中采集，节点包含 ：医嘱下达、医嘱撤回、医嘱审核、医嘱作废（DC）、医嘱执行、药师审核自动审核通过、药师审核人工审核通过、药师审核不通过、住院药房发药、自助机包药、住院药房摆药、配送装箱、配送转运、配送签收。</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18)</w:t>
      </w:r>
      <w:r>
        <w:rPr>
          <w:rFonts w:hint="eastAsia" w:ascii="仿宋" w:hAnsi="仿宋" w:eastAsia="仿宋" w:cs="仿宋"/>
          <w:color w:val="auto"/>
          <w:sz w:val="24"/>
          <w:highlight w:val="none"/>
        </w:rPr>
        <w:t>住院草药闭环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住院草药在各个医疗服务点上的人员、时间和状态的集中采集，节点包括：医嘱下达、医嘱拒绝、药师自动审方通过、药师自动审方不通过、药师人工审方通过、药师人工审方不通过、医嘱审核、医嘱作废（DC）、医嘱执行、草药房发药、代煎入库、代煎出库、配送装箱、配送转运、配送签收（双签）、用药执行成功、申请停止医嘱、停止审核。</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19)</w:t>
      </w:r>
      <w:r>
        <w:rPr>
          <w:rFonts w:hint="eastAsia" w:ascii="仿宋" w:hAnsi="仿宋" w:eastAsia="仿宋" w:cs="仿宋"/>
          <w:color w:val="auto"/>
          <w:sz w:val="24"/>
          <w:highlight w:val="none"/>
        </w:rPr>
        <w:t>门诊口服药医嘱闭环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支持患者门诊口服药医嘱的在各个医疗服务点上的人员、时间和状态的集中采集，节点包含 ：处方开立、删除处方、处方打印、药师自动审方通过、药师自动审方不通过、药师人工审方通过、药师人工审方不通过、已缴费、药房配药、药房发药、患者领药、退费。</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20)</w:t>
      </w:r>
      <w:r>
        <w:rPr>
          <w:rFonts w:hint="eastAsia" w:ascii="仿宋" w:hAnsi="仿宋" w:eastAsia="仿宋" w:cs="仿宋"/>
          <w:color w:val="auto"/>
          <w:sz w:val="24"/>
          <w:highlight w:val="none"/>
        </w:rPr>
        <w:t>门诊输液医嘱（无静配）闭环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支持患者门诊输液医嘱（无静配）的在各个医疗服务点上的人员、时间和状态的集中采集，节点包含 ：处方开立、处方打印、药师自动审方通过、药师自动审方不通过、药师人工审方通过、药师人工审方不通过、皮试开始、皮试结束、已缴费、药房发药、输液单打印、输液配液、输液开始、输液巡视、输液完毕、护士上报输液不良反应、职能部门处理、归档。</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21)</w:t>
      </w:r>
      <w:r>
        <w:rPr>
          <w:rFonts w:hint="eastAsia" w:ascii="仿宋" w:hAnsi="仿宋" w:eastAsia="仿宋" w:cs="仿宋"/>
          <w:color w:val="auto"/>
          <w:sz w:val="24"/>
          <w:highlight w:val="none"/>
        </w:rPr>
        <w:t>门诊注射医嘱闭环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支持患者门诊注射医嘱的在各个医疗服务点上的人员、时间和状态的集中采集，节点包含 ：处方开立、处方打印、药师自动审方通过、药师自动审方不通过、药师人工审方通过、药师人工审方不通过、药房发药、注射单打印、皮试开始、皮试结束、已缴费、注射液配制、注射执行、护士上报不良反应、职能部门处理、归档。</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22)</w:t>
      </w:r>
      <w:r>
        <w:rPr>
          <w:rFonts w:hint="eastAsia" w:ascii="仿宋" w:hAnsi="仿宋" w:eastAsia="仿宋" w:cs="仿宋"/>
          <w:color w:val="auto"/>
          <w:sz w:val="24"/>
          <w:highlight w:val="none"/>
        </w:rPr>
        <w:t>输血医嘱闭环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支持患者输血医嘱在各个医疗服务点上的人员、时间和状态的集中采集，节点包含 ：输血前评估、备血申请、输血申请、上级医生审核、上级医生审核不通过、科主任审核、科主任审核不通过、医务科审核、医务科审核不通过、医嘱审核、医嘱作废、医嘱执行、标本采集、标本转运运送、标本签收、交叉配血、血型复检、发血、领血确认、接收血袋、输血前核对、输血开始、巡视、输血结束、空血袋回收、备血完成、护士上报输血不良反应、职能部门处理、归档。</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23)</w:t>
      </w:r>
      <w:r>
        <w:rPr>
          <w:rFonts w:hint="eastAsia" w:ascii="仿宋" w:hAnsi="仿宋" w:eastAsia="仿宋" w:cs="仿宋"/>
          <w:color w:val="auto"/>
          <w:sz w:val="24"/>
          <w:highlight w:val="none"/>
        </w:rPr>
        <w:t>院内会诊闭环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支持会诊医嘱闭环，跟踪会诊过程记录，包括：会诊申请、会诊审批、会诊接收、撤销接收、会诊指派、撤销会诊、会诊签到、会诊答复、双方科室会诊评价。</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24)</w:t>
      </w:r>
      <w:r>
        <w:rPr>
          <w:rFonts w:hint="eastAsia" w:ascii="仿宋" w:hAnsi="仿宋" w:eastAsia="仿宋" w:cs="仿宋"/>
          <w:color w:val="auto"/>
          <w:sz w:val="24"/>
          <w:highlight w:val="none"/>
        </w:rPr>
        <w:t>消毒室供应闭环</w:t>
      </w:r>
    </w:p>
    <w:p>
      <w:pPr>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消毒供应业务闭环，包括消毒供应包闭环、院内手术器械包全流程闭环、院外手术器械包全流程闭环，包括消毒包各周期的回收、清洗、清洗监测、清洗质检、配包、包装、B-D测试、灭菌、灭菌监测、上架、发放、使用。其中灭菌节点业务科室重点关注灭菌过程：灭菌开始时间、灭菌结束时间、灭菌操作员、灭菌机器、灭菌批次、灭菌监测过程信息。</w:t>
      </w:r>
    </w:p>
    <w:p>
      <w:pPr>
        <w:numPr>
          <w:ilvl w:val="0"/>
          <w:numId w:val="0"/>
        </w:numPr>
        <w:spacing w:line="360" w:lineRule="auto"/>
        <w:ind w:left="0" w:leftChars="0" w:right="0" w:rightChars="0" w:firstLine="480" w:firstLineChars="0"/>
        <w:rPr>
          <w:rFonts w:hint="eastAsia" w:ascii="仿宋" w:hAnsi="仿宋" w:eastAsia="仿宋" w:cs="仿宋"/>
          <w:color w:val="auto"/>
          <w:sz w:val="24"/>
          <w:highlight w:val="none"/>
        </w:rPr>
      </w:pPr>
      <w:r>
        <w:rPr>
          <w:rFonts w:hint="default" w:ascii="仿宋" w:hAnsi="仿宋" w:eastAsia="仿宋" w:cs="仿宋"/>
          <w:bCs/>
          <w:color w:val="auto"/>
          <w:kern w:val="2"/>
          <w:sz w:val="24"/>
          <w:szCs w:val="24"/>
          <w:highlight w:val="none"/>
          <w:lang w:val="en-US" w:eastAsia="zh-CN" w:bidi="ar-SA"/>
        </w:rPr>
        <w:t>25)</w:t>
      </w:r>
      <w:r>
        <w:rPr>
          <w:rFonts w:hint="eastAsia" w:ascii="仿宋" w:hAnsi="仿宋" w:eastAsia="仿宋" w:cs="仿宋"/>
          <w:color w:val="auto"/>
          <w:sz w:val="24"/>
          <w:highlight w:val="none"/>
        </w:rPr>
        <w:t>营养膳食闭环</w:t>
      </w:r>
    </w:p>
    <w:p>
      <w:pPr>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支持营养膳食流程闭环，流程包括：营养风险评估、生成营养评估报告、制定营养支持计划、营养膳食医嘱下达、医嘱审核、执行、标签打印、营养膳食配置、营养膳食转运、病区签收、营养执行。</w:t>
      </w:r>
    </w:p>
    <w:p>
      <w:pPr>
        <w:pStyle w:val="6"/>
        <w:numPr>
          <w:ilvl w:val="0"/>
          <w:numId w:val="0"/>
        </w:numPr>
        <w:tabs>
          <w:tab w:val="left" w:pos="720"/>
          <w:tab w:val="left" w:pos="1006"/>
        </w:tabs>
        <w:ind w:left="864" w:leftChars="0" w:hanging="864" w:firstLineChars="0"/>
        <w:rPr>
          <w:rFonts w:hint="eastAsia" w:ascii="仿宋" w:hAnsi="仿宋" w:eastAsia="仿宋" w:cs="仿宋"/>
          <w:color w:val="auto"/>
          <w:kern w:val="2"/>
          <w:highlight w:val="none"/>
          <w:lang w:bidi="ar"/>
        </w:rPr>
      </w:pPr>
      <w:r>
        <w:rPr>
          <w:rFonts w:hint="eastAsia" w:ascii="仿宋" w:hAnsi="仿宋" w:eastAsia="仿宋" w:cs="仿宋"/>
          <w:b/>
          <w:bCs/>
          <w:color w:val="auto"/>
          <w:kern w:val="2"/>
          <w:sz w:val="24"/>
          <w:szCs w:val="20"/>
          <w:highlight w:val="none"/>
          <w:lang w:val="en-US" w:eastAsia="zh-CN" w:bidi="ar"/>
        </w:rPr>
        <w:t>3.3.3.4</w:t>
      </w:r>
      <w:r>
        <w:rPr>
          <w:rFonts w:hint="eastAsia" w:ascii="仿宋" w:hAnsi="仿宋" w:eastAsia="仿宋" w:cs="仿宋"/>
          <w:color w:val="auto"/>
          <w:highlight w:val="none"/>
        </w:rPr>
        <w:t>共享文档管理</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支持数据元、值域、共享文档结构管理。</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支持根据主数据管理中的国标或者行业标准，进行文档中的值域和标准值域的转换。</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支持数据元的版本管理。生成共享文档时，可以选定特定的版本。</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支持按选定的病人，生成互联互通文档（通过ESB的数据支持），支持定时生成共享文档和手动生成共享文档。</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支持浏览选定文档的数据概览，也可以查看XML源文件、XSD转化文件内容。</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支持53个主共享文档的结构化存储和XML大文本存储</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支持展示一段时间内53个共享文档的数据校验和文档生成数量</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支持设置数据集与共享文档验证用例。</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能够实现共享文档的模版化，编辑生成共享文档，同时能够解析共享文档和浏览共享文档，更高一级要求还包括共享文档的结构和内容的标准化验证。</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能够提供可视化的共享文档编辑器。可对文件夹、文档、章节、条目及元模版进行编辑和管理。</w:t>
      </w:r>
    </w:p>
    <w:p>
      <w:pPr>
        <w:pStyle w:val="155"/>
        <w:spacing w:before="0" w:after="0" w:line="360" w:lineRule="auto"/>
        <w:ind w:left="0" w:right="0" w:firstLine="480"/>
        <w:jc w:val="both"/>
        <w:rPr>
          <w:rFonts w:hint="eastAsia" w:ascii="仿宋" w:hAnsi="仿宋" w:eastAsia="仿宋" w:cs="仿宋"/>
          <w:color w:val="auto"/>
          <w:kern w:val="2"/>
          <w:highlight w:val="none"/>
          <w:lang w:bidi="ar"/>
        </w:rPr>
      </w:pPr>
      <w:r>
        <w:rPr>
          <w:rFonts w:hint="eastAsia" w:ascii="仿宋" w:hAnsi="仿宋" w:eastAsia="仿宋" w:cs="仿宋"/>
          <w:color w:val="auto"/>
          <w:kern w:val="2"/>
          <w:highlight w:val="none"/>
          <w:lang w:bidi="ar"/>
        </w:rPr>
        <w:t>根据标准共享文档模版将一般数据对象转化为标准共享文档</w:t>
      </w:r>
    </w:p>
    <w:p>
      <w:pPr>
        <w:pStyle w:val="155"/>
        <w:spacing w:before="0" w:after="0" w:line="360" w:lineRule="auto"/>
        <w:ind w:left="0" w:right="0" w:firstLine="480"/>
        <w:jc w:val="both"/>
        <w:rPr>
          <w:rFonts w:hint="eastAsia" w:ascii="仿宋" w:hAnsi="仿宋" w:eastAsia="仿宋" w:cs="仿宋"/>
          <w:b/>
          <w:bCs/>
          <w:color w:val="auto"/>
          <w:sz w:val="18"/>
          <w:szCs w:val="18"/>
          <w:highlight w:val="none"/>
        </w:rPr>
      </w:pPr>
      <w:r>
        <w:rPr>
          <w:rFonts w:hint="eastAsia" w:ascii="仿宋" w:hAnsi="仿宋" w:eastAsia="仿宋" w:cs="仿宋"/>
          <w:color w:val="auto"/>
          <w:kern w:val="2"/>
          <w:highlight w:val="none"/>
          <w:lang w:bidi="ar"/>
        </w:rPr>
        <w:t>对于标准共享文档实现结构解析和内容提取，并提供共享文档可视化浏览</w:t>
      </w:r>
    </w:p>
    <w:p>
      <w:pPr>
        <w:pStyle w:val="155"/>
        <w:spacing w:before="0" w:after="0" w:line="360" w:lineRule="auto"/>
        <w:ind w:left="0" w:right="0" w:firstLine="48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对平台接收或生成的各类共享文档进行结构和内容的标准化验证。</w:t>
      </w:r>
    </w:p>
    <w:tbl>
      <w:tblPr>
        <w:tblStyle w:val="38"/>
        <w:tblW w:w="0" w:type="auto"/>
        <w:jc w:val="center"/>
        <w:tblLayout w:type="fixed"/>
        <w:tblCellMar>
          <w:top w:w="0" w:type="dxa"/>
          <w:left w:w="108" w:type="dxa"/>
          <w:bottom w:w="0" w:type="dxa"/>
          <w:right w:w="108" w:type="dxa"/>
        </w:tblCellMar>
      </w:tblPr>
      <w:tblGrid>
        <w:gridCol w:w="608"/>
        <w:gridCol w:w="1622"/>
        <w:gridCol w:w="5802"/>
      </w:tblGrid>
      <w:tr>
        <w:tblPrEx>
          <w:tblCellMar>
            <w:top w:w="0" w:type="dxa"/>
            <w:left w:w="108" w:type="dxa"/>
            <w:bottom w:w="0" w:type="dxa"/>
            <w:right w:w="108" w:type="dxa"/>
          </w:tblCellMar>
        </w:tblPrEx>
        <w:trPr>
          <w:trHeight w:val="295" w:hRule="atLeast"/>
          <w:jc w:val="center"/>
        </w:trPr>
        <w:tc>
          <w:tcPr>
            <w:tcW w:w="2230" w:type="dxa"/>
            <w:gridSpan w:val="2"/>
            <w:tcBorders>
              <w:top w:val="single" w:color="000000" w:sz="4" w:space="0"/>
              <w:left w:val="single" w:color="000000" w:sz="4" w:space="0"/>
              <w:bottom w:val="single" w:color="000000" w:sz="4" w:space="0"/>
              <w:right w:val="single" w:color="000000" w:sz="4" w:space="0"/>
            </w:tcBorders>
            <w:shd w:val="clear" w:color="auto" w:fill="BEBEBE"/>
            <w:noWrap w:val="0"/>
            <w:vAlign w:val="top"/>
          </w:tcPr>
          <w:p>
            <w:pPr>
              <w:tabs>
                <w:tab w:val="left" w:pos="1260"/>
              </w:tabs>
              <w:jc w:val="center"/>
              <w:rPr>
                <w:rFonts w:hint="eastAsia" w:ascii="仿宋" w:hAnsi="仿宋" w:eastAsia="仿宋" w:cs="仿宋"/>
                <w:color w:val="auto"/>
                <w:highlight w:val="none"/>
              </w:rPr>
            </w:pPr>
            <w:r>
              <w:rPr>
                <w:rFonts w:hint="eastAsia" w:ascii="仿宋" w:hAnsi="仿宋" w:eastAsia="仿宋" w:cs="仿宋"/>
                <w:b/>
                <w:bCs/>
                <w:color w:val="auto"/>
                <w:sz w:val="18"/>
                <w:szCs w:val="18"/>
                <w:highlight w:val="none"/>
              </w:rPr>
              <w:t>功能名称</w:t>
            </w:r>
          </w:p>
        </w:tc>
        <w:tc>
          <w:tcPr>
            <w:tcW w:w="5802" w:type="dxa"/>
            <w:tcBorders>
              <w:top w:val="single" w:color="000000" w:sz="4" w:space="0"/>
              <w:left w:val="single" w:color="000000" w:sz="4" w:space="0"/>
              <w:bottom w:val="single" w:color="000000" w:sz="4" w:space="0"/>
              <w:right w:val="single" w:color="000000" w:sz="4" w:space="0"/>
            </w:tcBorders>
            <w:shd w:val="clear" w:color="auto" w:fill="BEBEBE"/>
            <w:noWrap w:val="0"/>
            <w:vAlign w:val="top"/>
          </w:tcPr>
          <w:p>
            <w:pPr>
              <w:tabs>
                <w:tab w:val="left" w:pos="1260"/>
              </w:tabs>
              <w:jc w:val="center"/>
              <w:rPr>
                <w:rFonts w:hint="eastAsia" w:ascii="仿宋" w:hAnsi="仿宋" w:eastAsia="仿宋" w:cs="仿宋"/>
                <w:color w:val="auto"/>
                <w:highlight w:val="none"/>
              </w:rPr>
            </w:pPr>
            <w:r>
              <w:rPr>
                <w:rFonts w:hint="eastAsia" w:ascii="仿宋" w:hAnsi="仿宋" w:eastAsia="仿宋" w:cs="仿宋"/>
                <w:b/>
                <w:bCs/>
                <w:color w:val="auto"/>
                <w:sz w:val="18"/>
                <w:szCs w:val="18"/>
                <w:highlight w:val="none"/>
              </w:rPr>
              <w:t>需求说明与参数要求</w:t>
            </w:r>
          </w:p>
        </w:tc>
      </w:tr>
      <w:tr>
        <w:tblPrEx>
          <w:tblCellMar>
            <w:top w:w="0" w:type="dxa"/>
            <w:left w:w="108" w:type="dxa"/>
            <w:bottom w:w="0" w:type="dxa"/>
            <w:right w:w="108" w:type="dxa"/>
          </w:tblCellMar>
        </w:tblPrEx>
        <w:trPr>
          <w:trHeight w:val="579"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基础数据</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文档数据元</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共享文档数据元的统一管理，配置数据元的值域、数据类型、表示格式、是否非空、章节及条目等基础信息；</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值域管理</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标准值域的统一管理，便于查询、导入、导出等操作；</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文档模板管理</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共享文档模板的统一管理：</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1、提供“XML显示”和“可视化视图”两种展示方式；</w:t>
            </w:r>
          </w:p>
        </w:tc>
      </w:tr>
      <w:tr>
        <w:tblPrEx>
          <w:tblCellMar>
            <w:top w:w="0" w:type="dxa"/>
            <w:left w:w="108" w:type="dxa"/>
            <w:bottom w:w="0" w:type="dxa"/>
            <w:right w:w="108" w:type="dxa"/>
          </w:tblCellMar>
        </w:tblPrEx>
        <w:trPr>
          <w:trHeight w:val="579"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2、可以直观、便捷的对模板进行操作，新增、修改、删除XML中的节点，替换模板中的字段、函数、常量等内容；</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3、导入、导出模板功能；</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4、记录历史修改痕迹，方便查看；</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5、配置循环标签，处理循环数据等；</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文档章节管理</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管理共享文档的章节、条目等基础信息；</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自定义常量</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管理共享文档模板中使用的所有常量；</w:t>
            </w:r>
          </w:p>
        </w:tc>
      </w:tr>
      <w:tr>
        <w:tblPrEx>
          <w:tblCellMar>
            <w:top w:w="0" w:type="dxa"/>
            <w:left w:w="108" w:type="dxa"/>
            <w:bottom w:w="0" w:type="dxa"/>
            <w:right w:w="108" w:type="dxa"/>
          </w:tblCellMar>
        </w:tblPrEx>
        <w:trPr>
          <w:trHeight w:val="579"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自定义函数</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管理共享文档模板中使用的所有函数，提供函数新增、修改、删除，以及语法校验等功能；</w:t>
            </w:r>
          </w:p>
        </w:tc>
      </w:tr>
      <w:tr>
        <w:tblPrEx>
          <w:tblCellMar>
            <w:top w:w="0" w:type="dxa"/>
            <w:left w:w="108" w:type="dxa"/>
            <w:bottom w:w="0" w:type="dxa"/>
            <w:right w:w="108" w:type="dxa"/>
          </w:tblCellMar>
        </w:tblPrEx>
        <w:trPr>
          <w:trHeight w:val="579"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共享文档</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共享文档首页</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展示系统中共享文档的校验、生成情况，如：数据总条数、校验总数、校验失败数、生成文档数、以及各个文档的校验情况等信息；</w:t>
            </w:r>
          </w:p>
        </w:tc>
      </w:tr>
      <w:tr>
        <w:tblPrEx>
          <w:tblCellMar>
            <w:top w:w="0" w:type="dxa"/>
            <w:left w:w="108" w:type="dxa"/>
            <w:bottom w:w="0" w:type="dxa"/>
            <w:right w:w="108" w:type="dxa"/>
          </w:tblCellMar>
        </w:tblPrEx>
        <w:trPr>
          <w:trHeight w:val="864"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患者共享文档</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通过“主索引”、“患者姓名”等条件检索患者；查看已生成文档的详细信息，提供“XML显示”和“视图”两种方式展示；提供导出XML文档功能；在线“校验数据”和“生成文档”功能；</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共享文档预览</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支持以目录的形式，层层递进，查看文档生成情况；</w:t>
            </w:r>
          </w:p>
        </w:tc>
      </w:tr>
      <w:tr>
        <w:tblPrEx>
          <w:tblCellMar>
            <w:top w:w="0" w:type="dxa"/>
            <w:left w:w="108" w:type="dxa"/>
            <w:bottom w:w="0" w:type="dxa"/>
            <w:right w:w="108" w:type="dxa"/>
          </w:tblCellMar>
        </w:tblPrEx>
        <w:trPr>
          <w:trHeight w:val="579"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文档生成</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患者文档生成</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根据患者共享文档生成文档后，可以查看生成成功的文档，本界面支持生成进度查看。</w:t>
            </w:r>
          </w:p>
        </w:tc>
      </w:tr>
      <w:tr>
        <w:tblPrEx>
          <w:tblCellMar>
            <w:top w:w="0" w:type="dxa"/>
            <w:left w:w="108" w:type="dxa"/>
            <w:bottom w:w="0" w:type="dxa"/>
            <w:right w:w="108" w:type="dxa"/>
          </w:tblCellMar>
        </w:tblPrEx>
        <w:trPr>
          <w:trHeight w:val="295"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文档数据校验</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查看文档的校验情况，精准定位文档校验失败的原因；</w:t>
            </w:r>
          </w:p>
        </w:tc>
      </w:tr>
      <w:tr>
        <w:tblPrEx>
          <w:tblCellMar>
            <w:top w:w="0" w:type="dxa"/>
            <w:left w:w="108" w:type="dxa"/>
            <w:bottom w:w="0" w:type="dxa"/>
            <w:right w:w="108" w:type="dxa"/>
          </w:tblCellMar>
        </w:tblPrEx>
        <w:trPr>
          <w:trHeight w:val="579"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共享文档生成</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通过条件检索患者，查看患者相关的文档生成情况；查看已生成文档的详细信息；将患者未生成的文档进行数据校验，并生成XML文件；</w:t>
            </w:r>
          </w:p>
        </w:tc>
      </w:tr>
      <w:tr>
        <w:tblPrEx>
          <w:tblCellMar>
            <w:top w:w="0" w:type="dxa"/>
            <w:left w:w="108" w:type="dxa"/>
            <w:bottom w:w="0" w:type="dxa"/>
            <w:right w:w="108" w:type="dxa"/>
          </w:tblCellMar>
        </w:tblPrEx>
        <w:trPr>
          <w:trHeight w:val="579" w:hRule="atLeast"/>
          <w:jc w:val="center"/>
        </w:trPr>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任务中心</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任务调度</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通过可视化的方式，配置“数据校验”和“文档生成”两种类型的任务计划；新增、修改、删除任务，以及立即执行等功能；</w:t>
            </w:r>
          </w:p>
        </w:tc>
      </w:tr>
      <w:tr>
        <w:tblPrEx>
          <w:tblCellMar>
            <w:top w:w="0" w:type="dxa"/>
            <w:left w:w="108" w:type="dxa"/>
            <w:bottom w:w="0" w:type="dxa"/>
            <w:right w:w="108" w:type="dxa"/>
          </w:tblCellMar>
        </w:tblPrEx>
        <w:trPr>
          <w:trHeight w:val="864"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任务日志</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查看任务执行日志，包括任务执行时间、执行状态、执行结果等信息；查看数据校验的详细信息，定位校验失败的原因；查看文档生成结果以及生成失败的原因等；</w:t>
            </w:r>
          </w:p>
        </w:tc>
      </w:tr>
      <w:tr>
        <w:tblPrEx>
          <w:tblCellMar>
            <w:top w:w="0" w:type="dxa"/>
            <w:left w:w="108" w:type="dxa"/>
            <w:bottom w:w="0" w:type="dxa"/>
            <w:right w:w="108" w:type="dxa"/>
          </w:tblCellMar>
        </w:tblPrEx>
        <w:trPr>
          <w:trHeight w:val="314" w:hRule="atLeast"/>
          <w:jc w:val="center"/>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54"/>
              <w:snapToGrid w:val="0"/>
              <w:rPr>
                <w:rFonts w:hint="eastAsia" w:ascii="仿宋" w:hAnsi="仿宋" w:eastAsia="仿宋" w:cs="仿宋"/>
                <w:color w:val="auto"/>
                <w:sz w:val="18"/>
                <w:szCs w:val="18"/>
                <w:highlight w:val="none"/>
                <w:lang w:val="en-US" w:eastAsia="zh-CN"/>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冗余数据巡检</w:t>
            </w:r>
          </w:p>
        </w:tc>
        <w:tc>
          <w:tcPr>
            <w:tcW w:w="5802" w:type="dxa"/>
            <w:tcBorders>
              <w:top w:val="single" w:color="000000" w:sz="4" w:space="0"/>
              <w:left w:val="single" w:color="000000" w:sz="4" w:space="0"/>
              <w:bottom w:val="single" w:color="000000" w:sz="4" w:space="0"/>
              <w:right w:val="single" w:color="000000" w:sz="4" w:space="0"/>
            </w:tcBorders>
            <w:noWrap w:val="0"/>
            <w:vAlign w:val="center"/>
          </w:tcPr>
          <w:p>
            <w:pPr>
              <w:pStyle w:val="154"/>
              <w:rPr>
                <w:rFonts w:hint="eastAsia" w:ascii="仿宋" w:hAnsi="仿宋" w:eastAsia="仿宋" w:cs="仿宋"/>
                <w:color w:val="auto"/>
                <w:highlight w:val="none"/>
              </w:rPr>
            </w:pPr>
            <w:r>
              <w:rPr>
                <w:rFonts w:hint="eastAsia" w:ascii="仿宋" w:hAnsi="仿宋" w:eastAsia="仿宋" w:cs="仿宋"/>
                <w:color w:val="auto"/>
                <w:sz w:val="18"/>
                <w:szCs w:val="18"/>
                <w:highlight w:val="none"/>
                <w:lang w:val="en-US" w:eastAsia="zh-CN"/>
              </w:rPr>
              <w:t>对生成的文档进行巡检，删除冗余数据，保证生成的文档均是有效数据。</w:t>
            </w:r>
          </w:p>
        </w:tc>
      </w:tr>
    </w:tbl>
    <w:p>
      <w:pPr>
        <w:pStyle w:val="6"/>
        <w:numPr>
          <w:ilvl w:val="0"/>
          <w:numId w:val="0"/>
        </w:numPr>
        <w:tabs>
          <w:tab w:val="left" w:pos="720"/>
          <w:tab w:val="left" w:pos="1006"/>
        </w:tabs>
        <w:ind w:left="864" w:leftChars="0" w:hanging="864" w:firstLineChars="0"/>
        <w:rPr>
          <w:rFonts w:hint="eastAsia" w:ascii="仿宋" w:hAnsi="仿宋" w:eastAsia="仿宋" w:cs="仿宋"/>
          <w:color w:val="auto"/>
          <w:kern w:val="2"/>
          <w:highlight w:val="none"/>
          <w:lang w:bidi="ar"/>
        </w:rPr>
      </w:pPr>
      <w:r>
        <w:rPr>
          <w:rFonts w:hint="eastAsia" w:ascii="仿宋" w:hAnsi="仿宋" w:eastAsia="仿宋" w:cs="仿宋"/>
          <w:b/>
          <w:bCs/>
          <w:color w:val="auto"/>
          <w:kern w:val="2"/>
          <w:sz w:val="24"/>
          <w:szCs w:val="20"/>
          <w:highlight w:val="none"/>
          <w:lang w:val="en-US" w:eastAsia="zh-CN" w:bidi="ar"/>
        </w:rPr>
        <w:t>3.3.3.5</w:t>
      </w:r>
      <w:r>
        <w:rPr>
          <w:rFonts w:hint="eastAsia" w:ascii="仿宋" w:hAnsi="仿宋" w:eastAsia="仿宋" w:cs="仿宋"/>
          <w:color w:val="auto"/>
          <w:highlight w:val="none"/>
        </w:rPr>
        <w:t>互联互通指标</w:t>
      </w:r>
    </w:p>
    <w:p>
      <w:pPr>
        <w:pStyle w:val="148"/>
        <w:rPr>
          <w:rFonts w:hint="eastAsia" w:ascii="仿宋" w:hAnsi="仿宋" w:eastAsia="仿宋" w:cs="仿宋"/>
          <w:color w:val="auto"/>
          <w:sz w:val="24"/>
          <w:highlight w:val="none"/>
          <w:lang w:bidi="ar"/>
        </w:rPr>
      </w:pPr>
      <w:r>
        <w:rPr>
          <w:rFonts w:hint="eastAsia" w:ascii="仿宋" w:hAnsi="仿宋" w:eastAsia="仿宋" w:cs="仿宋"/>
          <w:color w:val="auto"/>
          <w:kern w:val="2"/>
          <w:highlight w:val="none"/>
          <w:lang w:bidi="ar"/>
        </w:rPr>
        <w:t>互联互通标准化建设主要是针对基于电子病历的医院信息平台或信息管理系统在互联互通标准化方面的测评，互联互通服务建设，投标方需满足国家互联互通测评五级要求标准。相应指标标准包括且不限于如下内容：</w:t>
      </w:r>
    </w:p>
    <w:p>
      <w:pPr>
        <w:pStyle w:val="154"/>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支持标准知识库内置管理。</w:t>
      </w:r>
    </w:p>
    <w:p>
      <w:pPr>
        <w:pStyle w:val="154"/>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支持内置国家标准校验规则，支持可视化共享文档管理模板。</w:t>
      </w:r>
    </w:p>
    <w:p>
      <w:pPr>
        <w:pStyle w:val="154"/>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支持源数据智能调试。</w:t>
      </w:r>
    </w:p>
    <w:p>
      <w:pPr>
        <w:pStyle w:val="154"/>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支持非标数据与标准数据之间转换调试，数据组装环节定位清晰。</w:t>
      </w:r>
    </w:p>
    <w:p>
      <w:pPr>
        <w:pStyle w:val="154"/>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支持标准数据交互转化。</w:t>
      </w:r>
    </w:p>
    <w:p>
      <w:pPr>
        <w:pStyle w:val="154"/>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支持与主数据映射功能一体化集成，院标到国标的标准化转换。</w:t>
      </w:r>
    </w:p>
    <w:p>
      <w:pPr>
        <w:pStyle w:val="154"/>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支持共享文档生成调阅。</w:t>
      </w:r>
    </w:p>
    <w:p>
      <w:pPr>
        <w:pStyle w:val="154"/>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支持共享文档标准化模板生成。</w:t>
      </w:r>
    </w:p>
    <w:p>
      <w:pPr>
        <w:pStyle w:val="154"/>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支持共享文档文档浏览、检索和调阅功能。</w:t>
      </w:r>
    </w:p>
    <w:p>
      <w:pPr>
        <w:pStyle w:val="154"/>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支持跨系统间调阅浏览。</w:t>
      </w:r>
    </w:p>
    <w:p>
      <w:pPr>
        <w:pStyle w:val="154"/>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支持第三方文档文档导入，并支持文档规范性校验。</w:t>
      </w:r>
    </w:p>
    <w:p>
      <w:pPr>
        <w:pStyle w:val="154"/>
        <w:spacing w:line="360" w:lineRule="auto"/>
        <w:ind w:left="0" w:right="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支持文档内容解析并通过前端界面可视化、结构化的展示。</w:t>
      </w:r>
    </w:p>
    <w:p>
      <w:pPr>
        <w:pStyle w:val="154"/>
        <w:spacing w:line="360" w:lineRule="auto"/>
        <w:ind w:left="0" w:right="0" w:firstLine="480"/>
        <w:rPr>
          <w:rFonts w:hint="eastAsia" w:ascii="仿宋" w:hAnsi="仿宋" w:eastAsia="仿宋" w:cs="仿宋"/>
          <w:color w:val="auto"/>
          <w:highlight w:val="none"/>
        </w:rPr>
      </w:pPr>
      <w:r>
        <w:rPr>
          <w:rFonts w:hint="eastAsia" w:ascii="仿宋" w:hAnsi="仿宋" w:eastAsia="仿宋" w:cs="仿宋"/>
          <w:color w:val="auto"/>
          <w:sz w:val="24"/>
          <w:highlight w:val="none"/>
        </w:rPr>
        <w:t>支持CDA文档命名自定义参数配置。</w:t>
      </w:r>
    </w:p>
    <w:p>
      <w:pPr>
        <w:pStyle w:val="6"/>
        <w:numPr>
          <w:ilvl w:val="0"/>
          <w:numId w:val="0"/>
        </w:numPr>
        <w:tabs>
          <w:tab w:val="left" w:pos="720"/>
          <w:tab w:val="left" w:pos="1006"/>
        </w:tabs>
        <w:ind w:left="864" w:leftChars="0" w:hanging="864" w:firstLineChars="0"/>
        <w:rPr>
          <w:rFonts w:hint="eastAsia" w:ascii="仿宋" w:hAnsi="仿宋" w:eastAsia="仿宋" w:cs="仿宋"/>
          <w:color w:val="auto"/>
          <w:sz w:val="24"/>
          <w:highlight w:val="none"/>
        </w:rPr>
      </w:pPr>
      <w:r>
        <w:rPr>
          <w:rFonts w:hint="eastAsia" w:ascii="仿宋" w:hAnsi="仿宋" w:eastAsia="仿宋" w:cs="仿宋"/>
          <w:b/>
          <w:bCs/>
          <w:color w:val="auto"/>
          <w:sz w:val="24"/>
          <w:szCs w:val="20"/>
          <w:highlight w:val="none"/>
          <w:lang w:val="en-US" w:eastAsia="zh-CN" w:bidi="hi-IN"/>
        </w:rPr>
        <w:t>3.3.3.6</w:t>
      </w:r>
      <w:r>
        <w:rPr>
          <w:rFonts w:hint="eastAsia" w:ascii="仿宋" w:hAnsi="仿宋" w:eastAsia="仿宋" w:cs="仿宋"/>
          <w:color w:val="auto"/>
          <w:highlight w:val="none"/>
        </w:rPr>
        <w:t>智能报表工具</w:t>
      </w:r>
    </w:p>
    <w:p>
      <w:pPr>
        <w:spacing w:line="360" w:lineRule="auto"/>
        <w:ind w:left="0" w:right="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1.系统要求</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1)支持多种数据库和类型，并提供了异构数据源模型，使得同一张报表的数据可以来源于同一数据库的多个不同表，或多个不同数据库。</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2)支持自主研发 H5 图表，14种图表大类和超过 50 种图表样式。</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3)支持响应式布局，组件独立自由刷新，适用于构建管理驾驶舱。</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4)支持多维数据钻取、组合钻取、层次钻取、多维数据分析、及时分析。</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5)支持可视化参数配置，丰富的参数控件，自定义各类高级数据筛查。</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6)支持所有主流的打印方式以及excel输出类型。</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8)支持大屏幕上的数据化管理驾驶舱。</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9)支持对报表、用户、权限等统一访问、集中管理、分类维护。</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10)对于常规任务，支持设置定时调度，服务器自动生成报表并发送。</w:t>
      </w:r>
    </w:p>
    <w:p>
      <w:pPr>
        <w:spacing w:line="360" w:lineRule="auto"/>
        <w:ind w:left="42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11)支持丰富的权限认证方式和细致的权限粒度控制方案 , 更可方便实现单点登录。</w:t>
      </w:r>
    </w:p>
    <w:p>
      <w:pPr>
        <w:spacing w:line="360" w:lineRule="auto"/>
        <w:ind w:left="420" w:right="0" w:firstLine="0"/>
        <w:rPr>
          <w:rFonts w:hint="eastAsia" w:ascii="仿宋" w:hAnsi="仿宋" w:eastAsia="仿宋" w:cs="仿宋"/>
          <w:b/>
          <w:bCs/>
          <w:color w:val="auto"/>
          <w:sz w:val="18"/>
          <w:szCs w:val="18"/>
          <w:highlight w:val="none"/>
        </w:rPr>
      </w:pPr>
      <w:r>
        <w:rPr>
          <w:rFonts w:hint="eastAsia" w:ascii="仿宋" w:hAnsi="仿宋" w:eastAsia="仿宋" w:cs="仿宋"/>
          <w:color w:val="auto"/>
          <w:sz w:val="24"/>
          <w:highlight w:val="none"/>
        </w:rPr>
        <w:t>12)安全管理方面，支持修补漏洞，主动防御。</w:t>
      </w:r>
    </w:p>
    <w:p>
      <w:pPr>
        <w:spacing w:line="360" w:lineRule="auto"/>
        <w:ind w:left="0" w:right="0" w:firstLine="42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2.功能要求</w:t>
      </w:r>
    </w:p>
    <w:tbl>
      <w:tblPr>
        <w:tblStyle w:val="38"/>
        <w:tblW w:w="0" w:type="auto"/>
        <w:jc w:val="center"/>
        <w:tblLayout w:type="fixed"/>
        <w:tblCellMar>
          <w:top w:w="0" w:type="dxa"/>
          <w:left w:w="108" w:type="dxa"/>
          <w:bottom w:w="0" w:type="dxa"/>
          <w:right w:w="108" w:type="dxa"/>
        </w:tblCellMar>
      </w:tblPr>
      <w:tblGrid>
        <w:gridCol w:w="1048"/>
        <w:gridCol w:w="1313"/>
        <w:gridCol w:w="6144"/>
      </w:tblGrid>
      <w:tr>
        <w:tblPrEx>
          <w:tblCellMar>
            <w:top w:w="0" w:type="dxa"/>
            <w:left w:w="108" w:type="dxa"/>
            <w:bottom w:w="0" w:type="dxa"/>
            <w:right w:w="108" w:type="dxa"/>
          </w:tblCellMar>
        </w:tblPrEx>
        <w:trPr>
          <w:trHeight w:val="90" w:hRule="atLeast"/>
          <w:jc w:val="center"/>
        </w:trPr>
        <w:tc>
          <w:tcPr>
            <w:tcW w:w="2361" w:type="dxa"/>
            <w:gridSpan w:val="2"/>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功能列表</w:t>
            </w:r>
          </w:p>
        </w:tc>
        <w:tc>
          <w:tcPr>
            <w:tcW w:w="6144"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功能要求</w:t>
            </w:r>
          </w:p>
        </w:tc>
      </w:tr>
      <w:tr>
        <w:tblPrEx>
          <w:tblCellMar>
            <w:top w:w="0" w:type="dxa"/>
            <w:left w:w="108" w:type="dxa"/>
            <w:bottom w:w="0" w:type="dxa"/>
            <w:right w:w="108" w:type="dxa"/>
          </w:tblCellMar>
        </w:tblPrEx>
        <w:trPr>
          <w:trHeight w:val="90"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后台工具</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仪表板</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仪表板主要用于生成PC端数据分析工具，包含可视化配置、自动发布、一键拷贝等功能。</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移动仪表板</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移动仪表板配置方式与仪表板 使用同一套数据源。可保证移动端和PC端数据的一致性。</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自定义报表</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当自助式分析报表无法满足用户需求时，可通过自定义查询报表配置界面，配置相应的SQL脚本、参数即可完成数据的查询需求</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分析报告</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支持月报、周报、日报模板制作，编辑好模版后，定期、定时自动推送上述报告。</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多维度配置分析</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用户通过自助数据分析界面，通过拖拽的方式即可实现不同的指标的多维分析</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数据集管理</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支持统一配置数据集，支持仪表板或其他组件中使用的数据集及数据集使用频次的查询统计。</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指标管理</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国家、省市出台的相关指标政策，结合行业内相关业务指标，遵循相同的指标定义格式，梳理整合一套适用于多种评审条件下的指标体系。每个指标从基本信息、配置信息到配置方式都遵从一套完整的定义结构，同时与相关规范相映射，严格管理指标出处，规范指标定义，科学搭建全院指标体系。</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指标录入配置</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对于无法在业务系统通过脚本的形式统计到的指标，提供人为的录入配置功能</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指标录入</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提供指标录入模板，固定周期录入的指标可以按照模板进行指标录入</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目标值录入</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对于配置了有目标值的指标，提供目标值录入功能。录入方式与指标录入方式基本相似。</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指标规范管理</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支持对国家、省、市的医疗规范查询预览，支持指标与国家规范对应关系。</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指标来源分析</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支持查看指标来源于哪些表，支持反向查看表、字段被哪些指标所使用</w:t>
            </w:r>
          </w:p>
        </w:tc>
      </w:tr>
      <w:tr>
        <w:tblPrEx>
          <w:tblCellMar>
            <w:top w:w="0" w:type="dxa"/>
            <w:left w:w="108" w:type="dxa"/>
            <w:bottom w:w="0" w:type="dxa"/>
            <w:right w:w="108" w:type="dxa"/>
          </w:tblCellMar>
        </w:tblPrEx>
        <w:trPr>
          <w:trHeight w:val="90"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PC端数据分析</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仪表板展示</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年、月、周三个时间维度切换；支持院区、二级科室、三级科室的三级联动；支持读取权限、指标访问设置；支持科室、医疗组等维度切换；支持图例放大展示；支持指标按照固定路径进行下钻，一直到患者详情，支持查看指标标的明细数据；支持指标分析界面的自助分析。</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自定义报表</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支持报表的实时查询、离线查询以及 查询后数据导出</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在线分析                  </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支持自定义分析主题、主题内自定义多指标分析、支持分析模版制定和保存、图例切换；支持仪表盘导出</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医疗指标分析</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支持医疗指标列表展示医疗指标，支持对指标进行快速检索并定位到需要看的指标，支持指标的本月数据、本年数据统计</w:t>
            </w:r>
          </w:p>
        </w:tc>
      </w:tr>
      <w:tr>
        <w:tblPrEx>
          <w:tblCellMar>
            <w:top w:w="0" w:type="dxa"/>
            <w:left w:w="108" w:type="dxa"/>
            <w:bottom w:w="0" w:type="dxa"/>
            <w:right w:w="108" w:type="dxa"/>
          </w:tblCellMar>
        </w:tblPrEx>
        <w:trPr>
          <w:trHeight w:val="90" w:hRule="atLeast"/>
          <w:jc w:val="center"/>
        </w:trPr>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移动端数据分析</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移动端仪表板</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支持年、月、周时间维度快速切换；支持维度配置，如定位到二级科室、三级科室；支持多仪表板快速切换</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分析报告</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支持展示运营分析简报</w:t>
            </w:r>
          </w:p>
        </w:tc>
      </w:tr>
      <w:tr>
        <w:tblPrEx>
          <w:tblCellMar>
            <w:top w:w="0" w:type="dxa"/>
            <w:left w:w="108" w:type="dxa"/>
            <w:bottom w:w="0" w:type="dxa"/>
            <w:right w:w="108" w:type="dxa"/>
          </w:tblCellMar>
        </w:tblPrEx>
        <w:trPr>
          <w:trHeight w:val="90" w:hRule="atLeast"/>
          <w:jc w:val="center"/>
        </w:trPr>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指标分析</w:t>
            </w:r>
          </w:p>
        </w:tc>
        <w:tc>
          <w:tcPr>
            <w:tcW w:w="6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同PC端指标分析</w:t>
            </w:r>
          </w:p>
        </w:tc>
      </w:tr>
    </w:tbl>
    <w:p>
      <w:pPr>
        <w:pStyle w:val="6"/>
        <w:numPr>
          <w:ilvl w:val="0"/>
          <w:numId w:val="0"/>
        </w:numPr>
        <w:tabs>
          <w:tab w:val="left" w:pos="720"/>
          <w:tab w:val="left" w:pos="1006"/>
        </w:tabs>
        <w:ind w:left="864" w:leftChars="0" w:hanging="86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bidi="hi-IN"/>
        </w:rPr>
        <w:t>3.3.3.7</w:t>
      </w:r>
      <w:r>
        <w:rPr>
          <w:rFonts w:hint="eastAsia" w:ascii="仿宋" w:hAnsi="仿宋" w:eastAsia="仿宋" w:cs="仿宋"/>
          <w:color w:val="auto"/>
          <w:sz w:val="24"/>
          <w:szCs w:val="24"/>
          <w:highlight w:val="none"/>
        </w:rPr>
        <w:t>运营决策平台</w:t>
      </w:r>
    </w:p>
    <w:p>
      <w:pPr>
        <w:spacing w:line="360" w:lineRule="auto"/>
        <w:ind w:left="0" w:right="0"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能够根据医院运营决策团队的需求和指标建立相关模型和指标进行分析和处理，并能够将分析处理结果以图形化的方式展示出来。具体功能维度包括且不限于如下指标：</w:t>
      </w:r>
    </w:p>
    <w:tbl>
      <w:tblPr>
        <w:tblStyle w:val="38"/>
        <w:tblW w:w="0" w:type="auto"/>
        <w:jc w:val="center"/>
        <w:tblLayout w:type="fixed"/>
        <w:tblCellMar>
          <w:top w:w="0" w:type="dxa"/>
          <w:left w:w="108" w:type="dxa"/>
          <w:bottom w:w="0" w:type="dxa"/>
          <w:right w:w="108" w:type="dxa"/>
        </w:tblCellMar>
      </w:tblPr>
      <w:tblGrid>
        <w:gridCol w:w="2123"/>
        <w:gridCol w:w="6616"/>
      </w:tblGrid>
      <w:tr>
        <w:tblPrEx>
          <w:tblCellMar>
            <w:top w:w="0" w:type="dxa"/>
            <w:left w:w="108" w:type="dxa"/>
            <w:bottom w:w="0" w:type="dxa"/>
            <w:right w:w="108" w:type="dxa"/>
          </w:tblCellMar>
        </w:tblPrEx>
        <w:trPr>
          <w:trHeight w:val="90" w:hRule="atLeast"/>
          <w:jc w:val="center"/>
        </w:trPr>
        <w:tc>
          <w:tcPr>
            <w:tcW w:w="212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pStyle w:val="156"/>
              <w:spacing w:before="0" w:after="0" w:line="240" w:lineRule="auto"/>
              <w:jc w:val="center"/>
              <w:rPr>
                <w:rFonts w:hint="eastAsia" w:ascii="仿宋" w:hAnsi="仿宋" w:eastAsia="仿宋" w:cs="仿宋"/>
                <w:color w:val="auto"/>
                <w:sz w:val="24"/>
                <w:szCs w:val="24"/>
                <w:highlight w:val="none"/>
              </w:rPr>
            </w:pPr>
            <w:bookmarkStart w:id="366" w:name="OLE_LINK23"/>
            <w:bookmarkEnd w:id="366"/>
            <w:bookmarkStart w:id="367" w:name="_Toc4705"/>
            <w:bookmarkStart w:id="368" w:name="_Toc23988"/>
            <w:r>
              <w:rPr>
                <w:rFonts w:hint="eastAsia" w:ascii="仿宋" w:hAnsi="仿宋" w:eastAsia="仿宋" w:cs="仿宋"/>
                <w:color w:val="auto"/>
                <w:sz w:val="24"/>
                <w:szCs w:val="24"/>
                <w:highlight w:val="none"/>
                <w:lang w:val="en-US" w:eastAsia="zh-CN"/>
              </w:rPr>
              <w:t>功能名称</w:t>
            </w:r>
            <w:bookmarkEnd w:id="367"/>
            <w:bookmarkEnd w:id="368"/>
          </w:p>
        </w:tc>
        <w:tc>
          <w:tcPr>
            <w:tcW w:w="6616"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ind w:left="0" w:right="0" w:firstLine="361"/>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需求说明与参数要求</w:t>
            </w:r>
          </w:p>
        </w:tc>
      </w:tr>
      <w:tr>
        <w:tblPrEx>
          <w:tblCellMar>
            <w:top w:w="0" w:type="dxa"/>
            <w:left w:w="108" w:type="dxa"/>
            <w:bottom w:w="0" w:type="dxa"/>
            <w:right w:w="108" w:type="dxa"/>
          </w:tblCellMar>
        </w:tblPrEx>
        <w:trPr>
          <w:trHeight w:val="90" w:hRule="atLeast"/>
          <w:jc w:val="center"/>
        </w:trPr>
        <w:tc>
          <w:tcPr>
            <w:tcW w:w="2123" w:type="dxa"/>
            <w:tcBorders>
              <w:top w:val="single" w:color="000000" w:sz="4" w:space="0"/>
              <w:left w:val="single" w:color="000000" w:sz="4" w:space="0"/>
              <w:bottom w:val="single" w:color="000000" w:sz="4" w:space="0"/>
              <w:right w:val="single" w:color="000000" w:sz="4" w:space="0"/>
            </w:tcBorders>
            <w:noWrap w:val="0"/>
            <w:vAlign w:val="center"/>
          </w:tcPr>
          <w:p>
            <w:pPr>
              <w:pStyle w:val="156"/>
              <w:spacing w:before="0" w:after="0" w:line="240" w:lineRule="auto"/>
              <w:jc w:val="center"/>
              <w:rPr>
                <w:rFonts w:hint="eastAsia" w:ascii="仿宋" w:hAnsi="仿宋" w:eastAsia="仿宋" w:cs="仿宋"/>
                <w:color w:val="auto"/>
                <w:sz w:val="24"/>
                <w:szCs w:val="24"/>
                <w:highlight w:val="none"/>
              </w:rPr>
            </w:pPr>
            <w:bookmarkStart w:id="369" w:name="_Toc20610"/>
            <w:bookmarkStart w:id="370" w:name="_Toc566"/>
            <w:r>
              <w:rPr>
                <w:rFonts w:hint="eastAsia" w:ascii="仿宋" w:hAnsi="仿宋" w:eastAsia="仿宋" w:cs="仿宋"/>
                <w:b w:val="0"/>
                <w:bCs/>
                <w:color w:val="auto"/>
                <w:sz w:val="24"/>
                <w:szCs w:val="24"/>
                <w:highlight w:val="none"/>
                <w:lang w:val="en-US" w:eastAsia="zh-CN"/>
              </w:rPr>
              <w:t>院长决策支持系统</w:t>
            </w:r>
            <w:bookmarkEnd w:id="369"/>
            <w:bookmarkEnd w:id="370"/>
          </w:p>
        </w:tc>
        <w:tc>
          <w:tcPr>
            <w:tcW w:w="66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通过</w:t>
            </w:r>
            <w:bookmarkStart w:id="371" w:name="OLE_LINK20"/>
            <w:r>
              <w:rPr>
                <w:rFonts w:hint="eastAsia" w:ascii="仿宋" w:hAnsi="仿宋" w:eastAsia="仿宋" w:cs="仿宋"/>
                <w:b w:val="0"/>
                <w:bCs w:val="0"/>
                <w:color w:val="auto"/>
                <w:sz w:val="24"/>
                <w:szCs w:val="24"/>
                <w:highlight w:val="none"/>
              </w:rPr>
              <w:t>动态图形化</w:t>
            </w:r>
            <w:bookmarkEnd w:id="371"/>
            <w:bookmarkStart w:id="372" w:name="OLE_LINK22"/>
            <w:r>
              <w:rPr>
                <w:rFonts w:hint="eastAsia" w:ascii="仿宋" w:hAnsi="仿宋" w:eastAsia="仿宋" w:cs="仿宋"/>
                <w:b w:val="0"/>
                <w:bCs w:val="0"/>
                <w:color w:val="auto"/>
                <w:sz w:val="24"/>
                <w:szCs w:val="24"/>
                <w:highlight w:val="none"/>
              </w:rPr>
              <w:t>模式</w:t>
            </w:r>
            <w:bookmarkEnd w:id="372"/>
            <w:r>
              <w:rPr>
                <w:rFonts w:hint="eastAsia" w:ascii="仿宋" w:hAnsi="仿宋" w:eastAsia="仿宋" w:cs="仿宋"/>
                <w:b w:val="0"/>
                <w:bCs w:val="0"/>
                <w:color w:val="auto"/>
                <w:sz w:val="24"/>
                <w:szCs w:val="24"/>
                <w:highlight w:val="none"/>
              </w:rPr>
              <w:t>给院长一个完整的医院管理指标概述，概述中含有各类指标横向、纵向、基值对比，然后根据管理专题或者单指标进行钻取，实现院级、科室组、科室、医疗组、医生、患者的多层级数据查看及原因分析、也可以从病种、手术、医嘱、药品等方面查看各类指标的对比情况；</w:t>
            </w:r>
          </w:p>
          <w:p>
            <w:pPr>
              <w:ind w:left="0" w:right="0" w:firstLine="36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功能要求：</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1）面向领导者</w:t>
            </w:r>
            <w:bookmarkStart w:id="373" w:name="OLE_LINK21"/>
            <w:r>
              <w:rPr>
                <w:rFonts w:hint="eastAsia" w:ascii="仿宋" w:hAnsi="仿宋" w:eastAsia="仿宋" w:cs="仿宋"/>
                <w:b w:val="0"/>
                <w:bCs w:val="0"/>
                <w:color w:val="auto"/>
                <w:sz w:val="24"/>
                <w:szCs w:val="24"/>
                <w:highlight w:val="none"/>
              </w:rPr>
              <w:t>全方位动态图形化展示</w:t>
            </w:r>
            <w:bookmarkEnd w:id="373"/>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2）门诊、住院实时数据监测</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3）管理专题--门诊专题、住院专题</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4）标准专题--收入专题、医疗服务、工作负荷、工作效率、医疗质量、患者安全、合理用药、患者负荷、病种指标、病种运营、重症医学质量监控、抗菌药物、临床路径质控。</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5）医院管理专题--医保控费、门诊就诊时间、药房药库分析、大处方、高值耗材</w:t>
            </w:r>
          </w:p>
        </w:tc>
      </w:tr>
      <w:tr>
        <w:tblPrEx>
          <w:tblCellMar>
            <w:top w:w="0" w:type="dxa"/>
            <w:left w:w="108" w:type="dxa"/>
            <w:bottom w:w="0" w:type="dxa"/>
            <w:right w:w="108" w:type="dxa"/>
          </w:tblCellMar>
        </w:tblPrEx>
        <w:trPr>
          <w:trHeight w:val="90" w:hRule="atLeast"/>
          <w:jc w:val="center"/>
        </w:trPr>
        <w:tc>
          <w:tcPr>
            <w:tcW w:w="2123" w:type="dxa"/>
            <w:tcBorders>
              <w:top w:val="single" w:color="000000" w:sz="4" w:space="0"/>
              <w:left w:val="single" w:color="000000" w:sz="4" w:space="0"/>
              <w:bottom w:val="single" w:color="000000" w:sz="4" w:space="0"/>
              <w:right w:val="single" w:color="000000" w:sz="4" w:space="0"/>
            </w:tcBorders>
            <w:noWrap w:val="0"/>
            <w:vAlign w:val="center"/>
          </w:tcPr>
          <w:p>
            <w:pPr>
              <w:pStyle w:val="156"/>
              <w:spacing w:before="0" w:after="0" w:line="240" w:lineRule="auto"/>
              <w:jc w:val="center"/>
              <w:rPr>
                <w:rFonts w:hint="eastAsia" w:ascii="仿宋" w:hAnsi="仿宋" w:eastAsia="仿宋" w:cs="仿宋"/>
                <w:color w:val="auto"/>
                <w:sz w:val="24"/>
                <w:szCs w:val="24"/>
                <w:highlight w:val="none"/>
              </w:rPr>
            </w:pPr>
            <w:bookmarkStart w:id="374" w:name="_Toc22022"/>
            <w:bookmarkStart w:id="375" w:name="_Toc22825"/>
            <w:r>
              <w:rPr>
                <w:rFonts w:hint="eastAsia" w:ascii="仿宋" w:hAnsi="仿宋" w:eastAsia="仿宋" w:cs="仿宋"/>
                <w:b w:val="0"/>
                <w:bCs/>
                <w:color w:val="auto"/>
                <w:sz w:val="24"/>
                <w:szCs w:val="24"/>
                <w:highlight w:val="none"/>
                <w:lang w:val="en-US" w:eastAsia="zh-CN"/>
              </w:rPr>
              <w:t>管理部门决策支持系统</w:t>
            </w:r>
            <w:bookmarkEnd w:id="374"/>
            <w:bookmarkEnd w:id="375"/>
          </w:p>
        </w:tc>
        <w:tc>
          <w:tcPr>
            <w:tcW w:w="6616"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应对就诊高峰、提升挂号预约机制、合理分配资源、合理利用专家资源。目的都是为了满足门诊就医需求，缓解就医难，提高患者就医的诊疗水平。</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应至少包括如下功能要求：</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面向管理全</w:t>
            </w:r>
            <w:r>
              <w:rPr>
                <w:rFonts w:hint="eastAsia" w:ascii="仿宋" w:hAnsi="仿宋" w:eastAsia="仿宋" w:cs="仿宋"/>
                <w:b w:val="0"/>
                <w:bCs/>
                <w:color w:val="auto"/>
                <w:sz w:val="24"/>
                <w:szCs w:val="24"/>
                <w:highlight w:val="none"/>
              </w:rPr>
              <w:t>方位动态图形化</w:t>
            </w:r>
            <w:r>
              <w:rPr>
                <w:rFonts w:hint="eastAsia" w:ascii="仿宋" w:hAnsi="仿宋" w:eastAsia="仿宋" w:cs="仿宋"/>
                <w:color w:val="auto"/>
                <w:sz w:val="24"/>
                <w:szCs w:val="24"/>
                <w:highlight w:val="none"/>
              </w:rPr>
              <w:t>展示</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挂号构成分析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科室挂号分析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医生挂号分析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医生出诊情况分析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挂号年（月、日）趋势分析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挂号峰值分析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挂号同期比分析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挂号环比分析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10)挂号累计比分析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11)预约挂号率、预约类型、出院复诊预约率评价分析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12)科室预约诊疗情况、医生预约诊疗情况分析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13)患者就诊年龄、性别、 患者类型、服务半径等等增长趋势分析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14)门诊缴费方式评价分析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15)大型仪器检查阳性率环比、同期比分析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16)检查申请单合格率环比、同期比分析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17)各项检查报告时限环比、同期比分析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18)门诊满意度评价分析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19)各项检查等待时间环比、同期比分析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20)门诊取药、化验抽血等待时间评价分析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21)挂号候诊等待时间环比、同期比分析</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22)门诊日志实时监测</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23)门诊病历缺项的科室及医生的评价分析</w:t>
            </w:r>
          </w:p>
        </w:tc>
      </w:tr>
      <w:tr>
        <w:tblPrEx>
          <w:tblCellMar>
            <w:top w:w="0" w:type="dxa"/>
            <w:left w:w="108" w:type="dxa"/>
            <w:bottom w:w="0" w:type="dxa"/>
            <w:right w:w="108" w:type="dxa"/>
          </w:tblCellMar>
        </w:tblPrEx>
        <w:trPr>
          <w:trHeight w:val="90" w:hRule="atLeast"/>
          <w:jc w:val="center"/>
        </w:trPr>
        <w:tc>
          <w:tcPr>
            <w:tcW w:w="2123" w:type="dxa"/>
            <w:tcBorders>
              <w:top w:val="single" w:color="000000" w:sz="4" w:space="0"/>
              <w:left w:val="single" w:color="000000" w:sz="4" w:space="0"/>
              <w:bottom w:val="single" w:color="000000" w:sz="4" w:space="0"/>
              <w:right w:val="single" w:color="000000" w:sz="4" w:space="0"/>
            </w:tcBorders>
            <w:noWrap w:val="0"/>
            <w:vAlign w:val="center"/>
          </w:tcPr>
          <w:p>
            <w:pPr>
              <w:pStyle w:val="156"/>
              <w:spacing w:before="0" w:after="0" w:line="240" w:lineRule="auto"/>
              <w:jc w:val="center"/>
              <w:rPr>
                <w:rFonts w:hint="eastAsia" w:ascii="仿宋" w:hAnsi="仿宋" w:eastAsia="仿宋" w:cs="仿宋"/>
                <w:color w:val="auto"/>
                <w:sz w:val="24"/>
                <w:szCs w:val="24"/>
                <w:highlight w:val="none"/>
              </w:rPr>
            </w:pPr>
            <w:bookmarkStart w:id="376" w:name="_Toc98"/>
            <w:bookmarkStart w:id="377" w:name="_Toc22508"/>
            <w:r>
              <w:rPr>
                <w:rFonts w:hint="eastAsia" w:ascii="仿宋" w:hAnsi="仿宋" w:eastAsia="仿宋" w:cs="仿宋"/>
                <w:b w:val="0"/>
                <w:bCs/>
                <w:color w:val="auto"/>
                <w:sz w:val="24"/>
                <w:szCs w:val="24"/>
                <w:highlight w:val="none"/>
                <w:lang w:val="en-US" w:eastAsia="zh-CN"/>
              </w:rPr>
              <w:t>临床科室主任决策支持系统</w:t>
            </w:r>
            <w:bookmarkEnd w:id="376"/>
            <w:bookmarkEnd w:id="377"/>
          </w:p>
        </w:tc>
        <w:tc>
          <w:tcPr>
            <w:tcW w:w="6616"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r>
              <w:rPr>
                <w:rFonts w:hint="eastAsia" w:ascii="仿宋" w:hAnsi="仿宋" w:eastAsia="仿宋" w:cs="仿宋"/>
                <w:b w:val="0"/>
                <w:bCs w:val="0"/>
                <w:color w:val="auto"/>
                <w:sz w:val="24"/>
                <w:szCs w:val="24"/>
                <w:highlight w:val="none"/>
              </w:rPr>
              <w:t>动态图形化模式</w:t>
            </w:r>
            <w:r>
              <w:rPr>
                <w:rFonts w:hint="eastAsia" w:ascii="仿宋" w:hAnsi="仿宋" w:eastAsia="仿宋" w:cs="仿宋"/>
                <w:color w:val="auto"/>
                <w:sz w:val="24"/>
                <w:szCs w:val="24"/>
                <w:highlight w:val="none"/>
              </w:rPr>
              <w:t>给临床科室主任一个完整的本科室的管理指标概述，概述中含有各类指标横向、纵向、基值对比，然后根据管理专题或者单指标进行钻取，实现院级、科室组、科室、医疗组、医生、患者的多层级数据查看及原因分析、也可以从病种、手术、医嘱、药品等方面查看各类指标的对比情况；</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功能应至少满足如下要求：</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1）面向临床管理者全方位动态图形化展示</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2）门诊、住院实时数据监测</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3）管理专题--门诊专题、住院专题</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4）标准专题--收入专题、医疗服务、工作效率、医疗质量、患者安全、合理用药</w:t>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4）医院管理专题--医保控费、门诊就诊时间、大处方、高值耗材</w:t>
            </w:r>
          </w:p>
        </w:tc>
      </w:tr>
    </w:tbl>
    <w:p>
      <w:pPr>
        <w:spacing w:line="360" w:lineRule="auto"/>
        <w:ind w:left="0" w:right="0" w:firstLine="42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提供成熟的统计指标及其相应算法，包含但不限于以下分析指标：</w:t>
      </w:r>
    </w:p>
    <w:tbl>
      <w:tblPr>
        <w:tblStyle w:val="38"/>
        <w:tblW w:w="0" w:type="auto"/>
        <w:jc w:val="center"/>
        <w:tblLayout w:type="fixed"/>
        <w:tblCellMar>
          <w:top w:w="0" w:type="dxa"/>
          <w:left w:w="108" w:type="dxa"/>
          <w:bottom w:w="0" w:type="dxa"/>
          <w:right w:w="108" w:type="dxa"/>
        </w:tblCellMar>
      </w:tblPr>
      <w:tblGrid>
        <w:gridCol w:w="2131"/>
        <w:gridCol w:w="6503"/>
      </w:tblGrid>
      <w:tr>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pStyle w:val="160"/>
              <w:spacing w:line="240" w:lineRule="auto"/>
              <w:ind w:left="0" w:right="0" w:firstLine="361"/>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指标名称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pStyle w:val="160"/>
              <w:spacing w:line="240" w:lineRule="auto"/>
              <w:ind w:left="0" w:right="0" w:firstLine="361"/>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指标内容</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实际开放床位数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一段时间内的各院各科每日夜晚12点钟开放病床数之总和，不论该床是否被病人占用，都应计算在内。包括因故（如消毒、小修理等）暂时停用的病床，不包括因医院病房扩建、大修理或粉刷而停用的病床及临时增设的病床。</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全院员工总数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全院员工总数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卫生技术人员数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含当年或月医院中的医师数、护理人员数、医技人员数。包括职业医师、职业助理医师、注册护士、药师(士)、检验技师(士)、影像技师(士)、卫生监督员和见习医(药、护、技)师(士)等卫生专业人员。不包括从事管理工作的卫生技术人员(如院长、副院长、党委书记等)</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年门诊人次</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指实际就诊病人的人次数，取消就诊的不统计，即非取消就诊的就诊人次数。一般普通挂号不会关联医生，所以统计挂号人次时应该加上统计就诊人次这一指标。</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年急诊人次</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年急诊人次</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住院入院流量</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住院入院流量指病人住进医院进行治疗或观察的人次数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住院出院流量</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出院人数：指所有住院后出院的人数,包括治愈、好转、未愈、死亡及其他人数。其他人数指正常分娩、未产出院、住院经检查无病出院、未治出院及健康人进行人工流产或绝育手术后正常出院者。</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出院患者占用总床日</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患者占用总床日数：指出院者（包括正常分娩、未产出院、住院经检查无病出院、未治出院及健康人进行人工流产或绝育手术后正常出院者）住院日数的总和。床日数=出院时间-入院时间。(过了每晚12点即按1天统计)</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年住院手术例数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年住院手术例数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出院手术患者总人次</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一定时间段内出院患者中有手术的人数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出院患者平均住院日</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指一定时期内每一出院者平均住院时间的长短，是一个评价医疗效益和效率、医疗质量和技术水平的比较硬性的综合指标。出院者占用总床日数指所有出院人数的住院床日之总和。</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平均每张床位工作日</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平均每张床位工作日</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床位使用率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实际占用总床日数指医院各科每日夜晚12点实际占用病床数(即每日夜晚12点住院人数)总和，包括实际占用的临时加床在内。病人入院后于当晚12点前死亡或因故出院的病人, 作为实际占用床位1天进行统计,同时亦应统计“出院者占用总床日数”1天,入院及出院人数各1人。</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床位周转次数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一段时间内出院人数与开放床位数的比值</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每门诊人次费用（元），其中药费（元）</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每门诊人次费用（元），其中药费（元）</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每住院人次费用（元），其中药费（元）</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每住院人次费用（元），其中药费（元）</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住院重点疾病总例数、死亡例数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重点疾病：十八种</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平均住院日与平均住院费用</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pStyle w:val="160"/>
              <w:spacing w:line="240" w:lineRule="auto"/>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统计一段时间内重点疾病的平均住院日及平均住院费用</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住院重点手术总例数、死亡例数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十八类手术</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平均住院日与平均住院费用</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pStyle w:val="160"/>
              <w:spacing w:line="240" w:lineRule="auto"/>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出院患者重点手术平均住院日及平均住院费用</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抗菌药物处方数/每百张门诊处方</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1.定义：每100张门诊处方中为抗菌药物处方的数量；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2.1个就诊处方人次在多个就诊科室开方、多张处方需合并；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3.抗菌药物的范围：a.包括抗生素类和合成抗菌药物类 b.不包含：植物成分的抗菌药、抗结核病药、抗麻风病药、抗真菌药、抗病毒药、抗寄生虫药、抗皮肤感染药、抗眼科感染药及含庆大霉素、喹诺酮类或其它复方的止泻药；</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注射剂处方数/每百张门诊处方</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1.定义：每100张门诊处方中为注射剂处方的数量；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2.1个就诊处方人次在多个就诊科室开方、多张处方需合并；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3.注射药物范围：不包含：疫苗、溶媒、局麻、封闭、结膜下、球后注射药、皮试液等；</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药费收入占医疗总收入比重</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统计一段时间内医院的药占比情况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抗菌药物占西药出库总金额比重</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抗菌药物占西药出库总金额比重</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每次就诊人均用药品种数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1.算法：就诊用药总品种数/就诊人次；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2.就诊人次：指就诊处方人次。</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就诊使用抗菌药物的百分率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就诊使用抗菌药物的百分率</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就诊使用注射药物的百分率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就诊使用注射药物的百分率</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住院患者人均使用抗菌药物品种数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住院患者人均使用抗菌药物品种数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住院患者人均使用抗菌药物费用</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住院患者人均使用抗菌药物费用</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住院患者使用抗菌药物的百分率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病人使用抗菌药物例数:一个病例中无论其使用了几种抗菌药物（包括不同剂型），都只计为1例使用抗菌药物例数；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住院总死亡率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住院总死亡患者人数与同期出院患者总人次的比率</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手术患者总住院死亡率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手术患者住院死亡人次与同期手术患者出院人次的比率</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住院患者出院31天内再住院率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出院患者31天内因相同或者相关的疾病再次入院发生的比率</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住院患者出院当天再住院率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出院患者当天因相同或者相关的疾病再次入院发生的比率</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住院患者出院2-15天内再住院率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出院患者2-15天内因相同或者相关的疾病再次入院发生的比率</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住院患者出院16-31天内再住院率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出院患者16-31天内因相同或者相关的疾病再次入院发生的比率</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医保超支</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统筹支付:是说的支付的来源渠道是由统筹的基金支付，这部分，医保内的费用是指符合医疗保险规定应当报销的费用包括了门诊和住院的费用，门诊通常由个人账户金额支付，而住院通常是由统筹基金支付。</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 医保定额:把一些经常出现的病种规定费用额度，超出部分由医院负责支付，医保不管</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万元以内超三倍</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定额为万元以内，统计医保超定额三倍的科室、病种、患者等信息</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万元以上超两倍</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定额为万元以上，统计医保超定额两倍的科室、病种、患者等信息</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全院医保患者出院人数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全院出院患者中为医保患者的数量</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全院医保患者住院天数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全院医保患者的住院天数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出院患者中医保患者占比</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全院出院患者中医保患者所占比值</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医保门诊总收入</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门诊总收入中为医保收入的部分</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门诊医保患者次均费用</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统计门诊系统中医保患者每次就诊的平均费用</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门诊医保患者次均药费</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统计门诊系统中医保患者每次就诊的平均药品费用</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医保门诊药占比</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门诊系统中医保患者就诊时药品费用占其总就诊费用的比值</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医保门诊卫材比</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门诊系统中医保患者就诊时卫材费用占其总就诊费用的比值</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医保住院总收入</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住院总收入中为医保收入的部分</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出院医保患者次均费用</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统计住院系统中医保出院患者住院的平均费用</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p>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出院医保患者次均药费</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统计住院系统中医保出院患者住院的平均药品费用</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医保住院药占比</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住院系统中出院医保患者住院时药品费用占其总住院费用的比值</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医保住院卫材比</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住院系统中出院医保患者住院时使用的卫材费用占其总住院费用的比值</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术后并发症例数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有手术，同时有其他诊断符合备注中的ICD编码，且入院病情为无的记录/或者诊断类型为并发症诊断的且有手术记录的患者</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术后并发症率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有手术，同时有其他诊断符合备注中的ICD编码，且入院病情为无的记录/或者诊断类型为并发症诊断的且有手术记录的患者</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临床路径入径人数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统计进入临床路径的患者人数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临床路径覆盖率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统计进入临床路径的患者人数占同期出院人数的比例</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病历召回数量</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电子病历系统中被重新召回的病历数，用以计算病历质量及相关医生的绩效</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病历返修率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电子病历系统中召回病历数所占同期出院人数的比例，用以计算病历质量及相关医生的绩效</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麻醉分级（ＡＳＡ病情分级）管理例数、死亡例数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手麻系统中实施ASA病情分级的所有例数、各级别例数及死亡例数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诊断符合率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统计放射与病理、临床与病理、术前与术后、入院与出院诊断符合情况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入院三日确诊率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统计患者入院三日确诊人数占同期出院人数比例</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治愈好转率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统计出院患者中转归情况为治愈和好转的人数占同期出院人数的比例</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手术（NNIS分级）管理例数、死亡例数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手麻系统中实施NNIS分级的所有例数、各级别例数及死亡例数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无菌手术切口感染率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指出院病人在住院期间施行的属于Ⅰ类切口乙级愈合的手术操作数。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乙级愈合人次指Ⅰ类切口中愈合欠佳，但切口未化脓，如伤口裂开、血肿、积液等,即无菌手术的乙级愈合人数。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无菌手术切口甲级愈合率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指出院病人在住院期间施行的属于Ⅰ类切口甲级愈合的手术操作数。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甲级愈合人次指Ⅰ类切口中愈合优良，没有不良反应的一期愈合,即无菌手术的甲级愈合人数。</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住院手术例数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统计一段时间内每个科室及医生的住院手术例数工作量情况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麻醉例数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统计一段时间内每个科室及医生的麻醉例数工作量情况(包括门诊手术麻醉，及住院手术麻醉)</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处方张数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统计一段时间内每个科室及医生开方张数，检查工作量情况。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医嘱条数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统计一段时间内每个科室及医生开医嘱的数量。</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病理检查例数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病理检查：用以检查机体器官、组织或细胞中的病理改变的病理形态学方法。</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超声检查例数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统计一段时间内每个申请科室及医生的超声波检查例数工作量情况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CT检查例数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统计一段时间内每个科室及医生的CT检查例数工作量情况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核磁共振检查例数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统计一段时间内每个科室及医生的CT检查例数工作量情况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内窥镜检查例数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统计一段时间内每个科室及医生的内窥镜检查例数工作量情况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心电图检查例数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统计一段时间内每个科室及医生心电图例数检查工作量情况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检验例数、检验项数</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统计一段时间内每个申请科室及医生的化验标本数工作量情况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检查阳性率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统计一段时间内每个科室及医生的检查阳性率情况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病种的排名及转归情况</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某种病种出院人数排名及住院总费用排名以及转归情况排名</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某病种三日确诊率</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统计某种疾病三日确诊人数所占同期出院人数的比例</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某病种平均住院日</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某种病种出院患者平均住院日</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某病种平均住院费用及平均药品费用</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某病种出院患者平均住院费用及平均药品费用</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某病种药占比</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统计出院患者中某病种药品住院费用占总住院费用的比例</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某病种手术分析</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统计某种病种手术的例数及详细情况</w:t>
            </w:r>
          </w:p>
        </w:tc>
      </w:tr>
      <w:tr>
        <w:tblPrEx>
          <w:tblCellMar>
            <w:top w:w="0" w:type="dxa"/>
            <w:left w:w="108" w:type="dxa"/>
            <w:bottom w:w="0" w:type="dxa"/>
            <w:right w:w="108" w:type="dxa"/>
          </w:tblCellMar>
        </w:tblPrEx>
        <w:trPr>
          <w:jc w:val="center"/>
        </w:trPr>
        <w:tc>
          <w:tcPr>
            <w:tcW w:w="2131" w:type="dxa"/>
            <w:tcBorders>
              <w:top w:val="single" w:color="000000" w:sz="4" w:space="0"/>
              <w:left w:val="single" w:color="000000" w:sz="4" w:space="0"/>
              <w:bottom w:val="single" w:color="000000" w:sz="4" w:space="0"/>
              <w:right w:val="single" w:color="000000" w:sz="4" w:space="0"/>
            </w:tcBorders>
            <w:noWrap w:val="0"/>
            <w:vAlign w:val="center"/>
          </w:tcPr>
          <w:p>
            <w:pPr>
              <w:ind w:left="0" w:right="0" w:firstLine="3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某病种用药分析</w:t>
            </w:r>
          </w:p>
        </w:tc>
        <w:tc>
          <w:tcPr>
            <w:tcW w:w="65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统计某种病种医生用药的具体情况及效果</w:t>
            </w:r>
          </w:p>
        </w:tc>
      </w:tr>
      <w:bookmarkEnd w:id="365"/>
    </w:tbl>
    <w:p>
      <w:pPr>
        <w:pStyle w:val="6"/>
        <w:numPr>
          <w:ilvl w:val="0"/>
          <w:numId w:val="0"/>
        </w:numPr>
        <w:tabs>
          <w:tab w:val="left" w:pos="720"/>
          <w:tab w:val="left" w:pos="1006"/>
        </w:tabs>
        <w:ind w:left="864" w:leftChars="0" w:hanging="864" w:firstLineChars="0"/>
        <w:rPr>
          <w:rFonts w:hint="eastAsia" w:ascii="仿宋" w:hAnsi="仿宋" w:eastAsia="仿宋" w:cs="仿宋"/>
          <w:color w:val="auto"/>
          <w:kern w:val="2"/>
          <w:highlight w:val="none"/>
          <w:lang w:bidi="ar"/>
        </w:rPr>
      </w:pPr>
      <w:r>
        <w:rPr>
          <w:rFonts w:hint="eastAsia" w:ascii="仿宋" w:hAnsi="仿宋" w:eastAsia="仿宋" w:cs="仿宋"/>
          <w:b/>
          <w:bCs/>
          <w:color w:val="auto"/>
          <w:kern w:val="2"/>
          <w:sz w:val="24"/>
          <w:szCs w:val="20"/>
          <w:highlight w:val="none"/>
          <w:lang w:val="en-US" w:eastAsia="zh-CN" w:bidi="ar"/>
        </w:rPr>
        <w:t>3.3.3.8</w:t>
      </w:r>
      <w:r>
        <w:rPr>
          <w:rFonts w:hint="eastAsia" w:ascii="仿宋" w:hAnsi="仿宋" w:eastAsia="仿宋" w:cs="仿宋"/>
          <w:color w:val="auto"/>
          <w:highlight w:val="none"/>
        </w:rPr>
        <w:t>消息通讯平台</w:t>
      </w:r>
    </w:p>
    <w:p>
      <w:pPr>
        <w:pStyle w:val="148"/>
        <w:rPr>
          <w:rFonts w:hint="eastAsia" w:ascii="仿宋" w:hAnsi="仿宋" w:eastAsia="仿宋" w:cs="仿宋"/>
          <w:color w:val="auto"/>
          <w:kern w:val="2"/>
          <w:sz w:val="24"/>
          <w:highlight w:val="none"/>
          <w:lang w:val="zh-CN" w:bidi="ar"/>
        </w:rPr>
      </w:pPr>
      <w:r>
        <w:rPr>
          <w:rFonts w:hint="eastAsia" w:ascii="仿宋" w:hAnsi="仿宋" w:eastAsia="仿宋" w:cs="仿宋"/>
          <w:color w:val="auto"/>
          <w:kern w:val="2"/>
          <w:highlight w:val="none"/>
          <w:lang w:bidi="ar"/>
        </w:rPr>
        <w:t>提供消息传送引擎，能够提供可靠的消息传送、基于内容的路由、高性能的信息转换、业务规则处理等功能，并同时支持同步和异步交互。消息引擎要求提供可扩展的规则引擎和友好的可视化操作界面，从而实现消息的快速批量查询和订阅，同时，利用强大的对象模型以及高性能的数据和元数据存储，能够确保由不同的应用程序接口、服务、技术和数据来源产生的活动进行清晰透明的集成，此外，还可以实时访问当前和此前用于审计和业务活动监视（BMA）的已处理的信息，还能访问高可靠性和可恢复性得长时间运行的业务流程。</w:t>
      </w:r>
    </w:p>
    <w:p>
      <w:pPr>
        <w:spacing w:line="360" w:lineRule="auto"/>
        <w:rPr>
          <w:rFonts w:hint="eastAsia" w:ascii="仿宋" w:hAnsi="仿宋" w:eastAsia="仿宋" w:cs="仿宋"/>
          <w:color w:val="auto"/>
          <w:kern w:val="2"/>
          <w:sz w:val="24"/>
          <w:highlight w:val="none"/>
          <w:lang w:val="zh-CN" w:bidi="ar"/>
        </w:rPr>
      </w:pPr>
    </w:p>
    <w:tbl>
      <w:tblPr>
        <w:tblStyle w:val="38"/>
        <w:tblW w:w="0" w:type="auto"/>
        <w:jc w:val="center"/>
        <w:tblLayout w:type="fixed"/>
        <w:tblCellMar>
          <w:top w:w="0" w:type="dxa"/>
          <w:left w:w="108" w:type="dxa"/>
          <w:bottom w:w="0" w:type="dxa"/>
          <w:right w:w="108" w:type="dxa"/>
        </w:tblCellMar>
      </w:tblPr>
      <w:tblGrid>
        <w:gridCol w:w="2093"/>
        <w:gridCol w:w="6520"/>
      </w:tblGrid>
      <w:tr>
        <w:trPr>
          <w:jc w:val="center"/>
        </w:trPr>
        <w:tc>
          <w:tcPr>
            <w:tcW w:w="209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tabs>
                <w:tab w:val="left" w:pos="1260"/>
              </w:tabs>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功能名称</w:t>
            </w:r>
          </w:p>
        </w:tc>
        <w:tc>
          <w:tcPr>
            <w:tcW w:w="65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tabs>
                <w:tab w:val="left" w:pos="1260"/>
              </w:tabs>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需求说明与参数要求</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登录</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判断是否为管理员赋予对应操作权限。</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消息统计</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统计今日/历史平台各个途径消息发送数量，并可查看对比单个应用今日和历史消息发送数量以及各个应用消息发送数量。</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消息审批/申请</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普通用户界面上发消息时需要发起消息申请，管理员用户来审批消息申请。</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发送记录</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查询平台消息发送记录和待发送记录。</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消息发送</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设置消息发送的所属应用、发送类型（短信、微信公众号、应用消息或者邮件，可多选）、发送规则（立即发送、定时发送）、选择发送人进行消息发送。</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模板管理</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维护模板分组，对分组内消息模板提供增删改查操作。</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患者通讯录</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维护患者通讯录分组，对患者通讯录信息提供增删改查操作。</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职工通讯录</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维护患职工讯录分组，对职工通讯录信息提供增删改查操作。</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应用配置</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应用的维护与展示，展示内容为应用名称、应用简称、推送方式、创建人、备注。管理员可进行编辑和删除操作。普通用户只能查看。</w:t>
            </w:r>
          </w:p>
        </w:tc>
      </w:tr>
      <w:tr>
        <w:tblPrEx>
          <w:tblCellMar>
            <w:top w:w="0" w:type="dxa"/>
            <w:left w:w="108" w:type="dxa"/>
            <w:bottom w:w="0" w:type="dxa"/>
            <w:right w:w="108" w:type="dxa"/>
          </w:tblCellMar>
        </w:tblPrEx>
        <w:trPr>
          <w:trHeight w:val="331" w:hRule="atLeast"/>
          <w:jc w:val="center"/>
        </w:trPr>
        <w:tc>
          <w:tcPr>
            <w:tcW w:w="20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账号管理</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平台账号的维护与展示，展示当前平台在使用的所有账户信息，内容包含账号、姓名、手机号、所属应用、管理权限。</w:t>
            </w:r>
          </w:p>
        </w:tc>
      </w:tr>
    </w:tbl>
    <w:p>
      <w:pPr>
        <w:pStyle w:val="6"/>
        <w:numPr>
          <w:ilvl w:val="0"/>
          <w:numId w:val="0"/>
        </w:numPr>
        <w:tabs>
          <w:tab w:val="left" w:pos="720"/>
          <w:tab w:val="left" w:pos="1006"/>
        </w:tabs>
        <w:ind w:left="864" w:leftChars="0" w:hanging="864" w:firstLineChars="0"/>
        <w:rPr>
          <w:rFonts w:hint="eastAsia" w:ascii="仿宋" w:hAnsi="仿宋" w:eastAsia="仿宋" w:cs="仿宋"/>
          <w:color w:val="auto"/>
          <w:sz w:val="24"/>
          <w:highlight w:val="none"/>
          <w:lang w:bidi="ar"/>
        </w:rPr>
      </w:pPr>
      <w:bookmarkStart w:id="378" w:name="OLE_LINK10"/>
      <w:r>
        <w:rPr>
          <w:rFonts w:hint="eastAsia" w:ascii="仿宋" w:hAnsi="仿宋" w:eastAsia="仿宋" w:cs="仿宋"/>
          <w:b/>
          <w:bCs/>
          <w:color w:val="auto"/>
          <w:sz w:val="24"/>
          <w:szCs w:val="20"/>
          <w:highlight w:val="none"/>
          <w:lang w:val="en-US" w:eastAsia="zh-CN" w:bidi="ar"/>
        </w:rPr>
        <w:t>3.3.3.9</w:t>
      </w:r>
      <w:r>
        <w:rPr>
          <w:rFonts w:hint="eastAsia" w:ascii="仿宋" w:hAnsi="仿宋" w:eastAsia="仿宋" w:cs="仿宋"/>
          <w:color w:val="auto"/>
          <w:highlight w:val="none"/>
        </w:rPr>
        <w:t>统计上报平台</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数据上报管理系统，支持国家、省、市区等各级卫生医疗机构对医院的数据上报要求。通过数据采集配置，数据生成，数据审核，数据上报，结果反馈等功能模块提升上报工作效率。采用可视化的管理工具减少失误率，提高准确性。</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1.系统要求</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w:t>
      </w:r>
      <w:r>
        <w:rPr>
          <w:rFonts w:hint="eastAsia" w:ascii="仿宋" w:hAnsi="仿宋" w:eastAsia="仿宋" w:cs="仿宋"/>
          <w:color w:val="auto"/>
          <w:sz w:val="24"/>
          <w:highlight w:val="none"/>
          <w:lang w:bidi="ar"/>
        </w:rPr>
        <w:tab/>
      </w:r>
      <w:r>
        <w:rPr>
          <w:rFonts w:hint="eastAsia" w:ascii="仿宋" w:hAnsi="仿宋" w:eastAsia="仿宋" w:cs="仿宋"/>
          <w:color w:val="auto"/>
          <w:sz w:val="24"/>
          <w:highlight w:val="none"/>
          <w:lang w:bidi="ar"/>
        </w:rPr>
        <w:t>支持对各级医疗主管部门按照国家、省份、市三级进行分类，并创建不同的上报类型。</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w:t>
      </w:r>
      <w:r>
        <w:rPr>
          <w:rFonts w:hint="eastAsia" w:ascii="仿宋" w:hAnsi="仿宋" w:eastAsia="仿宋" w:cs="仿宋"/>
          <w:color w:val="auto"/>
          <w:sz w:val="24"/>
          <w:highlight w:val="none"/>
          <w:lang w:bidi="ar"/>
        </w:rPr>
        <w:tab/>
      </w:r>
      <w:r>
        <w:rPr>
          <w:rFonts w:hint="eastAsia" w:ascii="仿宋" w:hAnsi="仿宋" w:eastAsia="仿宋" w:cs="仿宋"/>
          <w:color w:val="auto"/>
          <w:sz w:val="24"/>
          <w:highlight w:val="none"/>
          <w:lang w:bidi="ar"/>
        </w:rPr>
        <w:t>支持在各个上报类型下创建该类型所需上报数据的基本信息、上报方式、审核设置及上报提醒。</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w:t>
      </w:r>
      <w:r>
        <w:rPr>
          <w:rFonts w:hint="eastAsia" w:ascii="仿宋" w:hAnsi="仿宋" w:eastAsia="仿宋" w:cs="仿宋"/>
          <w:color w:val="auto"/>
          <w:sz w:val="24"/>
          <w:highlight w:val="none"/>
          <w:lang w:bidi="ar"/>
        </w:rPr>
        <w:tab/>
      </w:r>
      <w:r>
        <w:rPr>
          <w:rFonts w:hint="eastAsia" w:ascii="仿宋" w:hAnsi="仿宋" w:eastAsia="仿宋" w:cs="仿宋"/>
          <w:color w:val="auto"/>
          <w:sz w:val="24"/>
          <w:highlight w:val="none"/>
          <w:lang w:bidi="ar"/>
        </w:rPr>
        <w:t>支持配置并维护医院及其分院的基本信息。</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4)</w:t>
      </w:r>
      <w:r>
        <w:rPr>
          <w:rFonts w:hint="eastAsia" w:ascii="仿宋" w:hAnsi="仿宋" w:eastAsia="仿宋" w:cs="仿宋"/>
          <w:color w:val="auto"/>
          <w:sz w:val="24"/>
          <w:highlight w:val="none"/>
          <w:lang w:bidi="ar"/>
        </w:rPr>
        <w:tab/>
      </w:r>
      <w:r>
        <w:rPr>
          <w:rFonts w:hint="eastAsia" w:ascii="仿宋" w:hAnsi="仿宋" w:eastAsia="仿宋" w:cs="仿宋"/>
          <w:color w:val="auto"/>
          <w:sz w:val="24"/>
          <w:highlight w:val="none"/>
          <w:lang w:bidi="ar"/>
        </w:rPr>
        <w:t>支持配置并维护数据的来源及目标数据库，如医院业务系统，上报的前置机等数据库配置，支持Oracle、SQL Server和MySQL等数据库。</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7)</w:t>
      </w:r>
      <w:r>
        <w:rPr>
          <w:rFonts w:hint="eastAsia" w:ascii="仿宋" w:hAnsi="仿宋" w:eastAsia="仿宋" w:cs="仿宋"/>
          <w:color w:val="auto"/>
          <w:sz w:val="24"/>
          <w:highlight w:val="none"/>
          <w:lang w:bidi="ar"/>
        </w:rPr>
        <w:tab/>
      </w:r>
      <w:r>
        <w:rPr>
          <w:rFonts w:hint="eastAsia" w:ascii="仿宋" w:hAnsi="仿宋" w:eastAsia="仿宋" w:cs="仿宋"/>
          <w:color w:val="auto"/>
          <w:sz w:val="24"/>
          <w:highlight w:val="none"/>
          <w:lang w:bidi="ar"/>
        </w:rPr>
        <w:t>支持维护国标、院标、行标三种术语标准体系，抽取数据脚本通过术语映射转换，完成数据上报的数据标准一致性。</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8)</w:t>
      </w:r>
      <w:r>
        <w:rPr>
          <w:rFonts w:hint="eastAsia" w:ascii="仿宋" w:hAnsi="仿宋" w:eastAsia="仿宋" w:cs="仿宋"/>
          <w:color w:val="auto"/>
          <w:sz w:val="24"/>
          <w:highlight w:val="none"/>
          <w:lang w:bidi="ar"/>
        </w:rPr>
        <w:tab/>
      </w:r>
      <w:r>
        <w:rPr>
          <w:rFonts w:hint="eastAsia" w:ascii="仿宋" w:hAnsi="仿宋" w:eastAsia="仿宋" w:cs="仿宋"/>
          <w:color w:val="auto"/>
          <w:sz w:val="24"/>
          <w:highlight w:val="none"/>
          <w:lang w:bidi="ar"/>
        </w:rPr>
        <w:t>支持根据不同的数据上报类型制定不同的作业计划。</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9)</w:t>
      </w:r>
      <w:r>
        <w:rPr>
          <w:rFonts w:hint="eastAsia" w:ascii="仿宋" w:hAnsi="仿宋" w:eastAsia="仿宋" w:cs="仿宋"/>
          <w:color w:val="auto"/>
          <w:sz w:val="24"/>
          <w:highlight w:val="none"/>
          <w:lang w:bidi="ar"/>
        </w:rPr>
        <w:tab/>
      </w:r>
      <w:r>
        <w:rPr>
          <w:rFonts w:hint="eastAsia" w:ascii="仿宋" w:hAnsi="仿宋" w:eastAsia="仿宋" w:cs="仿宋"/>
          <w:color w:val="auto"/>
          <w:sz w:val="24"/>
          <w:highlight w:val="none"/>
          <w:lang w:bidi="ar"/>
        </w:rPr>
        <w:t>支持自动化完成数据的采集、校验、上报。</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10)支持上报频次按照年、季、月、周、日或一次性频次进行上报，上报数据范围可以指定时间段进行数据采集。</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11)支持每次作业计划执行后，都会按照时间戳的形式生成一个数据上报批次号。</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12)支持根据批次号进行数据的审批，校验，上报等功能。</w:t>
      </w:r>
    </w:p>
    <w:p>
      <w:pPr>
        <w:spacing w:line="360" w:lineRule="auto"/>
        <w:ind w:left="0" w:right="0" w:firstLine="48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13)支持通过界面查看今天、近七天、近一个月、近一季度、近一年所有已经执行的任务记录列表（执行状态：成功、失败 )。</w:t>
      </w:r>
    </w:p>
    <w:p>
      <w:pPr>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14)支持追溯失败任务的失败原因。</w:t>
      </w:r>
    </w:p>
    <w:p>
      <w:pPr>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15)支持通过界面查看最近一个批次或者失败的上报类型。</w:t>
      </w:r>
    </w:p>
    <w:p>
      <w:pPr>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bidi="ar"/>
        </w:rPr>
        <w:t>16)支持根据上报周期查看所有上报模型的历史上报数据。</w:t>
      </w:r>
    </w:p>
    <w:p>
      <w:pPr>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 为了满足不同数据上报类型建立术语标准体系。每个上报类型都有着一套自己的术语标准化。抽取数据脚本通过术语映射转换，保证数据上报的数据标准一致性</w:t>
      </w:r>
    </w:p>
    <w:p>
      <w:pPr>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 能够对数据映射进行审核，确保编码对应关系的准确性</w:t>
      </w:r>
    </w:p>
    <w:p>
      <w:pPr>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kern w:val="0"/>
          <w:sz w:val="24"/>
          <w:highlight w:val="none"/>
        </w:rPr>
        <w:t>19) 能够针对编码不一致问题，进行数据映射</w:t>
      </w:r>
    </w:p>
    <w:p>
      <w:pPr>
        <w:spacing w:line="360" w:lineRule="auto"/>
        <w:ind w:left="0" w:right="0" w:firstLine="48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20)支持查询每个批次的数据质量的好坏和异常原因。</w:t>
      </w:r>
    </w:p>
    <w:p>
      <w:pPr>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bidi="ar"/>
        </w:rPr>
        <w:t>21)支持查看各上报批次号的上报流程明细。</w:t>
      </w:r>
    </w:p>
    <w:p>
      <w:pPr>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22)支持查看各上报批次号的数据记录。</w:t>
      </w:r>
    </w:p>
    <w:p>
      <w:pPr>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 能够根据上报周期查看所有上报模型的历史上报数据，同时还能够查询每个批次的数据质量的好坏和异常原因，以保障未来数据上报的高质量和高标准。</w:t>
      </w:r>
    </w:p>
    <w:p>
      <w:pPr>
        <w:spacing w:line="360" w:lineRule="auto"/>
        <w:ind w:left="0" w:righ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 能够查看实时上报模型的历史上报数据，同时还能够查询每个批次的数据质量的好坏和异常原因，以保障未来数据上报的高质量和高标准。</w:t>
      </w:r>
    </w:p>
    <w:p>
      <w:pPr>
        <w:spacing w:line="360" w:lineRule="auto"/>
        <w:ind w:left="0" w:right="0" w:firstLine="480"/>
        <w:rPr>
          <w:rFonts w:hint="eastAsia" w:ascii="仿宋" w:hAnsi="仿宋" w:eastAsia="仿宋" w:cs="仿宋"/>
          <w:b/>
          <w:color w:val="auto"/>
          <w:sz w:val="18"/>
          <w:szCs w:val="18"/>
          <w:highlight w:val="none"/>
        </w:rPr>
      </w:pPr>
      <w:r>
        <w:rPr>
          <w:rFonts w:hint="eastAsia" w:ascii="仿宋" w:hAnsi="仿宋" w:eastAsia="仿宋" w:cs="仿宋"/>
          <w:color w:val="auto"/>
          <w:kern w:val="0"/>
          <w:sz w:val="24"/>
          <w:highlight w:val="none"/>
        </w:rPr>
        <w:t>25) 能够根据上报需求自定义报文节点格式</w:t>
      </w:r>
      <w:bookmarkEnd w:id="378"/>
    </w:p>
    <w:p>
      <w:pPr>
        <w:pStyle w:val="6"/>
        <w:numPr>
          <w:ilvl w:val="0"/>
          <w:numId w:val="0"/>
        </w:numPr>
        <w:tabs>
          <w:tab w:val="left" w:pos="720"/>
          <w:tab w:val="left" w:pos="1006"/>
        </w:tabs>
        <w:ind w:left="864" w:leftChars="0" w:hanging="864" w:firstLineChars="0"/>
        <w:rPr>
          <w:rFonts w:hint="eastAsia" w:ascii="仿宋" w:hAnsi="仿宋" w:eastAsia="仿宋" w:cs="仿宋"/>
          <w:b/>
          <w:color w:val="auto"/>
          <w:sz w:val="18"/>
          <w:szCs w:val="18"/>
          <w:highlight w:val="none"/>
        </w:rPr>
      </w:pPr>
      <w:r>
        <w:rPr>
          <w:rFonts w:hint="eastAsia" w:ascii="仿宋" w:hAnsi="仿宋" w:eastAsia="仿宋" w:cs="仿宋"/>
          <w:b/>
          <w:bCs/>
          <w:color w:val="auto"/>
          <w:sz w:val="18"/>
          <w:szCs w:val="18"/>
          <w:highlight w:val="none"/>
          <w:lang w:val="en-US" w:eastAsia="zh-CN" w:bidi="hi-IN"/>
        </w:rPr>
        <w:t>3.3.3.10</w:t>
      </w:r>
      <w:r>
        <w:rPr>
          <w:rFonts w:hint="eastAsia" w:ascii="仿宋" w:hAnsi="仿宋" w:eastAsia="仿宋" w:cs="仿宋"/>
          <w:b/>
          <w:color w:val="auto"/>
          <w:sz w:val="18"/>
          <w:szCs w:val="18"/>
          <w:highlight w:val="none"/>
        </w:rPr>
        <w:t>科研服务平台</w:t>
      </w:r>
    </w:p>
    <w:tbl>
      <w:tblPr>
        <w:tblStyle w:val="38"/>
        <w:tblW w:w="0" w:type="auto"/>
        <w:jc w:val="center"/>
        <w:tblLayout w:type="fixed"/>
        <w:tblCellMar>
          <w:top w:w="0" w:type="dxa"/>
          <w:left w:w="108" w:type="dxa"/>
          <w:bottom w:w="0" w:type="dxa"/>
          <w:right w:w="108" w:type="dxa"/>
        </w:tblCellMar>
      </w:tblPr>
      <w:tblGrid>
        <w:gridCol w:w="2035"/>
        <w:gridCol w:w="6266"/>
      </w:tblGrid>
      <w:tr>
        <w:tblPrEx>
          <w:tblCellMar>
            <w:top w:w="0" w:type="dxa"/>
            <w:left w:w="108" w:type="dxa"/>
            <w:bottom w:w="0" w:type="dxa"/>
            <w:right w:w="108" w:type="dxa"/>
          </w:tblCellMar>
        </w:tblPrEx>
        <w:trPr>
          <w:trHeight w:val="397"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功能名称</w:t>
            </w:r>
          </w:p>
        </w:tc>
        <w:tc>
          <w:tcPr>
            <w:tcW w:w="626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ind w:left="0" w:right="-2" w:firstLine="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需求说明与参数要求</w:t>
            </w:r>
          </w:p>
        </w:tc>
      </w:tr>
      <w:tr>
        <w:tblPrEx>
          <w:tblCellMar>
            <w:top w:w="0" w:type="dxa"/>
            <w:left w:w="108" w:type="dxa"/>
            <w:bottom w:w="0" w:type="dxa"/>
            <w:right w:w="108" w:type="dxa"/>
          </w:tblCellMar>
        </w:tblPrEx>
        <w:trPr>
          <w:trHeight w:val="397"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科研检索</w:t>
            </w:r>
          </w:p>
        </w:tc>
        <w:tc>
          <w:tcPr>
            <w:tcW w:w="62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48"/>
              <w:spacing w:line="240" w:lineRule="auto"/>
              <w:ind w:left="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要求可以无限制的对数据进行挖掘，包括诊断、检验结果、人口统计，或其他任何数据元素，并可以组合使用；投标人应具体说明其数据挖掘方式；要求通过科研检索获取样本数据，借助人工智能搜索引擎获得全球关于研究病例的研究数据，包括认知计算推荐的相关论文精选和摘要，简化搜索流程获得精准、权威和海量的数据支持。能够支持用户自定义临床指标导出数据，支持以手术日期、入院（就诊）日期、出院日期为观测阶段，导出该观测阶段内的数据。</w:t>
            </w:r>
          </w:p>
        </w:tc>
      </w:tr>
      <w:tr>
        <w:tblPrEx>
          <w:tblCellMar>
            <w:top w:w="0" w:type="dxa"/>
            <w:left w:w="108" w:type="dxa"/>
            <w:bottom w:w="0" w:type="dxa"/>
            <w:right w:w="108" w:type="dxa"/>
          </w:tblCellMar>
        </w:tblPrEx>
        <w:trPr>
          <w:trHeight w:val="397"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highlight w:val="none"/>
              </w:rPr>
            </w:pPr>
            <w:bookmarkStart w:id="379" w:name="OLE_LINK14"/>
            <w:r>
              <w:rPr>
                <w:rFonts w:hint="eastAsia" w:ascii="仿宋" w:hAnsi="仿宋" w:eastAsia="仿宋" w:cs="仿宋"/>
                <w:color w:val="auto"/>
                <w:sz w:val="24"/>
                <w:szCs w:val="24"/>
                <w:highlight w:val="none"/>
              </w:rPr>
              <w:t>科研项目管理</w:t>
            </w:r>
            <w:bookmarkEnd w:id="379"/>
          </w:p>
        </w:tc>
        <w:tc>
          <w:tcPr>
            <w:tcW w:w="62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48"/>
              <w:spacing w:line="240" w:lineRule="auto"/>
              <w:ind w:left="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项目过程管理，项目申请、项目审批、项目实施记录、经费预算、经费下拨、经费支出记录、项目验收和档案入卷等功能,同时可以对科研项目管理工作中的历史数据进行查询和统计分析</w:t>
            </w:r>
          </w:p>
        </w:tc>
      </w:tr>
      <w:tr>
        <w:tblPrEx>
          <w:tblCellMar>
            <w:top w:w="0" w:type="dxa"/>
            <w:left w:w="108" w:type="dxa"/>
            <w:bottom w:w="0" w:type="dxa"/>
            <w:right w:w="108" w:type="dxa"/>
          </w:tblCellMar>
        </w:tblPrEx>
        <w:trPr>
          <w:trHeight w:val="397"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单病种科研数据库</w:t>
            </w:r>
          </w:p>
        </w:tc>
        <w:tc>
          <w:tcPr>
            <w:tcW w:w="62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48"/>
              <w:spacing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于全院数据中心，支持用户自主按照病种维度进行数据的重新组织构建单病种库。临床数据需要按照指标项进行拆解到科研所需的颗粒度。按照临床队列研究要求的进行任一条件的搜索查询和多条件的组合查询。并将查询结果以图形界面形式展示出来，并支持数据导出。</w:t>
            </w:r>
          </w:p>
          <w:p>
            <w:pPr>
              <w:pStyle w:val="148"/>
              <w:spacing w:line="240" w:lineRule="auto"/>
              <w:ind w:left="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单病种科研数据库具备权限控制功能可以根据角色权限分配不同的权限</w:t>
            </w:r>
          </w:p>
        </w:tc>
      </w:tr>
    </w:tbl>
    <w:p>
      <w:pPr>
        <w:pStyle w:val="4"/>
        <w:numPr>
          <w:ilvl w:val="0"/>
          <w:numId w:val="0"/>
        </w:numPr>
        <w:tabs>
          <w:tab w:val="left" w:pos="576"/>
          <w:tab w:val="left" w:pos="720"/>
        </w:tabs>
        <w:ind w:left="720" w:leftChars="0" w:hanging="720" w:firstLineChars="0"/>
        <w:rPr>
          <w:rFonts w:hint="eastAsia" w:ascii="仿宋" w:hAnsi="仿宋" w:eastAsia="仿宋" w:cs="仿宋"/>
          <w:b/>
          <w:bCs/>
          <w:color w:val="auto"/>
          <w:kern w:val="0"/>
          <w:sz w:val="24"/>
          <w:szCs w:val="24"/>
          <w:highlight w:val="none"/>
          <w:lang w:bidi="ar"/>
        </w:rPr>
      </w:pPr>
      <w:bookmarkStart w:id="380" w:name="_Toc11260"/>
      <w:bookmarkStart w:id="381" w:name="_Toc4742"/>
      <w:r>
        <w:rPr>
          <w:rFonts w:hint="eastAsia" w:ascii="仿宋" w:hAnsi="仿宋" w:eastAsia="仿宋" w:cs="仿宋"/>
          <w:b/>
          <w:bCs/>
          <w:color w:val="auto"/>
          <w:kern w:val="0"/>
          <w:sz w:val="24"/>
          <w:szCs w:val="24"/>
          <w:highlight w:val="none"/>
          <w:lang w:val="en-US" w:eastAsia="zh-CN" w:bidi="ar"/>
        </w:rPr>
        <w:t>3.3.4</w:t>
      </w:r>
      <w:r>
        <w:rPr>
          <w:rFonts w:hint="eastAsia" w:ascii="仿宋" w:hAnsi="仿宋" w:eastAsia="仿宋" w:cs="仿宋"/>
          <w:color w:val="auto"/>
          <w:sz w:val="24"/>
          <w:szCs w:val="24"/>
          <w:highlight w:val="none"/>
        </w:rPr>
        <w:t>系统对接</w:t>
      </w:r>
      <w:bookmarkEnd w:id="380"/>
      <w:bookmarkEnd w:id="381"/>
    </w:p>
    <w:p>
      <w:pPr>
        <w:pStyle w:val="148"/>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本次建设费用及内容包括但不局限于以下系统对接，院方不再支付相关费用：</w:t>
      </w:r>
    </w:p>
    <w:tbl>
      <w:tblPr>
        <w:tblStyle w:val="38"/>
        <w:tblW w:w="0" w:type="auto"/>
        <w:jc w:val="center"/>
        <w:tblLayout w:type="fixed"/>
        <w:tblCellMar>
          <w:top w:w="0" w:type="dxa"/>
          <w:left w:w="108" w:type="dxa"/>
          <w:bottom w:w="0" w:type="dxa"/>
          <w:right w:w="108" w:type="dxa"/>
        </w:tblCellMar>
      </w:tblPr>
      <w:tblGrid>
        <w:gridCol w:w="2580"/>
        <w:gridCol w:w="4453"/>
      </w:tblGrid>
      <w:tr>
        <w:tblPrEx>
          <w:tblCellMar>
            <w:top w:w="0" w:type="dxa"/>
            <w:left w:w="108" w:type="dxa"/>
            <w:bottom w:w="0" w:type="dxa"/>
            <w:right w:w="108" w:type="dxa"/>
          </w:tblCellMar>
        </w:tblPrEx>
        <w:trPr>
          <w:trHeight w:val="288"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widowControl/>
              <w:ind w:left="0" w:right="0" w:firstLine="361"/>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业务领域</w:t>
            </w:r>
          </w:p>
        </w:tc>
        <w:tc>
          <w:tcPr>
            <w:tcW w:w="445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widowControl/>
              <w:ind w:left="0" w:right="0" w:firstLine="361"/>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系统</w:t>
            </w:r>
          </w:p>
        </w:tc>
      </w:tr>
      <w:tr>
        <w:tblPrEx>
          <w:tblCellMar>
            <w:top w:w="0" w:type="dxa"/>
            <w:left w:w="108" w:type="dxa"/>
            <w:bottom w:w="0" w:type="dxa"/>
            <w:right w:w="108" w:type="dxa"/>
          </w:tblCellMar>
        </w:tblPrEx>
        <w:trPr>
          <w:trHeight w:val="318" w:hRule="atLeast"/>
          <w:jc w:val="center"/>
        </w:trPr>
        <w:tc>
          <w:tcPr>
            <w:tcW w:w="2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便民服务</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诊间结算</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自助机</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自助取药排队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山东省便民惠民平台对接</w:t>
            </w:r>
          </w:p>
        </w:tc>
      </w:tr>
      <w:tr>
        <w:tblPrEx>
          <w:tblCellMar>
            <w:top w:w="0" w:type="dxa"/>
            <w:left w:w="108" w:type="dxa"/>
            <w:bottom w:w="0" w:type="dxa"/>
            <w:right w:w="108" w:type="dxa"/>
          </w:tblCellMar>
        </w:tblPrEx>
        <w:trPr>
          <w:trHeight w:val="318" w:hRule="atLeast"/>
          <w:jc w:val="center"/>
        </w:trPr>
        <w:tc>
          <w:tcPr>
            <w:tcW w:w="2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数据上报</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卫健统4首页上报</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国家三级绩效首页上报</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省重点人群数据监测上报</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国家卫健委数据上报</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核酸检测及数据上传</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公安数据上报</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单病种质量上报系统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不良事件管理系统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HQMS上报</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抗肿瘤数据上报</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省卫居民健康档案上报</w:t>
            </w:r>
          </w:p>
        </w:tc>
      </w:tr>
      <w:tr>
        <w:tblPrEx>
          <w:tblCellMar>
            <w:top w:w="0" w:type="dxa"/>
            <w:left w:w="108" w:type="dxa"/>
            <w:bottom w:w="0" w:type="dxa"/>
            <w:right w:w="108" w:type="dxa"/>
          </w:tblCellMar>
        </w:tblPrEx>
        <w:trPr>
          <w:trHeight w:val="318" w:hRule="atLeast"/>
          <w:jc w:val="center"/>
        </w:trPr>
        <w:tc>
          <w:tcPr>
            <w:tcW w:w="2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药耗管理</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静配中心管理系统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供应室消毒追溯系统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耗材物流管理SPD系统</w:t>
            </w:r>
          </w:p>
        </w:tc>
      </w:tr>
      <w:tr>
        <w:tblPrEx>
          <w:tblCellMar>
            <w:top w:w="0" w:type="dxa"/>
            <w:left w:w="108" w:type="dxa"/>
            <w:bottom w:w="0" w:type="dxa"/>
            <w:right w:w="108" w:type="dxa"/>
          </w:tblCellMar>
        </w:tblPrEx>
        <w:trPr>
          <w:trHeight w:val="318" w:hRule="atLeast"/>
          <w:jc w:val="center"/>
        </w:trPr>
        <w:tc>
          <w:tcPr>
            <w:tcW w:w="2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医技业务</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输血管理系统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AI辅助诊断</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电生理系统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PACS</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LIS</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RIS（超声、内镜、心彩等）</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手麻系统</w:t>
            </w:r>
          </w:p>
        </w:tc>
      </w:tr>
      <w:tr>
        <w:tblPrEx>
          <w:tblCellMar>
            <w:top w:w="0" w:type="dxa"/>
            <w:left w:w="108" w:type="dxa"/>
            <w:bottom w:w="0" w:type="dxa"/>
            <w:right w:w="108" w:type="dxa"/>
          </w:tblCellMar>
        </w:tblPrEx>
        <w:trPr>
          <w:trHeight w:val="318" w:hRule="atLeast"/>
          <w:jc w:val="center"/>
        </w:trPr>
        <w:tc>
          <w:tcPr>
            <w:tcW w:w="2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医疗服务</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血液透析系统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皮肤科影像管理系统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急诊系统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三诺血糖管理系统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康复系统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营养膳食管理系统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体检系统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山大生殖系统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CA电子签名认证系统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重症监护系统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移动护理工作站</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病案无纸化系统</w:t>
            </w:r>
          </w:p>
        </w:tc>
      </w:tr>
      <w:tr>
        <w:tblPrEx>
          <w:tblCellMar>
            <w:top w:w="0" w:type="dxa"/>
            <w:left w:w="108" w:type="dxa"/>
            <w:bottom w:w="0" w:type="dxa"/>
            <w:right w:w="108" w:type="dxa"/>
          </w:tblCellMar>
        </w:tblPrEx>
        <w:trPr>
          <w:trHeight w:val="318" w:hRule="atLeast"/>
          <w:jc w:val="center"/>
        </w:trPr>
        <w:tc>
          <w:tcPr>
            <w:tcW w:w="2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医疗管理</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隔离区访视系统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病理科质量控制管理系统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医保智能审核系统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医保DRGs管理系统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VTE标准化智能数据服务系统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新生儿专病库及多中心医疗协作</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分级诊疗与双向转诊系统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院感系统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公共卫生系统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病案质控系统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公立医院绩效考核数据管理系统</w:t>
            </w:r>
          </w:p>
        </w:tc>
      </w:tr>
      <w:tr>
        <w:tblPrEx>
          <w:tblCellMar>
            <w:top w:w="0" w:type="dxa"/>
            <w:left w:w="108" w:type="dxa"/>
            <w:bottom w:w="0" w:type="dxa"/>
            <w:right w:w="108" w:type="dxa"/>
          </w:tblCellMar>
        </w:tblPrEx>
        <w:trPr>
          <w:trHeight w:val="318" w:hRule="atLeast"/>
          <w:jc w:val="center"/>
        </w:trPr>
        <w:tc>
          <w:tcPr>
            <w:tcW w:w="2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运营管理</w:t>
            </w: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成本系统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绩效系统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电子发票系统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人事系统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财务系统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物资系统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合同系统</w:t>
            </w:r>
          </w:p>
        </w:tc>
      </w:tr>
      <w:tr>
        <w:tblPrEx>
          <w:tblCellMar>
            <w:top w:w="0" w:type="dxa"/>
            <w:left w:w="108" w:type="dxa"/>
            <w:bottom w:w="0" w:type="dxa"/>
            <w:right w:w="108" w:type="dxa"/>
          </w:tblCellMar>
        </w:tblPrEx>
        <w:trPr>
          <w:trHeight w:val="288"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 w:hAnsi="仿宋" w:eastAsia="仿宋" w:cs="仿宋"/>
                <w:color w:val="auto"/>
                <w:sz w:val="24"/>
                <w:szCs w:val="24"/>
                <w:highlight w:val="none"/>
              </w:rPr>
            </w:pPr>
          </w:p>
        </w:tc>
        <w:tc>
          <w:tcPr>
            <w:tcW w:w="44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资产系统</w:t>
            </w:r>
          </w:p>
        </w:tc>
      </w:tr>
    </w:tbl>
    <w:p>
      <w:pPr>
        <w:pStyle w:val="3"/>
        <w:numPr>
          <w:ilvl w:val="0"/>
          <w:numId w:val="0"/>
        </w:numPr>
        <w:tabs>
          <w:tab w:val="left" w:pos="432"/>
          <w:tab w:val="left" w:pos="576"/>
        </w:tabs>
        <w:ind w:left="576" w:leftChars="0" w:hanging="576" w:firstLineChars="0"/>
        <w:rPr>
          <w:rFonts w:hint="eastAsia" w:ascii="仿宋" w:hAnsi="仿宋" w:eastAsia="仿宋" w:cs="仿宋"/>
          <w:color w:val="auto"/>
          <w:highlight w:val="none"/>
          <w:lang w:val="en-US" w:eastAsia="zh-CN"/>
        </w:rPr>
      </w:pPr>
      <w:bookmarkStart w:id="382" w:name="_Toc8865"/>
      <w:bookmarkStart w:id="383" w:name="_Toc27955"/>
      <w:r>
        <w:rPr>
          <w:rFonts w:hint="eastAsia" w:ascii="仿宋" w:hAnsi="仿宋" w:eastAsia="仿宋" w:cs="仿宋"/>
          <w:b/>
          <w:bCs/>
          <w:color w:val="auto"/>
          <w:kern w:val="0"/>
          <w:sz w:val="30"/>
          <w:szCs w:val="30"/>
          <w:highlight w:val="none"/>
          <w:lang w:val="en-US" w:eastAsia="zh-CN" w:bidi="hi-IN"/>
        </w:rPr>
        <w:t>3.4</w:t>
      </w:r>
      <w:r>
        <w:rPr>
          <w:rFonts w:hint="eastAsia" w:ascii="仿宋" w:hAnsi="仿宋" w:eastAsia="仿宋" w:cs="仿宋"/>
          <w:color w:val="auto"/>
          <w:highlight w:val="none"/>
          <w:lang w:val="en-US" w:eastAsia="zh-CN"/>
        </w:rPr>
        <w:t>一体化运行支撑平台要求</w:t>
      </w:r>
      <w:bookmarkEnd w:id="382"/>
      <w:bookmarkEnd w:id="383"/>
    </w:p>
    <w:tbl>
      <w:tblPr>
        <w:tblStyle w:val="38"/>
        <w:tblW w:w="0" w:type="auto"/>
        <w:tblInd w:w="172" w:type="dxa"/>
        <w:tblLayout w:type="fixed"/>
        <w:tblCellMar>
          <w:top w:w="0" w:type="dxa"/>
          <w:left w:w="108" w:type="dxa"/>
          <w:bottom w:w="0" w:type="dxa"/>
          <w:right w:w="108" w:type="dxa"/>
        </w:tblCellMar>
      </w:tblPr>
      <w:tblGrid>
        <w:gridCol w:w="1098"/>
        <w:gridCol w:w="7336"/>
        <w:gridCol w:w="757"/>
      </w:tblGrid>
      <w:tr>
        <w:tblPrEx>
          <w:tblCellMar>
            <w:top w:w="0" w:type="dxa"/>
            <w:left w:w="108" w:type="dxa"/>
            <w:bottom w:w="0" w:type="dxa"/>
            <w:right w:w="108" w:type="dxa"/>
          </w:tblCellMar>
        </w:tblPrEx>
        <w:trPr>
          <w:trHeight w:val="316" w:hRule="atLeast"/>
        </w:trPr>
        <w:tc>
          <w:tcPr>
            <w:tcW w:w="1098" w:type="dxa"/>
            <w:tcBorders>
              <w:top w:val="single" w:color="000000" w:sz="4" w:space="0"/>
              <w:left w:val="single" w:color="000000" w:sz="4" w:space="0"/>
              <w:bottom w:val="single" w:color="000000" w:sz="4" w:space="0"/>
              <w:right w:val="single" w:color="000000" w:sz="4" w:space="0"/>
            </w:tcBorders>
            <w:noWrap w:val="0"/>
            <w:vAlign w:val="center"/>
          </w:tcPr>
          <w:p>
            <w:pPr>
              <w:pStyle w:val="148"/>
              <w:spacing w:beforeLines="0" w:afterLines="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bCs/>
                <w:color w:val="auto"/>
                <w:position w:val="0"/>
                <w:sz w:val="24"/>
                <w:szCs w:val="24"/>
                <w:highlight w:val="none"/>
                <w:vertAlign w:val="baseline"/>
                <w:lang w:val="en-US" w:eastAsia="zh-CN"/>
              </w:rPr>
              <w:t>设备名称</w:t>
            </w:r>
          </w:p>
        </w:tc>
        <w:tc>
          <w:tcPr>
            <w:tcW w:w="7336" w:type="dxa"/>
            <w:tcBorders>
              <w:top w:val="single" w:color="000000" w:sz="4" w:space="0"/>
              <w:left w:val="single" w:color="000000" w:sz="4" w:space="0"/>
              <w:bottom w:val="single" w:color="000000" w:sz="4" w:space="0"/>
              <w:right w:val="single" w:color="000000" w:sz="4" w:space="0"/>
            </w:tcBorders>
            <w:noWrap w:val="0"/>
            <w:vAlign w:val="center"/>
          </w:tcPr>
          <w:p>
            <w:pPr>
              <w:pStyle w:val="148"/>
              <w:spacing w:beforeLines="0" w:afterLines="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bCs/>
                <w:color w:val="auto"/>
                <w:position w:val="0"/>
                <w:sz w:val="24"/>
                <w:szCs w:val="24"/>
                <w:highlight w:val="none"/>
                <w:vertAlign w:val="baseline"/>
                <w:lang w:val="en-US" w:eastAsia="zh-CN"/>
              </w:rPr>
              <w:t>设备配置</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pStyle w:val="148"/>
              <w:spacing w:beforeLines="0" w:afterLines="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b/>
                <w:bCs/>
                <w:color w:val="auto"/>
                <w:position w:val="0"/>
                <w:sz w:val="24"/>
                <w:szCs w:val="24"/>
                <w:highlight w:val="none"/>
                <w:vertAlign w:val="baseline"/>
                <w:lang w:val="en-US" w:eastAsia="zh-CN"/>
              </w:rPr>
              <w:t>数量</w:t>
            </w:r>
          </w:p>
        </w:tc>
      </w:tr>
      <w:tr>
        <w:tblPrEx>
          <w:tblCellMar>
            <w:top w:w="0" w:type="dxa"/>
            <w:left w:w="108" w:type="dxa"/>
            <w:bottom w:w="0" w:type="dxa"/>
            <w:right w:w="108" w:type="dxa"/>
          </w:tblCellMar>
        </w:tblPrEx>
        <w:trPr>
          <w:trHeight w:val="4296" w:hRule="atLeast"/>
        </w:trPr>
        <w:tc>
          <w:tcPr>
            <w:tcW w:w="1098" w:type="dxa"/>
            <w:tcBorders>
              <w:top w:val="single" w:color="000000" w:sz="4" w:space="0"/>
              <w:left w:val="single" w:color="000000" w:sz="4" w:space="0"/>
              <w:bottom w:val="single" w:color="000000" w:sz="4" w:space="0"/>
              <w:right w:val="single" w:color="000000" w:sz="4" w:space="0"/>
            </w:tcBorders>
            <w:noWrap w:val="0"/>
            <w:vAlign w:val="center"/>
          </w:tcPr>
          <w:p>
            <w:pPr>
              <w:pStyle w:val="148"/>
              <w:spacing w:beforeLines="0" w:afterLines="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一体化应用算力平台</w:t>
            </w:r>
          </w:p>
        </w:tc>
        <w:tc>
          <w:tcPr>
            <w:tcW w:w="7336" w:type="dxa"/>
            <w:tcBorders>
              <w:top w:val="single" w:color="000000" w:sz="4" w:space="0"/>
              <w:left w:val="single" w:color="000000" w:sz="4" w:space="0"/>
              <w:bottom w:val="single" w:color="000000" w:sz="4" w:space="0"/>
              <w:right w:val="single" w:color="000000" w:sz="4" w:space="0"/>
            </w:tcBorders>
            <w:noWrap w:val="0"/>
            <w:vAlign w:val="top"/>
          </w:tcPr>
          <w:p>
            <w:pPr>
              <w:pStyle w:val="148"/>
              <w:numPr>
                <w:ilvl w:val="0"/>
                <w:numId w:val="0"/>
              </w:numPr>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机架式超融合一体机</w:t>
            </w:r>
          </w:p>
          <w:p>
            <w:pPr>
              <w:pStyle w:val="148"/>
              <w:numPr>
                <w:ilvl w:val="0"/>
                <w:numId w:val="24"/>
              </w:numPr>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CPU：≥2颗，主频≥2.2GHz，单颗核心数≥24核，</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内存：≥1024GB DDR4及以上服务器内存；可扩容至</w:t>
            </w:r>
            <w:r>
              <w:rPr>
                <w:rFonts w:hint="eastAsia"/>
                <w:color w:val="auto"/>
                <w:highlight w:val="none"/>
                <w:lang w:val="en-US" w:eastAsia="zh-CN"/>
              </w:rPr>
              <w:t>≥2024GB</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网络：提供≥4个千兆以太网口，≥4个10GE光纤以太网网口；</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 本地硬盘：配置≥2个≥240GB SSD热插拔硬盘，并配置RAID卡；≥8个≥7.6T热插拔NVME SSD 硬盘</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电源：配置冗余电源，支持电源热插拔，满足满配运行状态需求；</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 软件：计算服务器虚拟化软件，网络虚拟化软件，虚拟存储软件</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 采用软硬结合超融合一体机形式，产品品牌官网可查，禁止使用非一体机型号的服务器+超融合软件</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 提供5年软件升级服务，提供不少于5年原厂保修服务；</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 应用程序部署平台（包括物理机和虚拟机）需附带正版授权服务器操作系统。</w:t>
            </w:r>
            <w:r>
              <w:rPr>
                <w:rFonts w:ascii="仿宋" w:hAnsi="仿宋" w:eastAsia="仿宋" w:cs="仿宋"/>
                <w:color w:val="auto"/>
                <w:sz w:val="24"/>
                <w:szCs w:val="24"/>
                <w:highlight w:val="none"/>
                <w:lang w:val="en-US" w:eastAsia="zh-CN"/>
              </w:rPr>
              <w:t>服务器操作系统不允许使用CentOS Linux及相关衍生版本，在保障系统稳定前提下，</w:t>
            </w:r>
            <w:r>
              <w:rPr>
                <w:rFonts w:hint="eastAsia" w:ascii="仿宋" w:hAnsi="仿宋" w:eastAsia="仿宋" w:cs="仿宋"/>
                <w:color w:val="auto"/>
                <w:sz w:val="24"/>
                <w:szCs w:val="24"/>
                <w:highlight w:val="none"/>
                <w:lang w:val="en-US" w:eastAsia="zh-CN"/>
              </w:rPr>
              <w:t>须</w:t>
            </w:r>
            <w:r>
              <w:rPr>
                <w:rFonts w:ascii="仿宋" w:hAnsi="仿宋" w:eastAsia="仿宋" w:cs="仿宋"/>
                <w:color w:val="auto"/>
                <w:sz w:val="24"/>
                <w:szCs w:val="24"/>
                <w:highlight w:val="none"/>
                <w:lang w:val="en-US" w:eastAsia="zh-CN"/>
              </w:rPr>
              <w:t>使用国产</w:t>
            </w:r>
            <w:r>
              <w:rPr>
                <w:rFonts w:hint="eastAsia" w:ascii="仿宋" w:hAnsi="仿宋" w:eastAsia="仿宋" w:cs="仿宋"/>
                <w:color w:val="auto"/>
                <w:sz w:val="24"/>
                <w:szCs w:val="24"/>
                <w:highlight w:val="none"/>
                <w:lang w:val="en-US" w:eastAsia="zh-CN"/>
              </w:rPr>
              <w:t>安全操作</w:t>
            </w:r>
            <w:r>
              <w:rPr>
                <w:rFonts w:ascii="仿宋" w:hAnsi="仿宋" w:eastAsia="仿宋" w:cs="仿宋"/>
                <w:color w:val="auto"/>
                <w:sz w:val="24"/>
                <w:szCs w:val="24"/>
                <w:highlight w:val="none"/>
                <w:lang w:val="en-US" w:eastAsia="zh-CN"/>
              </w:rPr>
              <w:t>系统。</w:t>
            </w:r>
          </w:p>
        </w:tc>
        <w:tc>
          <w:tcPr>
            <w:tcW w:w="757" w:type="dxa"/>
            <w:tcBorders>
              <w:top w:val="single" w:color="000000" w:sz="4" w:space="0"/>
              <w:left w:val="single" w:color="000000" w:sz="4" w:space="0"/>
              <w:bottom w:val="single" w:color="000000" w:sz="4" w:space="0"/>
              <w:right w:val="single" w:color="000000" w:sz="4" w:space="0"/>
            </w:tcBorders>
            <w:noWrap w:val="0"/>
            <w:vAlign w:val="top"/>
          </w:tcPr>
          <w:p>
            <w:pPr>
              <w:pStyle w:val="148"/>
              <w:spacing w:beforeLines="0" w:afterLines="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position w:val="0"/>
                <w:sz w:val="24"/>
                <w:szCs w:val="24"/>
                <w:highlight w:val="none"/>
                <w:vertAlign w:val="baseline"/>
                <w:lang w:val="en-US" w:eastAsia="zh-CN"/>
              </w:rPr>
              <w:t>18</w:t>
            </w:r>
          </w:p>
        </w:tc>
      </w:tr>
      <w:tr>
        <w:tblPrEx>
          <w:tblCellMar>
            <w:top w:w="0" w:type="dxa"/>
            <w:left w:w="108" w:type="dxa"/>
            <w:bottom w:w="0" w:type="dxa"/>
            <w:right w:w="108" w:type="dxa"/>
          </w:tblCellMar>
        </w:tblPrEx>
        <w:trPr>
          <w:trHeight w:val="1357" w:hRule="atLeast"/>
        </w:trPr>
        <w:tc>
          <w:tcPr>
            <w:tcW w:w="109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48"/>
              <w:spacing w:beforeLines="0" w:afterLines="0" w:line="240" w:lineRule="auto"/>
              <w:ind w:left="0" w:right="0"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一体化数据存储平台</w:t>
            </w:r>
          </w:p>
          <w:p>
            <w:pPr>
              <w:pStyle w:val="148"/>
              <w:spacing w:beforeLines="0" w:afterLines="0" w:line="240" w:lineRule="auto"/>
              <w:ind w:left="0" w:right="0" w:firstLine="0"/>
              <w:jc w:val="center"/>
              <w:rPr>
                <w:rFonts w:hint="eastAsia" w:ascii="仿宋" w:hAnsi="仿宋" w:eastAsia="仿宋" w:cs="仿宋"/>
                <w:color w:val="auto"/>
                <w:sz w:val="24"/>
                <w:szCs w:val="24"/>
                <w:highlight w:val="none"/>
                <w:lang w:val="en-US" w:eastAsia="zh-CN"/>
              </w:rPr>
            </w:pPr>
          </w:p>
        </w:tc>
        <w:tc>
          <w:tcPr>
            <w:tcW w:w="7336" w:type="dxa"/>
            <w:tcBorders>
              <w:top w:val="single" w:color="000000" w:sz="4" w:space="0"/>
              <w:left w:val="single" w:color="000000" w:sz="4" w:space="0"/>
              <w:bottom w:val="single" w:color="000000" w:sz="4" w:space="0"/>
              <w:right w:val="single" w:color="000000" w:sz="4" w:space="0"/>
            </w:tcBorders>
            <w:noWrap w:val="0"/>
            <w:vAlign w:val="top"/>
          </w:tcPr>
          <w:p>
            <w:pPr>
              <w:pStyle w:val="148"/>
              <w:numPr>
                <w:ilvl w:val="0"/>
                <w:numId w:val="0"/>
              </w:numPr>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机架式算力单元</w:t>
            </w:r>
          </w:p>
          <w:p>
            <w:pPr>
              <w:pStyle w:val="148"/>
              <w:numPr>
                <w:ilvl w:val="0"/>
                <w:numId w:val="25"/>
              </w:numPr>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CPU：≥4颗，主频≥3.0GHz，单颗≥20核心以上，每核心≥2个线程；</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内存：≥512GB 不低于DDR4服务器内存；</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网络：提供≥4个千兆以太网口，≥4个10GE光纤以太网网口；</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 本地硬盘：配置≥2个≥960GB SSD热插拔硬盘；</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存储扩展：≥2块 ≥16Gb/sHBA存储光纤卡，包含模块及线缆；</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 电源：配置冗余电源，支持电源热插拔，需满足满配运行状态需求；</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 提供</w:t>
            </w:r>
            <w:r>
              <w:rPr>
                <w:rFonts w:hint="eastAsia"/>
                <w:color w:val="auto"/>
                <w:highlight w:val="none"/>
                <w:lang w:val="en-US" w:eastAsia="zh-CN"/>
              </w:rPr>
              <w:t>≥</w:t>
            </w:r>
            <w:r>
              <w:rPr>
                <w:rFonts w:hint="eastAsia" w:ascii="仿宋" w:hAnsi="仿宋" w:eastAsia="仿宋" w:cs="仿宋"/>
                <w:color w:val="auto"/>
                <w:sz w:val="24"/>
                <w:szCs w:val="24"/>
                <w:highlight w:val="none"/>
                <w:lang w:val="en-US" w:eastAsia="zh-CN"/>
              </w:rPr>
              <w:t>5年原厂保修服务；</w:t>
            </w:r>
          </w:p>
          <w:p>
            <w:pPr>
              <w:pStyle w:val="148"/>
              <w:spacing w:beforeLines="0" w:afterLines="0" w:line="240" w:lineRule="auto"/>
              <w:ind w:left="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 数据库实例部署平台（包括物理机和虚拟机）需附带正版授权服务器操作系统和数据库系统。</w:t>
            </w:r>
            <w:r>
              <w:rPr>
                <w:rFonts w:ascii="仿宋" w:hAnsi="仿宋" w:eastAsia="仿宋" w:cs="仿宋"/>
                <w:color w:val="auto"/>
                <w:sz w:val="24"/>
                <w:szCs w:val="24"/>
                <w:highlight w:val="none"/>
                <w:lang w:val="en-US" w:eastAsia="zh-CN"/>
              </w:rPr>
              <w:t>服务器操作系统不允许使用CentOS Linux及相关衍生版本，在保障系统稳定前提下，</w:t>
            </w:r>
            <w:r>
              <w:rPr>
                <w:rFonts w:hint="eastAsia" w:ascii="仿宋" w:hAnsi="仿宋" w:eastAsia="仿宋" w:cs="仿宋"/>
                <w:color w:val="auto"/>
                <w:sz w:val="24"/>
                <w:szCs w:val="24"/>
                <w:highlight w:val="none"/>
                <w:lang w:val="en-US" w:eastAsia="zh-CN"/>
              </w:rPr>
              <w:t>须</w:t>
            </w:r>
            <w:r>
              <w:rPr>
                <w:rFonts w:ascii="仿宋" w:hAnsi="仿宋" w:eastAsia="仿宋" w:cs="仿宋"/>
                <w:color w:val="auto"/>
                <w:sz w:val="24"/>
                <w:szCs w:val="24"/>
                <w:highlight w:val="none"/>
                <w:lang w:val="en-US" w:eastAsia="zh-CN"/>
              </w:rPr>
              <w:t>使用国产</w:t>
            </w:r>
            <w:r>
              <w:rPr>
                <w:rFonts w:hint="eastAsia" w:ascii="仿宋" w:hAnsi="仿宋" w:eastAsia="仿宋" w:cs="仿宋"/>
                <w:color w:val="auto"/>
                <w:sz w:val="24"/>
                <w:szCs w:val="24"/>
                <w:highlight w:val="none"/>
                <w:lang w:val="en-US" w:eastAsia="zh-CN"/>
              </w:rPr>
              <w:t>安全操作</w:t>
            </w:r>
            <w:r>
              <w:rPr>
                <w:rFonts w:ascii="仿宋" w:hAnsi="仿宋" w:eastAsia="仿宋" w:cs="仿宋"/>
                <w:color w:val="auto"/>
                <w:sz w:val="24"/>
                <w:szCs w:val="24"/>
                <w:highlight w:val="none"/>
                <w:lang w:val="en-US" w:eastAsia="zh-CN"/>
              </w:rPr>
              <w:t>系统。</w:t>
            </w:r>
          </w:p>
        </w:tc>
        <w:tc>
          <w:tcPr>
            <w:tcW w:w="757" w:type="dxa"/>
            <w:tcBorders>
              <w:top w:val="single" w:color="000000" w:sz="4" w:space="0"/>
              <w:left w:val="single" w:color="000000" w:sz="4" w:space="0"/>
              <w:bottom w:val="single" w:color="000000" w:sz="4" w:space="0"/>
              <w:right w:val="single" w:color="000000" w:sz="4" w:space="0"/>
            </w:tcBorders>
            <w:noWrap w:val="0"/>
            <w:vAlign w:val="top"/>
          </w:tcPr>
          <w:p>
            <w:pPr>
              <w:pStyle w:val="148"/>
              <w:spacing w:beforeLines="0" w:afterLines="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position w:val="0"/>
                <w:sz w:val="24"/>
                <w:szCs w:val="24"/>
                <w:highlight w:val="none"/>
                <w:vertAlign w:val="baseline"/>
                <w:lang w:val="en-US" w:eastAsia="zh-CN"/>
              </w:rPr>
              <w:t>6</w:t>
            </w:r>
          </w:p>
        </w:tc>
      </w:tr>
      <w:tr>
        <w:tblPrEx>
          <w:tblCellMar>
            <w:top w:w="0" w:type="dxa"/>
            <w:left w:w="108" w:type="dxa"/>
            <w:bottom w:w="0" w:type="dxa"/>
            <w:right w:w="108" w:type="dxa"/>
          </w:tblCellMar>
        </w:tblPrEx>
        <w:trPr>
          <w:trHeight w:val="1541"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48"/>
              <w:snapToGrid w:val="0"/>
              <w:spacing w:beforeLines="0" w:afterLines="0" w:line="240" w:lineRule="auto"/>
              <w:ind w:left="0" w:right="0" w:firstLine="0"/>
              <w:jc w:val="center"/>
              <w:rPr>
                <w:rFonts w:hint="eastAsia" w:ascii="仿宋" w:hAnsi="仿宋" w:eastAsia="仿宋" w:cs="仿宋"/>
                <w:color w:val="auto"/>
                <w:position w:val="0"/>
                <w:sz w:val="24"/>
                <w:szCs w:val="24"/>
                <w:highlight w:val="none"/>
                <w:vertAlign w:val="baseline"/>
                <w:lang w:val="en-US" w:eastAsia="zh-CN"/>
              </w:rPr>
            </w:pPr>
          </w:p>
        </w:tc>
        <w:tc>
          <w:tcPr>
            <w:tcW w:w="7336" w:type="dxa"/>
            <w:tcBorders>
              <w:top w:val="single" w:color="000000" w:sz="4" w:space="0"/>
              <w:left w:val="single" w:color="000000" w:sz="4" w:space="0"/>
              <w:bottom w:val="single" w:color="000000" w:sz="4" w:space="0"/>
              <w:right w:val="single" w:color="000000" w:sz="4" w:space="0"/>
            </w:tcBorders>
            <w:noWrap w:val="0"/>
            <w:vAlign w:val="top"/>
          </w:tcPr>
          <w:p>
            <w:pPr>
              <w:pStyle w:val="148"/>
              <w:spacing w:beforeLines="0" w:afterLines="0" w:line="240" w:lineRule="auto"/>
              <w:ind w:left="0" w:righ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数据存储单元</w:t>
            </w:r>
          </w:p>
          <w:p>
            <w:pPr>
              <w:pStyle w:val="148"/>
              <w:spacing w:beforeLines="0" w:afterLines="0" w:line="240" w:lineRule="auto"/>
              <w:ind w:left="0" w:righ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FC接口混合存储阵列系统，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2个存储控制器，控制器缓存容量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512GB；配置存储双活许可证，实现存储双活或HA功能；实际可用容量配置：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60TB </w:t>
            </w:r>
            <w:r>
              <w:rPr>
                <w:rFonts w:hint="eastAsia" w:ascii="仿宋" w:hAnsi="仿宋" w:eastAsia="仿宋" w:cs="仿宋"/>
                <w:color w:val="auto"/>
                <w:sz w:val="24"/>
                <w:szCs w:val="24"/>
                <w:highlight w:val="none"/>
                <w:lang w:val="en-US" w:eastAsia="zh-CN"/>
              </w:rPr>
              <w:t>NVME</w:t>
            </w:r>
            <w:r>
              <w:rPr>
                <w:rFonts w:hint="eastAsia" w:ascii="仿宋" w:hAnsi="仿宋" w:eastAsia="仿宋" w:cs="仿宋"/>
                <w:color w:val="auto"/>
                <w:sz w:val="24"/>
                <w:szCs w:val="24"/>
                <w:highlight w:val="none"/>
              </w:rPr>
              <w:t xml:space="preserve"> SSD 可用（热点数据、生产数据库存储、预留空间）；支持RAID 0,1,5,6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；符合国密算法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配置存储快照以及存储管理功能许可；提供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5年原厂保修服务</w:t>
            </w:r>
            <w:r>
              <w:rPr>
                <w:rFonts w:hint="eastAsia" w:ascii="仿宋" w:hAnsi="仿宋" w:eastAsia="仿宋" w:cs="仿宋"/>
                <w:color w:val="auto"/>
                <w:sz w:val="24"/>
                <w:szCs w:val="24"/>
                <w:highlight w:val="none"/>
                <w:lang w:val="en-US" w:eastAsia="zh-CN"/>
              </w:rPr>
              <w:t>。</w:t>
            </w:r>
          </w:p>
        </w:tc>
        <w:tc>
          <w:tcPr>
            <w:tcW w:w="757" w:type="dxa"/>
            <w:tcBorders>
              <w:top w:val="single" w:color="000000" w:sz="4" w:space="0"/>
              <w:left w:val="single" w:color="000000" w:sz="4" w:space="0"/>
              <w:bottom w:val="single" w:color="000000" w:sz="4" w:space="0"/>
              <w:right w:val="single" w:color="000000" w:sz="4" w:space="0"/>
            </w:tcBorders>
            <w:noWrap w:val="0"/>
            <w:vAlign w:val="top"/>
          </w:tcPr>
          <w:p>
            <w:pPr>
              <w:pStyle w:val="148"/>
              <w:spacing w:beforeLines="0" w:afterLines="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position w:val="0"/>
                <w:sz w:val="24"/>
                <w:szCs w:val="24"/>
                <w:highlight w:val="none"/>
                <w:vertAlign w:val="baseline"/>
                <w:lang w:val="en-US" w:eastAsia="zh-CN"/>
              </w:rPr>
              <w:t>3</w:t>
            </w:r>
          </w:p>
        </w:tc>
      </w:tr>
      <w:tr>
        <w:tblPrEx>
          <w:tblCellMar>
            <w:top w:w="0" w:type="dxa"/>
            <w:left w:w="108" w:type="dxa"/>
            <w:bottom w:w="0" w:type="dxa"/>
            <w:right w:w="108" w:type="dxa"/>
          </w:tblCellMar>
        </w:tblPrEx>
        <w:trPr>
          <w:trHeight w:val="374"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48"/>
              <w:snapToGrid w:val="0"/>
              <w:spacing w:beforeLines="0" w:afterLines="0" w:line="240" w:lineRule="auto"/>
              <w:ind w:left="0" w:right="0" w:firstLine="0"/>
              <w:jc w:val="center"/>
              <w:rPr>
                <w:rFonts w:hint="eastAsia" w:ascii="仿宋" w:hAnsi="仿宋" w:eastAsia="仿宋" w:cs="仿宋"/>
                <w:color w:val="auto"/>
                <w:position w:val="0"/>
                <w:sz w:val="24"/>
                <w:szCs w:val="24"/>
                <w:highlight w:val="none"/>
                <w:vertAlign w:val="baseline"/>
                <w:lang w:val="en-US" w:eastAsia="zh-CN"/>
              </w:rPr>
            </w:pPr>
          </w:p>
        </w:tc>
        <w:tc>
          <w:tcPr>
            <w:tcW w:w="7336" w:type="dxa"/>
            <w:tcBorders>
              <w:top w:val="single" w:color="000000" w:sz="4" w:space="0"/>
              <w:left w:val="single" w:color="000000" w:sz="4" w:space="0"/>
              <w:bottom w:val="single" w:color="000000" w:sz="4" w:space="0"/>
              <w:right w:val="single" w:color="000000" w:sz="4" w:space="0"/>
            </w:tcBorders>
            <w:noWrap w:val="0"/>
            <w:vAlign w:val="top"/>
          </w:tcPr>
          <w:p>
            <w:pPr>
              <w:pStyle w:val="148"/>
              <w:numPr>
                <w:ilvl w:val="0"/>
                <w:numId w:val="0"/>
              </w:numPr>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网络交换单元</w:t>
            </w:r>
          </w:p>
          <w:p>
            <w:pPr>
              <w:pStyle w:val="148"/>
              <w:numPr>
                <w:ilvl w:val="0"/>
                <w:numId w:val="26"/>
              </w:numPr>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交换容量≥4.8Tbps，包转发速率≥2000Mpps，如官网以X/Y形式表述则以其中最小值为准，配置双电源；</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2、固化10G SFP+以太网光口≥48个，100G QSFP28光口≥8个；所有端口均需支持线速转发；</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3、每个100G端口支持40G/100G速率传输，支持拆分为4*25G工作模式，25G端口还支持降速10G使用；</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4、产品支持MAC表项≥320K，IPv4主机路由表项≥740K，IPv6主机路由表项≥140K，ACL入方向表项≥28K，ACL出方向表项≥4K；</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5、支持三层网络上进行二层报文互通；支持IPv4/IPv6 VXLAN；</w:t>
            </w:r>
          </w:p>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6、本次配置48个万兆多模光模块。</w:t>
            </w:r>
          </w:p>
          <w:p>
            <w:pPr>
              <w:pStyle w:val="148"/>
              <w:spacing w:beforeLines="0" w:afterLines="0" w:line="240" w:lineRule="auto"/>
              <w:ind w:left="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7、提供≥5年原厂保修服务。</w:t>
            </w:r>
          </w:p>
        </w:tc>
        <w:tc>
          <w:tcPr>
            <w:tcW w:w="757" w:type="dxa"/>
            <w:tcBorders>
              <w:top w:val="single" w:color="000000" w:sz="4" w:space="0"/>
              <w:left w:val="single" w:color="000000" w:sz="4" w:space="0"/>
              <w:bottom w:val="single" w:color="000000" w:sz="4" w:space="0"/>
              <w:right w:val="single" w:color="000000" w:sz="4" w:space="0"/>
            </w:tcBorders>
            <w:noWrap w:val="0"/>
            <w:vAlign w:val="top"/>
          </w:tcPr>
          <w:p>
            <w:pPr>
              <w:pStyle w:val="148"/>
              <w:spacing w:beforeLines="0" w:afterLines="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position w:val="0"/>
                <w:sz w:val="24"/>
                <w:szCs w:val="24"/>
                <w:highlight w:val="none"/>
                <w:vertAlign w:val="baseline"/>
                <w:lang w:val="en-US" w:eastAsia="zh-CN"/>
              </w:rPr>
              <w:t>8</w:t>
            </w:r>
          </w:p>
        </w:tc>
      </w:tr>
      <w:tr>
        <w:tblPrEx>
          <w:tblCellMar>
            <w:top w:w="0" w:type="dxa"/>
            <w:left w:w="108" w:type="dxa"/>
            <w:bottom w:w="0" w:type="dxa"/>
            <w:right w:w="108" w:type="dxa"/>
          </w:tblCellMar>
        </w:tblPrEx>
        <w:trPr>
          <w:trHeight w:val="632" w:hRule="atLeast"/>
        </w:trPr>
        <w:tc>
          <w:tcPr>
            <w:tcW w:w="109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48"/>
              <w:snapToGrid w:val="0"/>
              <w:spacing w:beforeLines="0" w:afterLines="0" w:line="240" w:lineRule="auto"/>
              <w:ind w:left="0" w:right="0" w:firstLine="0"/>
              <w:jc w:val="center"/>
              <w:rPr>
                <w:rFonts w:hint="eastAsia" w:ascii="仿宋" w:hAnsi="仿宋" w:eastAsia="仿宋" w:cs="仿宋"/>
                <w:color w:val="auto"/>
                <w:position w:val="0"/>
                <w:sz w:val="24"/>
                <w:szCs w:val="24"/>
                <w:highlight w:val="none"/>
                <w:vertAlign w:val="baseline"/>
                <w:lang w:val="en-US" w:eastAsia="zh-CN"/>
              </w:rPr>
            </w:pPr>
          </w:p>
        </w:tc>
        <w:tc>
          <w:tcPr>
            <w:tcW w:w="7336" w:type="dxa"/>
            <w:tcBorders>
              <w:top w:val="single" w:color="000000" w:sz="4" w:space="0"/>
              <w:left w:val="single" w:color="000000" w:sz="4" w:space="0"/>
              <w:bottom w:val="single" w:color="000000" w:sz="4" w:space="0"/>
              <w:right w:val="single" w:color="000000" w:sz="4" w:space="0"/>
            </w:tcBorders>
            <w:noWrap w:val="0"/>
            <w:vAlign w:val="top"/>
          </w:tcPr>
          <w:p>
            <w:pPr>
              <w:pStyle w:val="148"/>
              <w:spacing w:beforeLines="0" w:afterLines="0" w:line="240" w:lineRule="auto"/>
              <w:ind w:left="0" w:righ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数据存储交换单元</w:t>
            </w:r>
          </w:p>
          <w:p>
            <w:pPr>
              <w:pStyle w:val="148"/>
              <w:spacing w:beforeLines="0" w:afterLines="0" w:line="240" w:lineRule="auto"/>
              <w:ind w:left="0" w:righ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48口32G光纤交换机，激活48口，配置48个16G多模光模块，提供≥5年原厂保修服务。</w:t>
            </w:r>
          </w:p>
        </w:tc>
        <w:tc>
          <w:tcPr>
            <w:tcW w:w="757" w:type="dxa"/>
            <w:tcBorders>
              <w:top w:val="single" w:color="000000" w:sz="4" w:space="0"/>
              <w:left w:val="single" w:color="000000" w:sz="4" w:space="0"/>
              <w:bottom w:val="single" w:color="000000" w:sz="4" w:space="0"/>
              <w:right w:val="single" w:color="000000" w:sz="4" w:space="0"/>
            </w:tcBorders>
            <w:noWrap w:val="0"/>
            <w:vAlign w:val="top"/>
          </w:tcPr>
          <w:p>
            <w:pPr>
              <w:pStyle w:val="148"/>
              <w:spacing w:beforeLines="0" w:afterLines="0" w:line="240" w:lineRule="auto"/>
              <w:ind w:left="0" w:right="0" w:firstLine="0"/>
              <w:jc w:val="center"/>
              <w:rPr>
                <w:rFonts w:hint="eastAsia" w:ascii="仿宋" w:hAnsi="仿宋" w:eastAsia="仿宋" w:cs="仿宋"/>
                <w:color w:val="auto"/>
                <w:sz w:val="24"/>
                <w:szCs w:val="24"/>
                <w:highlight w:val="none"/>
              </w:rPr>
            </w:pPr>
            <w:r>
              <w:rPr>
                <w:rFonts w:hint="eastAsia" w:ascii="仿宋" w:hAnsi="仿宋" w:eastAsia="仿宋" w:cs="仿宋"/>
                <w:color w:val="auto"/>
                <w:position w:val="0"/>
                <w:sz w:val="24"/>
                <w:szCs w:val="24"/>
                <w:highlight w:val="none"/>
                <w:vertAlign w:val="baseline"/>
                <w:lang w:val="en-US" w:eastAsia="zh-CN"/>
              </w:rPr>
              <w:t>4</w:t>
            </w:r>
          </w:p>
        </w:tc>
      </w:tr>
    </w:tbl>
    <w:p>
      <w:pPr>
        <w:pStyle w:val="148"/>
        <w:rPr>
          <w:rFonts w:hint="eastAsia" w:ascii="仿宋" w:hAnsi="仿宋" w:eastAsia="仿宋" w:cs="仿宋"/>
          <w:color w:val="auto"/>
          <w:highlight w:val="none"/>
          <w:lang w:val="en-US" w:eastAsia="zh-CN"/>
        </w:rPr>
      </w:pP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8"/>
          <w:szCs w:val="28"/>
          <w:highlight w:val="none"/>
        </w:rPr>
      </w:pPr>
      <w:bookmarkStart w:id="384" w:name="_Toc9741"/>
      <w:r>
        <w:rPr>
          <w:rFonts w:hint="eastAsia" w:ascii="仿宋" w:hAnsi="仿宋" w:eastAsia="仿宋" w:cs="仿宋"/>
          <w:b/>
          <w:bCs w:val="0"/>
          <w:color w:val="auto"/>
          <w:sz w:val="28"/>
          <w:szCs w:val="28"/>
          <w:highlight w:val="none"/>
        </w:rPr>
        <w:t>第六部分  附件</w:t>
      </w:r>
      <w:bookmarkEnd w:id="263"/>
      <w:bookmarkEnd w:id="264"/>
      <w:bookmarkEnd w:id="269"/>
      <w:bookmarkEnd w:id="270"/>
      <w:bookmarkEnd w:id="384"/>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385" w:name="_Toc1537"/>
      <w:bookmarkStart w:id="386" w:name="_Toc10224"/>
      <w:bookmarkStart w:id="387" w:name="_Toc356491342"/>
      <w:bookmarkStart w:id="388" w:name="_Toc356490394"/>
      <w:bookmarkStart w:id="389" w:name="_Toc13636"/>
      <w:r>
        <w:rPr>
          <w:rFonts w:hint="eastAsia" w:ascii="仿宋" w:hAnsi="仿宋" w:eastAsia="仿宋" w:cs="仿宋"/>
          <w:color w:val="auto"/>
          <w:sz w:val="28"/>
          <w:szCs w:val="28"/>
          <w:highlight w:val="none"/>
        </w:rPr>
        <w:t>附件一：</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w:t>
      </w:r>
      <w:bookmarkEnd w:id="385"/>
      <w:bookmarkEnd w:id="386"/>
      <w:bookmarkEnd w:id="387"/>
      <w:bookmarkEnd w:id="388"/>
      <w:bookmarkEnd w:id="389"/>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经研究，我们决定参加编号为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1、我方提交的投标文件，正本一份，副本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6、投标文件在公开报价后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8、我方愿按《中华人民共和国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390" w:name="_Toc323129568"/>
      <w:bookmarkStart w:id="391" w:name="_Toc323130135"/>
      <w:bookmarkStart w:id="392" w:name="_Toc30500"/>
      <w:bookmarkStart w:id="393" w:name="_Toc325620729"/>
      <w:bookmarkStart w:id="394" w:name="_Toc19377"/>
      <w:bookmarkStart w:id="395" w:name="_Toc7221"/>
      <w:bookmarkStart w:id="396" w:name="_Toc356491343"/>
      <w:r>
        <w:rPr>
          <w:rFonts w:hint="eastAsia" w:ascii="仿宋" w:hAnsi="仿宋" w:eastAsia="仿宋" w:cs="仿宋"/>
          <w:color w:val="auto"/>
          <w:sz w:val="28"/>
          <w:szCs w:val="28"/>
          <w:highlight w:val="none"/>
        </w:rPr>
        <w:t>附件二</w:t>
      </w:r>
      <w:bookmarkEnd w:id="390"/>
      <w:bookmarkEnd w:id="391"/>
      <w:r>
        <w:rPr>
          <w:rFonts w:hint="eastAsia" w:ascii="仿宋" w:hAnsi="仿宋" w:eastAsia="仿宋" w:cs="仿宋"/>
          <w:color w:val="auto"/>
          <w:sz w:val="28"/>
          <w:szCs w:val="28"/>
          <w:highlight w:val="none"/>
        </w:rPr>
        <w:t>：法定代表人授权委托书</w:t>
      </w:r>
      <w:bookmarkEnd w:id="392"/>
      <w:bookmarkEnd w:id="393"/>
      <w:bookmarkEnd w:id="394"/>
      <w:bookmarkEnd w:id="395"/>
      <w:bookmarkEnd w:id="396"/>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p>
    <w:p>
      <w:pPr>
        <w:pStyle w:val="16"/>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（投标人名称）法定代表人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，现授权委托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（单位名称）的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（姓名、职务）为我公司全权代理人，以本公司的名义参加</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日期：   年   月  日</w:t>
      </w:r>
      <w:bookmarkStart w:id="397" w:name="_Toc11320305"/>
      <w:bookmarkStart w:id="398" w:name="_Toc323130136"/>
      <w:bookmarkStart w:id="399" w:name="_Toc323129569"/>
      <w:bookmarkStart w:id="400" w:name="_Toc356490395"/>
      <w:bookmarkStart w:id="401" w:name="_Toc325620730"/>
      <w:bookmarkStart w:id="402" w:name="_Toc356491344"/>
    </w:p>
    <w:p>
      <w:pPr>
        <w:pStyle w:val="16"/>
        <w:rPr>
          <w:rFonts w:hint="eastAsia" w:ascii="仿宋" w:hAnsi="仿宋" w:eastAsia="仿宋" w:cs="仿宋"/>
          <w:color w:val="auto"/>
          <w:highlight w:val="none"/>
        </w:rPr>
      </w:pPr>
    </w:p>
    <w:p>
      <w:pPr>
        <w:rPr>
          <w:rFonts w:hint="eastAsia" w:ascii="仿宋" w:hAnsi="仿宋" w:eastAsia="仿宋" w:cs="仿宋"/>
          <w:b/>
          <w:bCs/>
          <w:color w:val="auto"/>
          <w:kern w:val="0"/>
          <w:sz w:val="28"/>
          <w:szCs w:val="28"/>
          <w:highlight w:val="none"/>
          <w:lang w:val="en-US" w:eastAsia="zh-CN" w:bidi="ar-SA"/>
        </w:rPr>
      </w:pPr>
      <w:bookmarkStart w:id="403" w:name="_Toc22936"/>
      <w:r>
        <w:rPr>
          <w:rFonts w:hint="eastAsia" w:ascii="仿宋" w:hAnsi="仿宋" w:eastAsia="仿宋" w:cs="仿宋"/>
          <w:b/>
          <w:bCs/>
          <w:color w:val="auto"/>
          <w:kern w:val="0"/>
          <w:sz w:val="28"/>
          <w:szCs w:val="28"/>
          <w:highlight w:val="none"/>
          <w:lang w:val="en-US" w:eastAsia="zh-CN" w:bidi="ar-SA"/>
        </w:rPr>
        <w:br w:type="page"/>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8"/>
          <w:szCs w:val="28"/>
          <w:highlight w:val="none"/>
        </w:rPr>
      </w:pPr>
      <w:bookmarkStart w:id="404" w:name="_Toc32732"/>
      <w:r>
        <w:rPr>
          <w:rFonts w:hint="eastAsia" w:ascii="仿宋" w:hAnsi="仿宋" w:eastAsia="仿宋" w:cs="仿宋"/>
          <w:b/>
          <w:bCs/>
          <w:color w:val="auto"/>
          <w:kern w:val="0"/>
          <w:sz w:val="28"/>
          <w:szCs w:val="28"/>
          <w:highlight w:val="none"/>
          <w:lang w:val="en-US" w:eastAsia="zh-CN" w:bidi="ar-SA"/>
        </w:rPr>
        <w:t>附件三：在经营活动中没有重大违法记录的书面声明</w:t>
      </w:r>
      <w:bookmarkEnd w:id="397"/>
      <w:bookmarkEnd w:id="403"/>
      <w:bookmarkEnd w:id="404"/>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（项目名称）采购活动前3年内，我方被公开披露或查处的违法违规行为有：</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，但在经营活动中没有重大违法记录（重大违法记录指</w:t>
      </w:r>
      <w:r>
        <w:rPr>
          <w:rFonts w:hint="eastAsia" w:ascii="仿宋" w:hAnsi="仿宋" w:eastAsia="仿宋" w:cs="仿宋"/>
          <w:color w:val="auto"/>
          <w:kern w:val="0"/>
          <w:sz w:val="28"/>
          <w:szCs w:val="28"/>
          <w:highlight w:val="none"/>
        </w:rPr>
        <w:t>投标人因违法经营受到刑事处罚或者责令停产停业、吊销许可证或者执照、较大数额罚款等行政处罚）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备注：投标人没有被公开披露或查处违法违规行为的，注明“无”即可。</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rPr>
        <w:br w:type="page"/>
      </w:r>
      <w:bookmarkStart w:id="405" w:name="_Toc14546"/>
      <w:bookmarkStart w:id="406" w:name="_Toc9736"/>
      <w:bookmarkStart w:id="407" w:name="_Toc3372"/>
      <w:r>
        <w:rPr>
          <w:rFonts w:hint="eastAsia" w:ascii="仿宋" w:hAnsi="仿宋" w:eastAsia="仿宋" w:cs="仿宋"/>
          <w:b/>
          <w:bCs/>
          <w:color w:val="auto"/>
          <w:kern w:val="2"/>
          <w:sz w:val="28"/>
          <w:szCs w:val="28"/>
          <w:highlight w:val="none"/>
        </w:rPr>
        <w:t>附件四</w:t>
      </w:r>
      <w:r>
        <w:rPr>
          <w:rFonts w:hint="eastAsia" w:ascii="仿宋" w:hAnsi="仿宋" w:eastAsia="仿宋" w:cs="仿宋"/>
          <w:b/>
          <w:bCs/>
          <w:color w:val="auto"/>
          <w:kern w:val="2"/>
          <w:sz w:val="28"/>
          <w:szCs w:val="28"/>
          <w:highlight w:val="none"/>
          <w:lang w:eastAsia="zh-CN"/>
        </w:rPr>
        <w:t>：</w:t>
      </w:r>
      <w:r>
        <w:rPr>
          <w:rFonts w:hint="eastAsia" w:ascii="仿宋" w:hAnsi="仿宋" w:eastAsia="仿宋" w:cs="仿宋"/>
          <w:b/>
          <w:bCs/>
          <w:color w:val="auto"/>
          <w:kern w:val="2"/>
          <w:sz w:val="28"/>
          <w:szCs w:val="28"/>
          <w:highlight w:val="none"/>
          <w:lang w:val="en-US" w:eastAsia="zh-CN"/>
        </w:rPr>
        <w:t>供应商无控股、管理关系的书面声明</w:t>
      </w:r>
      <w:bookmarkEnd w:id="405"/>
    </w:p>
    <w:p>
      <w:pPr>
        <w:spacing w:line="360" w:lineRule="auto"/>
        <w:rPr>
          <w:rFonts w:hint="eastAsia" w:ascii="仿宋" w:hAnsi="仿宋" w:eastAsia="仿宋" w:cs="仿宋"/>
          <w:b/>
          <w:bCs/>
          <w:color w:val="auto"/>
          <w:kern w:val="2"/>
          <w:sz w:val="28"/>
          <w:szCs w:val="28"/>
          <w:highlight w:val="none"/>
          <w:lang w:val="en-US" w:eastAsia="zh-CN"/>
        </w:rPr>
      </w:pPr>
    </w:p>
    <w:p>
      <w:pPr>
        <w:spacing w:line="360" w:lineRule="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致山东大学第二医院、盛和招标代理有限公司：</w:t>
      </w:r>
    </w:p>
    <w:p>
      <w:pPr>
        <w:pStyle w:val="48"/>
        <w:spacing w:line="360" w:lineRule="auto"/>
        <w:ind w:left="0" w:leftChars="0" w:firstLine="560"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8"/>
          <w:szCs w:val="28"/>
          <w:highlight w:val="none"/>
          <w:lang w:val="en-US" w:eastAsia="zh-CN"/>
        </w:rPr>
        <w:t>就参与本次</w:t>
      </w:r>
      <w:r>
        <w:rPr>
          <w:rFonts w:hint="eastAsia" w:ascii="仿宋" w:hAnsi="仿宋" w:eastAsia="仿宋" w:cs="仿宋"/>
          <w:b w:val="0"/>
          <w:bCs w:val="0"/>
          <w:color w:val="auto"/>
          <w:kern w:val="2"/>
          <w:sz w:val="28"/>
          <w:szCs w:val="28"/>
          <w:highlight w:val="none"/>
          <w:u w:val="single"/>
          <w:lang w:val="en-US" w:eastAsia="zh-CN"/>
        </w:rPr>
        <w:t>山东大学第二医院智慧医院一体化项目（项目编号：SDSHZB2023-297）</w:t>
      </w:r>
      <w:r>
        <w:rPr>
          <w:rFonts w:hint="eastAsia" w:ascii="仿宋" w:hAnsi="仿宋" w:eastAsia="仿宋" w:cs="仿宋"/>
          <w:b w:val="0"/>
          <w:bCs w:val="0"/>
          <w:color w:val="auto"/>
          <w:kern w:val="2"/>
          <w:sz w:val="28"/>
          <w:szCs w:val="28"/>
          <w:highlight w:val="none"/>
          <w:u w:val="none"/>
          <w:lang w:val="en-US" w:eastAsia="zh-CN"/>
        </w:rPr>
        <w:t>,我公司做以下声明：</w:t>
      </w:r>
    </w:p>
    <w:p>
      <w:pPr>
        <w:spacing w:line="360" w:lineRule="auto"/>
        <w:ind w:firstLine="560" w:firstLineChars="200"/>
        <w:rPr>
          <w:rFonts w:hint="eastAsia" w:ascii="仿宋" w:hAnsi="仿宋" w:eastAsia="仿宋" w:cs="仿宋"/>
          <w:b w:val="0"/>
          <w:bCs w:val="0"/>
          <w:color w:val="auto"/>
          <w:kern w:val="2"/>
          <w:sz w:val="28"/>
          <w:szCs w:val="28"/>
          <w:highlight w:val="none"/>
          <w:lang w:eastAsia="zh-CN"/>
        </w:rPr>
      </w:pPr>
      <w:r>
        <w:rPr>
          <w:rFonts w:hint="eastAsia" w:ascii="仿宋" w:hAnsi="仿宋" w:eastAsia="仿宋" w:cs="仿宋"/>
          <w:b w:val="0"/>
          <w:bCs w:val="0"/>
          <w:color w:val="auto"/>
          <w:kern w:val="2"/>
          <w:sz w:val="28"/>
          <w:szCs w:val="28"/>
          <w:highlight w:val="none"/>
          <w:lang w:val="en-US" w:eastAsia="zh-CN"/>
        </w:rPr>
        <w:t>我</w:t>
      </w:r>
      <w:r>
        <w:rPr>
          <w:rFonts w:hint="eastAsia" w:ascii="仿宋" w:hAnsi="仿宋" w:eastAsia="仿宋" w:cs="仿宋"/>
          <w:b w:val="0"/>
          <w:bCs w:val="0"/>
          <w:color w:val="auto"/>
          <w:kern w:val="2"/>
          <w:sz w:val="28"/>
          <w:szCs w:val="28"/>
          <w:highlight w:val="none"/>
          <w:lang w:eastAsia="zh-CN"/>
        </w:rPr>
        <w:t>单位负责人</w:t>
      </w:r>
      <w:r>
        <w:rPr>
          <w:rFonts w:hint="eastAsia" w:ascii="仿宋" w:hAnsi="仿宋" w:eastAsia="仿宋" w:cs="仿宋"/>
          <w:b w:val="0"/>
          <w:bCs w:val="0"/>
          <w:color w:val="auto"/>
          <w:kern w:val="2"/>
          <w:sz w:val="28"/>
          <w:szCs w:val="28"/>
          <w:highlight w:val="none"/>
          <w:lang w:val="en-US" w:eastAsia="zh-CN"/>
        </w:rPr>
        <w:t>与其他</w:t>
      </w:r>
      <w:r>
        <w:rPr>
          <w:rFonts w:hint="eastAsia" w:ascii="仿宋" w:hAnsi="仿宋" w:eastAsia="仿宋" w:cs="仿宋"/>
          <w:b w:val="0"/>
          <w:bCs w:val="0"/>
          <w:color w:val="auto"/>
          <w:kern w:val="2"/>
          <w:sz w:val="28"/>
          <w:szCs w:val="28"/>
          <w:highlight w:val="none"/>
          <w:lang w:eastAsia="zh-CN"/>
        </w:rPr>
        <w:t>供应商</w:t>
      </w:r>
      <w:r>
        <w:rPr>
          <w:rFonts w:hint="eastAsia" w:ascii="仿宋" w:hAnsi="仿宋" w:eastAsia="仿宋" w:cs="仿宋"/>
          <w:b w:val="0"/>
          <w:bCs w:val="0"/>
          <w:color w:val="auto"/>
          <w:kern w:val="2"/>
          <w:sz w:val="28"/>
          <w:szCs w:val="28"/>
          <w:highlight w:val="none"/>
          <w:lang w:val="en-US" w:eastAsia="zh-CN"/>
        </w:rPr>
        <w:t>负责人非</w:t>
      </w:r>
      <w:r>
        <w:rPr>
          <w:rFonts w:hint="eastAsia" w:ascii="仿宋" w:hAnsi="仿宋" w:eastAsia="仿宋" w:cs="仿宋"/>
          <w:b w:val="0"/>
          <w:bCs w:val="0"/>
          <w:color w:val="auto"/>
          <w:kern w:val="2"/>
          <w:sz w:val="28"/>
          <w:szCs w:val="28"/>
          <w:highlight w:val="none"/>
          <w:lang w:eastAsia="zh-CN"/>
        </w:rPr>
        <w:t>同一人，</w:t>
      </w:r>
      <w:r>
        <w:rPr>
          <w:rFonts w:hint="eastAsia" w:ascii="仿宋" w:hAnsi="仿宋" w:eastAsia="仿宋" w:cs="仿宋"/>
          <w:b w:val="0"/>
          <w:bCs w:val="0"/>
          <w:color w:val="auto"/>
          <w:kern w:val="2"/>
          <w:sz w:val="28"/>
          <w:szCs w:val="28"/>
          <w:highlight w:val="none"/>
          <w:lang w:val="en-US" w:eastAsia="zh-CN"/>
        </w:rPr>
        <w:t>我公司与其他</w:t>
      </w:r>
      <w:r>
        <w:rPr>
          <w:rFonts w:hint="eastAsia" w:ascii="仿宋" w:hAnsi="仿宋" w:eastAsia="仿宋" w:cs="仿宋"/>
          <w:b w:val="0"/>
          <w:bCs w:val="0"/>
          <w:color w:val="auto"/>
          <w:kern w:val="2"/>
          <w:sz w:val="28"/>
          <w:szCs w:val="28"/>
          <w:highlight w:val="none"/>
          <w:lang w:eastAsia="zh-CN"/>
        </w:rPr>
        <w:t>供应商</w:t>
      </w:r>
      <w:r>
        <w:rPr>
          <w:rFonts w:hint="eastAsia" w:ascii="仿宋" w:hAnsi="仿宋" w:eastAsia="仿宋" w:cs="仿宋"/>
          <w:b w:val="0"/>
          <w:bCs w:val="0"/>
          <w:color w:val="auto"/>
          <w:kern w:val="2"/>
          <w:sz w:val="28"/>
          <w:szCs w:val="28"/>
          <w:highlight w:val="none"/>
          <w:lang w:val="en-US" w:eastAsia="zh-CN"/>
        </w:rPr>
        <w:t>不</w:t>
      </w:r>
      <w:r>
        <w:rPr>
          <w:rFonts w:hint="eastAsia" w:ascii="仿宋" w:hAnsi="仿宋" w:eastAsia="仿宋" w:cs="仿宋"/>
          <w:b w:val="0"/>
          <w:bCs w:val="0"/>
          <w:color w:val="auto"/>
          <w:kern w:val="2"/>
          <w:sz w:val="28"/>
          <w:szCs w:val="28"/>
          <w:highlight w:val="none"/>
          <w:lang w:eastAsia="zh-CN"/>
        </w:rPr>
        <w:t>存在直接控股、管理关系。</w:t>
      </w:r>
    </w:p>
    <w:p>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特此承诺</w:t>
      </w:r>
    </w:p>
    <w:p>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供应商名称（加盖公章）：</w:t>
      </w:r>
    </w:p>
    <w:p>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日期：2023年   月   日</w:t>
      </w:r>
    </w:p>
    <w:p>
      <w:pPr>
        <w:spacing w:line="360" w:lineRule="auto"/>
        <w:ind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br w:type="page"/>
      </w:r>
    </w:p>
    <w:p>
      <w:pPr>
        <w:pStyle w:val="3"/>
        <w:pageBreakBefore w:val="0"/>
        <w:kinsoku/>
        <w:overflowPunct/>
        <w:topLinePunct w:val="0"/>
        <w:bidi w:val="0"/>
        <w:snapToGrid/>
        <w:spacing w:line="360" w:lineRule="auto"/>
        <w:rPr>
          <w:rFonts w:hint="eastAsia" w:ascii="仿宋" w:hAnsi="仿宋" w:eastAsia="仿宋" w:cs="仿宋"/>
          <w:b/>
          <w:color w:val="auto"/>
          <w:sz w:val="28"/>
          <w:szCs w:val="28"/>
          <w:highlight w:val="none"/>
        </w:rPr>
      </w:pPr>
      <w:bookmarkStart w:id="408" w:name="_Toc3278"/>
      <w:r>
        <w:rPr>
          <w:rFonts w:hint="eastAsia" w:ascii="仿宋" w:hAnsi="仿宋" w:eastAsia="仿宋" w:cs="仿宋"/>
          <w:color w:val="auto"/>
          <w:sz w:val="28"/>
          <w:szCs w:val="28"/>
          <w:highlight w:val="none"/>
        </w:rPr>
        <w:t>附件</w:t>
      </w:r>
      <w:bookmarkEnd w:id="398"/>
      <w:bookmarkEnd w:id="399"/>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：报  价 一 览 表</w:t>
      </w:r>
      <w:bookmarkEnd w:id="400"/>
      <w:bookmarkEnd w:id="401"/>
      <w:bookmarkEnd w:id="402"/>
      <w:bookmarkEnd w:id="406"/>
      <w:bookmarkEnd w:id="407"/>
      <w:bookmarkEnd w:id="408"/>
    </w:p>
    <w:p>
      <w:pPr>
        <w:pStyle w:val="16"/>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项目编号：</w:t>
      </w:r>
      <w:r>
        <w:rPr>
          <w:rFonts w:hint="eastAsia" w:ascii="仿宋" w:hAnsi="仿宋" w:eastAsia="仿宋" w:cs="仿宋"/>
          <w:bCs w:val="0"/>
          <w:color w:val="auto"/>
          <w:sz w:val="28"/>
          <w:szCs w:val="28"/>
          <w:highlight w:val="none"/>
          <w:lang w:val="en-US" w:eastAsia="zh-CN"/>
        </w:rPr>
        <w:t xml:space="preserve">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rPr>
        <w:t>投标人名称（公章）：   法定代表人或授权代理人签字：</w:t>
      </w:r>
      <w:r>
        <w:rPr>
          <w:rFonts w:hint="eastAsia" w:ascii="仿宋" w:hAnsi="仿宋" w:eastAsia="仿宋" w:cs="仿宋"/>
          <w:b/>
          <w:color w:val="auto"/>
          <w:highlight w:val="none"/>
        </w:rPr>
        <w:t xml:space="preserve">                                            </w:t>
      </w:r>
    </w:p>
    <w:tbl>
      <w:tblPr>
        <w:tblStyle w:val="3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6365" w:type="dxa"/>
            <w:vAlign w:val="center"/>
          </w:tcPr>
          <w:p>
            <w:pPr>
              <w:spacing w:line="48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tc>
        <w:tc>
          <w:tcPr>
            <w:tcW w:w="6365" w:type="dxa"/>
            <w:vAlign w:val="center"/>
          </w:tcPr>
          <w:p>
            <w:pPr>
              <w:spacing w:line="48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总报价</w:t>
            </w:r>
          </w:p>
        </w:tc>
        <w:tc>
          <w:tcPr>
            <w:tcW w:w="6365" w:type="dxa"/>
            <w:vAlign w:val="center"/>
          </w:tcPr>
          <w:p>
            <w:pPr>
              <w:spacing w:line="4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总报价：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服务期</w:t>
            </w:r>
          </w:p>
        </w:tc>
        <w:tc>
          <w:tcPr>
            <w:tcW w:w="6365" w:type="dxa"/>
            <w:vAlign w:val="center"/>
          </w:tcPr>
          <w:p>
            <w:pPr>
              <w:spacing w:line="480" w:lineRule="exac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核心产品</w:t>
            </w:r>
          </w:p>
          <w:p>
            <w:pPr>
              <w:spacing w:line="480" w:lineRule="exact"/>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（品牌型号）</w:t>
            </w:r>
          </w:p>
        </w:tc>
        <w:tc>
          <w:tcPr>
            <w:tcW w:w="6365" w:type="dxa"/>
            <w:vAlign w:val="center"/>
          </w:tcPr>
          <w:p>
            <w:pPr>
              <w:spacing w:line="480" w:lineRule="exac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14" w:type="dxa"/>
            <w:vAlign w:val="center"/>
          </w:tcPr>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供应商对</w:t>
            </w:r>
            <w:r>
              <w:rPr>
                <w:rFonts w:hint="eastAsia" w:ascii="仿宋" w:hAnsi="仿宋" w:eastAsia="仿宋" w:cs="仿宋"/>
                <w:bCs/>
                <w:color w:val="auto"/>
                <w:sz w:val="24"/>
                <w:highlight w:val="none"/>
                <w:lang w:eastAsia="zh-CN"/>
              </w:rPr>
              <w:t>招标文件</w:t>
            </w:r>
            <w:r>
              <w:rPr>
                <w:rFonts w:hint="eastAsia" w:ascii="仿宋" w:hAnsi="仿宋" w:eastAsia="仿宋" w:cs="仿宋"/>
                <w:bCs/>
                <w:color w:val="auto"/>
                <w:sz w:val="24"/>
                <w:highlight w:val="none"/>
              </w:rPr>
              <w:t>的</w:t>
            </w:r>
          </w:p>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认同情况</w:t>
            </w:r>
          </w:p>
        </w:tc>
        <w:tc>
          <w:tcPr>
            <w:tcW w:w="6365" w:type="dxa"/>
            <w:vAlign w:val="center"/>
          </w:tcPr>
          <w:p>
            <w:pPr>
              <w:spacing w:line="480" w:lineRule="exact"/>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pPr>
              <w:spacing w:line="48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c>
          <w:tcPr>
            <w:tcW w:w="6365" w:type="dxa"/>
            <w:vAlign w:val="center"/>
          </w:tcPr>
          <w:p>
            <w:pPr>
              <w:spacing w:line="480" w:lineRule="exact"/>
              <w:rPr>
                <w:rFonts w:hint="eastAsia" w:ascii="仿宋" w:hAnsi="仿宋" w:eastAsia="仿宋" w:cs="仿宋"/>
                <w:bCs/>
                <w:color w:val="auto"/>
                <w:sz w:val="24"/>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 xml:space="preserve">2. </w:t>
      </w:r>
      <w:r>
        <w:rPr>
          <w:rFonts w:hint="eastAsia" w:ascii="仿宋" w:hAnsi="仿宋" w:eastAsia="仿宋" w:cs="仿宋"/>
          <w:bCs w:val="0"/>
          <w:color w:val="auto"/>
          <w:sz w:val="28"/>
          <w:szCs w:val="28"/>
          <w:highlight w:val="none"/>
          <w:lang w:val="en-US" w:eastAsia="zh-CN"/>
        </w:rPr>
        <w:t>投标报价包含</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执行过程中产生的一切费用</w:t>
      </w:r>
      <w:r>
        <w:rPr>
          <w:rFonts w:hint="eastAsia" w:ascii="仿宋" w:hAnsi="仿宋" w:eastAsia="仿宋" w:cs="仿宋"/>
          <w:color w:val="auto"/>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br w:type="page"/>
      </w:r>
      <w:bookmarkStart w:id="409" w:name="_Toc323130137"/>
      <w:bookmarkStart w:id="410" w:name="_Toc323129570"/>
      <w:bookmarkStart w:id="411" w:name="_Toc5119"/>
      <w:bookmarkStart w:id="412" w:name="_Toc356491345"/>
      <w:bookmarkStart w:id="413" w:name="_Toc356490396"/>
      <w:bookmarkStart w:id="414" w:name="_Toc24894"/>
      <w:bookmarkStart w:id="415" w:name="_Toc325620731"/>
      <w:bookmarkStart w:id="416" w:name="_Toc14511"/>
      <w:r>
        <w:rPr>
          <w:rFonts w:hint="eastAsia" w:ascii="仿宋" w:hAnsi="仿宋" w:eastAsia="仿宋" w:cs="仿宋"/>
          <w:color w:val="auto"/>
          <w:sz w:val="28"/>
          <w:szCs w:val="28"/>
          <w:highlight w:val="none"/>
        </w:rPr>
        <w:t>附件</w:t>
      </w:r>
      <w:bookmarkEnd w:id="409"/>
      <w:bookmarkEnd w:id="410"/>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bookmarkEnd w:id="411"/>
      <w:bookmarkEnd w:id="412"/>
      <w:bookmarkEnd w:id="413"/>
      <w:bookmarkEnd w:id="414"/>
      <w:bookmarkEnd w:id="415"/>
      <w:r>
        <w:rPr>
          <w:rFonts w:hint="eastAsia" w:ascii="仿宋" w:hAnsi="仿宋" w:eastAsia="仿宋" w:cs="仿宋"/>
          <w:color w:val="auto"/>
          <w:sz w:val="28"/>
          <w:szCs w:val="28"/>
          <w:highlight w:val="none"/>
          <w:lang w:val="en-US" w:eastAsia="zh-CN"/>
        </w:rPr>
        <w:t>报价明细表</w:t>
      </w:r>
      <w:bookmarkEnd w:id="416"/>
    </w:p>
    <w:p>
      <w:pPr>
        <w:pStyle w:val="16"/>
        <w:spacing w:after="0" w:line="480" w:lineRule="exact"/>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pPr>
        <w:tabs>
          <w:tab w:val="left" w:pos="1785"/>
        </w:tabs>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项目名称:                                                                                      </w:t>
      </w:r>
    </w:p>
    <w:tbl>
      <w:tblPr>
        <w:tblStyle w:val="3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1797"/>
        <w:gridCol w:w="736"/>
        <w:gridCol w:w="749"/>
        <w:gridCol w:w="846"/>
        <w:gridCol w:w="851"/>
        <w:gridCol w:w="850"/>
        <w:gridCol w:w="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pPr>
              <w:tabs>
                <w:tab w:val="left" w:pos="1337"/>
              </w:tabs>
              <w:adjustRightInd w:val="0"/>
              <w:snapToGrid w:val="0"/>
              <w:ind w:left="-42" w:right="-42"/>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226" w:type="dxa"/>
            <w:tcBorders>
              <w:bottom w:val="single" w:color="auto" w:sz="4" w:space="0"/>
            </w:tcBorders>
            <w:vAlign w:val="center"/>
          </w:tcPr>
          <w:p>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lang w:val="en-US" w:eastAsia="zh-CN"/>
              </w:rPr>
              <w:t>模块/产品</w:t>
            </w:r>
            <w:r>
              <w:rPr>
                <w:rFonts w:hint="eastAsia" w:ascii="仿宋" w:hAnsi="仿宋" w:eastAsia="仿宋" w:cs="仿宋"/>
                <w:bCs/>
                <w:color w:val="auto"/>
                <w:highlight w:val="none"/>
              </w:rPr>
              <w:t>名称</w:t>
            </w:r>
          </w:p>
        </w:tc>
        <w:tc>
          <w:tcPr>
            <w:tcW w:w="1146" w:type="dxa"/>
            <w:tcBorders>
              <w:bottom w:val="single" w:color="auto" w:sz="4" w:space="0"/>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品牌型号</w:t>
            </w:r>
          </w:p>
        </w:tc>
        <w:tc>
          <w:tcPr>
            <w:tcW w:w="1797" w:type="dxa"/>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技术规格（详细配置）</w:t>
            </w:r>
          </w:p>
        </w:tc>
        <w:tc>
          <w:tcPr>
            <w:tcW w:w="736" w:type="dxa"/>
            <w:tcBorders>
              <w:bottom w:val="single" w:color="auto" w:sz="4" w:space="0"/>
            </w:tcBorders>
            <w:vAlign w:val="center"/>
          </w:tcPr>
          <w:p>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单价</w:t>
            </w:r>
          </w:p>
        </w:tc>
        <w:tc>
          <w:tcPr>
            <w:tcW w:w="749" w:type="dxa"/>
            <w:tcBorders>
              <w:bottom w:val="single" w:color="auto" w:sz="4" w:space="0"/>
            </w:tcBorders>
            <w:vAlign w:val="center"/>
          </w:tcPr>
          <w:p>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数量</w:t>
            </w:r>
          </w:p>
        </w:tc>
        <w:tc>
          <w:tcPr>
            <w:tcW w:w="846" w:type="dxa"/>
            <w:tcBorders>
              <w:bottom w:val="single" w:color="auto" w:sz="4" w:space="0"/>
            </w:tcBorders>
            <w:vAlign w:val="center"/>
          </w:tcPr>
          <w:p>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总价</w:t>
            </w:r>
          </w:p>
        </w:tc>
        <w:tc>
          <w:tcPr>
            <w:tcW w:w="851" w:type="dxa"/>
            <w:tcBorders>
              <w:bottom w:val="single" w:color="auto" w:sz="4" w:space="0"/>
            </w:tcBorders>
            <w:vAlign w:val="center"/>
          </w:tcPr>
          <w:p>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lang w:eastAsia="zh-CN"/>
              </w:rPr>
              <w:t>服务期</w:t>
            </w:r>
            <w:r>
              <w:rPr>
                <w:rFonts w:hint="eastAsia" w:ascii="仿宋" w:hAnsi="仿宋" w:eastAsia="仿宋" w:cs="仿宋"/>
                <w:bCs/>
                <w:color w:val="auto"/>
                <w:highlight w:val="none"/>
                <w:lang w:val="en-US" w:eastAsia="zh-CN"/>
              </w:rPr>
              <w:t>/质保期</w:t>
            </w:r>
          </w:p>
        </w:tc>
        <w:tc>
          <w:tcPr>
            <w:tcW w:w="850" w:type="dxa"/>
            <w:tcBorders>
              <w:bottom w:val="single" w:color="auto" w:sz="4" w:space="0"/>
            </w:tcBorders>
            <w:vAlign w:val="center"/>
          </w:tcPr>
          <w:p>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交货时间</w:t>
            </w:r>
          </w:p>
        </w:tc>
        <w:tc>
          <w:tcPr>
            <w:tcW w:w="445" w:type="dxa"/>
            <w:tcBorders>
              <w:bottom w:val="single" w:color="auto" w:sz="4" w:space="0"/>
            </w:tcBorders>
            <w:vAlign w:val="center"/>
          </w:tcPr>
          <w:p>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pPr>
              <w:tabs>
                <w:tab w:val="left" w:pos="1337"/>
              </w:tabs>
              <w:adjustRightInd w:val="0"/>
              <w:snapToGrid w:val="0"/>
              <w:jc w:val="left"/>
              <w:rPr>
                <w:rFonts w:ascii="仿宋" w:hAnsi="仿宋" w:eastAsia="仿宋" w:cs="仿宋"/>
                <w:bCs/>
                <w:color w:val="auto"/>
                <w:highlight w:val="none"/>
              </w:rPr>
            </w:pPr>
          </w:p>
        </w:tc>
        <w:tc>
          <w:tcPr>
            <w:tcW w:w="1226" w:type="dxa"/>
            <w:vAlign w:val="center"/>
          </w:tcPr>
          <w:p>
            <w:pPr>
              <w:tabs>
                <w:tab w:val="left" w:pos="1337"/>
              </w:tabs>
              <w:adjustRightInd w:val="0"/>
              <w:snapToGrid w:val="0"/>
              <w:jc w:val="left"/>
              <w:rPr>
                <w:rFonts w:ascii="仿宋" w:hAnsi="仿宋" w:eastAsia="仿宋" w:cs="仿宋"/>
                <w:bCs/>
                <w:color w:val="auto"/>
                <w:highlight w:val="none"/>
              </w:rPr>
            </w:pPr>
          </w:p>
        </w:tc>
        <w:tc>
          <w:tcPr>
            <w:tcW w:w="1146" w:type="dxa"/>
            <w:vAlign w:val="center"/>
          </w:tcPr>
          <w:p>
            <w:pPr>
              <w:tabs>
                <w:tab w:val="left" w:pos="1337"/>
              </w:tabs>
              <w:adjustRightInd w:val="0"/>
              <w:snapToGrid w:val="0"/>
              <w:jc w:val="left"/>
              <w:rPr>
                <w:rFonts w:ascii="仿宋" w:hAnsi="仿宋" w:eastAsia="仿宋" w:cs="仿宋"/>
                <w:bCs/>
                <w:color w:val="auto"/>
                <w:highlight w:val="none"/>
              </w:rPr>
            </w:pPr>
          </w:p>
        </w:tc>
        <w:tc>
          <w:tcPr>
            <w:tcW w:w="1797" w:type="dxa"/>
            <w:vAlign w:val="center"/>
          </w:tcPr>
          <w:p>
            <w:pPr>
              <w:tabs>
                <w:tab w:val="left" w:pos="1337"/>
              </w:tabs>
              <w:adjustRightInd w:val="0"/>
              <w:snapToGrid w:val="0"/>
              <w:ind w:left="-42" w:right="-42"/>
              <w:jc w:val="left"/>
              <w:rPr>
                <w:rFonts w:ascii="仿宋" w:hAnsi="仿宋" w:eastAsia="仿宋" w:cs="仿宋"/>
                <w:bCs/>
                <w:color w:val="auto"/>
                <w:highlight w:val="none"/>
              </w:rPr>
            </w:pPr>
          </w:p>
        </w:tc>
        <w:tc>
          <w:tcPr>
            <w:tcW w:w="736" w:type="dxa"/>
            <w:vAlign w:val="center"/>
          </w:tcPr>
          <w:p>
            <w:pPr>
              <w:tabs>
                <w:tab w:val="left" w:pos="1337"/>
              </w:tabs>
              <w:adjustRightInd w:val="0"/>
              <w:snapToGrid w:val="0"/>
              <w:jc w:val="left"/>
              <w:rPr>
                <w:rFonts w:ascii="仿宋" w:hAnsi="仿宋" w:eastAsia="仿宋" w:cs="仿宋"/>
                <w:bCs/>
                <w:color w:val="auto"/>
                <w:highlight w:val="none"/>
              </w:rPr>
            </w:pPr>
          </w:p>
        </w:tc>
        <w:tc>
          <w:tcPr>
            <w:tcW w:w="749" w:type="dxa"/>
            <w:vAlign w:val="center"/>
          </w:tcPr>
          <w:p>
            <w:pPr>
              <w:tabs>
                <w:tab w:val="left" w:pos="1337"/>
              </w:tabs>
              <w:adjustRightInd w:val="0"/>
              <w:snapToGrid w:val="0"/>
              <w:jc w:val="left"/>
              <w:rPr>
                <w:rFonts w:ascii="仿宋" w:hAnsi="仿宋" w:eastAsia="仿宋" w:cs="仿宋"/>
                <w:bCs/>
                <w:color w:val="auto"/>
                <w:highlight w:val="none"/>
              </w:rPr>
            </w:pPr>
          </w:p>
        </w:tc>
        <w:tc>
          <w:tcPr>
            <w:tcW w:w="846" w:type="dxa"/>
            <w:vAlign w:val="center"/>
          </w:tcPr>
          <w:p>
            <w:pPr>
              <w:tabs>
                <w:tab w:val="left" w:pos="1337"/>
              </w:tabs>
              <w:adjustRightInd w:val="0"/>
              <w:snapToGrid w:val="0"/>
              <w:jc w:val="left"/>
              <w:rPr>
                <w:rFonts w:ascii="仿宋" w:hAnsi="仿宋" w:eastAsia="仿宋" w:cs="仿宋"/>
                <w:bCs/>
                <w:color w:val="auto"/>
                <w:highlight w:val="none"/>
              </w:rPr>
            </w:pPr>
          </w:p>
        </w:tc>
        <w:tc>
          <w:tcPr>
            <w:tcW w:w="851" w:type="dxa"/>
            <w:vAlign w:val="center"/>
          </w:tcPr>
          <w:p>
            <w:pPr>
              <w:tabs>
                <w:tab w:val="left" w:pos="1337"/>
              </w:tabs>
              <w:adjustRightInd w:val="0"/>
              <w:snapToGrid w:val="0"/>
              <w:jc w:val="left"/>
              <w:rPr>
                <w:rFonts w:ascii="仿宋" w:hAnsi="仿宋" w:eastAsia="仿宋" w:cs="仿宋"/>
                <w:bCs/>
                <w:color w:val="auto"/>
                <w:highlight w:val="none"/>
              </w:rPr>
            </w:pPr>
          </w:p>
        </w:tc>
        <w:tc>
          <w:tcPr>
            <w:tcW w:w="850" w:type="dxa"/>
            <w:vAlign w:val="center"/>
          </w:tcPr>
          <w:p>
            <w:pPr>
              <w:tabs>
                <w:tab w:val="left" w:pos="1337"/>
              </w:tabs>
              <w:adjustRightInd w:val="0"/>
              <w:snapToGrid w:val="0"/>
              <w:jc w:val="left"/>
              <w:rPr>
                <w:rFonts w:ascii="仿宋" w:hAnsi="仿宋" w:eastAsia="仿宋" w:cs="仿宋"/>
                <w:bCs/>
                <w:color w:val="auto"/>
                <w:highlight w:val="none"/>
              </w:rPr>
            </w:pPr>
          </w:p>
        </w:tc>
        <w:tc>
          <w:tcPr>
            <w:tcW w:w="445" w:type="dxa"/>
            <w:vAlign w:val="center"/>
          </w:tcPr>
          <w:p>
            <w:pPr>
              <w:tabs>
                <w:tab w:val="left" w:pos="1337"/>
              </w:tabs>
              <w:adjustRightInd w:val="0"/>
              <w:snapToGrid w:val="0"/>
              <w:jc w:val="left"/>
              <w:rPr>
                <w:rFonts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pPr>
              <w:tabs>
                <w:tab w:val="left" w:pos="1337"/>
              </w:tabs>
              <w:adjustRightInd w:val="0"/>
              <w:snapToGrid w:val="0"/>
              <w:jc w:val="left"/>
              <w:rPr>
                <w:rFonts w:ascii="仿宋" w:hAnsi="仿宋" w:eastAsia="仿宋" w:cs="仿宋"/>
                <w:bCs/>
                <w:color w:val="auto"/>
                <w:highlight w:val="none"/>
              </w:rPr>
            </w:pPr>
          </w:p>
        </w:tc>
        <w:tc>
          <w:tcPr>
            <w:tcW w:w="1226" w:type="dxa"/>
            <w:vAlign w:val="center"/>
          </w:tcPr>
          <w:p>
            <w:pPr>
              <w:tabs>
                <w:tab w:val="left" w:pos="1337"/>
              </w:tabs>
              <w:adjustRightInd w:val="0"/>
              <w:snapToGrid w:val="0"/>
              <w:jc w:val="left"/>
              <w:rPr>
                <w:rFonts w:ascii="仿宋" w:hAnsi="仿宋" w:eastAsia="仿宋" w:cs="仿宋"/>
                <w:bCs/>
                <w:color w:val="auto"/>
                <w:highlight w:val="none"/>
              </w:rPr>
            </w:pPr>
          </w:p>
        </w:tc>
        <w:tc>
          <w:tcPr>
            <w:tcW w:w="1146" w:type="dxa"/>
            <w:vAlign w:val="center"/>
          </w:tcPr>
          <w:p>
            <w:pPr>
              <w:tabs>
                <w:tab w:val="left" w:pos="1337"/>
              </w:tabs>
              <w:adjustRightInd w:val="0"/>
              <w:snapToGrid w:val="0"/>
              <w:jc w:val="left"/>
              <w:rPr>
                <w:rFonts w:ascii="仿宋" w:hAnsi="仿宋" w:eastAsia="仿宋" w:cs="仿宋"/>
                <w:bCs/>
                <w:color w:val="auto"/>
                <w:highlight w:val="none"/>
              </w:rPr>
            </w:pPr>
          </w:p>
        </w:tc>
        <w:tc>
          <w:tcPr>
            <w:tcW w:w="1797" w:type="dxa"/>
            <w:vAlign w:val="center"/>
          </w:tcPr>
          <w:p>
            <w:pPr>
              <w:tabs>
                <w:tab w:val="left" w:pos="1337"/>
              </w:tabs>
              <w:adjustRightInd w:val="0"/>
              <w:snapToGrid w:val="0"/>
              <w:jc w:val="left"/>
              <w:rPr>
                <w:rFonts w:ascii="仿宋" w:hAnsi="仿宋" w:eastAsia="仿宋" w:cs="仿宋"/>
                <w:bCs/>
                <w:color w:val="auto"/>
                <w:highlight w:val="none"/>
              </w:rPr>
            </w:pPr>
          </w:p>
        </w:tc>
        <w:tc>
          <w:tcPr>
            <w:tcW w:w="736" w:type="dxa"/>
            <w:vAlign w:val="center"/>
          </w:tcPr>
          <w:p>
            <w:pPr>
              <w:tabs>
                <w:tab w:val="left" w:pos="1337"/>
              </w:tabs>
              <w:adjustRightInd w:val="0"/>
              <w:snapToGrid w:val="0"/>
              <w:jc w:val="left"/>
              <w:rPr>
                <w:rFonts w:ascii="仿宋" w:hAnsi="仿宋" w:eastAsia="仿宋" w:cs="仿宋"/>
                <w:bCs/>
                <w:color w:val="auto"/>
                <w:highlight w:val="none"/>
              </w:rPr>
            </w:pPr>
          </w:p>
        </w:tc>
        <w:tc>
          <w:tcPr>
            <w:tcW w:w="749" w:type="dxa"/>
            <w:vAlign w:val="center"/>
          </w:tcPr>
          <w:p>
            <w:pPr>
              <w:tabs>
                <w:tab w:val="left" w:pos="1337"/>
              </w:tabs>
              <w:adjustRightInd w:val="0"/>
              <w:snapToGrid w:val="0"/>
              <w:jc w:val="left"/>
              <w:rPr>
                <w:rFonts w:ascii="仿宋" w:hAnsi="仿宋" w:eastAsia="仿宋" w:cs="仿宋"/>
                <w:bCs/>
                <w:color w:val="auto"/>
                <w:highlight w:val="none"/>
              </w:rPr>
            </w:pPr>
          </w:p>
        </w:tc>
        <w:tc>
          <w:tcPr>
            <w:tcW w:w="846" w:type="dxa"/>
            <w:vAlign w:val="center"/>
          </w:tcPr>
          <w:p>
            <w:pPr>
              <w:tabs>
                <w:tab w:val="left" w:pos="1337"/>
              </w:tabs>
              <w:adjustRightInd w:val="0"/>
              <w:snapToGrid w:val="0"/>
              <w:jc w:val="left"/>
              <w:rPr>
                <w:rFonts w:ascii="仿宋" w:hAnsi="仿宋" w:eastAsia="仿宋" w:cs="仿宋"/>
                <w:bCs/>
                <w:color w:val="auto"/>
                <w:highlight w:val="none"/>
              </w:rPr>
            </w:pPr>
          </w:p>
        </w:tc>
        <w:tc>
          <w:tcPr>
            <w:tcW w:w="851" w:type="dxa"/>
            <w:vAlign w:val="center"/>
          </w:tcPr>
          <w:p>
            <w:pPr>
              <w:tabs>
                <w:tab w:val="left" w:pos="1337"/>
              </w:tabs>
              <w:adjustRightInd w:val="0"/>
              <w:snapToGrid w:val="0"/>
              <w:jc w:val="left"/>
              <w:rPr>
                <w:rFonts w:ascii="仿宋" w:hAnsi="仿宋" w:eastAsia="仿宋" w:cs="仿宋"/>
                <w:bCs/>
                <w:color w:val="auto"/>
                <w:highlight w:val="none"/>
              </w:rPr>
            </w:pPr>
          </w:p>
        </w:tc>
        <w:tc>
          <w:tcPr>
            <w:tcW w:w="850" w:type="dxa"/>
            <w:vAlign w:val="center"/>
          </w:tcPr>
          <w:p>
            <w:pPr>
              <w:tabs>
                <w:tab w:val="left" w:pos="1337"/>
              </w:tabs>
              <w:adjustRightInd w:val="0"/>
              <w:snapToGrid w:val="0"/>
              <w:jc w:val="left"/>
              <w:rPr>
                <w:rFonts w:ascii="仿宋" w:hAnsi="仿宋" w:eastAsia="仿宋" w:cs="仿宋"/>
                <w:bCs/>
                <w:color w:val="auto"/>
                <w:highlight w:val="none"/>
              </w:rPr>
            </w:pPr>
          </w:p>
        </w:tc>
        <w:tc>
          <w:tcPr>
            <w:tcW w:w="445" w:type="dxa"/>
            <w:vAlign w:val="center"/>
          </w:tcPr>
          <w:p>
            <w:pPr>
              <w:tabs>
                <w:tab w:val="left" w:pos="1337"/>
              </w:tabs>
              <w:adjustRightInd w:val="0"/>
              <w:snapToGrid w:val="0"/>
              <w:jc w:val="left"/>
              <w:rPr>
                <w:rFonts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pPr>
              <w:tabs>
                <w:tab w:val="left" w:pos="1337"/>
              </w:tabs>
              <w:adjustRightInd w:val="0"/>
              <w:snapToGrid w:val="0"/>
              <w:jc w:val="left"/>
              <w:rPr>
                <w:rFonts w:ascii="仿宋" w:hAnsi="仿宋" w:eastAsia="仿宋" w:cs="仿宋"/>
                <w:bCs/>
                <w:color w:val="auto"/>
                <w:highlight w:val="none"/>
              </w:rPr>
            </w:pPr>
          </w:p>
        </w:tc>
        <w:tc>
          <w:tcPr>
            <w:tcW w:w="1226" w:type="dxa"/>
            <w:vAlign w:val="center"/>
          </w:tcPr>
          <w:p>
            <w:pPr>
              <w:tabs>
                <w:tab w:val="left" w:pos="1337"/>
              </w:tabs>
              <w:adjustRightInd w:val="0"/>
              <w:snapToGrid w:val="0"/>
              <w:jc w:val="left"/>
              <w:rPr>
                <w:rFonts w:ascii="仿宋" w:hAnsi="仿宋" w:eastAsia="仿宋" w:cs="仿宋"/>
                <w:bCs/>
                <w:color w:val="auto"/>
                <w:highlight w:val="none"/>
              </w:rPr>
            </w:pPr>
          </w:p>
        </w:tc>
        <w:tc>
          <w:tcPr>
            <w:tcW w:w="1146" w:type="dxa"/>
            <w:vAlign w:val="center"/>
          </w:tcPr>
          <w:p>
            <w:pPr>
              <w:tabs>
                <w:tab w:val="left" w:pos="1337"/>
              </w:tabs>
              <w:adjustRightInd w:val="0"/>
              <w:snapToGrid w:val="0"/>
              <w:jc w:val="left"/>
              <w:rPr>
                <w:rFonts w:ascii="仿宋" w:hAnsi="仿宋" w:eastAsia="仿宋" w:cs="仿宋"/>
                <w:bCs/>
                <w:color w:val="auto"/>
                <w:highlight w:val="none"/>
              </w:rPr>
            </w:pPr>
          </w:p>
        </w:tc>
        <w:tc>
          <w:tcPr>
            <w:tcW w:w="1797" w:type="dxa"/>
            <w:vAlign w:val="center"/>
          </w:tcPr>
          <w:p>
            <w:pPr>
              <w:tabs>
                <w:tab w:val="left" w:pos="1337"/>
              </w:tabs>
              <w:adjustRightInd w:val="0"/>
              <w:snapToGrid w:val="0"/>
              <w:jc w:val="left"/>
              <w:rPr>
                <w:rFonts w:ascii="仿宋" w:hAnsi="仿宋" w:eastAsia="仿宋" w:cs="仿宋"/>
                <w:bCs/>
                <w:color w:val="auto"/>
                <w:highlight w:val="none"/>
              </w:rPr>
            </w:pPr>
          </w:p>
        </w:tc>
        <w:tc>
          <w:tcPr>
            <w:tcW w:w="736" w:type="dxa"/>
            <w:vAlign w:val="center"/>
          </w:tcPr>
          <w:p>
            <w:pPr>
              <w:tabs>
                <w:tab w:val="left" w:pos="1337"/>
              </w:tabs>
              <w:adjustRightInd w:val="0"/>
              <w:snapToGrid w:val="0"/>
              <w:jc w:val="left"/>
              <w:rPr>
                <w:rFonts w:ascii="仿宋" w:hAnsi="仿宋" w:eastAsia="仿宋" w:cs="仿宋"/>
                <w:bCs/>
                <w:color w:val="auto"/>
                <w:highlight w:val="none"/>
              </w:rPr>
            </w:pPr>
          </w:p>
        </w:tc>
        <w:tc>
          <w:tcPr>
            <w:tcW w:w="749" w:type="dxa"/>
            <w:vAlign w:val="center"/>
          </w:tcPr>
          <w:p>
            <w:pPr>
              <w:tabs>
                <w:tab w:val="left" w:pos="1337"/>
              </w:tabs>
              <w:adjustRightInd w:val="0"/>
              <w:snapToGrid w:val="0"/>
              <w:jc w:val="left"/>
              <w:rPr>
                <w:rFonts w:ascii="仿宋" w:hAnsi="仿宋" w:eastAsia="仿宋" w:cs="仿宋"/>
                <w:bCs/>
                <w:color w:val="auto"/>
                <w:highlight w:val="none"/>
              </w:rPr>
            </w:pPr>
          </w:p>
        </w:tc>
        <w:tc>
          <w:tcPr>
            <w:tcW w:w="846" w:type="dxa"/>
            <w:vAlign w:val="center"/>
          </w:tcPr>
          <w:p>
            <w:pPr>
              <w:tabs>
                <w:tab w:val="left" w:pos="1337"/>
              </w:tabs>
              <w:adjustRightInd w:val="0"/>
              <w:snapToGrid w:val="0"/>
              <w:jc w:val="left"/>
              <w:rPr>
                <w:rFonts w:ascii="仿宋" w:hAnsi="仿宋" w:eastAsia="仿宋" w:cs="仿宋"/>
                <w:bCs/>
                <w:color w:val="auto"/>
                <w:highlight w:val="none"/>
              </w:rPr>
            </w:pPr>
          </w:p>
        </w:tc>
        <w:tc>
          <w:tcPr>
            <w:tcW w:w="851" w:type="dxa"/>
            <w:vAlign w:val="center"/>
          </w:tcPr>
          <w:p>
            <w:pPr>
              <w:tabs>
                <w:tab w:val="left" w:pos="1337"/>
              </w:tabs>
              <w:adjustRightInd w:val="0"/>
              <w:snapToGrid w:val="0"/>
              <w:jc w:val="left"/>
              <w:rPr>
                <w:rFonts w:ascii="仿宋" w:hAnsi="仿宋" w:eastAsia="仿宋" w:cs="仿宋"/>
                <w:bCs/>
                <w:color w:val="auto"/>
                <w:highlight w:val="none"/>
              </w:rPr>
            </w:pPr>
          </w:p>
        </w:tc>
        <w:tc>
          <w:tcPr>
            <w:tcW w:w="850" w:type="dxa"/>
            <w:vAlign w:val="center"/>
          </w:tcPr>
          <w:p>
            <w:pPr>
              <w:tabs>
                <w:tab w:val="left" w:pos="1337"/>
              </w:tabs>
              <w:adjustRightInd w:val="0"/>
              <w:snapToGrid w:val="0"/>
              <w:jc w:val="left"/>
              <w:rPr>
                <w:rFonts w:ascii="仿宋" w:hAnsi="仿宋" w:eastAsia="仿宋" w:cs="仿宋"/>
                <w:bCs/>
                <w:color w:val="auto"/>
                <w:highlight w:val="none"/>
              </w:rPr>
            </w:pPr>
          </w:p>
        </w:tc>
        <w:tc>
          <w:tcPr>
            <w:tcW w:w="445" w:type="dxa"/>
            <w:vAlign w:val="center"/>
          </w:tcPr>
          <w:p>
            <w:pPr>
              <w:tabs>
                <w:tab w:val="left" w:pos="1337"/>
              </w:tabs>
              <w:adjustRightInd w:val="0"/>
              <w:snapToGrid w:val="0"/>
              <w:jc w:val="left"/>
              <w:rPr>
                <w:rFonts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pPr>
              <w:tabs>
                <w:tab w:val="left" w:pos="1337"/>
              </w:tabs>
              <w:adjustRightInd w:val="0"/>
              <w:snapToGrid w:val="0"/>
              <w:jc w:val="left"/>
              <w:rPr>
                <w:rFonts w:ascii="仿宋" w:hAnsi="仿宋" w:eastAsia="仿宋" w:cs="仿宋"/>
                <w:bCs/>
                <w:color w:val="auto"/>
                <w:highlight w:val="none"/>
              </w:rPr>
            </w:pPr>
          </w:p>
        </w:tc>
        <w:tc>
          <w:tcPr>
            <w:tcW w:w="1226" w:type="dxa"/>
            <w:vAlign w:val="center"/>
          </w:tcPr>
          <w:p>
            <w:pPr>
              <w:tabs>
                <w:tab w:val="left" w:pos="1337"/>
              </w:tabs>
              <w:adjustRightInd w:val="0"/>
              <w:snapToGrid w:val="0"/>
              <w:jc w:val="left"/>
              <w:rPr>
                <w:rFonts w:ascii="仿宋" w:hAnsi="仿宋" w:eastAsia="仿宋" w:cs="仿宋"/>
                <w:bCs/>
                <w:color w:val="auto"/>
                <w:highlight w:val="none"/>
              </w:rPr>
            </w:pPr>
          </w:p>
        </w:tc>
        <w:tc>
          <w:tcPr>
            <w:tcW w:w="1146" w:type="dxa"/>
            <w:vAlign w:val="center"/>
          </w:tcPr>
          <w:p>
            <w:pPr>
              <w:tabs>
                <w:tab w:val="left" w:pos="1337"/>
              </w:tabs>
              <w:adjustRightInd w:val="0"/>
              <w:snapToGrid w:val="0"/>
              <w:jc w:val="left"/>
              <w:rPr>
                <w:rFonts w:ascii="仿宋" w:hAnsi="仿宋" w:eastAsia="仿宋" w:cs="仿宋"/>
                <w:bCs/>
                <w:color w:val="auto"/>
                <w:highlight w:val="none"/>
              </w:rPr>
            </w:pPr>
          </w:p>
        </w:tc>
        <w:tc>
          <w:tcPr>
            <w:tcW w:w="1797" w:type="dxa"/>
            <w:vAlign w:val="center"/>
          </w:tcPr>
          <w:p>
            <w:pPr>
              <w:tabs>
                <w:tab w:val="left" w:pos="1337"/>
              </w:tabs>
              <w:adjustRightInd w:val="0"/>
              <w:snapToGrid w:val="0"/>
              <w:jc w:val="left"/>
              <w:rPr>
                <w:rFonts w:ascii="仿宋" w:hAnsi="仿宋" w:eastAsia="仿宋" w:cs="仿宋"/>
                <w:bCs/>
                <w:color w:val="auto"/>
                <w:highlight w:val="none"/>
              </w:rPr>
            </w:pPr>
          </w:p>
        </w:tc>
        <w:tc>
          <w:tcPr>
            <w:tcW w:w="736" w:type="dxa"/>
            <w:vAlign w:val="center"/>
          </w:tcPr>
          <w:p>
            <w:pPr>
              <w:tabs>
                <w:tab w:val="left" w:pos="1337"/>
              </w:tabs>
              <w:adjustRightInd w:val="0"/>
              <w:snapToGrid w:val="0"/>
              <w:jc w:val="left"/>
              <w:rPr>
                <w:rFonts w:ascii="仿宋" w:hAnsi="仿宋" w:eastAsia="仿宋" w:cs="仿宋"/>
                <w:bCs/>
                <w:color w:val="auto"/>
                <w:highlight w:val="none"/>
              </w:rPr>
            </w:pPr>
          </w:p>
        </w:tc>
        <w:tc>
          <w:tcPr>
            <w:tcW w:w="749" w:type="dxa"/>
            <w:vAlign w:val="center"/>
          </w:tcPr>
          <w:p>
            <w:pPr>
              <w:tabs>
                <w:tab w:val="left" w:pos="1337"/>
              </w:tabs>
              <w:adjustRightInd w:val="0"/>
              <w:snapToGrid w:val="0"/>
              <w:jc w:val="left"/>
              <w:rPr>
                <w:rFonts w:ascii="仿宋" w:hAnsi="仿宋" w:eastAsia="仿宋" w:cs="仿宋"/>
                <w:bCs/>
                <w:color w:val="auto"/>
                <w:highlight w:val="none"/>
              </w:rPr>
            </w:pPr>
          </w:p>
        </w:tc>
        <w:tc>
          <w:tcPr>
            <w:tcW w:w="846" w:type="dxa"/>
            <w:vAlign w:val="center"/>
          </w:tcPr>
          <w:p>
            <w:pPr>
              <w:tabs>
                <w:tab w:val="left" w:pos="1337"/>
              </w:tabs>
              <w:adjustRightInd w:val="0"/>
              <w:snapToGrid w:val="0"/>
              <w:jc w:val="left"/>
              <w:rPr>
                <w:rFonts w:ascii="仿宋" w:hAnsi="仿宋" w:eastAsia="仿宋" w:cs="仿宋"/>
                <w:bCs/>
                <w:color w:val="auto"/>
                <w:highlight w:val="none"/>
              </w:rPr>
            </w:pPr>
          </w:p>
        </w:tc>
        <w:tc>
          <w:tcPr>
            <w:tcW w:w="851" w:type="dxa"/>
            <w:vAlign w:val="center"/>
          </w:tcPr>
          <w:p>
            <w:pPr>
              <w:tabs>
                <w:tab w:val="left" w:pos="1337"/>
              </w:tabs>
              <w:adjustRightInd w:val="0"/>
              <w:snapToGrid w:val="0"/>
              <w:jc w:val="left"/>
              <w:rPr>
                <w:rFonts w:ascii="仿宋" w:hAnsi="仿宋" w:eastAsia="仿宋" w:cs="仿宋"/>
                <w:bCs/>
                <w:color w:val="auto"/>
                <w:highlight w:val="none"/>
              </w:rPr>
            </w:pPr>
          </w:p>
        </w:tc>
        <w:tc>
          <w:tcPr>
            <w:tcW w:w="850" w:type="dxa"/>
            <w:vAlign w:val="center"/>
          </w:tcPr>
          <w:p>
            <w:pPr>
              <w:tabs>
                <w:tab w:val="left" w:pos="1337"/>
              </w:tabs>
              <w:adjustRightInd w:val="0"/>
              <w:snapToGrid w:val="0"/>
              <w:jc w:val="left"/>
              <w:rPr>
                <w:rFonts w:ascii="仿宋" w:hAnsi="仿宋" w:eastAsia="仿宋" w:cs="仿宋"/>
                <w:bCs/>
                <w:color w:val="auto"/>
                <w:highlight w:val="none"/>
              </w:rPr>
            </w:pPr>
          </w:p>
        </w:tc>
        <w:tc>
          <w:tcPr>
            <w:tcW w:w="445" w:type="dxa"/>
            <w:vAlign w:val="center"/>
          </w:tcPr>
          <w:p>
            <w:pPr>
              <w:tabs>
                <w:tab w:val="left" w:pos="1337"/>
              </w:tabs>
              <w:adjustRightInd w:val="0"/>
              <w:snapToGrid w:val="0"/>
              <w:jc w:val="left"/>
              <w:rPr>
                <w:rFonts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pPr>
              <w:tabs>
                <w:tab w:val="left" w:pos="1337"/>
              </w:tabs>
              <w:adjustRightInd w:val="0"/>
              <w:snapToGrid w:val="0"/>
              <w:jc w:val="left"/>
              <w:rPr>
                <w:rFonts w:ascii="仿宋" w:hAnsi="仿宋" w:eastAsia="仿宋" w:cs="仿宋"/>
                <w:bCs/>
                <w:color w:val="auto"/>
                <w:highlight w:val="none"/>
              </w:rPr>
            </w:pPr>
          </w:p>
        </w:tc>
        <w:tc>
          <w:tcPr>
            <w:tcW w:w="1226" w:type="dxa"/>
            <w:vAlign w:val="center"/>
          </w:tcPr>
          <w:p>
            <w:pPr>
              <w:tabs>
                <w:tab w:val="left" w:pos="1337"/>
              </w:tabs>
              <w:adjustRightInd w:val="0"/>
              <w:snapToGrid w:val="0"/>
              <w:jc w:val="left"/>
              <w:rPr>
                <w:rFonts w:ascii="仿宋" w:hAnsi="仿宋" w:eastAsia="仿宋" w:cs="仿宋"/>
                <w:bCs/>
                <w:color w:val="auto"/>
                <w:highlight w:val="none"/>
              </w:rPr>
            </w:pPr>
          </w:p>
        </w:tc>
        <w:tc>
          <w:tcPr>
            <w:tcW w:w="1146" w:type="dxa"/>
            <w:vAlign w:val="center"/>
          </w:tcPr>
          <w:p>
            <w:pPr>
              <w:tabs>
                <w:tab w:val="left" w:pos="1337"/>
              </w:tabs>
              <w:adjustRightInd w:val="0"/>
              <w:snapToGrid w:val="0"/>
              <w:jc w:val="left"/>
              <w:rPr>
                <w:rFonts w:ascii="仿宋" w:hAnsi="仿宋" w:eastAsia="仿宋" w:cs="仿宋"/>
                <w:bCs/>
                <w:color w:val="auto"/>
                <w:highlight w:val="none"/>
              </w:rPr>
            </w:pPr>
          </w:p>
        </w:tc>
        <w:tc>
          <w:tcPr>
            <w:tcW w:w="1797" w:type="dxa"/>
            <w:vAlign w:val="center"/>
          </w:tcPr>
          <w:p>
            <w:pPr>
              <w:tabs>
                <w:tab w:val="left" w:pos="1337"/>
              </w:tabs>
              <w:adjustRightInd w:val="0"/>
              <w:snapToGrid w:val="0"/>
              <w:jc w:val="left"/>
              <w:rPr>
                <w:rFonts w:ascii="仿宋" w:hAnsi="仿宋" w:eastAsia="仿宋" w:cs="仿宋"/>
                <w:bCs/>
                <w:color w:val="auto"/>
                <w:highlight w:val="none"/>
              </w:rPr>
            </w:pPr>
          </w:p>
        </w:tc>
        <w:tc>
          <w:tcPr>
            <w:tcW w:w="736" w:type="dxa"/>
            <w:vAlign w:val="center"/>
          </w:tcPr>
          <w:p>
            <w:pPr>
              <w:tabs>
                <w:tab w:val="left" w:pos="1337"/>
              </w:tabs>
              <w:adjustRightInd w:val="0"/>
              <w:snapToGrid w:val="0"/>
              <w:jc w:val="left"/>
              <w:rPr>
                <w:rFonts w:ascii="仿宋" w:hAnsi="仿宋" w:eastAsia="仿宋" w:cs="仿宋"/>
                <w:bCs/>
                <w:color w:val="auto"/>
                <w:highlight w:val="none"/>
              </w:rPr>
            </w:pPr>
          </w:p>
        </w:tc>
        <w:tc>
          <w:tcPr>
            <w:tcW w:w="749" w:type="dxa"/>
            <w:vAlign w:val="center"/>
          </w:tcPr>
          <w:p>
            <w:pPr>
              <w:tabs>
                <w:tab w:val="left" w:pos="1337"/>
              </w:tabs>
              <w:adjustRightInd w:val="0"/>
              <w:snapToGrid w:val="0"/>
              <w:jc w:val="left"/>
              <w:rPr>
                <w:rFonts w:ascii="仿宋" w:hAnsi="仿宋" w:eastAsia="仿宋" w:cs="仿宋"/>
                <w:bCs/>
                <w:color w:val="auto"/>
                <w:highlight w:val="none"/>
              </w:rPr>
            </w:pPr>
          </w:p>
        </w:tc>
        <w:tc>
          <w:tcPr>
            <w:tcW w:w="846" w:type="dxa"/>
            <w:vAlign w:val="center"/>
          </w:tcPr>
          <w:p>
            <w:pPr>
              <w:tabs>
                <w:tab w:val="left" w:pos="1337"/>
              </w:tabs>
              <w:adjustRightInd w:val="0"/>
              <w:snapToGrid w:val="0"/>
              <w:jc w:val="left"/>
              <w:rPr>
                <w:rFonts w:ascii="仿宋" w:hAnsi="仿宋" w:eastAsia="仿宋" w:cs="仿宋"/>
                <w:bCs/>
                <w:color w:val="auto"/>
                <w:highlight w:val="none"/>
              </w:rPr>
            </w:pPr>
          </w:p>
        </w:tc>
        <w:tc>
          <w:tcPr>
            <w:tcW w:w="851" w:type="dxa"/>
            <w:vAlign w:val="center"/>
          </w:tcPr>
          <w:p>
            <w:pPr>
              <w:tabs>
                <w:tab w:val="left" w:pos="1337"/>
              </w:tabs>
              <w:adjustRightInd w:val="0"/>
              <w:snapToGrid w:val="0"/>
              <w:jc w:val="left"/>
              <w:rPr>
                <w:rFonts w:ascii="仿宋" w:hAnsi="仿宋" w:eastAsia="仿宋" w:cs="仿宋"/>
                <w:bCs/>
                <w:color w:val="auto"/>
                <w:highlight w:val="none"/>
              </w:rPr>
            </w:pPr>
          </w:p>
        </w:tc>
        <w:tc>
          <w:tcPr>
            <w:tcW w:w="850" w:type="dxa"/>
            <w:vAlign w:val="center"/>
          </w:tcPr>
          <w:p>
            <w:pPr>
              <w:tabs>
                <w:tab w:val="left" w:pos="1337"/>
              </w:tabs>
              <w:adjustRightInd w:val="0"/>
              <w:snapToGrid w:val="0"/>
              <w:jc w:val="left"/>
              <w:rPr>
                <w:rFonts w:ascii="仿宋" w:hAnsi="仿宋" w:eastAsia="仿宋" w:cs="仿宋"/>
                <w:bCs/>
                <w:color w:val="auto"/>
                <w:highlight w:val="none"/>
              </w:rPr>
            </w:pPr>
          </w:p>
        </w:tc>
        <w:tc>
          <w:tcPr>
            <w:tcW w:w="445" w:type="dxa"/>
            <w:vAlign w:val="center"/>
          </w:tcPr>
          <w:p>
            <w:pPr>
              <w:tabs>
                <w:tab w:val="left" w:pos="1337"/>
              </w:tabs>
              <w:adjustRightInd w:val="0"/>
              <w:snapToGrid w:val="0"/>
              <w:jc w:val="left"/>
              <w:rPr>
                <w:rFonts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pPr>
              <w:tabs>
                <w:tab w:val="left" w:pos="1337"/>
              </w:tabs>
              <w:adjustRightInd w:val="0"/>
              <w:snapToGrid w:val="0"/>
              <w:jc w:val="left"/>
              <w:rPr>
                <w:rFonts w:ascii="仿宋" w:hAnsi="仿宋" w:eastAsia="仿宋" w:cs="仿宋"/>
                <w:bCs/>
                <w:color w:val="auto"/>
                <w:highlight w:val="none"/>
              </w:rPr>
            </w:pPr>
          </w:p>
        </w:tc>
        <w:tc>
          <w:tcPr>
            <w:tcW w:w="1226" w:type="dxa"/>
            <w:vAlign w:val="center"/>
          </w:tcPr>
          <w:p>
            <w:pPr>
              <w:tabs>
                <w:tab w:val="left" w:pos="1337"/>
              </w:tabs>
              <w:adjustRightInd w:val="0"/>
              <w:snapToGrid w:val="0"/>
              <w:jc w:val="left"/>
              <w:rPr>
                <w:rFonts w:ascii="仿宋" w:hAnsi="仿宋" w:eastAsia="仿宋" w:cs="仿宋"/>
                <w:bCs/>
                <w:color w:val="auto"/>
                <w:highlight w:val="none"/>
              </w:rPr>
            </w:pPr>
          </w:p>
        </w:tc>
        <w:tc>
          <w:tcPr>
            <w:tcW w:w="1146" w:type="dxa"/>
            <w:vAlign w:val="center"/>
          </w:tcPr>
          <w:p>
            <w:pPr>
              <w:tabs>
                <w:tab w:val="left" w:pos="1337"/>
              </w:tabs>
              <w:adjustRightInd w:val="0"/>
              <w:snapToGrid w:val="0"/>
              <w:jc w:val="left"/>
              <w:rPr>
                <w:rFonts w:ascii="仿宋" w:hAnsi="仿宋" w:eastAsia="仿宋" w:cs="仿宋"/>
                <w:bCs/>
                <w:color w:val="auto"/>
                <w:highlight w:val="none"/>
              </w:rPr>
            </w:pPr>
          </w:p>
        </w:tc>
        <w:tc>
          <w:tcPr>
            <w:tcW w:w="1797" w:type="dxa"/>
            <w:vAlign w:val="center"/>
          </w:tcPr>
          <w:p>
            <w:pPr>
              <w:tabs>
                <w:tab w:val="left" w:pos="1337"/>
              </w:tabs>
              <w:adjustRightInd w:val="0"/>
              <w:snapToGrid w:val="0"/>
              <w:jc w:val="left"/>
              <w:rPr>
                <w:rFonts w:ascii="仿宋" w:hAnsi="仿宋" w:eastAsia="仿宋" w:cs="仿宋"/>
                <w:bCs/>
                <w:color w:val="auto"/>
                <w:highlight w:val="none"/>
              </w:rPr>
            </w:pPr>
          </w:p>
        </w:tc>
        <w:tc>
          <w:tcPr>
            <w:tcW w:w="736" w:type="dxa"/>
            <w:vAlign w:val="center"/>
          </w:tcPr>
          <w:p>
            <w:pPr>
              <w:tabs>
                <w:tab w:val="left" w:pos="1337"/>
              </w:tabs>
              <w:adjustRightInd w:val="0"/>
              <w:snapToGrid w:val="0"/>
              <w:jc w:val="left"/>
              <w:rPr>
                <w:rFonts w:ascii="仿宋" w:hAnsi="仿宋" w:eastAsia="仿宋" w:cs="仿宋"/>
                <w:bCs/>
                <w:color w:val="auto"/>
                <w:highlight w:val="none"/>
              </w:rPr>
            </w:pPr>
          </w:p>
        </w:tc>
        <w:tc>
          <w:tcPr>
            <w:tcW w:w="749" w:type="dxa"/>
            <w:vAlign w:val="center"/>
          </w:tcPr>
          <w:p>
            <w:pPr>
              <w:tabs>
                <w:tab w:val="left" w:pos="1337"/>
              </w:tabs>
              <w:adjustRightInd w:val="0"/>
              <w:snapToGrid w:val="0"/>
              <w:jc w:val="left"/>
              <w:rPr>
                <w:rFonts w:ascii="仿宋" w:hAnsi="仿宋" w:eastAsia="仿宋" w:cs="仿宋"/>
                <w:bCs/>
                <w:color w:val="auto"/>
                <w:highlight w:val="none"/>
              </w:rPr>
            </w:pPr>
          </w:p>
        </w:tc>
        <w:tc>
          <w:tcPr>
            <w:tcW w:w="846" w:type="dxa"/>
            <w:vAlign w:val="center"/>
          </w:tcPr>
          <w:p>
            <w:pPr>
              <w:tabs>
                <w:tab w:val="left" w:pos="1337"/>
              </w:tabs>
              <w:adjustRightInd w:val="0"/>
              <w:snapToGrid w:val="0"/>
              <w:jc w:val="left"/>
              <w:rPr>
                <w:rFonts w:ascii="仿宋" w:hAnsi="仿宋" w:eastAsia="仿宋" w:cs="仿宋"/>
                <w:bCs/>
                <w:color w:val="auto"/>
                <w:highlight w:val="none"/>
              </w:rPr>
            </w:pPr>
          </w:p>
        </w:tc>
        <w:tc>
          <w:tcPr>
            <w:tcW w:w="851" w:type="dxa"/>
            <w:vAlign w:val="center"/>
          </w:tcPr>
          <w:p>
            <w:pPr>
              <w:tabs>
                <w:tab w:val="left" w:pos="1337"/>
              </w:tabs>
              <w:adjustRightInd w:val="0"/>
              <w:snapToGrid w:val="0"/>
              <w:jc w:val="left"/>
              <w:rPr>
                <w:rFonts w:ascii="仿宋" w:hAnsi="仿宋" w:eastAsia="仿宋" w:cs="仿宋"/>
                <w:bCs/>
                <w:color w:val="auto"/>
                <w:highlight w:val="none"/>
              </w:rPr>
            </w:pPr>
          </w:p>
        </w:tc>
        <w:tc>
          <w:tcPr>
            <w:tcW w:w="850" w:type="dxa"/>
            <w:vAlign w:val="center"/>
          </w:tcPr>
          <w:p>
            <w:pPr>
              <w:tabs>
                <w:tab w:val="left" w:pos="1337"/>
              </w:tabs>
              <w:adjustRightInd w:val="0"/>
              <w:snapToGrid w:val="0"/>
              <w:jc w:val="left"/>
              <w:rPr>
                <w:rFonts w:ascii="仿宋" w:hAnsi="仿宋" w:eastAsia="仿宋" w:cs="仿宋"/>
                <w:bCs/>
                <w:color w:val="auto"/>
                <w:highlight w:val="none"/>
              </w:rPr>
            </w:pPr>
          </w:p>
        </w:tc>
        <w:tc>
          <w:tcPr>
            <w:tcW w:w="445" w:type="dxa"/>
            <w:vAlign w:val="center"/>
          </w:tcPr>
          <w:p>
            <w:pPr>
              <w:tabs>
                <w:tab w:val="left" w:pos="1337"/>
              </w:tabs>
              <w:adjustRightInd w:val="0"/>
              <w:snapToGrid w:val="0"/>
              <w:jc w:val="left"/>
              <w:rPr>
                <w:rFonts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pPr>
              <w:tabs>
                <w:tab w:val="left" w:pos="1337"/>
              </w:tabs>
              <w:adjustRightInd w:val="0"/>
              <w:snapToGrid w:val="0"/>
              <w:jc w:val="left"/>
              <w:rPr>
                <w:rFonts w:hint="default" w:ascii="仿宋" w:hAnsi="仿宋" w:eastAsia="仿宋" w:cs="仿宋"/>
                <w:bCs/>
                <w:color w:val="auto"/>
                <w:highlight w:val="none"/>
                <w:lang w:val="en-US" w:eastAsia="zh-CN"/>
              </w:rPr>
            </w:pPr>
            <w:r>
              <w:rPr>
                <w:rFonts w:hint="default" w:ascii="Arial" w:hAnsi="Arial" w:eastAsia="仿宋" w:cs="Arial"/>
                <w:bCs/>
                <w:color w:val="auto"/>
                <w:highlight w:val="none"/>
                <w:lang w:val="en-US" w:eastAsia="zh-CN"/>
              </w:rPr>
              <w:t>…</w:t>
            </w:r>
          </w:p>
        </w:tc>
        <w:tc>
          <w:tcPr>
            <w:tcW w:w="1226" w:type="dxa"/>
            <w:vAlign w:val="center"/>
          </w:tcPr>
          <w:p>
            <w:pPr>
              <w:tabs>
                <w:tab w:val="left" w:pos="1337"/>
              </w:tabs>
              <w:adjustRightInd w:val="0"/>
              <w:snapToGrid w:val="0"/>
              <w:jc w:val="left"/>
              <w:rPr>
                <w:rFonts w:ascii="仿宋" w:hAnsi="仿宋" w:eastAsia="仿宋" w:cs="仿宋"/>
                <w:bCs/>
                <w:color w:val="auto"/>
                <w:highlight w:val="none"/>
              </w:rPr>
            </w:pPr>
          </w:p>
        </w:tc>
        <w:tc>
          <w:tcPr>
            <w:tcW w:w="1146" w:type="dxa"/>
            <w:vAlign w:val="center"/>
          </w:tcPr>
          <w:p>
            <w:pPr>
              <w:tabs>
                <w:tab w:val="left" w:pos="1337"/>
              </w:tabs>
              <w:adjustRightInd w:val="0"/>
              <w:snapToGrid w:val="0"/>
              <w:jc w:val="left"/>
              <w:rPr>
                <w:rFonts w:ascii="仿宋" w:hAnsi="仿宋" w:eastAsia="仿宋" w:cs="仿宋"/>
                <w:bCs/>
                <w:color w:val="auto"/>
                <w:highlight w:val="none"/>
              </w:rPr>
            </w:pPr>
          </w:p>
        </w:tc>
        <w:tc>
          <w:tcPr>
            <w:tcW w:w="1797" w:type="dxa"/>
            <w:vAlign w:val="center"/>
          </w:tcPr>
          <w:p>
            <w:pPr>
              <w:tabs>
                <w:tab w:val="left" w:pos="1337"/>
              </w:tabs>
              <w:adjustRightInd w:val="0"/>
              <w:snapToGrid w:val="0"/>
              <w:jc w:val="left"/>
              <w:rPr>
                <w:rFonts w:ascii="仿宋" w:hAnsi="仿宋" w:eastAsia="仿宋" w:cs="仿宋"/>
                <w:bCs/>
                <w:color w:val="auto"/>
                <w:highlight w:val="none"/>
              </w:rPr>
            </w:pPr>
          </w:p>
        </w:tc>
        <w:tc>
          <w:tcPr>
            <w:tcW w:w="736" w:type="dxa"/>
            <w:vAlign w:val="center"/>
          </w:tcPr>
          <w:p>
            <w:pPr>
              <w:tabs>
                <w:tab w:val="left" w:pos="1337"/>
              </w:tabs>
              <w:adjustRightInd w:val="0"/>
              <w:snapToGrid w:val="0"/>
              <w:jc w:val="left"/>
              <w:rPr>
                <w:rFonts w:ascii="仿宋" w:hAnsi="仿宋" w:eastAsia="仿宋" w:cs="仿宋"/>
                <w:bCs/>
                <w:color w:val="auto"/>
                <w:highlight w:val="none"/>
              </w:rPr>
            </w:pPr>
          </w:p>
        </w:tc>
        <w:tc>
          <w:tcPr>
            <w:tcW w:w="749" w:type="dxa"/>
            <w:vAlign w:val="center"/>
          </w:tcPr>
          <w:p>
            <w:pPr>
              <w:tabs>
                <w:tab w:val="left" w:pos="1337"/>
              </w:tabs>
              <w:adjustRightInd w:val="0"/>
              <w:snapToGrid w:val="0"/>
              <w:jc w:val="left"/>
              <w:rPr>
                <w:rFonts w:ascii="仿宋" w:hAnsi="仿宋" w:eastAsia="仿宋" w:cs="仿宋"/>
                <w:bCs/>
                <w:color w:val="auto"/>
                <w:highlight w:val="none"/>
              </w:rPr>
            </w:pPr>
          </w:p>
        </w:tc>
        <w:tc>
          <w:tcPr>
            <w:tcW w:w="846" w:type="dxa"/>
            <w:vAlign w:val="center"/>
          </w:tcPr>
          <w:p>
            <w:pPr>
              <w:tabs>
                <w:tab w:val="left" w:pos="1337"/>
              </w:tabs>
              <w:adjustRightInd w:val="0"/>
              <w:snapToGrid w:val="0"/>
              <w:jc w:val="left"/>
              <w:rPr>
                <w:rFonts w:ascii="仿宋" w:hAnsi="仿宋" w:eastAsia="仿宋" w:cs="仿宋"/>
                <w:bCs/>
                <w:color w:val="auto"/>
                <w:highlight w:val="none"/>
              </w:rPr>
            </w:pPr>
          </w:p>
        </w:tc>
        <w:tc>
          <w:tcPr>
            <w:tcW w:w="851" w:type="dxa"/>
            <w:vAlign w:val="center"/>
          </w:tcPr>
          <w:p>
            <w:pPr>
              <w:tabs>
                <w:tab w:val="left" w:pos="1337"/>
              </w:tabs>
              <w:adjustRightInd w:val="0"/>
              <w:snapToGrid w:val="0"/>
              <w:jc w:val="left"/>
              <w:rPr>
                <w:rFonts w:ascii="仿宋" w:hAnsi="仿宋" w:eastAsia="仿宋" w:cs="仿宋"/>
                <w:bCs/>
                <w:color w:val="auto"/>
                <w:highlight w:val="none"/>
              </w:rPr>
            </w:pPr>
          </w:p>
        </w:tc>
        <w:tc>
          <w:tcPr>
            <w:tcW w:w="850" w:type="dxa"/>
            <w:vAlign w:val="center"/>
          </w:tcPr>
          <w:p>
            <w:pPr>
              <w:tabs>
                <w:tab w:val="left" w:pos="1337"/>
              </w:tabs>
              <w:adjustRightInd w:val="0"/>
              <w:snapToGrid w:val="0"/>
              <w:jc w:val="left"/>
              <w:rPr>
                <w:rFonts w:ascii="仿宋" w:hAnsi="仿宋" w:eastAsia="仿宋" w:cs="仿宋"/>
                <w:bCs/>
                <w:color w:val="auto"/>
                <w:highlight w:val="none"/>
              </w:rPr>
            </w:pPr>
          </w:p>
        </w:tc>
        <w:tc>
          <w:tcPr>
            <w:tcW w:w="445" w:type="dxa"/>
            <w:vAlign w:val="center"/>
          </w:tcPr>
          <w:p>
            <w:pPr>
              <w:tabs>
                <w:tab w:val="left" w:pos="1337"/>
              </w:tabs>
              <w:adjustRightInd w:val="0"/>
              <w:snapToGrid w:val="0"/>
              <w:jc w:val="left"/>
              <w:rPr>
                <w:rFonts w:ascii="仿宋" w:hAnsi="仿宋" w:eastAsia="仿宋" w:cs="仿宋"/>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pPr>
              <w:tabs>
                <w:tab w:val="left" w:pos="1337"/>
              </w:tabs>
              <w:adjustRightInd w:val="0"/>
              <w:snapToGrid w:val="0"/>
              <w:jc w:val="left"/>
              <w:rPr>
                <w:rFonts w:ascii="仿宋" w:hAnsi="仿宋" w:eastAsia="仿宋" w:cs="仿宋"/>
                <w:bCs/>
                <w:color w:val="auto"/>
                <w:highlight w:val="none"/>
              </w:rPr>
            </w:pPr>
            <w:r>
              <w:rPr>
                <w:rFonts w:hint="eastAsia" w:ascii="仿宋" w:hAnsi="仿宋" w:eastAsia="仿宋" w:cs="仿宋"/>
                <w:bCs/>
                <w:color w:val="auto"/>
                <w:highlight w:val="none"/>
              </w:rPr>
              <w:t>合计</w:t>
            </w:r>
          </w:p>
        </w:tc>
        <w:tc>
          <w:tcPr>
            <w:tcW w:w="1226" w:type="dxa"/>
            <w:vAlign w:val="center"/>
          </w:tcPr>
          <w:p>
            <w:pPr>
              <w:tabs>
                <w:tab w:val="left" w:pos="1337"/>
              </w:tabs>
              <w:adjustRightInd w:val="0"/>
              <w:snapToGrid w:val="0"/>
              <w:jc w:val="left"/>
              <w:rPr>
                <w:rFonts w:ascii="仿宋" w:hAnsi="仿宋" w:eastAsia="仿宋" w:cs="仿宋"/>
                <w:bCs/>
                <w:color w:val="auto"/>
                <w:highlight w:val="none"/>
              </w:rPr>
            </w:pPr>
          </w:p>
        </w:tc>
        <w:tc>
          <w:tcPr>
            <w:tcW w:w="1146" w:type="dxa"/>
            <w:vAlign w:val="center"/>
          </w:tcPr>
          <w:p>
            <w:pPr>
              <w:tabs>
                <w:tab w:val="left" w:pos="1337"/>
              </w:tabs>
              <w:adjustRightInd w:val="0"/>
              <w:snapToGrid w:val="0"/>
              <w:jc w:val="left"/>
              <w:rPr>
                <w:rFonts w:ascii="仿宋" w:hAnsi="仿宋" w:eastAsia="仿宋" w:cs="仿宋"/>
                <w:bCs/>
                <w:color w:val="auto"/>
                <w:highlight w:val="none"/>
              </w:rPr>
            </w:pPr>
          </w:p>
        </w:tc>
        <w:tc>
          <w:tcPr>
            <w:tcW w:w="1797" w:type="dxa"/>
            <w:vAlign w:val="center"/>
          </w:tcPr>
          <w:p>
            <w:pPr>
              <w:tabs>
                <w:tab w:val="left" w:pos="1337"/>
              </w:tabs>
              <w:adjustRightInd w:val="0"/>
              <w:snapToGrid w:val="0"/>
              <w:jc w:val="left"/>
              <w:rPr>
                <w:rFonts w:ascii="仿宋" w:hAnsi="仿宋" w:eastAsia="仿宋" w:cs="仿宋"/>
                <w:bCs/>
                <w:color w:val="auto"/>
                <w:highlight w:val="none"/>
              </w:rPr>
            </w:pPr>
          </w:p>
        </w:tc>
        <w:tc>
          <w:tcPr>
            <w:tcW w:w="736" w:type="dxa"/>
            <w:vAlign w:val="center"/>
          </w:tcPr>
          <w:p>
            <w:pPr>
              <w:tabs>
                <w:tab w:val="left" w:pos="1337"/>
              </w:tabs>
              <w:adjustRightInd w:val="0"/>
              <w:snapToGrid w:val="0"/>
              <w:jc w:val="left"/>
              <w:rPr>
                <w:rFonts w:ascii="仿宋" w:hAnsi="仿宋" w:eastAsia="仿宋" w:cs="仿宋"/>
                <w:bCs/>
                <w:color w:val="auto"/>
                <w:highlight w:val="none"/>
              </w:rPr>
            </w:pPr>
          </w:p>
        </w:tc>
        <w:tc>
          <w:tcPr>
            <w:tcW w:w="749" w:type="dxa"/>
            <w:vAlign w:val="center"/>
          </w:tcPr>
          <w:p>
            <w:pPr>
              <w:tabs>
                <w:tab w:val="left" w:pos="1337"/>
              </w:tabs>
              <w:adjustRightInd w:val="0"/>
              <w:snapToGrid w:val="0"/>
              <w:jc w:val="left"/>
              <w:rPr>
                <w:rFonts w:ascii="仿宋" w:hAnsi="仿宋" w:eastAsia="仿宋" w:cs="仿宋"/>
                <w:bCs/>
                <w:color w:val="auto"/>
                <w:highlight w:val="none"/>
              </w:rPr>
            </w:pPr>
          </w:p>
        </w:tc>
        <w:tc>
          <w:tcPr>
            <w:tcW w:w="846" w:type="dxa"/>
            <w:vAlign w:val="center"/>
          </w:tcPr>
          <w:p>
            <w:pPr>
              <w:tabs>
                <w:tab w:val="left" w:pos="1337"/>
              </w:tabs>
              <w:adjustRightInd w:val="0"/>
              <w:snapToGrid w:val="0"/>
              <w:jc w:val="left"/>
              <w:rPr>
                <w:rFonts w:ascii="仿宋" w:hAnsi="仿宋" w:eastAsia="仿宋" w:cs="仿宋"/>
                <w:bCs/>
                <w:color w:val="auto"/>
                <w:highlight w:val="none"/>
              </w:rPr>
            </w:pPr>
          </w:p>
        </w:tc>
        <w:tc>
          <w:tcPr>
            <w:tcW w:w="851" w:type="dxa"/>
            <w:vAlign w:val="center"/>
          </w:tcPr>
          <w:p>
            <w:pPr>
              <w:tabs>
                <w:tab w:val="left" w:pos="1337"/>
              </w:tabs>
              <w:adjustRightInd w:val="0"/>
              <w:snapToGrid w:val="0"/>
              <w:jc w:val="left"/>
              <w:rPr>
                <w:rFonts w:ascii="仿宋" w:hAnsi="仿宋" w:eastAsia="仿宋" w:cs="仿宋"/>
                <w:bCs/>
                <w:color w:val="auto"/>
                <w:highlight w:val="none"/>
              </w:rPr>
            </w:pPr>
          </w:p>
        </w:tc>
        <w:tc>
          <w:tcPr>
            <w:tcW w:w="850" w:type="dxa"/>
            <w:vAlign w:val="center"/>
          </w:tcPr>
          <w:p>
            <w:pPr>
              <w:tabs>
                <w:tab w:val="left" w:pos="1337"/>
              </w:tabs>
              <w:adjustRightInd w:val="0"/>
              <w:snapToGrid w:val="0"/>
              <w:jc w:val="left"/>
              <w:rPr>
                <w:rFonts w:ascii="仿宋" w:hAnsi="仿宋" w:eastAsia="仿宋" w:cs="仿宋"/>
                <w:bCs/>
                <w:color w:val="auto"/>
                <w:highlight w:val="none"/>
              </w:rPr>
            </w:pPr>
          </w:p>
        </w:tc>
        <w:tc>
          <w:tcPr>
            <w:tcW w:w="445" w:type="dxa"/>
            <w:vAlign w:val="center"/>
          </w:tcPr>
          <w:p>
            <w:pPr>
              <w:tabs>
                <w:tab w:val="left" w:pos="1337"/>
              </w:tabs>
              <w:adjustRightInd w:val="0"/>
              <w:snapToGrid w:val="0"/>
              <w:jc w:val="left"/>
              <w:rPr>
                <w:rFonts w:ascii="仿宋" w:hAnsi="仿宋" w:eastAsia="仿宋" w:cs="仿宋"/>
                <w:bCs/>
                <w:color w:val="auto"/>
                <w:highlight w:val="none"/>
              </w:rPr>
            </w:pPr>
          </w:p>
        </w:tc>
      </w:tr>
    </w:tbl>
    <w:p>
      <w:pPr>
        <w:tabs>
          <w:tab w:val="left" w:pos="1785"/>
        </w:tabs>
        <w:bidi w:val="0"/>
        <w:spacing w:line="480" w:lineRule="exact"/>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备注：软件最小报价单位到子系统级，</w:t>
      </w:r>
      <w:r>
        <w:rPr>
          <w:rFonts w:hint="eastAsia" w:ascii="仿宋" w:hAnsi="仿宋" w:eastAsia="仿宋" w:cs="仿宋"/>
          <w:color w:val="auto"/>
          <w:sz w:val="24"/>
          <w:highlight w:val="none"/>
          <w:lang w:val="en-US" w:eastAsia="zh-CN"/>
        </w:rPr>
        <w:t>例如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HIS里</w:t>
      </w:r>
      <w:r>
        <w:rPr>
          <w:rFonts w:hint="eastAsia" w:ascii="仿宋" w:hAnsi="仿宋" w:eastAsia="仿宋" w:cs="仿宋"/>
          <w:color w:val="auto"/>
          <w:sz w:val="24"/>
          <w:highlight w:val="none"/>
        </w:rPr>
        <w:t>门急诊结算模块</w:t>
      </w:r>
      <w:r>
        <w:rPr>
          <w:rFonts w:hint="eastAsia" w:ascii="仿宋" w:hAnsi="仿宋" w:eastAsia="仿宋" w:cs="仿宋"/>
          <w:color w:val="auto"/>
          <w:sz w:val="24"/>
          <w:highlight w:val="none"/>
          <w:lang w:eastAsia="zh-CN"/>
        </w:rPr>
        <w:t>等。</w:t>
      </w:r>
    </w:p>
    <w:p>
      <w:pPr>
        <w:tabs>
          <w:tab w:val="left" w:pos="1785"/>
        </w:tabs>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44"/>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供应商名称（盖章）：</w:t>
      </w:r>
    </w:p>
    <w:p>
      <w:pPr>
        <w:pStyle w:val="144"/>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pPr>
        <w:pStyle w:val="144"/>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3"/>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Cs w:val="0"/>
          <w:color w:val="auto"/>
          <w:sz w:val="28"/>
          <w:szCs w:val="28"/>
          <w:highlight w:val="none"/>
          <w:u w:val="single"/>
        </w:rPr>
        <w:br w:type="page"/>
      </w:r>
      <w:bookmarkStart w:id="417" w:name="_Toc4159"/>
      <w:bookmarkStart w:id="418" w:name="_Toc323129572"/>
      <w:bookmarkStart w:id="419" w:name="_Toc323130139"/>
      <w:bookmarkStart w:id="420" w:name="_Toc1344"/>
      <w:bookmarkStart w:id="421" w:name="_Toc21772"/>
      <w:bookmarkStart w:id="422" w:name="_Toc325620733"/>
      <w:bookmarkStart w:id="423" w:name="_Toc356491346"/>
      <w:bookmarkStart w:id="424" w:name="_Toc356490397"/>
      <w:r>
        <w:rPr>
          <w:rFonts w:hint="eastAsia" w:ascii="仿宋" w:hAnsi="仿宋" w:eastAsia="仿宋" w:cs="仿宋"/>
          <w:b/>
          <w:bCs/>
          <w:color w:val="auto"/>
          <w:kern w:val="0"/>
          <w:sz w:val="28"/>
          <w:szCs w:val="28"/>
          <w:highlight w:val="none"/>
          <w:lang w:val="en-US" w:eastAsia="zh-CN" w:bidi="ar-SA"/>
        </w:rPr>
        <w:t>附件七：主要从业人员及其技术资格一览表</w:t>
      </w:r>
      <w:bookmarkEnd w:id="417"/>
    </w:p>
    <w:p>
      <w:pPr>
        <w:jc w:val="center"/>
        <w:rPr>
          <w:rFonts w:hint="eastAsia" w:ascii="仿宋" w:hAnsi="仿宋" w:eastAsia="仿宋" w:cs="仿宋"/>
          <w:bCs w:val="0"/>
          <w:color w:val="auto"/>
          <w:sz w:val="28"/>
          <w:szCs w:val="28"/>
          <w:highlight w:val="none"/>
          <w:u w:val="none"/>
        </w:rPr>
      </w:pPr>
    </w:p>
    <w:p>
      <w:pPr>
        <w:spacing w:line="360" w:lineRule="auto"/>
        <w:jc w:val="center"/>
        <w:rPr>
          <w:rFonts w:hint="eastAsia" w:ascii="仿宋" w:hAnsi="仿宋" w:eastAsia="仿宋" w:cs="仿宋"/>
          <w:bCs w:val="0"/>
          <w:color w:val="auto"/>
          <w:sz w:val="28"/>
          <w:szCs w:val="28"/>
          <w:highlight w:val="none"/>
          <w:u w:val="none"/>
        </w:rPr>
      </w:pPr>
      <w:r>
        <w:rPr>
          <w:rFonts w:hint="eastAsia" w:ascii="仿宋" w:hAnsi="仿宋" w:eastAsia="仿宋" w:cs="仿宋"/>
          <w:bCs w:val="0"/>
          <w:color w:val="auto"/>
          <w:sz w:val="28"/>
          <w:szCs w:val="28"/>
          <w:highlight w:val="none"/>
          <w:u w:val="none"/>
        </w:rPr>
        <w:t>主要从业人员及其技术资格一览表</w:t>
      </w:r>
    </w:p>
    <w:tbl>
      <w:tblPr>
        <w:tblStyle w:val="39"/>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序号</w:t>
            </w:r>
          </w:p>
        </w:tc>
        <w:tc>
          <w:tcPr>
            <w:tcW w:w="1135"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姓名</w:t>
            </w:r>
          </w:p>
        </w:tc>
        <w:tc>
          <w:tcPr>
            <w:tcW w:w="1260"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职务</w:t>
            </w:r>
          </w:p>
        </w:tc>
        <w:tc>
          <w:tcPr>
            <w:tcW w:w="1648"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专业技术资格</w:t>
            </w:r>
          </w:p>
        </w:tc>
        <w:tc>
          <w:tcPr>
            <w:tcW w:w="1446"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证书编号</w:t>
            </w:r>
          </w:p>
        </w:tc>
        <w:tc>
          <w:tcPr>
            <w:tcW w:w="1996" w:type="dxa"/>
            <w:vAlign w:val="center"/>
          </w:tcPr>
          <w:p>
            <w:pPr>
              <w:spacing w:line="360" w:lineRule="auto"/>
              <w:jc w:val="center"/>
              <w:rPr>
                <w:rFonts w:hint="eastAsia" w:ascii="仿宋" w:hAnsi="仿宋" w:eastAsia="仿宋" w:cs="仿宋"/>
                <w:bCs w:val="0"/>
                <w:color w:val="auto"/>
                <w:sz w:val="28"/>
                <w:szCs w:val="28"/>
                <w:highlight w:val="none"/>
                <w:u w:val="none"/>
                <w:vertAlign w:val="baseline"/>
              </w:rPr>
            </w:pPr>
            <w:r>
              <w:rPr>
                <w:rFonts w:hint="eastAsia" w:ascii="仿宋" w:hAnsi="仿宋" w:eastAsia="仿宋" w:cs="仿宋"/>
                <w:bCs w:val="0"/>
                <w:color w:val="auto"/>
                <w:sz w:val="28"/>
                <w:szCs w:val="28"/>
                <w:highlight w:val="none"/>
                <w:u w:val="none"/>
                <w:vertAlign w:val="baseline"/>
                <w:lang w:val="en-US" w:eastAsia="zh-CN"/>
              </w:rPr>
              <w:t>参加本单位工作时间</w:t>
            </w:r>
          </w:p>
        </w:tc>
        <w:tc>
          <w:tcPr>
            <w:tcW w:w="996"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
                <w:bCs/>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jc w:val="both"/>
              <w:rPr>
                <w:rFonts w:hint="eastAsia" w:ascii="仿宋" w:hAnsi="仿宋" w:eastAsia="仿宋" w:cs="仿宋"/>
                <w:bCs w:val="0"/>
                <w:color w:val="auto"/>
                <w:sz w:val="28"/>
                <w:szCs w:val="28"/>
                <w:highlight w:val="none"/>
                <w:u w:val="singl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w:t>
            </w:r>
          </w:p>
        </w:tc>
      </w:tr>
    </w:tbl>
    <w:p>
      <w:pPr>
        <w:pStyle w:val="144"/>
        <w:spacing w:before="240" w:line="480" w:lineRule="exact"/>
        <w:ind w:firstLine="0" w:firstLineChars="0"/>
        <w:rPr>
          <w:rFonts w:hint="eastAsia" w:ascii="仿宋" w:hAnsi="仿宋" w:eastAsia="仿宋" w:cs="仿宋"/>
          <w:color w:val="auto"/>
          <w:highlight w:val="none"/>
        </w:rPr>
      </w:pPr>
    </w:p>
    <w:p>
      <w:pPr>
        <w:pStyle w:val="144"/>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供应商名称（盖章）：</w:t>
      </w:r>
    </w:p>
    <w:p>
      <w:pPr>
        <w:pStyle w:val="144"/>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pPr>
        <w:pStyle w:val="144"/>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48"/>
        <w:ind w:left="0" w:leftChars="0" w:firstLine="0" w:firstLineChars="0"/>
        <w:rPr>
          <w:rFonts w:hint="eastAsia" w:ascii="仿宋" w:hAnsi="仿宋" w:eastAsia="仿宋" w:cs="仿宋"/>
          <w:color w:val="auto"/>
          <w:highlight w:val="none"/>
        </w:rPr>
      </w:pPr>
    </w:p>
    <w:p>
      <w:pPr>
        <w:pStyle w:val="3"/>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color w:val="auto"/>
          <w:sz w:val="28"/>
          <w:szCs w:val="28"/>
          <w:highlight w:val="none"/>
        </w:rPr>
        <w:br w:type="page"/>
      </w:r>
      <w:bookmarkStart w:id="425" w:name="_Toc16362"/>
      <w:r>
        <w:rPr>
          <w:rFonts w:hint="eastAsia" w:ascii="仿宋" w:hAnsi="仿宋" w:eastAsia="仿宋" w:cs="仿宋"/>
          <w:b/>
          <w:bCs/>
          <w:color w:val="auto"/>
          <w:kern w:val="0"/>
          <w:sz w:val="28"/>
          <w:szCs w:val="28"/>
          <w:highlight w:val="none"/>
          <w:lang w:val="en-US" w:eastAsia="zh-CN" w:bidi="ar-SA"/>
        </w:rPr>
        <w:t>附件八：技术指标响应表</w:t>
      </w:r>
      <w:bookmarkEnd w:id="425"/>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
          <w:bCs/>
          <w:color w:val="auto"/>
          <w:kern w:val="0"/>
          <w:sz w:val="28"/>
          <w:szCs w:val="28"/>
          <w:highlight w:val="none"/>
          <w:lang w:val="en-US" w:eastAsia="zh-CN" w:bidi="ar-S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技术指标响应表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投标人名称：（公章）</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法定代表人或授权代理人签字：</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45"/>
        <w:gridCol w:w="1920"/>
        <w:gridCol w:w="1949"/>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w:t>
            </w:r>
          </w:p>
          <w:p>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条目号</w:t>
            </w: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招标文件要求</w:t>
            </w: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w:t>
            </w:r>
          </w:p>
          <w:p>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实际情况</w:t>
            </w: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偏差内容</w:t>
            </w: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tabs>
                <w:tab w:val="left" w:pos="1337"/>
              </w:tabs>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45"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2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949"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1462"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c>
          <w:tcPr>
            <w:tcW w:w="990" w:type="dxa"/>
            <w:vAlign w:val="center"/>
          </w:tcPr>
          <w:p>
            <w:pPr>
              <w:tabs>
                <w:tab w:val="left" w:pos="1337"/>
              </w:tabs>
              <w:spacing w:line="420" w:lineRule="exact"/>
              <w:jc w:val="center"/>
              <w:rPr>
                <w:rFonts w:hint="eastAsia" w:ascii="仿宋" w:hAnsi="仿宋" w:eastAsia="仿宋" w:cs="仿宋"/>
                <w:color w:val="auto"/>
                <w:sz w:val="24"/>
                <w:szCs w:val="24"/>
                <w:highlight w:val="none"/>
              </w:rPr>
            </w:pPr>
          </w:p>
        </w:tc>
      </w:tr>
    </w:tbl>
    <w:p>
      <w:pPr>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年  月  日</w:t>
      </w:r>
      <w:r>
        <w:rPr>
          <w:rFonts w:hint="eastAsia" w:ascii="仿宋" w:hAnsi="仿宋" w:eastAsia="仿宋" w:cs="仿宋"/>
          <w:color w:val="auto"/>
          <w:sz w:val="28"/>
          <w:szCs w:val="28"/>
          <w:highlight w:val="none"/>
        </w:rPr>
        <w:br w:type="page"/>
      </w:r>
    </w:p>
    <w:p>
      <w:pPr>
        <w:pStyle w:val="3"/>
        <w:pageBreakBefore w:val="0"/>
        <w:kinsoku/>
        <w:overflowPunct/>
        <w:topLinePunct w:val="0"/>
        <w:bidi w:val="0"/>
        <w:snapToGrid/>
        <w:spacing w:line="360" w:lineRule="auto"/>
        <w:rPr>
          <w:rFonts w:hint="eastAsia" w:ascii="仿宋" w:hAnsi="仿宋" w:eastAsia="仿宋" w:cs="仿宋"/>
          <w:b/>
          <w:bCs/>
          <w:color w:val="auto"/>
          <w:kern w:val="0"/>
          <w:sz w:val="28"/>
          <w:szCs w:val="28"/>
          <w:highlight w:val="none"/>
          <w:lang w:val="en-US" w:eastAsia="zh-CN" w:bidi="ar-SA"/>
        </w:rPr>
      </w:pPr>
      <w:bookmarkStart w:id="426" w:name="_Toc30212"/>
      <w:r>
        <w:rPr>
          <w:rFonts w:hint="eastAsia" w:ascii="仿宋" w:hAnsi="仿宋" w:eastAsia="仿宋" w:cs="仿宋"/>
          <w:b/>
          <w:bCs/>
          <w:color w:val="auto"/>
          <w:kern w:val="0"/>
          <w:sz w:val="28"/>
          <w:szCs w:val="28"/>
          <w:highlight w:val="none"/>
          <w:lang w:val="en-US" w:eastAsia="zh-CN" w:bidi="ar-SA"/>
        </w:rPr>
        <w:t>附件九：拟投入本项目人员配备情况表</w:t>
      </w:r>
      <w:bookmarkEnd w:id="426"/>
    </w:p>
    <w:p>
      <w:pPr>
        <w:rPr>
          <w:rFonts w:hint="eastAsia" w:ascii="仿宋" w:hAnsi="仿宋" w:eastAsia="仿宋" w:cs="仿宋"/>
          <w:b/>
          <w:bCs/>
          <w:color w:val="auto"/>
          <w:kern w:val="0"/>
          <w:sz w:val="28"/>
          <w:szCs w:val="28"/>
          <w:highlight w:val="none"/>
          <w:lang w:val="en-US" w:eastAsia="zh-CN" w:bidi="ar-SA"/>
        </w:rPr>
      </w:pPr>
    </w:p>
    <w:p>
      <w:pPr>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拟投入本项目人员配备情况表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pPr>
        <w:pStyle w:val="48"/>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Cs w:val="0"/>
          <w:color w:val="auto"/>
          <w:sz w:val="28"/>
          <w:szCs w:val="28"/>
          <w:highlight w:val="none"/>
        </w:rPr>
        <w:t>投标人名称：（公章）</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rPr>
        <w:t xml:space="preserve">  法定代表人或授权代理人签字：</w:t>
      </w:r>
    </w:p>
    <w:tbl>
      <w:tblPr>
        <w:tblStyle w:val="39"/>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1135"/>
        <w:gridCol w:w="1260"/>
        <w:gridCol w:w="1648"/>
        <w:gridCol w:w="1446"/>
        <w:gridCol w:w="1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5"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序号</w:t>
            </w:r>
          </w:p>
        </w:tc>
        <w:tc>
          <w:tcPr>
            <w:tcW w:w="1135"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姓名</w:t>
            </w:r>
          </w:p>
        </w:tc>
        <w:tc>
          <w:tcPr>
            <w:tcW w:w="1260"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职务</w:t>
            </w:r>
          </w:p>
        </w:tc>
        <w:tc>
          <w:tcPr>
            <w:tcW w:w="1648"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专业技术资格</w:t>
            </w:r>
          </w:p>
        </w:tc>
        <w:tc>
          <w:tcPr>
            <w:tcW w:w="1446"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证书编号</w:t>
            </w:r>
          </w:p>
        </w:tc>
        <w:tc>
          <w:tcPr>
            <w:tcW w:w="1996" w:type="dxa"/>
            <w:vAlign w:val="center"/>
          </w:tcPr>
          <w:p>
            <w:pPr>
              <w:spacing w:line="360" w:lineRule="auto"/>
              <w:jc w:val="center"/>
              <w:rPr>
                <w:rFonts w:hint="eastAsia" w:ascii="仿宋" w:hAnsi="仿宋" w:eastAsia="仿宋" w:cs="仿宋"/>
                <w:bCs w:val="0"/>
                <w:color w:val="auto"/>
                <w:sz w:val="28"/>
                <w:szCs w:val="28"/>
                <w:highlight w:val="none"/>
                <w:u w:val="none"/>
                <w:vertAlign w:val="baseline"/>
              </w:rPr>
            </w:pPr>
            <w:r>
              <w:rPr>
                <w:rFonts w:hint="eastAsia" w:ascii="仿宋" w:hAnsi="仿宋" w:eastAsia="仿宋" w:cs="仿宋"/>
                <w:bCs w:val="0"/>
                <w:color w:val="auto"/>
                <w:sz w:val="28"/>
                <w:szCs w:val="28"/>
                <w:highlight w:val="none"/>
                <w:u w:val="none"/>
                <w:vertAlign w:val="baseline"/>
                <w:lang w:val="en-US" w:eastAsia="zh-CN"/>
              </w:rPr>
              <w:t>参加本单位工作时间</w:t>
            </w:r>
          </w:p>
        </w:tc>
        <w:tc>
          <w:tcPr>
            <w:tcW w:w="996" w:type="dxa"/>
            <w:vAlign w:val="center"/>
          </w:tcPr>
          <w:p>
            <w:pPr>
              <w:spacing w:line="360" w:lineRule="auto"/>
              <w:jc w:val="center"/>
              <w:rPr>
                <w:rFonts w:hint="eastAsia" w:ascii="仿宋" w:hAnsi="仿宋" w:eastAsia="仿宋" w:cs="仿宋"/>
                <w:bCs w:val="0"/>
                <w:color w:val="auto"/>
                <w:sz w:val="28"/>
                <w:szCs w:val="28"/>
                <w:highlight w:val="none"/>
                <w:u w:val="non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
                <w:bCs/>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135"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260"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648"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44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1996" w:type="dxa"/>
          </w:tcPr>
          <w:p>
            <w:pPr>
              <w:spacing w:line="360" w:lineRule="auto"/>
              <w:jc w:val="both"/>
              <w:rPr>
                <w:rFonts w:hint="eastAsia" w:ascii="仿宋" w:hAnsi="仿宋" w:eastAsia="仿宋" w:cs="仿宋"/>
                <w:bCs w:val="0"/>
                <w:color w:val="auto"/>
                <w:sz w:val="28"/>
                <w:szCs w:val="28"/>
                <w:highlight w:val="none"/>
                <w:u w:val="single"/>
                <w:vertAlign w:val="baseline"/>
              </w:rPr>
            </w:pPr>
          </w:p>
        </w:tc>
        <w:tc>
          <w:tcPr>
            <w:tcW w:w="996" w:type="dxa"/>
          </w:tcPr>
          <w:p>
            <w:pPr>
              <w:spacing w:line="360" w:lineRule="auto"/>
              <w:jc w:val="both"/>
              <w:rPr>
                <w:rFonts w:hint="eastAsia" w:ascii="仿宋" w:hAnsi="仿宋" w:eastAsia="仿宋" w:cs="仿宋"/>
                <w:bCs w:val="0"/>
                <w:color w:val="auto"/>
                <w:sz w:val="28"/>
                <w:szCs w:val="28"/>
                <w:highlight w:val="none"/>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416" w:type="dxa"/>
            <w:gridSpan w:val="7"/>
          </w:tcPr>
          <w:p>
            <w:pPr>
              <w:spacing w:line="360" w:lineRule="auto"/>
              <w:jc w:val="both"/>
              <w:rPr>
                <w:rFonts w:hint="eastAsia" w:ascii="仿宋" w:hAnsi="仿宋" w:eastAsia="仿宋" w:cs="仿宋"/>
                <w:bCs w:val="0"/>
                <w:color w:val="auto"/>
                <w:sz w:val="28"/>
                <w:szCs w:val="28"/>
                <w:highlight w:val="none"/>
                <w:u w:val="single"/>
                <w:vertAlign w:val="baseline"/>
                <w:lang w:val="en-US" w:eastAsia="zh-CN"/>
              </w:rPr>
            </w:pPr>
            <w:r>
              <w:rPr>
                <w:rFonts w:hint="eastAsia" w:ascii="仿宋" w:hAnsi="仿宋" w:eastAsia="仿宋" w:cs="仿宋"/>
                <w:bCs w:val="0"/>
                <w:color w:val="auto"/>
                <w:sz w:val="28"/>
                <w:szCs w:val="28"/>
                <w:highlight w:val="none"/>
                <w:u w:val="none"/>
                <w:vertAlign w:val="baseline"/>
                <w:lang w:val="en-US" w:eastAsia="zh-CN"/>
              </w:rPr>
              <w:t>...........</w:t>
            </w:r>
          </w:p>
        </w:tc>
      </w:tr>
    </w:tbl>
    <w:p>
      <w:pPr>
        <w:pStyle w:val="144"/>
        <w:spacing w:before="240" w:line="480" w:lineRule="exact"/>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注：后附以上人员专业技术资格证书及在本公司缴纳社保情况。</w:t>
      </w:r>
    </w:p>
    <w:p>
      <w:pPr>
        <w:pStyle w:val="144"/>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pPr>
        <w:pStyle w:val="48"/>
        <w:rPr>
          <w:rFonts w:hint="eastAsia" w:ascii="仿宋" w:hAnsi="仿宋" w:eastAsia="仿宋" w:cs="仿宋"/>
          <w:color w:val="auto"/>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418"/>
    <w:bookmarkEnd w:id="419"/>
    <w:bookmarkEnd w:id="420"/>
    <w:bookmarkEnd w:id="421"/>
    <w:bookmarkEnd w:id="422"/>
    <w:bookmarkEnd w:id="423"/>
    <w:bookmarkEnd w:id="424"/>
    <w:p>
      <w:pPr>
        <w:pStyle w:val="3"/>
        <w:pageBreakBefore w:val="0"/>
        <w:kinsoku/>
        <w:overflowPunct/>
        <w:topLinePunct w:val="0"/>
        <w:bidi w:val="0"/>
        <w:snapToGrid/>
        <w:spacing w:line="360" w:lineRule="auto"/>
        <w:ind w:right="480"/>
        <w:rPr>
          <w:rFonts w:hint="eastAsia" w:ascii="仿宋" w:hAnsi="仿宋" w:eastAsia="仿宋" w:cs="仿宋"/>
          <w:color w:val="auto"/>
          <w:sz w:val="28"/>
          <w:szCs w:val="28"/>
          <w:highlight w:val="none"/>
        </w:rPr>
      </w:pPr>
      <w:bookmarkStart w:id="427" w:name="_Toc14828"/>
      <w:bookmarkStart w:id="428" w:name="_Toc3028"/>
      <w:bookmarkStart w:id="429" w:name="_Toc19384"/>
      <w:bookmarkStart w:id="430" w:name="_Toc525996982"/>
      <w:bookmarkStart w:id="431" w:name="_Toc323130140"/>
      <w:bookmarkStart w:id="432" w:name="_Toc7098148"/>
      <w:bookmarkStart w:id="433" w:name="_Toc325620734"/>
      <w:bookmarkStart w:id="434" w:name="_Toc6566"/>
      <w:bookmarkStart w:id="435" w:name="_Toc323129573"/>
      <w:bookmarkStart w:id="436" w:name="_Toc356490398"/>
      <w:bookmarkStart w:id="437" w:name="_Toc356491348"/>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w:t>
      </w:r>
      <w:bookmarkEnd w:id="427"/>
      <w:bookmarkEnd w:id="428"/>
      <w:r>
        <w:rPr>
          <w:rFonts w:hint="eastAsia" w:ascii="仿宋" w:hAnsi="仿宋" w:eastAsia="仿宋" w:cs="仿宋"/>
          <w:color w:val="auto"/>
          <w:sz w:val="28"/>
          <w:szCs w:val="28"/>
          <w:highlight w:val="none"/>
          <w:lang w:val="en-US" w:eastAsia="zh-CN"/>
        </w:rPr>
        <w:t>投标供应商</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日至今以来签订的同类业绩一览表</w:t>
      </w:r>
      <w:bookmarkEnd w:id="429"/>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投标供应商</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w:t>项目编号：</w:t>
      </w:r>
    </w:p>
    <w:p>
      <w:pPr>
        <w:pStyle w:val="17"/>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投标人名称：（公章）  法定代表人或授权代理人签字： </w:t>
      </w:r>
    </w:p>
    <w:p>
      <w:pPr>
        <w:pStyle w:val="17"/>
        <w:pageBreakBefore w:val="0"/>
        <w:kinsoku/>
        <w:overflowPunct/>
        <w:topLinePunct w:val="0"/>
        <w:bidi w:val="0"/>
        <w:snapToGrid/>
        <w:spacing w:line="360" w:lineRule="auto"/>
        <w:ind w:firstLine="0" w:firstLineChars="0"/>
        <w:rPr>
          <w:rFonts w:hint="eastAsia" w:ascii="仿宋" w:hAnsi="仿宋" w:eastAsia="仿宋" w:cs="仿宋"/>
          <w:bCs/>
          <w:color w:val="auto"/>
          <w:sz w:val="28"/>
          <w:szCs w:val="28"/>
          <w:highlight w:val="none"/>
          <w:u w:val="single"/>
        </w:rPr>
      </w:pPr>
    </w:p>
    <w:tbl>
      <w:tblPr>
        <w:tblStyle w:val="38"/>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color w:val="auto"/>
                <w:sz w:val="28"/>
                <w:szCs w:val="28"/>
                <w:highlight w:val="none"/>
              </w:rPr>
            </w:pPr>
          </w:p>
        </w:tc>
      </w:tr>
    </w:tbl>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说明：以上合同案例须真实有效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后附</w:t>
      </w:r>
      <w:r>
        <w:rPr>
          <w:rFonts w:hint="eastAsia" w:ascii="仿宋" w:hAnsi="仿宋" w:eastAsia="仿宋" w:cs="仿宋"/>
          <w:color w:val="auto"/>
          <w:sz w:val="28"/>
          <w:szCs w:val="28"/>
          <w:highlight w:val="none"/>
        </w:rPr>
        <w:t>完整合同复印件。</w:t>
      </w:r>
    </w:p>
    <w:p>
      <w:pPr>
        <w:pageBreakBefore w:val="0"/>
        <w:kinsoku/>
        <w:overflowPunct/>
        <w:topLinePunct w:val="0"/>
        <w:bidi w:val="0"/>
        <w:snapToGrid/>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430"/>
    <w:bookmarkEnd w:id="431"/>
    <w:bookmarkEnd w:id="432"/>
    <w:bookmarkEnd w:id="433"/>
    <w:bookmarkEnd w:id="434"/>
    <w:bookmarkEnd w:id="435"/>
    <w:bookmarkEnd w:id="436"/>
    <w:bookmarkEnd w:id="437"/>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438" w:name="_Toc19200"/>
      <w:bookmarkStart w:id="439" w:name="_Toc4839"/>
      <w:bookmarkStart w:id="440" w:name="_Toc16991"/>
      <w:bookmarkStart w:id="441" w:name="_Toc481499180"/>
      <w:bookmarkStart w:id="442" w:name="_Toc501386372"/>
      <w:bookmarkStart w:id="443" w:name="_Toc323129574"/>
      <w:bookmarkStart w:id="444" w:name="_Toc323130141"/>
      <w:bookmarkStart w:id="445" w:name="_Toc325620735"/>
      <w:bookmarkStart w:id="446" w:name="_Toc356490399"/>
      <w:bookmarkStart w:id="447" w:name="_Toc356491349"/>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十一</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政策功能体现</w:t>
      </w:r>
      <w:bookmarkEnd w:id="438"/>
      <w:bookmarkEnd w:id="439"/>
      <w:bookmarkEnd w:id="440"/>
    </w:p>
    <w:p>
      <w:pPr>
        <w:pageBreakBefore w:val="0"/>
        <w:kinsoku/>
        <w:overflowPunct/>
        <w:topLinePunct w:val="0"/>
        <w:bidi w:val="0"/>
        <w:snapToGrid/>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（一）中小企业声明函</w:t>
      </w:r>
    </w:p>
    <w:p>
      <w:pPr>
        <w:kinsoku w:val="0"/>
        <w:overflowPunct w:val="0"/>
        <w:autoSpaceDE w:val="0"/>
        <w:autoSpaceDN w:val="0"/>
        <w:adjustRightInd w:val="0"/>
        <w:spacing w:line="360" w:lineRule="auto"/>
        <w:ind w:left="120" w:right="116" w:firstLine="64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 企业发展管理办法》（财库﹝2020﹞46  号）的规定，本公司</w:t>
      </w:r>
    </w:p>
    <w:p>
      <w:pPr>
        <w:kinsoku w:val="0"/>
        <w:overflowPunct w:val="0"/>
        <w:autoSpaceDE w:val="0"/>
        <w:autoSpaceDN w:val="0"/>
        <w:adjustRightInd w:val="0"/>
        <w:spacing w:before="14" w:line="360" w:lineRule="auto"/>
        <w:ind w:left="120" w:right="2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（联合体）参加</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采购活动，服务 全部由符合政策要求的中小企业承接。相关企业（含联合 体中的中小企业、签订分包意向协议的中小企业）的具体情况如下：</w:t>
      </w:r>
    </w:p>
    <w:p>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 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人，营业 收入为</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小型企业、微型企业）</w:t>
      </w:r>
      <w:r>
        <w:rPr>
          <w:rFonts w:hint="eastAsia" w:ascii="仿宋" w:hAnsi="仿宋" w:eastAsia="仿宋" w:cs="仿宋"/>
          <w:color w:val="auto"/>
          <w:kern w:val="0"/>
          <w:sz w:val="24"/>
          <w:szCs w:val="24"/>
          <w:highlight w:val="none"/>
        </w:rPr>
        <w:t>；</w:t>
      </w:r>
    </w:p>
    <w:p>
      <w:pPr>
        <w:tabs>
          <w:tab w:val="left" w:pos="1706"/>
          <w:tab w:val="left" w:pos="4905"/>
          <w:tab w:val="left" w:pos="7193"/>
        </w:tabs>
        <w:kinsoku w:val="0"/>
        <w:overflowPunct w:val="0"/>
        <w:autoSpaceDE w:val="0"/>
        <w:autoSpaceDN w:val="0"/>
        <w:adjustRightInd w:val="0"/>
        <w:spacing w:before="21" w:line="360" w:lineRule="auto"/>
        <w:ind w:left="105" w:right="138" w:firstLine="65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 承建（承接）企业为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人，营业 收入为</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（中型企业、</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u w:val="single"/>
        </w:rPr>
        <w:t>小型企业、微型企业）</w:t>
      </w:r>
      <w:r>
        <w:rPr>
          <w:rFonts w:hint="eastAsia" w:ascii="仿宋" w:hAnsi="仿宋" w:eastAsia="仿宋" w:cs="仿宋"/>
          <w:color w:val="auto"/>
          <w:kern w:val="0"/>
          <w:sz w:val="24"/>
          <w:szCs w:val="24"/>
          <w:highlight w:val="none"/>
        </w:rPr>
        <w:t>；</w:t>
      </w:r>
    </w:p>
    <w:p>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以上企业，不属于大企业的分支机构，不存在控股股东为大企业的情形，也不存在与大企业的负责人为同一人的情形。</w:t>
      </w:r>
    </w:p>
    <w:p>
      <w:pPr>
        <w:pStyle w:val="163"/>
        <w:snapToGrid w:val="0"/>
        <w:spacing w:after="200" w:line="360" w:lineRule="auto"/>
        <w:ind w:firstLine="567"/>
        <w:rPr>
          <w:rStyle w:val="140"/>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 法承担相应责任。</w:t>
      </w:r>
    </w:p>
    <w:p>
      <w:pPr>
        <w:pStyle w:val="163"/>
        <w:snapToGrid w:val="0"/>
        <w:spacing w:after="200" w:line="360" w:lineRule="auto"/>
        <w:ind w:firstLine="567"/>
        <w:rPr>
          <w:rStyle w:val="140"/>
          <w:rFonts w:ascii="仿宋" w:hAnsi="仿宋" w:eastAsia="仿宋"/>
          <w:color w:val="auto"/>
          <w:kern w:val="0"/>
          <w:sz w:val="24"/>
          <w:szCs w:val="24"/>
          <w:highlight w:val="none"/>
        </w:rPr>
      </w:pPr>
      <w:r>
        <w:rPr>
          <w:rStyle w:val="140"/>
          <w:rFonts w:ascii="仿宋" w:hAnsi="仿宋" w:eastAsia="仿宋"/>
          <w:color w:val="auto"/>
          <w:kern w:val="0"/>
          <w:sz w:val="24"/>
          <w:szCs w:val="24"/>
          <w:highlight w:val="none"/>
        </w:rPr>
        <w:t xml:space="preserve">企业名称： </w:t>
      </w:r>
    </w:p>
    <w:p>
      <w:pPr>
        <w:pStyle w:val="163"/>
        <w:snapToGrid w:val="0"/>
        <w:spacing w:after="200" w:line="240" w:lineRule="atLeast"/>
        <w:ind w:firstLine="567"/>
        <w:rPr>
          <w:rStyle w:val="140"/>
          <w:rFonts w:ascii="仿宋" w:hAnsi="仿宋" w:eastAsia="仿宋"/>
          <w:color w:val="auto"/>
          <w:kern w:val="0"/>
          <w:sz w:val="24"/>
          <w:szCs w:val="24"/>
          <w:highlight w:val="none"/>
        </w:rPr>
      </w:pPr>
      <w:r>
        <w:rPr>
          <w:rStyle w:val="140"/>
          <w:rFonts w:ascii="仿宋" w:hAnsi="仿宋" w:eastAsia="仿宋"/>
          <w:color w:val="auto"/>
          <w:kern w:val="0"/>
          <w:sz w:val="24"/>
          <w:szCs w:val="24"/>
          <w:highlight w:val="none"/>
        </w:rPr>
        <w:t>日 期：</w:t>
      </w:r>
    </w:p>
    <w:p>
      <w:pPr>
        <w:pStyle w:val="163"/>
        <w:snapToGrid w:val="0"/>
        <w:spacing w:after="200" w:line="240" w:lineRule="atLeast"/>
        <w:ind w:firstLine="567"/>
        <w:rPr>
          <w:rStyle w:val="140"/>
          <w:rFonts w:ascii="仿宋" w:hAnsi="仿宋" w:eastAsia="仿宋"/>
          <w:color w:val="auto"/>
          <w:kern w:val="0"/>
          <w:sz w:val="24"/>
          <w:szCs w:val="24"/>
          <w:highlight w:val="none"/>
        </w:rPr>
      </w:pPr>
      <w:r>
        <w:rPr>
          <w:rStyle w:val="140"/>
          <w:rFonts w:ascii="仿宋" w:hAnsi="仿宋" w:eastAsia="仿宋"/>
          <w:color w:val="auto"/>
          <w:kern w:val="0"/>
          <w:sz w:val="24"/>
          <w:szCs w:val="24"/>
          <w:highlight w:val="none"/>
        </w:rPr>
        <w:t xml:space="preserve">                         </w:t>
      </w:r>
    </w:p>
    <w:p>
      <w:pPr>
        <w:pStyle w:val="138"/>
        <w:spacing w:after="200" w:line="360" w:lineRule="auto"/>
        <w:jc w:val="left"/>
        <w:rPr>
          <w:rFonts w:hint="eastAsia" w:ascii="仿宋" w:hAnsi="仿宋" w:eastAsia="仿宋" w:cs="仿宋"/>
          <w:color w:val="auto"/>
          <w:kern w:val="0"/>
          <w:sz w:val="24"/>
          <w:szCs w:val="24"/>
          <w:highlight w:val="none"/>
        </w:rPr>
      </w:pPr>
      <w:r>
        <w:rPr>
          <w:rStyle w:val="140"/>
          <w:rFonts w:ascii="仿宋" w:hAnsi="仿宋" w:eastAsia="仿宋"/>
          <w:color w:val="auto"/>
          <w:kern w:val="0"/>
          <w:sz w:val="24"/>
          <w:szCs w:val="24"/>
          <w:highlight w:val="none"/>
        </w:rPr>
        <w:t>　　1从业人员、营业收入、资产总额填报上一年度数据，无上一年度数据的新成立企业可不填报。</w:t>
      </w:r>
    </w:p>
    <w:p>
      <w:pPr>
        <w:pStyle w:val="138"/>
        <w:pageBreakBefore w:val="0"/>
        <w:kinsoku/>
        <w:overflowPunct/>
        <w:topLinePunct w:val="0"/>
        <w:bidi w:val="0"/>
        <w:snapToGrid/>
        <w:spacing w:after="200"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28"/>
          <w:szCs w:val="28"/>
          <w:highlight w:val="none"/>
        </w:rPr>
        <w:t>（二）  残疾人福利性单位声明函</w:t>
      </w:r>
    </w:p>
    <w:p>
      <w:pPr>
        <w:pStyle w:val="138"/>
        <w:pageBreakBefore w:val="0"/>
        <w:kinsoku/>
        <w:overflowPunct/>
        <w:topLinePunct w:val="0"/>
        <w:bidi w:val="0"/>
        <w:snapToGrid/>
        <w:spacing w:after="200" w:line="360" w:lineRule="auto"/>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8"/>
        <w:pageBreakBefore w:val="0"/>
        <w:kinsoku/>
        <w:overflowPunct/>
        <w:topLinePunct w:val="0"/>
        <w:bidi w:val="0"/>
        <w:snapToGrid/>
        <w:spacing w:after="200" w:line="360" w:lineRule="auto"/>
        <w:ind w:left="1260" w:leftChars="257" w:hanging="5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本单位对上述声明的真实性负责。如有虚假，将依法承担相应责任。</w:t>
      </w:r>
    </w:p>
    <w:p>
      <w:pPr>
        <w:pStyle w:val="138"/>
        <w:pageBreakBefore w:val="0"/>
        <w:kinsoku/>
        <w:overflowPunct/>
        <w:topLinePunct w:val="0"/>
        <w:bidi w:val="0"/>
        <w:snapToGrid/>
        <w:spacing w:after="200" w:line="360" w:lineRule="auto"/>
        <w:ind w:left="1260" w:leftChars="257" w:hanging="540"/>
        <w:rPr>
          <w:rFonts w:hint="eastAsia" w:ascii="仿宋" w:hAnsi="仿宋" w:eastAsia="仿宋" w:cs="仿宋"/>
          <w:color w:val="auto"/>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441"/>
    <w:bookmarkEnd w:id="442"/>
    <w:p>
      <w:pPr>
        <w:pStyle w:val="3"/>
        <w:pageBreakBefore w:val="0"/>
        <w:kinsoku/>
        <w:overflowPunct/>
        <w:topLinePunct w:val="0"/>
        <w:bidi w:val="0"/>
        <w:snapToGrid/>
        <w:spacing w:line="360" w:lineRule="auto"/>
        <w:ind w:right="480"/>
        <w:rPr>
          <w:rFonts w:hint="eastAsia" w:ascii="仿宋" w:hAnsi="仿宋" w:eastAsia="仿宋" w:cs="仿宋"/>
          <w:color w:val="auto"/>
          <w:sz w:val="28"/>
          <w:szCs w:val="28"/>
          <w:highlight w:val="none"/>
        </w:rPr>
      </w:pPr>
      <w:bookmarkStart w:id="448" w:name="_Toc28370"/>
      <w:bookmarkStart w:id="449" w:name="_Toc15273"/>
      <w:bookmarkStart w:id="450" w:name="_Toc1917"/>
      <w:r>
        <w:rPr>
          <w:rFonts w:hint="eastAsia" w:ascii="仿宋" w:hAnsi="仿宋" w:eastAsia="仿宋" w:cs="仿宋"/>
          <w:color w:val="auto"/>
          <w:sz w:val="28"/>
          <w:szCs w:val="28"/>
          <w:highlight w:val="none"/>
        </w:rPr>
        <w:t>附件</w:t>
      </w:r>
      <w:bookmarkEnd w:id="443"/>
      <w:bookmarkEnd w:id="444"/>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：封面格</w:t>
      </w:r>
      <w:bookmarkEnd w:id="445"/>
      <w:r>
        <w:rPr>
          <w:rFonts w:hint="eastAsia" w:ascii="仿宋" w:hAnsi="仿宋" w:eastAsia="仿宋" w:cs="仿宋"/>
          <w:color w:val="auto"/>
          <w:sz w:val="28"/>
          <w:szCs w:val="28"/>
          <w:highlight w:val="none"/>
        </w:rPr>
        <w:t>式</w:t>
      </w:r>
      <w:bookmarkEnd w:id="446"/>
      <w:bookmarkEnd w:id="447"/>
      <w:bookmarkEnd w:id="448"/>
      <w:bookmarkEnd w:id="449"/>
      <w:bookmarkEnd w:id="450"/>
    </w:p>
    <w:tbl>
      <w:tblPr>
        <w:tblStyle w:val="38"/>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（正本）</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4626" w:type="dxa"/>
          </w:tcPr>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（副本）</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color w:val="auto"/>
          <w:sz w:val="28"/>
          <w:szCs w:val="28"/>
          <w:highlight w:val="none"/>
        </w:rPr>
      </w:pPr>
    </w:p>
    <w:tbl>
      <w:tblPr>
        <w:tblStyle w:val="38"/>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报价一览表              </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c>
          <w:tcPr>
            <w:tcW w:w="4721" w:type="dxa"/>
            <w:tcBorders>
              <w:bottom w:val="single" w:color="auto" w:sz="4" w:space="0"/>
            </w:tcBorders>
          </w:tcPr>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电子版投标文件（Word及PDF两种格式）              </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p>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color w:val="auto"/>
          <w:sz w:val="28"/>
          <w:szCs w:val="28"/>
          <w:highlight w:val="none"/>
        </w:rPr>
      </w:pPr>
    </w:p>
    <w:tbl>
      <w:tblPr>
        <w:tblStyle w:val="38"/>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7"/>
              <w:pageBreakBefore w:val="0"/>
              <w:kinsoku/>
              <w:overflowPunct/>
              <w:topLinePunct w:val="0"/>
              <w:bidi w:val="0"/>
              <w:snapToGrid/>
              <w:spacing w:line="360" w:lineRule="auto"/>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……………………于   年  月  日   时之前不准启封（公章）…………………</w:t>
            </w:r>
          </w:p>
        </w:tc>
      </w:tr>
    </w:tbl>
    <w:p>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投标文件封面格式</w:t>
      </w:r>
    </w:p>
    <w:sectPr>
      <w:headerReference r:id="rId3" w:type="default"/>
      <w:footerReference r:id="rId4" w:type="default"/>
      <w:pgSz w:w="11907" w:h="16840"/>
      <w:pgMar w:top="1247" w:right="1621" w:bottom="1417" w:left="1417" w:header="851" w:footer="992"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0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5"/>
                            <w:ind w:right="360"/>
                            <w:jc w:val="both"/>
                          </w:pPr>
                          <w:r>
                            <w:fldChar w:fldCharType="begin"/>
                          </w:r>
                          <w:r>
                            <w:rPr>
                              <w:rStyle w:val="42"/>
                            </w:rPr>
                            <w:instrText xml:space="preserve"> PAGE </w:instrText>
                          </w:r>
                          <w:r>
                            <w:fldChar w:fldCharType="separate"/>
                          </w:r>
                          <w:r>
                            <w:rPr>
                              <w:rStyle w:val="42"/>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5"/>
                      <w:ind w:right="360"/>
                      <w:jc w:val="both"/>
                    </w:pPr>
                    <w:r>
                      <w:fldChar w:fldCharType="begin"/>
                    </w:r>
                    <w:r>
                      <w:rPr>
                        <w:rStyle w:val="42"/>
                      </w:rPr>
                      <w:instrText xml:space="preserve"> PAGE </w:instrText>
                    </w:r>
                    <w:r>
                      <w:fldChar w:fldCharType="separate"/>
                    </w:r>
                    <w:r>
                      <w:rPr>
                        <w:rStyle w:val="42"/>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2"/>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04"/>
    <w:multiLevelType w:val="multilevel"/>
    <w:tmpl w:val="00000004"/>
    <w:lvl w:ilvl="0" w:tentative="0">
      <w:start w:val="1"/>
      <w:numFmt w:val="decimal"/>
      <w:lvlText w:val="%1)"/>
      <w:lvlJc w:val="left"/>
      <w:pPr>
        <w:tabs>
          <w:tab w:val="left" w:pos="0"/>
        </w:tabs>
        <w:ind w:left="425" w:hanging="425"/>
      </w:pPr>
      <w:rPr>
        <w:rFonts w:hint="default"/>
      </w:rPr>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4">
    <w:nsid w:val="00000005"/>
    <w:multiLevelType w:val="multilevel"/>
    <w:tmpl w:val="00000005"/>
    <w:lvl w:ilvl="0" w:tentative="0">
      <w:start w:val="1"/>
      <w:numFmt w:val="decimal"/>
      <w:lvlText w:val="%1)"/>
      <w:lvlJc w:val="left"/>
      <w:pPr>
        <w:tabs>
          <w:tab w:val="left" w:pos="0"/>
        </w:tabs>
        <w:ind w:left="425" w:hanging="425"/>
      </w:pPr>
      <w:rPr>
        <w:rFonts w:hint="default"/>
      </w:rPr>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5">
    <w:nsid w:val="00000006"/>
    <w:multiLevelType w:val="multilevel"/>
    <w:tmpl w:val="00000006"/>
    <w:lvl w:ilvl="0" w:tentative="0">
      <w:start w:val="2"/>
      <w:numFmt w:val="decimal"/>
      <w:suff w:val="nothing"/>
      <w:lvlText w:val="%1）"/>
      <w:lvlJc w:val="left"/>
      <w:pPr>
        <w:tabs>
          <w:tab w:val="left" w:pos="0"/>
        </w:tabs>
        <w:ind w:left="0" w:firstLine="0"/>
      </w:pPr>
    </w:lvl>
    <w:lvl w:ilvl="1" w:tentative="0">
      <w:start w:val="1"/>
      <w:numFmt w:val="lowerLetter"/>
      <w:lvlText w:val="%2."/>
      <w:lvlJc w:val="left"/>
      <w:pPr>
        <w:tabs>
          <w:tab w:val="left" w:pos="0"/>
        </w:tabs>
        <w:ind w:left="840" w:hanging="420"/>
      </w:pPr>
      <w:rPr>
        <w:rFonts w:hint="default"/>
      </w:rPr>
    </w:lvl>
    <w:lvl w:ilvl="2" w:tentative="0">
      <w:start w:val="1"/>
      <w:numFmt w:val="lowerLetter"/>
      <w:lvlText w:val="%3)"/>
      <w:lvlJc w:val="left"/>
      <w:pPr>
        <w:tabs>
          <w:tab w:val="left" w:pos="0"/>
        </w:tabs>
        <w:ind w:left="1260" w:hanging="420"/>
      </w:pPr>
      <w:rPr>
        <w:rFonts w:hint="default"/>
      </w:rPr>
    </w:lvl>
    <w:lvl w:ilvl="3" w:tentative="0">
      <w:start w:val="1"/>
      <w:numFmt w:val="lowerRoman"/>
      <w:lvlText w:val="%4."/>
      <w:lvlJc w:val="left"/>
      <w:pPr>
        <w:tabs>
          <w:tab w:val="left" w:pos="0"/>
        </w:tabs>
        <w:ind w:left="1680" w:hanging="420"/>
      </w:pPr>
      <w:rPr>
        <w:rFonts w:hint="default"/>
      </w:rPr>
    </w:lvl>
    <w:lvl w:ilvl="4" w:tentative="0">
      <w:start w:val="1"/>
      <w:numFmt w:val="lowerRoman"/>
      <w:lvlText w:val="%5)"/>
      <w:lvlJc w:val="left"/>
      <w:pPr>
        <w:tabs>
          <w:tab w:val="left" w:pos="0"/>
        </w:tabs>
        <w:ind w:left="2100" w:hanging="420"/>
      </w:pPr>
      <w:rPr>
        <w:rFonts w:hint="default"/>
      </w:rPr>
    </w:lvl>
    <w:lvl w:ilvl="5" w:tentative="0">
      <w:start w:val="1"/>
      <w:numFmt w:val="lowerLetter"/>
      <w:lvlText w:val="%6."/>
      <w:lvlJc w:val="left"/>
      <w:pPr>
        <w:tabs>
          <w:tab w:val="left" w:pos="0"/>
        </w:tabs>
        <w:ind w:left="2520" w:hanging="420"/>
      </w:pPr>
      <w:rPr>
        <w:rFonts w:hint="default"/>
      </w:rPr>
    </w:lvl>
    <w:lvl w:ilvl="6" w:tentative="0">
      <w:start w:val="1"/>
      <w:numFmt w:val="lowerLetter"/>
      <w:lvlText w:val="%7)"/>
      <w:lvlJc w:val="left"/>
      <w:pPr>
        <w:tabs>
          <w:tab w:val="left" w:pos="0"/>
        </w:tabs>
        <w:ind w:left="2940" w:hanging="420"/>
      </w:pPr>
      <w:rPr>
        <w:rFonts w:hint="default"/>
      </w:rPr>
    </w:lvl>
    <w:lvl w:ilvl="7" w:tentative="0">
      <w:start w:val="1"/>
      <w:numFmt w:val="lowerRoman"/>
      <w:lvlText w:val="%8."/>
      <w:lvlJc w:val="left"/>
      <w:pPr>
        <w:tabs>
          <w:tab w:val="left" w:pos="0"/>
        </w:tabs>
        <w:ind w:left="3360" w:hanging="420"/>
      </w:pPr>
      <w:rPr>
        <w:rFonts w:hint="default"/>
      </w:rPr>
    </w:lvl>
    <w:lvl w:ilvl="8" w:tentative="0">
      <w:start w:val="1"/>
      <w:numFmt w:val="lowerRoman"/>
      <w:lvlText w:val="%9)"/>
      <w:lvlJc w:val="left"/>
      <w:pPr>
        <w:tabs>
          <w:tab w:val="left" w:pos="0"/>
        </w:tabs>
        <w:ind w:left="3780" w:hanging="420"/>
      </w:pPr>
      <w:rPr>
        <w:rFonts w:hint="default"/>
      </w:rPr>
    </w:lvl>
  </w:abstractNum>
  <w:abstractNum w:abstractNumId="6">
    <w:nsid w:val="00000007"/>
    <w:multiLevelType w:val="singleLevel"/>
    <w:tmpl w:val="00000007"/>
    <w:lvl w:ilvl="0" w:tentative="0">
      <w:start w:val="1"/>
      <w:numFmt w:val="decimal"/>
      <w:lvlText w:val="%1)"/>
      <w:lvlJc w:val="left"/>
      <w:pPr>
        <w:tabs>
          <w:tab w:val="left" w:pos="0"/>
        </w:tabs>
        <w:ind w:left="425" w:hanging="425"/>
      </w:pPr>
      <w:rPr>
        <w:rFonts w:hint="default"/>
      </w:rPr>
    </w:lvl>
  </w:abstractNum>
  <w:abstractNum w:abstractNumId="7">
    <w:nsid w:val="00000009"/>
    <w:multiLevelType w:val="singleLevel"/>
    <w:tmpl w:val="00000009"/>
    <w:lvl w:ilvl="0" w:tentative="0">
      <w:start w:val="1"/>
      <w:numFmt w:val="decimal"/>
      <w:lvlText w:val="%1)"/>
      <w:lvlJc w:val="left"/>
      <w:pPr>
        <w:tabs>
          <w:tab w:val="left" w:pos="0"/>
        </w:tabs>
        <w:ind w:left="425" w:hanging="425"/>
      </w:pPr>
      <w:rPr>
        <w:rFonts w:hint="default"/>
      </w:rPr>
    </w:lvl>
  </w:abstractNum>
  <w:abstractNum w:abstractNumId="8">
    <w:nsid w:val="0000000B"/>
    <w:multiLevelType w:val="singleLevel"/>
    <w:tmpl w:val="0000000B"/>
    <w:lvl w:ilvl="0" w:tentative="0">
      <w:start w:val="1"/>
      <w:numFmt w:val="decimal"/>
      <w:lvlText w:val="%1)"/>
      <w:lvlJc w:val="left"/>
      <w:pPr>
        <w:tabs>
          <w:tab w:val="left" w:pos="0"/>
        </w:tabs>
        <w:ind w:left="845" w:hanging="425"/>
      </w:pPr>
      <w:rPr>
        <w:rFonts w:hint="default"/>
      </w:rPr>
    </w:lvl>
  </w:abstractNum>
  <w:abstractNum w:abstractNumId="9">
    <w:nsid w:val="0000001A"/>
    <w:multiLevelType w:val="multilevel"/>
    <w:tmpl w:val="0000001A"/>
    <w:lvl w:ilvl="0" w:tentative="0">
      <w:start w:val="1"/>
      <w:numFmt w:val="lowerLetter"/>
      <w:lvlText w:val="%1."/>
      <w:lvlJc w:val="left"/>
      <w:pPr>
        <w:tabs>
          <w:tab w:val="left" w:pos="0"/>
        </w:tabs>
        <w:ind w:left="360" w:hanging="360"/>
      </w:pPr>
      <w:rPr>
        <w:rFonts w:hint="default" w:cs="Times New Roman"/>
      </w:rPr>
    </w:lvl>
    <w:lvl w:ilvl="1" w:tentative="0">
      <w:start w:val="1"/>
      <w:numFmt w:val="lowerLetter"/>
      <w:lvlText w:val="%2)"/>
      <w:lvlJc w:val="left"/>
      <w:pPr>
        <w:tabs>
          <w:tab w:val="left" w:pos="0"/>
        </w:tabs>
        <w:ind w:left="960" w:hanging="480"/>
      </w:pPr>
      <w:rPr>
        <w:rFonts w:cs="Times New Roman"/>
      </w:rPr>
    </w:lvl>
    <w:lvl w:ilvl="2" w:tentative="0">
      <w:start w:val="1"/>
      <w:numFmt w:val="lowerRoman"/>
      <w:lvlText w:val="%3."/>
      <w:lvlJc w:val="right"/>
      <w:pPr>
        <w:tabs>
          <w:tab w:val="left" w:pos="0"/>
        </w:tabs>
        <w:ind w:left="1440" w:hanging="480"/>
      </w:pPr>
      <w:rPr>
        <w:rFonts w:cs="Times New Roman"/>
      </w:rPr>
    </w:lvl>
    <w:lvl w:ilvl="3" w:tentative="0">
      <w:start w:val="1"/>
      <w:numFmt w:val="decimal"/>
      <w:lvlText w:val="%4."/>
      <w:lvlJc w:val="left"/>
      <w:pPr>
        <w:tabs>
          <w:tab w:val="left" w:pos="0"/>
        </w:tabs>
        <w:ind w:left="1920" w:hanging="480"/>
      </w:pPr>
      <w:rPr>
        <w:rFonts w:cs="Times New Roman"/>
      </w:rPr>
    </w:lvl>
    <w:lvl w:ilvl="4" w:tentative="0">
      <w:start w:val="1"/>
      <w:numFmt w:val="lowerLetter"/>
      <w:lvlText w:val="%5)"/>
      <w:lvlJc w:val="left"/>
      <w:pPr>
        <w:tabs>
          <w:tab w:val="left" w:pos="0"/>
        </w:tabs>
        <w:ind w:left="2400" w:hanging="480"/>
      </w:pPr>
      <w:rPr>
        <w:rFonts w:cs="Times New Roman"/>
      </w:rPr>
    </w:lvl>
    <w:lvl w:ilvl="5" w:tentative="0">
      <w:start w:val="1"/>
      <w:numFmt w:val="lowerRoman"/>
      <w:lvlText w:val="%6."/>
      <w:lvlJc w:val="right"/>
      <w:pPr>
        <w:tabs>
          <w:tab w:val="left" w:pos="0"/>
        </w:tabs>
        <w:ind w:left="2880" w:hanging="480"/>
      </w:pPr>
      <w:rPr>
        <w:rFonts w:cs="Times New Roman"/>
      </w:rPr>
    </w:lvl>
    <w:lvl w:ilvl="6" w:tentative="0">
      <w:start w:val="1"/>
      <w:numFmt w:val="decimal"/>
      <w:lvlText w:val="%7."/>
      <w:lvlJc w:val="left"/>
      <w:pPr>
        <w:tabs>
          <w:tab w:val="left" w:pos="0"/>
        </w:tabs>
        <w:ind w:left="3360" w:hanging="480"/>
      </w:pPr>
      <w:rPr>
        <w:rFonts w:cs="Times New Roman"/>
      </w:rPr>
    </w:lvl>
    <w:lvl w:ilvl="7" w:tentative="0">
      <w:start w:val="1"/>
      <w:numFmt w:val="lowerLetter"/>
      <w:lvlText w:val="%8)"/>
      <w:lvlJc w:val="left"/>
      <w:pPr>
        <w:tabs>
          <w:tab w:val="left" w:pos="0"/>
        </w:tabs>
        <w:ind w:left="3840" w:hanging="480"/>
      </w:pPr>
      <w:rPr>
        <w:rFonts w:cs="Times New Roman"/>
      </w:rPr>
    </w:lvl>
    <w:lvl w:ilvl="8" w:tentative="0">
      <w:start w:val="1"/>
      <w:numFmt w:val="lowerRoman"/>
      <w:lvlText w:val="%9."/>
      <w:lvlJc w:val="right"/>
      <w:pPr>
        <w:tabs>
          <w:tab w:val="left" w:pos="0"/>
        </w:tabs>
        <w:ind w:left="4320" w:hanging="480"/>
      </w:pPr>
      <w:rPr>
        <w:rFonts w:cs="Times New Roman"/>
      </w:rPr>
    </w:lvl>
  </w:abstractNum>
  <w:abstractNum w:abstractNumId="10">
    <w:nsid w:val="0000001D"/>
    <w:multiLevelType w:val="singleLevel"/>
    <w:tmpl w:val="0000001D"/>
    <w:lvl w:ilvl="0" w:tentative="0">
      <w:start w:val="8"/>
      <w:numFmt w:val="decimal"/>
      <w:suff w:val="nothing"/>
      <w:lvlText w:val="%1、"/>
      <w:lvlJc w:val="left"/>
      <w:pPr>
        <w:tabs>
          <w:tab w:val="left" w:pos="0"/>
        </w:tabs>
        <w:ind w:left="0" w:firstLine="0"/>
      </w:pPr>
    </w:lvl>
  </w:abstractNum>
  <w:abstractNum w:abstractNumId="11">
    <w:nsid w:val="00000024"/>
    <w:multiLevelType w:val="singleLevel"/>
    <w:tmpl w:val="00000024"/>
    <w:lvl w:ilvl="0" w:tentative="0">
      <w:start w:val="1"/>
      <w:numFmt w:val="decimal"/>
      <w:lvlText w:val="%1)"/>
      <w:lvlJc w:val="left"/>
      <w:pPr>
        <w:tabs>
          <w:tab w:val="left" w:pos="0"/>
        </w:tabs>
        <w:ind w:left="420" w:firstLine="0"/>
      </w:pPr>
    </w:lvl>
  </w:abstractNum>
  <w:abstractNum w:abstractNumId="12">
    <w:nsid w:val="00000027"/>
    <w:multiLevelType w:val="singleLevel"/>
    <w:tmpl w:val="00000027"/>
    <w:lvl w:ilvl="0" w:tentative="0">
      <w:start w:val="1"/>
      <w:numFmt w:val="decimal"/>
      <w:lvlText w:val="%1)"/>
      <w:lvlJc w:val="left"/>
      <w:pPr>
        <w:tabs>
          <w:tab w:val="left" w:pos="0"/>
        </w:tabs>
        <w:ind w:left="845" w:hanging="425"/>
      </w:pPr>
      <w:rPr>
        <w:rFonts w:hint="default"/>
      </w:rPr>
    </w:lvl>
  </w:abstractNum>
  <w:abstractNum w:abstractNumId="13">
    <w:nsid w:val="00000029"/>
    <w:multiLevelType w:val="singleLevel"/>
    <w:tmpl w:val="00000029"/>
    <w:lvl w:ilvl="0" w:tentative="0">
      <w:start w:val="1"/>
      <w:numFmt w:val="decimal"/>
      <w:lvlText w:val="(%1)"/>
      <w:lvlJc w:val="left"/>
      <w:pPr>
        <w:tabs>
          <w:tab w:val="left" w:pos="0"/>
        </w:tabs>
        <w:ind w:left="425" w:hanging="425"/>
      </w:pPr>
      <w:rPr>
        <w:rFonts w:hint="default"/>
      </w:rPr>
    </w:lvl>
  </w:abstractNum>
  <w:abstractNum w:abstractNumId="14">
    <w:nsid w:val="0000002B"/>
    <w:multiLevelType w:val="singleLevel"/>
    <w:tmpl w:val="0000002B"/>
    <w:lvl w:ilvl="0" w:tentative="0">
      <w:start w:val="1"/>
      <w:numFmt w:val="decimal"/>
      <w:lvlText w:val="%1)"/>
      <w:lvlJc w:val="left"/>
      <w:pPr>
        <w:tabs>
          <w:tab w:val="left" w:pos="0"/>
        </w:tabs>
        <w:ind w:left="425" w:hanging="425"/>
      </w:pPr>
      <w:rPr>
        <w:rFonts w:hint="default"/>
      </w:rPr>
    </w:lvl>
  </w:abstractNum>
  <w:abstractNum w:abstractNumId="15">
    <w:nsid w:val="0000002F"/>
    <w:multiLevelType w:val="multilevel"/>
    <w:tmpl w:val="0000002F"/>
    <w:lvl w:ilvl="0" w:tentative="0">
      <w:start w:val="1"/>
      <w:numFmt w:val="chineseCountingThousand"/>
      <w:pStyle w:val="159"/>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abstractNum w:abstractNumId="16">
    <w:nsid w:val="00000031"/>
    <w:multiLevelType w:val="singleLevel"/>
    <w:tmpl w:val="00000031"/>
    <w:lvl w:ilvl="0" w:tentative="0">
      <w:start w:val="1"/>
      <w:numFmt w:val="decimal"/>
      <w:lvlText w:val="%1)"/>
      <w:lvlJc w:val="left"/>
      <w:pPr>
        <w:tabs>
          <w:tab w:val="left" w:pos="0"/>
        </w:tabs>
        <w:ind w:left="425" w:hanging="425"/>
      </w:pPr>
      <w:rPr>
        <w:rFonts w:hint="default"/>
      </w:rPr>
    </w:lvl>
  </w:abstractNum>
  <w:abstractNum w:abstractNumId="17">
    <w:nsid w:val="00000032"/>
    <w:multiLevelType w:val="singleLevel"/>
    <w:tmpl w:val="00000032"/>
    <w:lvl w:ilvl="0" w:tentative="0">
      <w:start w:val="1"/>
      <w:numFmt w:val="decimal"/>
      <w:lvlText w:val="%1)"/>
      <w:lvlJc w:val="left"/>
      <w:pPr>
        <w:tabs>
          <w:tab w:val="left" w:pos="0"/>
        </w:tabs>
        <w:ind w:left="425" w:hanging="425"/>
      </w:pPr>
      <w:rPr>
        <w:rFonts w:hint="default"/>
      </w:rPr>
    </w:lvl>
  </w:abstractNum>
  <w:abstractNum w:abstractNumId="18">
    <w:nsid w:val="0000003E"/>
    <w:multiLevelType w:val="singleLevel"/>
    <w:tmpl w:val="0000003E"/>
    <w:lvl w:ilvl="0" w:tentative="0">
      <w:start w:val="1"/>
      <w:numFmt w:val="decimal"/>
      <w:lvlText w:val="%1)"/>
      <w:lvlJc w:val="left"/>
      <w:pPr>
        <w:tabs>
          <w:tab w:val="left" w:pos="0"/>
        </w:tabs>
        <w:ind w:left="425" w:hanging="425"/>
      </w:pPr>
      <w:rPr>
        <w:rFonts w:hint="default"/>
      </w:rPr>
    </w:lvl>
  </w:abstractNum>
  <w:abstractNum w:abstractNumId="19">
    <w:nsid w:val="00000040"/>
    <w:multiLevelType w:val="singleLevel"/>
    <w:tmpl w:val="00000040"/>
    <w:lvl w:ilvl="0" w:tentative="0">
      <w:start w:val="1"/>
      <w:numFmt w:val="decimal"/>
      <w:lvlText w:val="%1)"/>
      <w:lvlJc w:val="left"/>
      <w:pPr>
        <w:tabs>
          <w:tab w:val="left" w:pos="0"/>
        </w:tabs>
        <w:ind w:left="420" w:firstLine="0"/>
      </w:pPr>
    </w:lvl>
  </w:abstractNum>
  <w:abstractNum w:abstractNumId="20">
    <w:nsid w:val="00000048"/>
    <w:multiLevelType w:val="singleLevel"/>
    <w:tmpl w:val="00000048"/>
    <w:lvl w:ilvl="0" w:tentative="0">
      <w:start w:val="1"/>
      <w:numFmt w:val="decimal"/>
      <w:lvlText w:val="%1)"/>
      <w:lvlJc w:val="left"/>
      <w:pPr>
        <w:tabs>
          <w:tab w:val="left" w:pos="0"/>
        </w:tabs>
        <w:ind w:left="845" w:hanging="425"/>
      </w:pPr>
      <w:rPr>
        <w:rFonts w:hint="default"/>
      </w:rPr>
    </w:lvl>
  </w:abstractNum>
  <w:abstractNum w:abstractNumId="21">
    <w:nsid w:val="0000004C"/>
    <w:multiLevelType w:val="singleLevel"/>
    <w:tmpl w:val="0000004C"/>
    <w:lvl w:ilvl="0" w:tentative="0">
      <w:start w:val="1"/>
      <w:numFmt w:val="decimal"/>
      <w:lvlText w:val="%1)"/>
      <w:lvlJc w:val="left"/>
      <w:pPr>
        <w:tabs>
          <w:tab w:val="left" w:pos="0"/>
        </w:tabs>
        <w:ind w:left="420" w:firstLine="0"/>
      </w:pPr>
    </w:lvl>
  </w:abstractNum>
  <w:abstractNum w:abstractNumId="22">
    <w:nsid w:val="56DAEAFB"/>
    <w:multiLevelType w:val="singleLevel"/>
    <w:tmpl w:val="56DAEAFB"/>
    <w:lvl w:ilvl="0" w:tentative="0">
      <w:start w:val="4"/>
      <w:numFmt w:val="chineseCounting"/>
      <w:suff w:val="nothing"/>
      <w:lvlText w:val="%1、"/>
      <w:lvlJc w:val="left"/>
      <w:rPr>
        <w:rFonts w:hint="eastAsia"/>
      </w:rPr>
    </w:lvl>
  </w:abstractNum>
  <w:abstractNum w:abstractNumId="23">
    <w:nsid w:val="654898CF"/>
    <w:multiLevelType w:val="singleLevel"/>
    <w:tmpl w:val="654898CF"/>
    <w:lvl w:ilvl="0" w:tentative="0">
      <w:start w:val="1"/>
      <w:numFmt w:val="decimal"/>
      <w:suff w:val="space"/>
      <w:lvlText w:val="%1."/>
      <w:lvlJc w:val="left"/>
    </w:lvl>
  </w:abstractNum>
  <w:abstractNum w:abstractNumId="24">
    <w:nsid w:val="654898ED"/>
    <w:multiLevelType w:val="singleLevel"/>
    <w:tmpl w:val="654898ED"/>
    <w:lvl w:ilvl="0" w:tentative="0">
      <w:start w:val="1"/>
      <w:numFmt w:val="decimal"/>
      <w:suff w:val="space"/>
      <w:lvlText w:val="%1."/>
      <w:lvlJc w:val="left"/>
    </w:lvl>
  </w:abstractNum>
  <w:abstractNum w:abstractNumId="25">
    <w:nsid w:val="65489910"/>
    <w:multiLevelType w:val="singleLevel"/>
    <w:tmpl w:val="65489910"/>
    <w:lvl w:ilvl="0" w:tentative="0">
      <w:start w:val="1"/>
      <w:numFmt w:val="decimal"/>
      <w:suff w:val="nothing"/>
      <w:lvlText w:val="%1、"/>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num>
  <w:num w:numId="5">
    <w:abstractNumId w:val="22"/>
  </w:num>
  <w:num w:numId="6">
    <w:abstractNumId w:val="10"/>
  </w:num>
  <w:num w:numId="7">
    <w:abstractNumId w:val="13"/>
  </w:num>
  <w:num w:numId="8">
    <w:abstractNumId w:val="3"/>
  </w:num>
  <w:num w:numId="9">
    <w:abstractNumId w:val="6"/>
  </w:num>
  <w:num w:numId="10">
    <w:abstractNumId w:val="7"/>
  </w:num>
  <w:num w:numId="11">
    <w:abstractNumId w:val="18"/>
  </w:num>
  <w:num w:numId="12">
    <w:abstractNumId w:val="4"/>
  </w:num>
  <w:num w:numId="13">
    <w:abstractNumId w:val="17"/>
  </w:num>
  <w:num w:numId="14">
    <w:abstractNumId w:val="14"/>
  </w:num>
  <w:num w:numId="15">
    <w:abstractNumId w:val="11"/>
  </w:num>
  <w:num w:numId="16">
    <w:abstractNumId w:val="20"/>
  </w:num>
  <w:num w:numId="17">
    <w:abstractNumId w:val="12"/>
  </w:num>
  <w:num w:numId="18">
    <w:abstractNumId w:val="8"/>
  </w:num>
  <w:num w:numId="19">
    <w:abstractNumId w:val="16"/>
  </w:num>
  <w:num w:numId="20">
    <w:abstractNumId w:val="5"/>
  </w:num>
  <w:num w:numId="21">
    <w:abstractNumId w:val="19"/>
  </w:num>
  <w:num w:numId="22">
    <w:abstractNumId w:val="21"/>
  </w:num>
  <w:num w:numId="23">
    <w:abstractNumId w:val="9"/>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NGM5MzFhN2EzYmMzMjA5NTMyZTJhYTYyNzdiZTMifQ=="/>
  </w:docVars>
  <w:rsids>
    <w:rsidRoot w:val="00000000"/>
    <w:rsid w:val="004E43BF"/>
    <w:rsid w:val="00522421"/>
    <w:rsid w:val="01141165"/>
    <w:rsid w:val="01545A05"/>
    <w:rsid w:val="032B09E8"/>
    <w:rsid w:val="03433F84"/>
    <w:rsid w:val="037405E1"/>
    <w:rsid w:val="03AD58A1"/>
    <w:rsid w:val="03D60954"/>
    <w:rsid w:val="04455AD9"/>
    <w:rsid w:val="04614DE0"/>
    <w:rsid w:val="047D5273"/>
    <w:rsid w:val="04AE18D1"/>
    <w:rsid w:val="04CC1D57"/>
    <w:rsid w:val="04FF6ADD"/>
    <w:rsid w:val="05121E5F"/>
    <w:rsid w:val="058A5E9A"/>
    <w:rsid w:val="05C649F8"/>
    <w:rsid w:val="05C80770"/>
    <w:rsid w:val="06222576"/>
    <w:rsid w:val="06293905"/>
    <w:rsid w:val="06471FDD"/>
    <w:rsid w:val="06E40469"/>
    <w:rsid w:val="06E635A4"/>
    <w:rsid w:val="06F0785F"/>
    <w:rsid w:val="07767B70"/>
    <w:rsid w:val="077F1302"/>
    <w:rsid w:val="07937D50"/>
    <w:rsid w:val="080819D3"/>
    <w:rsid w:val="09047D11"/>
    <w:rsid w:val="09287EA3"/>
    <w:rsid w:val="09DF42DA"/>
    <w:rsid w:val="09E33DCA"/>
    <w:rsid w:val="09F242F0"/>
    <w:rsid w:val="0A00497C"/>
    <w:rsid w:val="0A32430B"/>
    <w:rsid w:val="0A3A7CDF"/>
    <w:rsid w:val="0B36617C"/>
    <w:rsid w:val="0B9E444D"/>
    <w:rsid w:val="0C0F534B"/>
    <w:rsid w:val="0C4072B2"/>
    <w:rsid w:val="0CE57E5A"/>
    <w:rsid w:val="0CEE6D0E"/>
    <w:rsid w:val="0DDA3736"/>
    <w:rsid w:val="0E1409F6"/>
    <w:rsid w:val="0E3D6CF8"/>
    <w:rsid w:val="0E56100F"/>
    <w:rsid w:val="0ECE329B"/>
    <w:rsid w:val="0EEF4773"/>
    <w:rsid w:val="0F0767AD"/>
    <w:rsid w:val="0F0D2DD4"/>
    <w:rsid w:val="0F254531"/>
    <w:rsid w:val="0F6C6610"/>
    <w:rsid w:val="10156CA8"/>
    <w:rsid w:val="102D2243"/>
    <w:rsid w:val="10484987"/>
    <w:rsid w:val="10523A58"/>
    <w:rsid w:val="105477D0"/>
    <w:rsid w:val="11531836"/>
    <w:rsid w:val="116B3023"/>
    <w:rsid w:val="11A01078"/>
    <w:rsid w:val="11EE5A02"/>
    <w:rsid w:val="1235718D"/>
    <w:rsid w:val="12ED7A68"/>
    <w:rsid w:val="13347445"/>
    <w:rsid w:val="138E4DA7"/>
    <w:rsid w:val="13F13588"/>
    <w:rsid w:val="14CB5DD0"/>
    <w:rsid w:val="15013259"/>
    <w:rsid w:val="15D078F9"/>
    <w:rsid w:val="16184DFC"/>
    <w:rsid w:val="169B1CEE"/>
    <w:rsid w:val="16EE31A4"/>
    <w:rsid w:val="17C3523B"/>
    <w:rsid w:val="17CF1E32"/>
    <w:rsid w:val="17D000F7"/>
    <w:rsid w:val="17E31439"/>
    <w:rsid w:val="182E0907"/>
    <w:rsid w:val="18756535"/>
    <w:rsid w:val="18A1732B"/>
    <w:rsid w:val="18D771F0"/>
    <w:rsid w:val="194F19EB"/>
    <w:rsid w:val="19616ABA"/>
    <w:rsid w:val="19BC2027"/>
    <w:rsid w:val="1A947C72"/>
    <w:rsid w:val="1C1222ED"/>
    <w:rsid w:val="1C9C612A"/>
    <w:rsid w:val="1CEC5B53"/>
    <w:rsid w:val="1DEA52D0"/>
    <w:rsid w:val="1E0C793C"/>
    <w:rsid w:val="1E601A36"/>
    <w:rsid w:val="1E6D7CAF"/>
    <w:rsid w:val="1EC41FC5"/>
    <w:rsid w:val="1F731930"/>
    <w:rsid w:val="1F7F7C9A"/>
    <w:rsid w:val="20016901"/>
    <w:rsid w:val="201E3957"/>
    <w:rsid w:val="20E93F65"/>
    <w:rsid w:val="21794D39"/>
    <w:rsid w:val="218B501C"/>
    <w:rsid w:val="22407BB4"/>
    <w:rsid w:val="22CA3922"/>
    <w:rsid w:val="23425BAE"/>
    <w:rsid w:val="24305A06"/>
    <w:rsid w:val="24B54C57"/>
    <w:rsid w:val="24D740D4"/>
    <w:rsid w:val="251175E6"/>
    <w:rsid w:val="2601337B"/>
    <w:rsid w:val="26213859"/>
    <w:rsid w:val="268F756E"/>
    <w:rsid w:val="26A56238"/>
    <w:rsid w:val="273D0B66"/>
    <w:rsid w:val="27700818"/>
    <w:rsid w:val="291B1C74"/>
    <w:rsid w:val="29695C42"/>
    <w:rsid w:val="29930F11"/>
    <w:rsid w:val="29E21551"/>
    <w:rsid w:val="2A4144C9"/>
    <w:rsid w:val="2A5A57FB"/>
    <w:rsid w:val="2B4E3857"/>
    <w:rsid w:val="2BD650E5"/>
    <w:rsid w:val="2C66290D"/>
    <w:rsid w:val="2DA573F2"/>
    <w:rsid w:val="2E631046"/>
    <w:rsid w:val="2FCD2C06"/>
    <w:rsid w:val="2FEC137B"/>
    <w:rsid w:val="3005243D"/>
    <w:rsid w:val="30896BCA"/>
    <w:rsid w:val="30AE03DF"/>
    <w:rsid w:val="3173331D"/>
    <w:rsid w:val="317C228B"/>
    <w:rsid w:val="31B639EF"/>
    <w:rsid w:val="3253123E"/>
    <w:rsid w:val="32655415"/>
    <w:rsid w:val="32674CE9"/>
    <w:rsid w:val="32E60304"/>
    <w:rsid w:val="32E97DF4"/>
    <w:rsid w:val="32F50547"/>
    <w:rsid w:val="33EF31E8"/>
    <w:rsid w:val="33F20F2A"/>
    <w:rsid w:val="34317CEA"/>
    <w:rsid w:val="34F8431E"/>
    <w:rsid w:val="36B41764"/>
    <w:rsid w:val="36EF2CB4"/>
    <w:rsid w:val="36F272D2"/>
    <w:rsid w:val="37467F1D"/>
    <w:rsid w:val="37537F32"/>
    <w:rsid w:val="379028BA"/>
    <w:rsid w:val="37D270A9"/>
    <w:rsid w:val="37F54B45"/>
    <w:rsid w:val="383E473E"/>
    <w:rsid w:val="38E10CD9"/>
    <w:rsid w:val="38F043C4"/>
    <w:rsid w:val="39811679"/>
    <w:rsid w:val="3B820DE6"/>
    <w:rsid w:val="3C495460"/>
    <w:rsid w:val="3C7A386B"/>
    <w:rsid w:val="3CC505A5"/>
    <w:rsid w:val="3D402D06"/>
    <w:rsid w:val="3E157CEF"/>
    <w:rsid w:val="3E587BDC"/>
    <w:rsid w:val="3E8B7FB1"/>
    <w:rsid w:val="3E907376"/>
    <w:rsid w:val="3ED731F7"/>
    <w:rsid w:val="3F6A5E19"/>
    <w:rsid w:val="3FDF05B5"/>
    <w:rsid w:val="3FF705B6"/>
    <w:rsid w:val="408A49C4"/>
    <w:rsid w:val="40A35A86"/>
    <w:rsid w:val="40FA31CC"/>
    <w:rsid w:val="4162324B"/>
    <w:rsid w:val="428B67D2"/>
    <w:rsid w:val="42A258CA"/>
    <w:rsid w:val="42C83582"/>
    <w:rsid w:val="42ED2FE9"/>
    <w:rsid w:val="42EF6D61"/>
    <w:rsid w:val="43030A5E"/>
    <w:rsid w:val="435B61A4"/>
    <w:rsid w:val="439E0787"/>
    <w:rsid w:val="441C0554"/>
    <w:rsid w:val="44775260"/>
    <w:rsid w:val="44965257"/>
    <w:rsid w:val="44E403F6"/>
    <w:rsid w:val="45060392"/>
    <w:rsid w:val="451C7BB5"/>
    <w:rsid w:val="452A22D2"/>
    <w:rsid w:val="454F7F8B"/>
    <w:rsid w:val="4574354D"/>
    <w:rsid w:val="45D73ADC"/>
    <w:rsid w:val="463F4134"/>
    <w:rsid w:val="4642189D"/>
    <w:rsid w:val="46AD3C25"/>
    <w:rsid w:val="46FA3F26"/>
    <w:rsid w:val="47170634"/>
    <w:rsid w:val="48054931"/>
    <w:rsid w:val="484A67E7"/>
    <w:rsid w:val="484F3DFE"/>
    <w:rsid w:val="48961A2D"/>
    <w:rsid w:val="48C60564"/>
    <w:rsid w:val="48E94252"/>
    <w:rsid w:val="494E7713"/>
    <w:rsid w:val="49690EEF"/>
    <w:rsid w:val="49CC797E"/>
    <w:rsid w:val="49E8275C"/>
    <w:rsid w:val="49EF6A3A"/>
    <w:rsid w:val="4A227A1C"/>
    <w:rsid w:val="4AC97E97"/>
    <w:rsid w:val="4B571947"/>
    <w:rsid w:val="4B5B3C46"/>
    <w:rsid w:val="4BDE782F"/>
    <w:rsid w:val="4C433C79"/>
    <w:rsid w:val="4C771B75"/>
    <w:rsid w:val="4E1E39D3"/>
    <w:rsid w:val="4EBD5F65"/>
    <w:rsid w:val="4EC54E1A"/>
    <w:rsid w:val="4F563CC4"/>
    <w:rsid w:val="4FE94B38"/>
    <w:rsid w:val="51071719"/>
    <w:rsid w:val="51A927D1"/>
    <w:rsid w:val="5212481A"/>
    <w:rsid w:val="5233653E"/>
    <w:rsid w:val="52CF270B"/>
    <w:rsid w:val="536410A5"/>
    <w:rsid w:val="538C5F06"/>
    <w:rsid w:val="53A9002E"/>
    <w:rsid w:val="5449029B"/>
    <w:rsid w:val="549239F0"/>
    <w:rsid w:val="556E7FB9"/>
    <w:rsid w:val="557563E4"/>
    <w:rsid w:val="55C027DF"/>
    <w:rsid w:val="56020701"/>
    <w:rsid w:val="566B44F9"/>
    <w:rsid w:val="571921A6"/>
    <w:rsid w:val="573174F0"/>
    <w:rsid w:val="57C20B2B"/>
    <w:rsid w:val="57C540DC"/>
    <w:rsid w:val="58C6010C"/>
    <w:rsid w:val="58FA6008"/>
    <w:rsid w:val="592D018B"/>
    <w:rsid w:val="594F0101"/>
    <w:rsid w:val="59CA3C2C"/>
    <w:rsid w:val="59CA7788"/>
    <w:rsid w:val="59D16D68"/>
    <w:rsid w:val="5A957D96"/>
    <w:rsid w:val="5ABA5A4E"/>
    <w:rsid w:val="5B6D486F"/>
    <w:rsid w:val="5BAA161F"/>
    <w:rsid w:val="5BE23DE7"/>
    <w:rsid w:val="5BFB2C15"/>
    <w:rsid w:val="5CBF10FA"/>
    <w:rsid w:val="5CC13ACB"/>
    <w:rsid w:val="5D9A56C3"/>
    <w:rsid w:val="5F7F7267"/>
    <w:rsid w:val="60196D73"/>
    <w:rsid w:val="602A5424"/>
    <w:rsid w:val="613C71BD"/>
    <w:rsid w:val="62C70D09"/>
    <w:rsid w:val="638E1826"/>
    <w:rsid w:val="6397692D"/>
    <w:rsid w:val="646A5DEF"/>
    <w:rsid w:val="64752C57"/>
    <w:rsid w:val="64E9765C"/>
    <w:rsid w:val="662E11D7"/>
    <w:rsid w:val="668D2269"/>
    <w:rsid w:val="672C1A82"/>
    <w:rsid w:val="675D7E8D"/>
    <w:rsid w:val="67BD5EBC"/>
    <w:rsid w:val="680459ED"/>
    <w:rsid w:val="68394457"/>
    <w:rsid w:val="68790CF7"/>
    <w:rsid w:val="69197DE4"/>
    <w:rsid w:val="695452C0"/>
    <w:rsid w:val="695D23C7"/>
    <w:rsid w:val="69E15CA9"/>
    <w:rsid w:val="69FE7930"/>
    <w:rsid w:val="6A01495C"/>
    <w:rsid w:val="6AB37DC4"/>
    <w:rsid w:val="6AC514C1"/>
    <w:rsid w:val="6AEC5BC5"/>
    <w:rsid w:val="6AFB1E97"/>
    <w:rsid w:val="6B360C9C"/>
    <w:rsid w:val="6B427AC6"/>
    <w:rsid w:val="6C8220A2"/>
    <w:rsid w:val="6CFB440E"/>
    <w:rsid w:val="6E46167B"/>
    <w:rsid w:val="6EFB0410"/>
    <w:rsid w:val="6F29076D"/>
    <w:rsid w:val="6F2F7344"/>
    <w:rsid w:val="6F773AB6"/>
    <w:rsid w:val="70096E04"/>
    <w:rsid w:val="70161521"/>
    <w:rsid w:val="707F70C6"/>
    <w:rsid w:val="70924082"/>
    <w:rsid w:val="70EE7DA8"/>
    <w:rsid w:val="71882BA4"/>
    <w:rsid w:val="724A0DCF"/>
    <w:rsid w:val="72734A09"/>
    <w:rsid w:val="72C07522"/>
    <w:rsid w:val="739A5FC5"/>
    <w:rsid w:val="743F0960"/>
    <w:rsid w:val="74AA048A"/>
    <w:rsid w:val="75020B54"/>
    <w:rsid w:val="75B639FA"/>
    <w:rsid w:val="75ED3F1E"/>
    <w:rsid w:val="76FD0D45"/>
    <w:rsid w:val="77435226"/>
    <w:rsid w:val="77F2017E"/>
    <w:rsid w:val="78B90C9C"/>
    <w:rsid w:val="79256331"/>
    <w:rsid w:val="7956298E"/>
    <w:rsid w:val="79766B8D"/>
    <w:rsid w:val="79E163AD"/>
    <w:rsid w:val="7AA716F4"/>
    <w:rsid w:val="7AAC69BC"/>
    <w:rsid w:val="7AC8166A"/>
    <w:rsid w:val="7B5A49B8"/>
    <w:rsid w:val="7C460EC8"/>
    <w:rsid w:val="7C773348"/>
    <w:rsid w:val="7CA0464C"/>
    <w:rsid w:val="7DD10836"/>
    <w:rsid w:val="7E123328"/>
    <w:rsid w:val="7E192908"/>
    <w:rsid w:val="7E6B0C8A"/>
    <w:rsid w:val="7EBC3294"/>
    <w:rsid w:val="7F2D7CEE"/>
    <w:rsid w:val="7F791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69"/>
    <w:qFormat/>
    <w:uiPriority w:val="0"/>
    <w:pPr>
      <w:keepNext/>
      <w:keepLines/>
      <w:spacing w:line="360" w:lineRule="auto"/>
      <w:jc w:val="center"/>
      <w:outlineLvl w:val="0"/>
    </w:pPr>
    <w:rPr>
      <w:b/>
      <w:kern w:val="44"/>
      <w:sz w:val="36"/>
      <w:szCs w:val="44"/>
    </w:rPr>
  </w:style>
  <w:style w:type="paragraph" w:styleId="3">
    <w:name w:val="heading 2"/>
    <w:basedOn w:val="1"/>
    <w:next w:val="1"/>
    <w:link w:val="72"/>
    <w:qFormat/>
    <w:uiPriority w:val="0"/>
    <w:pPr>
      <w:widowControl/>
      <w:spacing w:beforeAutospacing="1" w:afterAutospacing="1"/>
      <w:jc w:val="left"/>
      <w:outlineLvl w:val="1"/>
    </w:pPr>
    <w:rPr>
      <w:rFonts w:hAnsi="宋体"/>
      <w:b/>
      <w:kern w:val="0"/>
      <w:szCs w:val="36"/>
    </w:rPr>
  </w:style>
  <w:style w:type="paragraph" w:styleId="4">
    <w:name w:val="heading 3"/>
    <w:basedOn w:val="1"/>
    <w:next w:val="5"/>
    <w:link w:val="78"/>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5"/>
    <w:link w:val="60"/>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customStyle="1" w:styleId="5">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5"/>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6"/>
    <w:qFormat/>
    <w:uiPriority w:val="0"/>
    <w:pPr>
      <w:jc w:val="left"/>
    </w:pPr>
  </w:style>
  <w:style w:type="paragraph" w:styleId="16">
    <w:name w:val="Body Text"/>
    <w:basedOn w:val="1"/>
    <w:next w:val="1"/>
    <w:link w:val="52"/>
    <w:qFormat/>
    <w:uiPriority w:val="0"/>
    <w:rPr>
      <w:rFonts w:hAnsi="宋体"/>
      <w:sz w:val="32"/>
      <w:szCs w:val="20"/>
    </w:rPr>
  </w:style>
  <w:style w:type="paragraph" w:styleId="17">
    <w:name w:val="Body Text Indent"/>
    <w:basedOn w:val="1"/>
    <w:link w:val="53"/>
    <w:qFormat/>
    <w:uiPriority w:val="0"/>
    <w:pPr>
      <w:spacing w:line="480" w:lineRule="exact"/>
      <w:ind w:firstLine="538" w:firstLineChars="192"/>
      <w:jc w:val="left"/>
    </w:pPr>
    <w:rPr>
      <w:bCs w:val="0"/>
    </w:rPr>
  </w:style>
  <w:style w:type="paragraph" w:styleId="18">
    <w:name w:val="List 2"/>
    <w:basedOn w:val="1"/>
    <w:qFormat/>
    <w:uiPriority w:val="0"/>
    <w:pPr>
      <w:ind w:left="100" w:leftChars="200" w:hanging="200" w:hangingChars="200"/>
    </w:pPr>
    <w:rPr>
      <w:rFonts w:ascii="Times New Roman"/>
      <w:bCs w:val="0"/>
      <w:sz w:val="21"/>
    </w:rPr>
  </w:style>
  <w:style w:type="paragraph" w:styleId="19">
    <w:name w:val="index 4"/>
    <w:basedOn w:val="1"/>
    <w:next w:val="1"/>
    <w:qFormat/>
    <w:uiPriority w:val="0"/>
    <w:pPr>
      <w:ind w:left="428" w:firstLine="140"/>
    </w:pPr>
    <w:rPr>
      <w:rFonts w:eastAsia="华文仿宋"/>
      <w:sz w:val="28"/>
    </w:rPr>
  </w:style>
  <w:style w:type="paragraph" w:styleId="20">
    <w:name w:val="toc 3"/>
    <w:basedOn w:val="1"/>
    <w:next w:val="1"/>
    <w:qFormat/>
    <w:uiPriority w:val="39"/>
    <w:pPr>
      <w:ind w:left="840" w:leftChars="400"/>
    </w:pPr>
  </w:style>
  <w:style w:type="paragraph" w:styleId="21">
    <w:name w:val="Plain Text"/>
    <w:basedOn w:val="1"/>
    <w:link w:val="73"/>
    <w:qFormat/>
    <w:uiPriority w:val="0"/>
    <w:rPr>
      <w:rFonts w:hAnsi="Courier New"/>
      <w:bCs w:val="0"/>
      <w:sz w:val="21"/>
      <w:szCs w:val="20"/>
    </w:rPr>
  </w:style>
  <w:style w:type="paragraph" w:styleId="22">
    <w:name w:val="Date"/>
    <w:basedOn w:val="1"/>
    <w:next w:val="1"/>
    <w:link w:val="68"/>
    <w:qFormat/>
    <w:uiPriority w:val="99"/>
    <w:pPr>
      <w:ind w:left="100" w:leftChars="2500"/>
    </w:pPr>
  </w:style>
  <w:style w:type="paragraph" w:styleId="23">
    <w:name w:val="Body Text Indent 2"/>
    <w:basedOn w:val="1"/>
    <w:link w:val="55"/>
    <w:qFormat/>
    <w:uiPriority w:val="0"/>
    <w:pPr>
      <w:spacing w:line="480" w:lineRule="exact"/>
      <w:ind w:firstLine="241" w:firstLineChars="100"/>
      <w:jc w:val="left"/>
    </w:pPr>
    <w:rPr>
      <w:rFonts w:ascii="黑体" w:hAnsi="宋体" w:eastAsia="黑体"/>
      <w:b/>
      <w:sz w:val="24"/>
    </w:rPr>
  </w:style>
  <w:style w:type="paragraph" w:styleId="24">
    <w:name w:val="Balloon Text"/>
    <w:basedOn w:val="1"/>
    <w:link w:val="79"/>
    <w:qFormat/>
    <w:uiPriority w:val="0"/>
    <w:rPr>
      <w:rFonts w:ascii="Times New Roman"/>
      <w:bCs w:val="0"/>
      <w:sz w:val="18"/>
      <w:szCs w:val="18"/>
    </w:rPr>
  </w:style>
  <w:style w:type="paragraph" w:styleId="25">
    <w:name w:val="footer"/>
    <w:basedOn w:val="1"/>
    <w:link w:val="66"/>
    <w:qFormat/>
    <w:uiPriority w:val="99"/>
    <w:pPr>
      <w:tabs>
        <w:tab w:val="center" w:pos="4153"/>
        <w:tab w:val="right" w:pos="8306"/>
      </w:tabs>
      <w:snapToGrid w:val="0"/>
      <w:jc w:val="left"/>
    </w:pPr>
    <w:rPr>
      <w:rFonts w:ascii="Times New Roman"/>
      <w:bCs w:val="0"/>
      <w:sz w:val="18"/>
      <w:szCs w:val="18"/>
    </w:rPr>
  </w:style>
  <w:style w:type="paragraph" w:styleId="26">
    <w:name w:val="header"/>
    <w:basedOn w:val="1"/>
    <w:link w:val="67"/>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7">
    <w:name w:val="toc 1"/>
    <w:basedOn w:val="1"/>
    <w:next w:val="1"/>
    <w:qFormat/>
    <w:uiPriority w:val="39"/>
  </w:style>
  <w:style w:type="paragraph" w:styleId="28">
    <w:name w:val="Subtitle"/>
    <w:basedOn w:val="1"/>
    <w:next w:val="1"/>
    <w:link w:val="80"/>
    <w:qFormat/>
    <w:uiPriority w:val="0"/>
    <w:pPr>
      <w:spacing w:before="240" w:after="60" w:line="312" w:lineRule="auto"/>
      <w:jc w:val="center"/>
      <w:outlineLvl w:val="1"/>
    </w:pPr>
    <w:rPr>
      <w:rFonts w:ascii="Cambria" w:hAnsi="Cambria"/>
      <w:b/>
      <w:kern w:val="28"/>
      <w:sz w:val="32"/>
      <w:szCs w:val="32"/>
    </w:rPr>
  </w:style>
  <w:style w:type="paragraph" w:styleId="29">
    <w:name w:val="List"/>
    <w:basedOn w:val="1"/>
    <w:qFormat/>
    <w:uiPriority w:val="0"/>
    <w:pPr>
      <w:ind w:left="200" w:hanging="200" w:hangingChars="200"/>
    </w:pPr>
    <w:rPr>
      <w:rFonts w:ascii="Times New Roman"/>
      <w:bCs w:val="0"/>
      <w:sz w:val="21"/>
    </w:rPr>
  </w:style>
  <w:style w:type="paragraph" w:styleId="30">
    <w:name w:val="Body Text Indent 3"/>
    <w:basedOn w:val="1"/>
    <w:link w:val="76"/>
    <w:qFormat/>
    <w:uiPriority w:val="0"/>
    <w:pPr>
      <w:spacing w:line="360" w:lineRule="auto"/>
      <w:ind w:firstLine="480" w:firstLineChars="200"/>
    </w:pPr>
    <w:rPr>
      <w:rFonts w:hAnsi="宋体"/>
      <w:bCs w:val="0"/>
      <w:sz w:val="24"/>
      <w:szCs w:val="20"/>
    </w:rPr>
  </w:style>
  <w:style w:type="paragraph" w:styleId="31">
    <w:name w:val="toc 2"/>
    <w:basedOn w:val="1"/>
    <w:next w:val="1"/>
    <w:qFormat/>
    <w:uiPriority w:val="39"/>
    <w:pPr>
      <w:tabs>
        <w:tab w:val="right" w:leader="dot" w:pos="8857"/>
      </w:tabs>
      <w:spacing w:line="360" w:lineRule="auto"/>
      <w:ind w:left="560" w:leftChars="200"/>
    </w:pPr>
  </w:style>
  <w:style w:type="paragraph" w:styleId="32">
    <w:name w:val="Body Text 2"/>
    <w:basedOn w:val="1"/>
    <w:link w:val="63"/>
    <w:qFormat/>
    <w:uiPriority w:val="0"/>
    <w:pPr>
      <w:spacing w:after="120" w:line="480" w:lineRule="auto"/>
    </w:pPr>
  </w:style>
  <w:style w:type="paragraph" w:styleId="33">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4">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5">
    <w:name w:val="Title"/>
    <w:basedOn w:val="1"/>
    <w:next w:val="1"/>
    <w:link w:val="77"/>
    <w:qFormat/>
    <w:uiPriority w:val="0"/>
    <w:pPr>
      <w:spacing w:before="240" w:after="60"/>
      <w:jc w:val="left"/>
      <w:outlineLvl w:val="0"/>
    </w:pPr>
    <w:rPr>
      <w:rFonts w:ascii="Cambria" w:hAnsi="Cambria"/>
      <w:b/>
      <w:szCs w:val="32"/>
    </w:rPr>
  </w:style>
  <w:style w:type="paragraph" w:styleId="36">
    <w:name w:val="annotation subject"/>
    <w:basedOn w:val="15"/>
    <w:next w:val="15"/>
    <w:qFormat/>
    <w:uiPriority w:val="0"/>
    <w:rPr>
      <w:b/>
    </w:rPr>
  </w:style>
  <w:style w:type="paragraph" w:styleId="37">
    <w:name w:val="Body Text First Indent 2"/>
    <w:basedOn w:val="17"/>
    <w:next w:val="1"/>
    <w:qFormat/>
    <w:uiPriority w:val="99"/>
    <w:pPr>
      <w:ind w:firstLine="42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style>
  <w:style w:type="character" w:styleId="45">
    <w:name w:val="line number"/>
    <w:basedOn w:val="40"/>
    <w:qFormat/>
    <w:uiPriority w:val="0"/>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paragraph" w:customStyle="1" w:styleId="48">
    <w:name w:val="样式 样式 左侧:  2 字符 + 左侧:  0.85 厘米 首行缩进:  2 字符1"/>
    <w:basedOn w:val="1"/>
    <w:qFormat/>
    <w:uiPriority w:val="0"/>
    <w:pPr>
      <w:ind w:left="482" w:firstLine="200" w:firstLineChars="200"/>
    </w:pPr>
    <w:rPr>
      <w:rFonts w:cs="宋体"/>
      <w:szCs w:val="20"/>
    </w:rPr>
  </w:style>
  <w:style w:type="paragraph" w:customStyle="1" w:styleId="49">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1">
    <w:name w:val="unnamed11"/>
    <w:qFormat/>
    <w:uiPriority w:val="0"/>
    <w:rPr>
      <w:spacing w:val="340"/>
      <w:sz w:val="18"/>
      <w:szCs w:val="18"/>
    </w:rPr>
  </w:style>
  <w:style w:type="character" w:customStyle="1" w:styleId="52">
    <w:name w:val="正文文本 Char"/>
    <w:link w:val="16"/>
    <w:qFormat/>
    <w:uiPriority w:val="0"/>
    <w:rPr>
      <w:rFonts w:ascii="宋体" w:hAnsi="宋体"/>
      <w:bCs/>
      <w:kern w:val="2"/>
      <w:sz w:val="32"/>
    </w:rPr>
  </w:style>
  <w:style w:type="character" w:customStyle="1" w:styleId="53">
    <w:name w:val="正文文本缩进 Char"/>
    <w:link w:val="17"/>
    <w:qFormat/>
    <w:uiPriority w:val="0"/>
    <w:rPr>
      <w:rFonts w:ascii="宋体"/>
      <w:kern w:val="2"/>
      <w:sz w:val="28"/>
      <w:szCs w:val="24"/>
    </w:rPr>
  </w:style>
  <w:style w:type="character" w:customStyle="1" w:styleId="54">
    <w:name w:val="14"/>
    <w:basedOn w:val="40"/>
    <w:qFormat/>
    <w:uiPriority w:val="0"/>
  </w:style>
  <w:style w:type="character" w:customStyle="1" w:styleId="55">
    <w:name w:val="正文文本缩进 2 Char"/>
    <w:link w:val="23"/>
    <w:qFormat/>
    <w:uiPriority w:val="0"/>
    <w:rPr>
      <w:rFonts w:ascii="黑体" w:hAnsi="宋体" w:eastAsia="黑体"/>
      <w:b/>
      <w:bCs/>
      <w:kern w:val="2"/>
      <w:sz w:val="24"/>
      <w:szCs w:val="24"/>
      <w:lang w:val="en-US" w:eastAsia="zh-CN"/>
    </w:rPr>
  </w:style>
  <w:style w:type="character" w:customStyle="1" w:styleId="56">
    <w:name w:val="列出段落 Char"/>
    <w:link w:val="57"/>
    <w:qFormat/>
    <w:uiPriority w:val="34"/>
    <w:rPr>
      <w:kern w:val="2"/>
      <w:sz w:val="21"/>
    </w:rPr>
  </w:style>
  <w:style w:type="paragraph" w:styleId="57">
    <w:name w:val="List Paragraph"/>
    <w:basedOn w:val="1"/>
    <w:link w:val="56"/>
    <w:qFormat/>
    <w:uiPriority w:val="34"/>
    <w:pPr>
      <w:ind w:firstLine="420" w:firstLineChars="200"/>
    </w:pPr>
    <w:rPr>
      <w:rFonts w:ascii="Times New Roman"/>
      <w:bCs w:val="0"/>
      <w:sz w:val="21"/>
      <w:szCs w:val="20"/>
    </w:rPr>
  </w:style>
  <w:style w:type="character" w:customStyle="1" w:styleId="58">
    <w:name w:val="Char Char6"/>
    <w:qFormat/>
    <w:uiPriority w:val="0"/>
    <w:rPr>
      <w:rFonts w:ascii="宋体" w:hAnsi="宋体" w:eastAsia="宋体"/>
      <w:kern w:val="2"/>
      <w:sz w:val="24"/>
      <w:lang w:val="en-US" w:eastAsia="zh-CN" w:bidi="ar-SA"/>
    </w:rPr>
  </w:style>
  <w:style w:type="character" w:customStyle="1" w:styleId="59">
    <w:name w:val="Char Char"/>
    <w:qFormat/>
    <w:uiPriority w:val="0"/>
    <w:rPr>
      <w:rFonts w:ascii="宋体" w:hAnsi="宋体" w:eastAsia="宋体" w:cs="宋体"/>
      <w:sz w:val="24"/>
      <w:szCs w:val="24"/>
      <w:lang w:val="en-US" w:eastAsia="zh-CN" w:bidi="ar-SA"/>
    </w:rPr>
  </w:style>
  <w:style w:type="character" w:customStyle="1" w:styleId="60">
    <w:name w:val="标题 4 Char"/>
    <w:link w:val="6"/>
    <w:qFormat/>
    <w:uiPriority w:val="0"/>
    <w:rPr>
      <w:rFonts w:ascii="Cambria" w:hAnsi="Cambria" w:eastAsia="宋体" w:cs="Times New Roman"/>
      <w:b/>
      <w:bCs/>
      <w:kern w:val="2"/>
      <w:sz w:val="28"/>
      <w:szCs w:val="28"/>
    </w:rPr>
  </w:style>
  <w:style w:type="character" w:customStyle="1" w:styleId="61">
    <w:name w:val="样式 仿宋"/>
    <w:qFormat/>
    <w:uiPriority w:val="0"/>
    <w:rPr>
      <w:rFonts w:ascii="仿宋" w:hAnsi="仿宋" w:eastAsia="仿宋"/>
      <w:kern w:val="1"/>
    </w:rPr>
  </w:style>
  <w:style w:type="character" w:customStyle="1" w:styleId="62">
    <w:name w:val="ziti1"/>
    <w:basedOn w:val="40"/>
    <w:qFormat/>
    <w:uiPriority w:val="0"/>
  </w:style>
  <w:style w:type="character" w:customStyle="1" w:styleId="63">
    <w:name w:val="正文文本 2 Char"/>
    <w:link w:val="32"/>
    <w:qFormat/>
    <w:uiPriority w:val="0"/>
    <w:rPr>
      <w:rFonts w:ascii="宋体"/>
      <w:bCs/>
      <w:kern w:val="2"/>
      <w:sz w:val="28"/>
      <w:szCs w:val="24"/>
    </w:rPr>
  </w:style>
  <w:style w:type="character" w:customStyle="1" w:styleId="64">
    <w:name w:val="HTML 预设格式 Char"/>
    <w:link w:val="33"/>
    <w:qFormat/>
    <w:uiPriority w:val="0"/>
    <w:rPr>
      <w:rFonts w:ascii="宋体" w:hAnsi="宋体" w:cs="宋体"/>
      <w:sz w:val="24"/>
      <w:szCs w:val="24"/>
    </w:rPr>
  </w:style>
  <w:style w:type="character" w:customStyle="1" w:styleId="65">
    <w:name w:val="文档结构图 Char"/>
    <w:link w:val="13"/>
    <w:qFormat/>
    <w:uiPriority w:val="99"/>
    <w:rPr>
      <w:rFonts w:ascii="宋体"/>
      <w:bCs/>
      <w:kern w:val="2"/>
      <w:sz w:val="18"/>
      <w:szCs w:val="18"/>
    </w:rPr>
  </w:style>
  <w:style w:type="character" w:customStyle="1" w:styleId="66">
    <w:name w:val="页脚 Char"/>
    <w:link w:val="25"/>
    <w:qFormat/>
    <w:uiPriority w:val="99"/>
    <w:rPr>
      <w:kern w:val="2"/>
      <w:sz w:val="18"/>
      <w:szCs w:val="18"/>
    </w:rPr>
  </w:style>
  <w:style w:type="character" w:customStyle="1" w:styleId="67">
    <w:name w:val="页眉 Char"/>
    <w:link w:val="26"/>
    <w:qFormat/>
    <w:uiPriority w:val="99"/>
    <w:rPr>
      <w:kern w:val="2"/>
      <w:sz w:val="18"/>
      <w:szCs w:val="18"/>
    </w:rPr>
  </w:style>
  <w:style w:type="character" w:customStyle="1" w:styleId="68">
    <w:name w:val="日期 Char"/>
    <w:link w:val="22"/>
    <w:qFormat/>
    <w:uiPriority w:val="99"/>
    <w:rPr>
      <w:rFonts w:ascii="宋体"/>
      <w:bCs/>
      <w:kern w:val="2"/>
      <w:sz w:val="28"/>
      <w:szCs w:val="24"/>
    </w:rPr>
  </w:style>
  <w:style w:type="character" w:customStyle="1" w:styleId="69">
    <w:name w:val="标题 1 Char"/>
    <w:link w:val="2"/>
    <w:qFormat/>
    <w:uiPriority w:val="0"/>
    <w:rPr>
      <w:rFonts w:ascii="宋体"/>
      <w:b/>
      <w:bCs/>
      <w:kern w:val="44"/>
      <w:sz w:val="36"/>
      <w:szCs w:val="44"/>
    </w:rPr>
  </w:style>
  <w:style w:type="character" w:customStyle="1" w:styleId="70">
    <w:name w:val="样式3 Char"/>
    <w:link w:val="71"/>
    <w:qFormat/>
    <w:uiPriority w:val="0"/>
    <w:rPr>
      <w:rFonts w:ascii="宋体" w:hAnsi="宋体"/>
      <w:kern w:val="2"/>
      <w:sz w:val="21"/>
      <w:szCs w:val="24"/>
    </w:rPr>
  </w:style>
  <w:style w:type="paragraph" w:customStyle="1" w:styleId="71">
    <w:name w:val="样式3"/>
    <w:basedOn w:val="1"/>
    <w:link w:val="70"/>
    <w:qFormat/>
    <w:uiPriority w:val="0"/>
    <w:rPr>
      <w:rFonts w:hAnsi="宋体"/>
      <w:bCs w:val="0"/>
      <w:sz w:val="21"/>
    </w:rPr>
  </w:style>
  <w:style w:type="character" w:customStyle="1" w:styleId="72">
    <w:name w:val="标题 2 Char"/>
    <w:link w:val="3"/>
    <w:qFormat/>
    <w:uiPriority w:val="0"/>
    <w:rPr>
      <w:rFonts w:ascii="宋体" w:hAnsi="宋体" w:cs="宋体"/>
      <w:b/>
      <w:bCs/>
      <w:sz w:val="28"/>
      <w:szCs w:val="36"/>
    </w:rPr>
  </w:style>
  <w:style w:type="character" w:customStyle="1" w:styleId="73">
    <w:name w:val="纯文本 Char"/>
    <w:link w:val="21"/>
    <w:qFormat/>
    <w:uiPriority w:val="0"/>
    <w:rPr>
      <w:rFonts w:ascii="宋体" w:hAnsi="Courier New"/>
      <w:kern w:val="2"/>
      <w:sz w:val="21"/>
    </w:rPr>
  </w:style>
  <w:style w:type="character" w:customStyle="1" w:styleId="74">
    <w:name w:val="2级标题 Char"/>
    <w:link w:val="75"/>
    <w:qFormat/>
    <w:uiPriority w:val="0"/>
    <w:rPr>
      <w:rFonts w:ascii="宋体" w:hAnsi="宋体"/>
      <w:b/>
      <w:bCs/>
      <w:color w:val="000000"/>
      <w:kern w:val="2"/>
      <w:sz w:val="24"/>
      <w:szCs w:val="24"/>
    </w:rPr>
  </w:style>
  <w:style w:type="paragraph" w:customStyle="1" w:styleId="75">
    <w:name w:val="2级标题"/>
    <w:basedOn w:val="1"/>
    <w:link w:val="74"/>
    <w:qFormat/>
    <w:uiPriority w:val="0"/>
    <w:pPr>
      <w:spacing w:line="480" w:lineRule="exact"/>
      <w:ind w:firstLine="482" w:firstLineChars="200"/>
    </w:pPr>
    <w:rPr>
      <w:rFonts w:hAnsi="宋体"/>
      <w:b/>
      <w:color w:val="000000"/>
      <w:sz w:val="24"/>
    </w:rPr>
  </w:style>
  <w:style w:type="character" w:customStyle="1" w:styleId="76">
    <w:name w:val="正文文本缩进 3 Char"/>
    <w:link w:val="30"/>
    <w:qFormat/>
    <w:uiPriority w:val="0"/>
    <w:rPr>
      <w:rFonts w:ascii="宋体" w:hAnsi="宋体"/>
      <w:kern w:val="2"/>
      <w:sz w:val="24"/>
    </w:rPr>
  </w:style>
  <w:style w:type="character" w:customStyle="1" w:styleId="77">
    <w:name w:val="标题 Char"/>
    <w:link w:val="35"/>
    <w:qFormat/>
    <w:uiPriority w:val="0"/>
    <w:rPr>
      <w:rFonts w:ascii="Cambria" w:hAnsi="Cambria"/>
      <w:b/>
      <w:bCs/>
      <w:kern w:val="2"/>
      <w:sz w:val="28"/>
      <w:szCs w:val="32"/>
    </w:rPr>
  </w:style>
  <w:style w:type="character" w:customStyle="1" w:styleId="78">
    <w:name w:val="标题 3 Char"/>
    <w:link w:val="4"/>
    <w:qFormat/>
    <w:uiPriority w:val="0"/>
    <w:rPr>
      <w:rFonts w:eastAsia="黑体"/>
      <w:bCs/>
      <w:kern w:val="2"/>
      <w:sz w:val="24"/>
      <w:szCs w:val="32"/>
    </w:rPr>
  </w:style>
  <w:style w:type="character" w:customStyle="1" w:styleId="79">
    <w:name w:val="批注框文本 Char"/>
    <w:link w:val="24"/>
    <w:qFormat/>
    <w:uiPriority w:val="0"/>
    <w:rPr>
      <w:kern w:val="2"/>
      <w:sz w:val="18"/>
      <w:szCs w:val="18"/>
    </w:rPr>
  </w:style>
  <w:style w:type="character" w:customStyle="1" w:styleId="80">
    <w:name w:val="副标题 Char"/>
    <w:link w:val="28"/>
    <w:qFormat/>
    <w:uiPriority w:val="0"/>
    <w:rPr>
      <w:rFonts w:ascii="Cambria" w:hAnsi="Cambria" w:cs="Times New Roman"/>
      <w:b/>
      <w:bCs/>
      <w:kern w:val="28"/>
      <w:sz w:val="32"/>
      <w:szCs w:val="32"/>
    </w:rPr>
  </w:style>
  <w:style w:type="character" w:customStyle="1" w:styleId="81">
    <w:name w:val="font14px1"/>
    <w:qFormat/>
    <w:uiPriority w:val="0"/>
    <w:rPr>
      <w:sz w:val="21"/>
      <w:szCs w:val="21"/>
    </w:rPr>
  </w:style>
  <w:style w:type="character" w:customStyle="1" w:styleId="82">
    <w:name w:val="apple-style-span"/>
    <w:basedOn w:val="40"/>
    <w:qFormat/>
    <w:uiPriority w:val="0"/>
  </w:style>
  <w:style w:type="paragraph" w:customStyle="1" w:styleId="8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5">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7">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8">
    <w:name w:val="Char Char1 Char Char"/>
    <w:basedOn w:val="1"/>
    <w:qFormat/>
    <w:uiPriority w:val="0"/>
    <w:rPr>
      <w:rFonts w:ascii="Tahoma" w:hAnsi="Tahoma"/>
      <w:bCs w:val="0"/>
      <w:sz w:val="24"/>
      <w:szCs w:val="20"/>
    </w:rPr>
  </w:style>
  <w:style w:type="paragraph" w:customStyle="1" w:styleId="89">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90">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1">
    <w:name w:val="p0"/>
    <w:basedOn w:val="1"/>
    <w:qFormat/>
    <w:uiPriority w:val="0"/>
    <w:pPr>
      <w:widowControl/>
    </w:pPr>
    <w:rPr>
      <w:rFonts w:ascii="Calibri" w:hAnsi="Calibri" w:cs="宋体"/>
      <w:bCs w:val="0"/>
      <w:kern w:val="0"/>
      <w:sz w:val="21"/>
      <w:szCs w:val="21"/>
    </w:rPr>
  </w:style>
  <w:style w:type="paragraph" w:customStyle="1" w:styleId="92">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3">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4">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6">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7">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8">
    <w:name w:val="批注框文本1"/>
    <w:basedOn w:val="1"/>
    <w:qFormat/>
    <w:uiPriority w:val="0"/>
    <w:rPr>
      <w:rFonts w:hint="eastAsia" w:ascii="Times New Roman"/>
      <w:bCs w:val="0"/>
      <w:sz w:val="18"/>
      <w:szCs w:val="20"/>
    </w:rPr>
  </w:style>
  <w:style w:type="paragraph" w:customStyle="1" w:styleId="99">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10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1">
    <w:name w:val="标准"/>
    <w:basedOn w:val="1"/>
    <w:qFormat/>
    <w:uiPriority w:val="0"/>
    <w:pPr>
      <w:adjustRightInd w:val="0"/>
      <w:spacing w:before="120" w:after="120" w:line="312" w:lineRule="atLeast"/>
    </w:pPr>
    <w:rPr>
      <w:bCs w:val="0"/>
      <w:kern w:val="0"/>
      <w:sz w:val="21"/>
      <w:szCs w:val="20"/>
    </w:rPr>
  </w:style>
  <w:style w:type="paragraph" w:customStyle="1" w:styleId="10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3">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4">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7">
    <w:name w:val="列出段落11"/>
    <w:basedOn w:val="1"/>
    <w:qFormat/>
    <w:uiPriority w:val="34"/>
    <w:pPr>
      <w:ind w:firstLine="420" w:firstLineChars="200"/>
    </w:pPr>
    <w:rPr>
      <w:rFonts w:ascii="Calibri" w:hAnsi="Calibri"/>
      <w:bCs w:val="0"/>
      <w:sz w:val="21"/>
    </w:rPr>
  </w:style>
  <w:style w:type="paragraph" w:customStyle="1" w:styleId="108">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0">
    <w:name w:val="Char Char Char Char Char Char Char"/>
    <w:basedOn w:val="1"/>
    <w:qFormat/>
    <w:uiPriority w:val="0"/>
    <w:rPr>
      <w:rFonts w:ascii="Tahoma" w:hAnsi="Tahoma" w:cs="仿宋_GB2312"/>
      <w:bCs w:val="0"/>
      <w:sz w:val="24"/>
      <w:szCs w:val="28"/>
    </w:rPr>
  </w:style>
  <w:style w:type="paragraph" w:customStyle="1" w:styleId="111">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2">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4">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6">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7">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8">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9">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2">
    <w:name w:val="编号行"/>
    <w:basedOn w:val="1"/>
    <w:qFormat/>
    <w:uiPriority w:val="0"/>
    <w:pPr>
      <w:spacing w:line="500" w:lineRule="exact"/>
      <w:jc w:val="left"/>
    </w:pPr>
    <w:rPr>
      <w:rFonts w:hAnsi="宋体" w:cs="宋体"/>
      <w:bCs w:val="0"/>
      <w:sz w:val="24"/>
      <w:lang w:bidi="th-TH"/>
    </w:rPr>
  </w:style>
  <w:style w:type="paragraph" w:customStyle="1" w:styleId="123">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7">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8">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9">
    <w:name w:val="潘"/>
    <w:basedOn w:val="1"/>
    <w:qFormat/>
    <w:uiPriority w:val="0"/>
    <w:pPr>
      <w:snapToGrid w:val="0"/>
      <w:spacing w:line="240" w:lineRule="atLeast"/>
      <w:jc w:val="left"/>
    </w:pPr>
    <w:rPr>
      <w:rFonts w:ascii="Arial" w:hAnsi="Arial" w:eastAsia="楷体_GB2312"/>
      <w:b/>
      <w:sz w:val="21"/>
    </w:rPr>
  </w:style>
  <w:style w:type="paragraph" w:customStyle="1" w:styleId="130">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3">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4">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5">
    <w:name w:val="Char1"/>
    <w:basedOn w:val="1"/>
    <w:qFormat/>
    <w:uiPriority w:val="0"/>
    <w:rPr>
      <w:rFonts w:ascii="仿宋_GB2312" w:eastAsia="仿宋_GB2312"/>
      <w:b/>
      <w:bCs w:val="0"/>
      <w:sz w:val="32"/>
      <w:szCs w:val="32"/>
    </w:rPr>
  </w:style>
  <w:style w:type="character" w:customStyle="1" w:styleId="136">
    <w:name w:val="批注文字 Char"/>
    <w:link w:val="15"/>
    <w:qFormat/>
    <w:uiPriority w:val="0"/>
    <w:rPr>
      <w:rFonts w:ascii="宋体"/>
      <w:bCs/>
      <w:kern w:val="2"/>
      <w:sz w:val="28"/>
      <w:szCs w:val="24"/>
    </w:rPr>
  </w:style>
  <w:style w:type="paragraph" w:customStyle="1" w:styleId="137">
    <w:name w:val="样式 首行缩进:  2 字符"/>
    <w:basedOn w:val="1"/>
    <w:qFormat/>
    <w:uiPriority w:val="0"/>
    <w:pPr>
      <w:ind w:firstLine="560"/>
    </w:pPr>
    <w:rPr>
      <w:rFonts w:eastAsia="仿宋_GB2312" w:cs="宋体"/>
      <w:sz w:val="24"/>
      <w:szCs w:val="20"/>
    </w:rPr>
  </w:style>
  <w:style w:type="paragraph" w:customStyle="1" w:styleId="138">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Heading2"/>
    <w:basedOn w:val="1"/>
    <w:qFormat/>
    <w:uiPriority w:val="0"/>
    <w:pPr>
      <w:spacing w:beforeAutospacing="1" w:afterAutospacing="1"/>
      <w:jc w:val="left"/>
    </w:pPr>
    <w:rPr>
      <w:b/>
      <w:kern w:val="0"/>
      <w:szCs w:val="36"/>
    </w:rPr>
  </w:style>
  <w:style w:type="character" w:customStyle="1" w:styleId="140">
    <w:name w:val="NormalCharacter"/>
    <w:qFormat/>
    <w:uiPriority w:val="0"/>
  </w:style>
  <w:style w:type="paragraph" w:customStyle="1" w:styleId="141">
    <w:name w:val="列出段落3"/>
    <w:basedOn w:val="1"/>
    <w:qFormat/>
    <w:uiPriority w:val="99"/>
    <w:pPr>
      <w:ind w:firstLine="420" w:firstLineChars="200"/>
    </w:pPr>
  </w:style>
  <w:style w:type="paragraph" w:customStyle="1" w:styleId="142">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3">
    <w:name w:val="样式29"/>
    <w:basedOn w:val="144"/>
    <w:qFormat/>
    <w:uiPriority w:val="0"/>
    <w:pPr>
      <w:widowControl/>
      <w:spacing w:line="440" w:lineRule="exact"/>
      <w:ind w:firstLine="200" w:firstLineChars="200"/>
      <w:jc w:val="left"/>
    </w:pPr>
    <w:rPr>
      <w:rFonts w:eastAsia="楷体_GB2312"/>
      <w:spacing w:val="6"/>
      <w:sz w:val="24"/>
      <w:szCs w:val="24"/>
    </w:rPr>
  </w:style>
  <w:style w:type="paragraph" w:customStyle="1" w:styleId="144">
    <w:name w:val="样式9 Char"/>
    <w:basedOn w:val="1"/>
    <w:qFormat/>
    <w:uiPriority w:val="99"/>
    <w:pPr>
      <w:spacing w:line="440" w:lineRule="exact"/>
      <w:ind w:firstLine="200" w:firstLineChars="200"/>
    </w:pPr>
    <w:rPr>
      <w:spacing w:val="6"/>
      <w:sz w:val="24"/>
    </w:rPr>
  </w:style>
  <w:style w:type="paragraph" w:customStyle="1" w:styleId="145">
    <w:name w:val="List Paragraph1"/>
    <w:basedOn w:val="1"/>
    <w:qFormat/>
    <w:uiPriority w:val="0"/>
    <w:pPr>
      <w:ind w:firstLine="420" w:firstLineChars="200"/>
    </w:pPr>
    <w:rPr>
      <w:rFonts w:ascii="Calibri" w:hAnsi="Calibri"/>
      <w:szCs w:val="22"/>
    </w:rPr>
  </w:style>
  <w:style w:type="paragraph" w:customStyle="1" w:styleId="146">
    <w:name w:val="xp正文"/>
    <w:basedOn w:val="1"/>
    <w:qFormat/>
    <w:uiPriority w:val="0"/>
    <w:pPr>
      <w:adjustRightInd w:val="0"/>
      <w:snapToGrid w:val="0"/>
      <w:spacing w:line="360" w:lineRule="auto"/>
      <w:ind w:firstLine="200" w:firstLineChars="200"/>
    </w:pPr>
    <w:rPr>
      <w:sz w:val="24"/>
    </w:rPr>
  </w:style>
  <w:style w:type="paragraph" w:customStyle="1" w:styleId="147">
    <w:name w:val="四号正文"/>
    <w:basedOn w:val="1"/>
    <w:qFormat/>
    <w:uiPriority w:val="1718"/>
    <w:pPr>
      <w:ind w:left="0" w:right="0" w:firstLine="560"/>
    </w:pPr>
    <w:rPr>
      <w:sz w:val="28"/>
      <w:szCs w:val="28"/>
    </w:rPr>
  </w:style>
  <w:style w:type="paragraph" w:customStyle="1" w:styleId="148">
    <w:name w:val="_正文段落"/>
    <w:basedOn w:val="1"/>
    <w:qFormat/>
    <w:uiPriority w:val="1624"/>
    <w:pPr>
      <w:spacing w:line="360" w:lineRule="auto"/>
      <w:ind w:left="0" w:right="0" w:firstLine="480"/>
    </w:pPr>
    <w:rPr>
      <w:rFonts w:ascii="宋体" w:hAnsi="宋体" w:cs="宋体"/>
      <w:kern w:val="0"/>
      <w:sz w:val="24"/>
    </w:rPr>
  </w:style>
  <w:style w:type="paragraph" w:customStyle="1" w:styleId="149">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0">
    <w:name w:val="正文首行缩进 211"/>
    <w:basedOn w:val="151"/>
    <w:qFormat/>
    <w:uiPriority w:val="2457"/>
    <w:pPr>
      <w:widowControl w:val="0"/>
      <w:ind w:left="420" w:right="0" w:firstLine="420"/>
      <w:jc w:val="both"/>
    </w:pPr>
  </w:style>
  <w:style w:type="paragraph" w:customStyle="1" w:styleId="151">
    <w:name w:val="正文文本缩进111"/>
    <w:basedOn w:val="1"/>
    <w:next w:val="152"/>
    <w:qFormat/>
    <w:uiPriority w:val="1624"/>
    <w:pPr>
      <w:spacing w:before="0" w:after="120"/>
      <w:ind w:left="420" w:right="0" w:firstLine="0"/>
    </w:pPr>
    <w:rPr>
      <w:kern w:val="0"/>
      <w:sz w:val="20"/>
      <w:szCs w:val="20"/>
    </w:rPr>
  </w:style>
  <w:style w:type="paragraph" w:customStyle="1" w:styleId="152">
    <w:name w:val="样式 正文文本缩进 + 左  0 字符"/>
    <w:basedOn w:val="1"/>
    <w:qFormat/>
    <w:uiPriority w:val="2"/>
    <w:pPr>
      <w:spacing w:line="360" w:lineRule="auto"/>
      <w:ind w:left="0" w:right="0" w:firstLine="250"/>
    </w:pPr>
    <w:rPr>
      <w:sz w:val="24"/>
      <w:szCs w:val="20"/>
    </w:rPr>
  </w:style>
  <w:style w:type="paragraph" w:customStyle="1" w:styleId="153">
    <w:name w:val="列出段落"/>
    <w:basedOn w:val="1"/>
    <w:qFormat/>
    <w:uiPriority w:val="1723"/>
    <w:pPr>
      <w:ind w:left="0" w:right="0" w:firstLine="420"/>
    </w:pPr>
    <w:rPr>
      <w:rFonts w:ascii="Calibri" w:hAnsi="Calibri" w:cs="Calibri"/>
      <w:szCs w:val="22"/>
    </w:rPr>
  </w:style>
  <w:style w:type="paragraph" w:customStyle="1" w:styleId="154">
    <w:name w:val="批注文字11"/>
    <w:basedOn w:val="1"/>
    <w:qFormat/>
    <w:uiPriority w:val="1624"/>
    <w:pPr>
      <w:jc w:val="left"/>
    </w:pPr>
  </w:style>
  <w:style w:type="paragraph" w:customStyle="1" w:styleId="155">
    <w:name w:val="普通(网站)111"/>
    <w:basedOn w:val="1"/>
    <w:qFormat/>
    <w:uiPriority w:val="2"/>
    <w:pPr>
      <w:widowControl/>
      <w:spacing w:before="100" w:after="100"/>
      <w:jc w:val="left"/>
    </w:pPr>
    <w:rPr>
      <w:rFonts w:ascii="宋体" w:hAnsi="宋体" w:cs="宋体"/>
      <w:kern w:val="0"/>
      <w:sz w:val="24"/>
    </w:rPr>
  </w:style>
  <w:style w:type="paragraph" w:customStyle="1" w:styleId="156">
    <w:name w:val="样式6"/>
    <w:basedOn w:val="157"/>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7">
    <w:name w:val="cr4"/>
    <w:basedOn w:val="6"/>
    <w:next w:val="158"/>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8">
    <w:name w:val="cr5"/>
    <w:basedOn w:val="7"/>
    <w:next w:val="159"/>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59">
    <w:name w:val="cr6"/>
    <w:basedOn w:val="158"/>
    <w:qFormat/>
    <w:uiPriority w:val="3"/>
    <w:pPr>
      <w:numPr>
        <w:ilvl w:val="0"/>
        <w:numId w:val="3"/>
      </w:numPr>
      <w:ind w:left="0" w:right="0" w:firstLine="0"/>
    </w:pPr>
  </w:style>
  <w:style w:type="paragraph" w:customStyle="1" w:styleId="160">
    <w:name w:val="正文缩进2字符"/>
    <w:basedOn w:val="152"/>
    <w:qFormat/>
    <w:uiPriority w:val="2034"/>
    <w:pPr>
      <w:ind w:left="0" w:right="0" w:firstLine="480"/>
    </w:pPr>
  </w:style>
  <w:style w:type="paragraph" w:customStyle="1" w:styleId="161">
    <w:name w:val="Table Text"/>
    <w:basedOn w:val="1"/>
    <w:semiHidden/>
    <w:qFormat/>
    <w:uiPriority w:val="0"/>
    <w:rPr>
      <w:rFonts w:ascii="仿宋" w:hAnsi="仿宋" w:eastAsia="仿宋" w:cs="仿宋"/>
      <w:sz w:val="24"/>
      <w:szCs w:val="24"/>
      <w:lang w:val="en-US" w:eastAsia="en-US" w:bidi="ar-SA"/>
    </w:rPr>
  </w:style>
  <w:style w:type="table" w:customStyle="1" w:styleId="162">
    <w:name w:val="Table Normal"/>
    <w:semiHidden/>
    <w:unhideWhenUsed/>
    <w:qFormat/>
    <w:uiPriority w:val="0"/>
    <w:tblPr>
      <w:tblCellMar>
        <w:top w:w="0" w:type="dxa"/>
        <w:left w:w="0" w:type="dxa"/>
        <w:bottom w:w="0" w:type="dxa"/>
        <w:right w:w="0" w:type="dxa"/>
      </w:tblCellMar>
    </w:tblPr>
  </w:style>
  <w:style w:type="paragraph" w:customStyle="1" w:styleId="163">
    <w:name w:val="UserStyle_93"/>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59</Pages>
  <Words>23891</Words>
  <Characters>25166</Characters>
  <Paragraphs>1425</Paragraphs>
  <TotalTime>1</TotalTime>
  <ScaleCrop>false</ScaleCrop>
  <LinksUpToDate>false</LinksUpToDate>
  <CharactersWithSpaces>26352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Administrator</cp:lastModifiedBy>
  <cp:lastPrinted>2022-03-30T02:39:00Z</cp:lastPrinted>
  <dcterms:modified xsi:type="dcterms:W3CDTF">2023-11-14T09:12:49Z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644A9AC54F6744F79980025E33D26ADF</vt:lpwstr>
  </property>
</Properties>
</file>