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797AC4">
      <w:pPr>
        <w:tabs>
          <w:tab w:val="left" w:pos="1134"/>
          <w:tab w:val="left" w:pos="5481"/>
          <w:tab w:val="left" w:pos="5859"/>
        </w:tabs>
        <w:jc w:val="left"/>
        <w:rPr>
          <w:rFonts w:ascii="宋体" w:hAnsi="宋体"/>
          <w:b/>
          <w:color w:val="auto"/>
          <w:sz w:val="52"/>
          <w:highlight w:val="none"/>
        </w:rPr>
      </w:pPr>
      <w:r>
        <w:rPr>
          <w:rFonts w:hint="eastAsia" w:ascii="宋体" w:hAnsi="宋体" w:eastAsia="宋体" w:cs="宋体"/>
          <w:b/>
          <w:color w:val="auto"/>
          <w:sz w:val="52"/>
          <w:highlight w:val="none"/>
          <w:lang w:eastAsia="zh-CN"/>
        </w:rPr>
        <w:drawing>
          <wp:inline distT="0" distB="0" distL="114300" distR="114300">
            <wp:extent cx="1348105" cy="1416685"/>
            <wp:effectExtent l="0" t="0" r="8255" b="635"/>
            <wp:docPr id="4"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1)"/>
                    <pic:cNvPicPr>
                      <a:picLocks noChangeAspect="1"/>
                    </pic:cNvPicPr>
                  </pic:nvPicPr>
                  <pic:blipFill>
                    <a:blip r:embed="rId10"/>
                    <a:srcRect l="27167" t="18764" r="26547" b="29617"/>
                    <a:stretch>
                      <a:fillRect/>
                    </a:stretch>
                  </pic:blipFill>
                  <pic:spPr>
                    <a:xfrm>
                      <a:off x="0" y="0"/>
                      <a:ext cx="1348105" cy="1416685"/>
                    </a:xfrm>
                    <a:prstGeom prst="rect">
                      <a:avLst/>
                    </a:prstGeom>
                    <a:noFill/>
                    <a:ln>
                      <a:noFill/>
                    </a:ln>
                  </pic:spPr>
                </pic:pic>
              </a:graphicData>
            </a:graphic>
          </wp:inline>
        </w:drawing>
      </w:r>
    </w:p>
    <w:p w14:paraId="064F3023">
      <w:pPr>
        <w:tabs>
          <w:tab w:val="left" w:pos="1134"/>
          <w:tab w:val="left" w:pos="5481"/>
          <w:tab w:val="left" w:pos="5859"/>
        </w:tabs>
        <w:jc w:val="left"/>
        <w:rPr>
          <w:rFonts w:ascii="宋体" w:hAnsi="宋体"/>
          <w:b/>
          <w:color w:val="auto"/>
          <w:sz w:val="52"/>
          <w:highlight w:val="none"/>
        </w:rPr>
      </w:pPr>
    </w:p>
    <w:p w14:paraId="73055A41">
      <w:pPr>
        <w:tabs>
          <w:tab w:val="left" w:pos="1134"/>
          <w:tab w:val="left" w:pos="5481"/>
          <w:tab w:val="left" w:pos="5859"/>
        </w:tabs>
        <w:jc w:val="left"/>
        <w:rPr>
          <w:rFonts w:ascii="宋体" w:hAnsi="宋体"/>
          <w:b/>
          <w:color w:val="auto"/>
          <w:sz w:val="52"/>
          <w:highlight w:val="none"/>
        </w:rPr>
      </w:pPr>
      <w:r>
        <w:rPr>
          <w:rFonts w:ascii="宋体" w:hAnsi="宋体"/>
          <w:b/>
          <w:color w:val="auto"/>
          <w:sz w:val="52"/>
          <w:highlight w:val="none"/>
        </w:rPr>
        <w:fldChar w:fldCharType="begin"/>
      </w:r>
      <w:r>
        <w:rPr>
          <w:rFonts w:ascii="宋体" w:hAnsi="宋体"/>
          <w:b/>
          <w:color w:val="auto"/>
          <w:sz w:val="52"/>
          <w:highlight w:val="none"/>
        </w:rPr>
        <w:instrText xml:space="preserve">ADDIN CNKISM.UserStyle</w:instrText>
      </w:r>
      <w:r>
        <w:rPr>
          <w:rFonts w:ascii="宋体" w:hAnsi="宋体"/>
          <w:b/>
          <w:color w:val="auto"/>
          <w:sz w:val="52"/>
          <w:highlight w:val="none"/>
        </w:rPr>
        <w:fldChar w:fldCharType="end"/>
      </w:r>
    </w:p>
    <w:p w14:paraId="39797A07">
      <w:pPr>
        <w:tabs>
          <w:tab w:val="left" w:pos="1134"/>
          <w:tab w:val="left" w:pos="5481"/>
          <w:tab w:val="left" w:pos="5859"/>
        </w:tabs>
        <w:rPr>
          <w:rFonts w:ascii="宋体" w:hAnsi="宋体"/>
          <w:b/>
          <w:color w:val="auto"/>
          <w:sz w:val="24"/>
          <w:highlight w:val="none"/>
        </w:rPr>
      </w:pPr>
    </w:p>
    <w:p w14:paraId="5F2D0D9A">
      <w:pPr>
        <w:tabs>
          <w:tab w:val="left" w:pos="1134"/>
          <w:tab w:val="left" w:pos="5481"/>
          <w:tab w:val="left" w:pos="5859"/>
        </w:tabs>
        <w:jc w:val="center"/>
        <w:rPr>
          <w:rFonts w:hint="eastAsia" w:ascii="宋体" w:hAnsi="宋体" w:eastAsia="宋体"/>
          <w:b/>
          <w:color w:val="auto"/>
          <w:sz w:val="48"/>
          <w:szCs w:val="48"/>
          <w:highlight w:val="none"/>
          <w:lang w:eastAsia="zh-CN"/>
        </w:rPr>
      </w:pPr>
      <w:r>
        <w:rPr>
          <w:rFonts w:hint="eastAsia" w:ascii="宋体" w:hAnsi="宋体"/>
          <w:b/>
          <w:color w:val="auto"/>
          <w:sz w:val="52"/>
          <w:szCs w:val="52"/>
          <w:highlight w:val="none"/>
          <w:lang w:eastAsia="zh-CN"/>
        </w:rPr>
        <w:t>山东大学第二医院消防器材</w:t>
      </w:r>
    </w:p>
    <w:p w14:paraId="2A909069">
      <w:pPr>
        <w:tabs>
          <w:tab w:val="left" w:pos="1134"/>
          <w:tab w:val="left" w:pos="5481"/>
          <w:tab w:val="left" w:pos="5859"/>
        </w:tabs>
        <w:jc w:val="center"/>
        <w:rPr>
          <w:rFonts w:ascii="宋体" w:hAnsi="宋体"/>
          <w:b/>
          <w:color w:val="auto"/>
          <w:sz w:val="56"/>
          <w:szCs w:val="56"/>
          <w:highlight w:val="none"/>
          <w:u w:val="single"/>
        </w:rPr>
      </w:pPr>
    </w:p>
    <w:p w14:paraId="267CA0AD">
      <w:pPr>
        <w:tabs>
          <w:tab w:val="left" w:pos="1134"/>
          <w:tab w:val="left" w:pos="5481"/>
          <w:tab w:val="left" w:pos="5859"/>
        </w:tabs>
        <w:jc w:val="center"/>
        <w:rPr>
          <w:rFonts w:ascii="宋体" w:hAnsi="宋体"/>
          <w:b/>
          <w:color w:val="auto"/>
          <w:sz w:val="56"/>
          <w:szCs w:val="56"/>
          <w:highlight w:val="none"/>
          <w:u w:val="single"/>
        </w:rPr>
      </w:pPr>
    </w:p>
    <w:p w14:paraId="5BC0FA38">
      <w:pPr>
        <w:tabs>
          <w:tab w:val="left" w:pos="1134"/>
          <w:tab w:val="left" w:pos="5481"/>
          <w:tab w:val="left" w:pos="5859"/>
        </w:tabs>
        <w:jc w:val="center"/>
        <w:rPr>
          <w:rFonts w:ascii="宋体" w:hAnsi="宋体"/>
          <w:b/>
          <w:color w:val="auto"/>
          <w:sz w:val="56"/>
          <w:szCs w:val="56"/>
          <w:highlight w:val="none"/>
          <w:u w:val="single"/>
        </w:rPr>
      </w:pPr>
    </w:p>
    <w:p w14:paraId="396C05A6">
      <w:pPr>
        <w:tabs>
          <w:tab w:val="left" w:pos="1134"/>
          <w:tab w:val="left" w:pos="5481"/>
          <w:tab w:val="left" w:pos="5859"/>
        </w:tabs>
        <w:jc w:val="center"/>
        <w:rPr>
          <w:rFonts w:ascii="宋体" w:hAnsi="宋体"/>
          <w:b/>
          <w:color w:val="auto"/>
          <w:sz w:val="56"/>
          <w:szCs w:val="56"/>
          <w:highlight w:val="none"/>
        </w:rPr>
      </w:pPr>
      <w:r>
        <w:rPr>
          <w:rFonts w:hint="eastAsia" w:ascii="宋体" w:hAnsi="宋体"/>
          <w:b/>
          <w:color w:val="auto"/>
          <w:sz w:val="56"/>
          <w:szCs w:val="56"/>
          <w:highlight w:val="none"/>
          <w:lang w:eastAsia="zh-CN"/>
        </w:rPr>
        <w:t>竞争性谈判</w:t>
      </w:r>
      <w:r>
        <w:rPr>
          <w:rFonts w:hint="eastAsia" w:ascii="宋体" w:hAnsi="宋体"/>
          <w:b/>
          <w:color w:val="auto"/>
          <w:sz w:val="56"/>
          <w:szCs w:val="56"/>
          <w:highlight w:val="none"/>
        </w:rPr>
        <w:t>采购文件</w:t>
      </w:r>
    </w:p>
    <w:p w14:paraId="14968D75">
      <w:pPr>
        <w:pStyle w:val="31"/>
        <w:spacing w:line="240" w:lineRule="auto"/>
        <w:ind w:left="0" w:leftChars="0" w:right="-42" w:firstLine="0" w:firstLineChars="0"/>
        <w:jc w:val="center"/>
        <w:rPr>
          <w:rFonts w:ascii="宋体" w:hAnsi="宋体"/>
          <w:b/>
          <w:color w:val="auto"/>
          <w:sz w:val="52"/>
          <w:szCs w:val="52"/>
          <w:highlight w:val="none"/>
        </w:rPr>
      </w:pPr>
    </w:p>
    <w:p w14:paraId="310B3EBB">
      <w:pPr>
        <w:pStyle w:val="31"/>
        <w:spacing w:line="240" w:lineRule="auto"/>
        <w:ind w:left="0" w:leftChars="0" w:right="-42" w:firstLine="0" w:firstLineChars="0"/>
        <w:jc w:val="center"/>
        <w:rPr>
          <w:rFonts w:ascii="宋体" w:hAnsi="宋体"/>
          <w:b/>
          <w:color w:val="auto"/>
          <w:sz w:val="28"/>
          <w:szCs w:val="36"/>
          <w:highlight w:val="none"/>
        </w:rPr>
      </w:pPr>
      <w:r>
        <w:rPr>
          <w:rFonts w:hint="eastAsia" w:ascii="宋体" w:hAnsi="宋体"/>
          <w:b/>
          <w:color w:val="auto"/>
          <w:sz w:val="28"/>
          <w:szCs w:val="36"/>
          <w:highlight w:val="none"/>
        </w:rPr>
        <w:t>项目编号：</w:t>
      </w:r>
      <w:r>
        <w:rPr>
          <w:rFonts w:hint="eastAsia" w:ascii="宋体" w:hAnsi="宋体"/>
          <w:b/>
          <w:color w:val="auto"/>
          <w:sz w:val="28"/>
          <w:szCs w:val="36"/>
          <w:highlight w:val="none"/>
          <w:lang w:eastAsia="zh-CN"/>
        </w:rPr>
        <w:t xml:space="preserve">HYHA2024-2896 </w:t>
      </w:r>
      <w:r>
        <w:rPr>
          <w:rFonts w:hint="eastAsia" w:ascii="宋体" w:hAnsi="宋体"/>
          <w:b/>
          <w:color w:val="auto"/>
          <w:sz w:val="28"/>
          <w:szCs w:val="36"/>
          <w:highlight w:val="none"/>
        </w:rPr>
        <w:t xml:space="preserve">         </w:t>
      </w:r>
    </w:p>
    <w:p w14:paraId="1B525CF8">
      <w:pPr>
        <w:tabs>
          <w:tab w:val="left" w:pos="1134"/>
          <w:tab w:val="left" w:pos="5481"/>
          <w:tab w:val="left" w:pos="5859"/>
        </w:tabs>
        <w:jc w:val="center"/>
        <w:rPr>
          <w:rFonts w:ascii="宋体" w:hAnsi="宋体"/>
          <w:b/>
          <w:color w:val="auto"/>
          <w:sz w:val="32"/>
          <w:highlight w:val="none"/>
        </w:rPr>
      </w:pPr>
    </w:p>
    <w:p w14:paraId="3722A2E9">
      <w:pPr>
        <w:tabs>
          <w:tab w:val="left" w:pos="1134"/>
          <w:tab w:val="left" w:pos="5481"/>
          <w:tab w:val="left" w:pos="5859"/>
        </w:tabs>
        <w:spacing w:line="360" w:lineRule="auto"/>
        <w:jc w:val="center"/>
        <w:rPr>
          <w:rFonts w:ascii="宋体" w:hAnsi="宋体"/>
          <w:b/>
          <w:color w:val="auto"/>
          <w:sz w:val="32"/>
          <w:szCs w:val="32"/>
          <w:highlight w:val="none"/>
        </w:rPr>
      </w:pPr>
    </w:p>
    <w:p w14:paraId="37A255CF">
      <w:pPr>
        <w:tabs>
          <w:tab w:val="left" w:pos="1134"/>
          <w:tab w:val="left" w:pos="5481"/>
          <w:tab w:val="left" w:pos="5859"/>
        </w:tabs>
        <w:spacing w:line="360" w:lineRule="auto"/>
        <w:jc w:val="center"/>
        <w:rPr>
          <w:rFonts w:ascii="宋体" w:hAnsi="宋体"/>
          <w:b/>
          <w:color w:val="auto"/>
          <w:sz w:val="32"/>
          <w:szCs w:val="32"/>
          <w:highlight w:val="none"/>
        </w:rPr>
      </w:pPr>
    </w:p>
    <w:p w14:paraId="582B38FC">
      <w:pPr>
        <w:tabs>
          <w:tab w:val="left" w:pos="1134"/>
          <w:tab w:val="left" w:pos="5481"/>
          <w:tab w:val="left" w:pos="5859"/>
        </w:tabs>
        <w:spacing w:line="360" w:lineRule="auto"/>
        <w:jc w:val="center"/>
        <w:rPr>
          <w:rFonts w:ascii="宋体" w:hAnsi="宋体"/>
          <w:b/>
          <w:color w:val="auto"/>
          <w:sz w:val="32"/>
          <w:szCs w:val="32"/>
          <w:highlight w:val="none"/>
        </w:rPr>
      </w:pPr>
    </w:p>
    <w:p w14:paraId="54124A03">
      <w:pPr>
        <w:pageBreakBefore w:val="0"/>
        <w:tabs>
          <w:tab w:val="left" w:pos="1134"/>
          <w:tab w:val="left" w:pos="5481"/>
          <w:tab w:val="left" w:pos="5859"/>
        </w:tabs>
        <w:wordWrap w:val="0"/>
        <w:overflowPunct/>
        <w:topLinePunct w:val="0"/>
        <w:bidi w:val="0"/>
        <w:spacing w:line="480" w:lineRule="auto"/>
        <w:ind w:left="1518" w:leftChars="723"/>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采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人：</w:t>
      </w:r>
      <w:r>
        <w:rPr>
          <w:rFonts w:hint="eastAsia" w:ascii="宋体" w:hAnsi="宋体" w:cs="宋体"/>
          <w:b/>
          <w:color w:val="auto"/>
          <w:sz w:val="32"/>
          <w:szCs w:val="32"/>
          <w:highlight w:val="none"/>
          <w:lang w:val="en-US" w:eastAsia="zh-CN"/>
        </w:rPr>
        <w:t>山东大学第二医院</w:t>
      </w:r>
    </w:p>
    <w:p w14:paraId="17A3B130">
      <w:pPr>
        <w:pageBreakBefore w:val="0"/>
        <w:tabs>
          <w:tab w:val="left" w:pos="1134"/>
          <w:tab w:val="left" w:pos="5481"/>
          <w:tab w:val="left" w:pos="5859"/>
        </w:tabs>
        <w:wordWrap w:val="0"/>
        <w:overflowPunct/>
        <w:topLinePunct w:val="0"/>
        <w:bidi w:val="0"/>
        <w:spacing w:line="480" w:lineRule="auto"/>
        <w:ind w:left="1518" w:leftChars="723"/>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采购代理机构：海逸恒安项目管理有限公司</w:t>
      </w:r>
    </w:p>
    <w:p w14:paraId="6A7446CE">
      <w:pPr>
        <w:tabs>
          <w:tab w:val="left" w:pos="1134"/>
          <w:tab w:val="left" w:pos="5481"/>
          <w:tab w:val="left" w:pos="5859"/>
        </w:tabs>
        <w:spacing w:line="480" w:lineRule="auto"/>
        <w:ind w:left="1518" w:leftChars="723"/>
        <w:jc w:val="left"/>
        <w:rPr>
          <w:rFonts w:ascii="宋体" w:hAnsi="宋体"/>
          <w:b/>
          <w:color w:val="auto"/>
          <w:sz w:val="32"/>
          <w:szCs w:val="32"/>
          <w:highlight w:val="none"/>
        </w:rPr>
      </w:pPr>
      <w:r>
        <w:rPr>
          <w:rFonts w:hint="eastAsia" w:ascii="宋体" w:hAnsi="宋体" w:eastAsia="宋体" w:cs="宋体"/>
          <w:b/>
          <w:color w:val="auto"/>
          <w:sz w:val="32"/>
          <w:szCs w:val="32"/>
          <w:highlight w:val="none"/>
          <w:lang w:val="en-US" w:eastAsia="zh-CN"/>
        </w:rPr>
        <w:t>日        期：</w:t>
      </w:r>
      <w:r>
        <w:rPr>
          <w:rFonts w:hint="eastAsia" w:ascii="宋体" w:hAnsi="宋体" w:eastAsia="宋体" w:cs="宋体"/>
          <w:b/>
          <w:color w:val="auto"/>
          <w:sz w:val="32"/>
          <w:szCs w:val="32"/>
          <w:highlight w:val="none"/>
          <w:lang w:eastAsia="zh-CN"/>
        </w:rPr>
        <w:t>二〇二四年</w:t>
      </w:r>
      <w:r>
        <w:rPr>
          <w:rFonts w:hint="eastAsia" w:ascii="宋体" w:hAnsi="宋体" w:cs="宋体"/>
          <w:b/>
          <w:color w:val="auto"/>
          <w:sz w:val="32"/>
          <w:szCs w:val="32"/>
          <w:highlight w:val="none"/>
          <w:lang w:val="en-US" w:eastAsia="zh-CN"/>
        </w:rPr>
        <w:t>九</w:t>
      </w:r>
      <w:r>
        <w:rPr>
          <w:rFonts w:hint="eastAsia" w:ascii="宋体" w:hAnsi="宋体" w:eastAsia="宋体" w:cs="宋体"/>
          <w:b/>
          <w:color w:val="auto"/>
          <w:sz w:val="32"/>
          <w:szCs w:val="32"/>
          <w:highlight w:val="none"/>
          <w:lang w:eastAsia="zh-CN"/>
        </w:rPr>
        <w:t>月</w:t>
      </w:r>
    </w:p>
    <w:p w14:paraId="4CF40329">
      <w:pPr>
        <w:tabs>
          <w:tab w:val="left" w:pos="1134"/>
          <w:tab w:val="left" w:pos="5481"/>
          <w:tab w:val="left" w:pos="5859"/>
        </w:tabs>
        <w:spacing w:line="480" w:lineRule="auto"/>
        <w:jc w:val="center"/>
        <w:rPr>
          <w:rFonts w:ascii="宋体" w:hAnsi="宋体"/>
          <w:b/>
          <w:color w:val="auto"/>
          <w:sz w:val="32"/>
          <w:szCs w:val="32"/>
          <w:highlight w:val="none"/>
        </w:rPr>
        <w:sectPr>
          <w:headerReference r:id="rId3" w:type="default"/>
          <w:footerReference r:id="rId4" w:type="default"/>
          <w:footerReference r:id="rId5" w:type="even"/>
          <w:pgSz w:w="11907" w:h="16840"/>
          <w:pgMar w:top="1418" w:right="1418" w:bottom="1418" w:left="1418" w:header="851" w:footer="823" w:gutter="0"/>
          <w:pgNumType w:start="0"/>
          <w:cols w:space="720" w:num="1"/>
          <w:titlePg/>
          <w:docGrid w:linePitch="290" w:charSpace="-3931"/>
        </w:sectPr>
      </w:pPr>
    </w:p>
    <w:p w14:paraId="7593C167">
      <w:pPr>
        <w:pStyle w:val="31"/>
        <w:spacing w:line="240" w:lineRule="auto"/>
        <w:ind w:left="0" w:leftChars="0" w:firstLine="0" w:firstLineChars="0"/>
        <w:jc w:val="center"/>
        <w:rPr>
          <w:rFonts w:ascii="宋体" w:hAnsi="宋体"/>
          <w:b/>
          <w:color w:val="auto"/>
          <w:sz w:val="36"/>
          <w:highlight w:val="none"/>
        </w:rPr>
      </w:pP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录</w:t>
      </w:r>
    </w:p>
    <w:p w14:paraId="6F0C0FD4">
      <w:pPr>
        <w:pStyle w:val="53"/>
        <w:tabs>
          <w:tab w:val="right" w:leader="dot" w:pos="9071"/>
        </w:tabs>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"1-2" \h \z \u </w:instrText>
      </w:r>
      <w:r>
        <w:rPr>
          <w:rFonts w:ascii="宋体" w:hAnsi="宋体"/>
          <w:color w:val="auto"/>
          <w:sz w:val="21"/>
          <w:szCs w:val="21"/>
          <w:highlight w:val="none"/>
        </w:rPr>
        <w:fldChar w:fldCharType="separate"/>
      </w:r>
      <w:r>
        <w:rPr>
          <w:rFonts w:ascii="宋体" w:hAnsi="宋体"/>
          <w:color w:val="auto"/>
          <w:szCs w:val="21"/>
          <w:highlight w:val="none"/>
        </w:rPr>
        <w:fldChar w:fldCharType="begin"/>
      </w:r>
      <w:r>
        <w:rPr>
          <w:rFonts w:ascii="宋体" w:hAnsi="宋体"/>
          <w:szCs w:val="21"/>
          <w:highlight w:val="none"/>
        </w:rPr>
        <w:instrText xml:space="preserve"> HYPERLINK \l _Toc20463 </w:instrText>
      </w:r>
      <w:r>
        <w:rPr>
          <w:rFonts w:ascii="宋体" w:hAnsi="宋体"/>
          <w:szCs w:val="21"/>
          <w:highlight w:val="none"/>
        </w:rPr>
        <w:fldChar w:fldCharType="separate"/>
      </w:r>
      <w:r>
        <w:rPr>
          <w:rFonts w:hint="eastAsia" w:ascii="宋体" w:hAnsi="宋体"/>
          <w:kern w:val="2"/>
          <w:highlight w:val="none"/>
        </w:rPr>
        <w:t>第一章</w:t>
      </w:r>
      <w:r>
        <w:rPr>
          <w:rFonts w:ascii="宋体" w:hAnsi="宋体"/>
          <w:kern w:val="2"/>
          <w:highlight w:val="none"/>
        </w:rPr>
        <w:t xml:space="preserve">   </w:t>
      </w:r>
      <w:r>
        <w:rPr>
          <w:rFonts w:hint="eastAsia" w:ascii="宋体" w:hAnsi="宋体"/>
          <w:kern w:val="2"/>
          <w:highlight w:val="none"/>
          <w:lang w:eastAsia="zh-CN"/>
        </w:rPr>
        <w:t>竞争性谈判</w:t>
      </w:r>
      <w:r>
        <w:rPr>
          <w:rFonts w:hint="eastAsia" w:ascii="宋体" w:hAnsi="宋体"/>
          <w:kern w:val="2"/>
          <w:highlight w:val="none"/>
        </w:rPr>
        <w:t>公告</w:t>
      </w:r>
      <w:r>
        <w:tab/>
      </w:r>
      <w:r>
        <w:fldChar w:fldCharType="begin"/>
      </w:r>
      <w:r>
        <w:instrText xml:space="preserve"> PAGEREF _Toc20463 \h </w:instrText>
      </w:r>
      <w:r>
        <w:fldChar w:fldCharType="separate"/>
      </w:r>
      <w:r>
        <w:t>2</w:t>
      </w:r>
      <w:r>
        <w:fldChar w:fldCharType="end"/>
      </w:r>
      <w:r>
        <w:rPr>
          <w:rFonts w:ascii="宋体" w:hAnsi="宋体"/>
          <w:color w:val="auto"/>
          <w:szCs w:val="21"/>
          <w:highlight w:val="none"/>
        </w:rPr>
        <w:fldChar w:fldCharType="end"/>
      </w:r>
    </w:p>
    <w:p w14:paraId="6BDE64DE">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_Toc6115 </w:instrText>
      </w:r>
      <w:r>
        <w:rPr>
          <w:rFonts w:ascii="宋体" w:hAnsi="宋体"/>
          <w:szCs w:val="21"/>
          <w:highlight w:val="none"/>
        </w:rPr>
        <w:fldChar w:fldCharType="separate"/>
      </w:r>
      <w:r>
        <w:rPr>
          <w:rFonts w:hint="eastAsia" w:ascii="宋体" w:hAnsi="宋体" w:eastAsia="宋体" w:cs="宋体"/>
          <w:bCs/>
          <w:i w:val="0"/>
          <w:iCs w:val="0"/>
          <w:caps w:val="0"/>
          <w:spacing w:val="0"/>
          <w:szCs w:val="28"/>
          <w:shd w:val="clear" w:fill="FFFFFF"/>
          <w:vertAlign w:val="baseline"/>
          <w:lang w:eastAsia="zh-CN"/>
        </w:rPr>
        <w:t>山东大学第二医院消防器材</w:t>
      </w:r>
      <w:r>
        <w:rPr>
          <w:rFonts w:hint="eastAsia" w:ascii="宋体" w:hAnsi="宋体" w:eastAsia="宋体" w:cs="宋体"/>
          <w:bCs/>
          <w:i w:val="0"/>
          <w:iCs w:val="0"/>
          <w:caps w:val="0"/>
          <w:spacing w:val="0"/>
          <w:szCs w:val="28"/>
          <w:shd w:val="clear" w:fill="FFFFFF"/>
          <w:vertAlign w:val="baseline"/>
        </w:rPr>
        <w:t>竞争性谈判公告</w:t>
      </w:r>
      <w:r>
        <w:tab/>
      </w:r>
      <w:r>
        <w:fldChar w:fldCharType="begin"/>
      </w:r>
      <w:r>
        <w:instrText xml:space="preserve"> PAGEREF _Toc6115 \h </w:instrText>
      </w:r>
      <w:r>
        <w:fldChar w:fldCharType="separate"/>
      </w:r>
      <w:r>
        <w:t>2</w:t>
      </w:r>
      <w:r>
        <w:fldChar w:fldCharType="end"/>
      </w:r>
      <w:r>
        <w:rPr>
          <w:rFonts w:ascii="宋体" w:hAnsi="宋体"/>
          <w:color w:val="auto"/>
          <w:szCs w:val="21"/>
          <w:highlight w:val="none"/>
        </w:rPr>
        <w:fldChar w:fldCharType="end"/>
      </w:r>
    </w:p>
    <w:p w14:paraId="4B55E3F0">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_Toc14701 </w:instrText>
      </w:r>
      <w:r>
        <w:rPr>
          <w:rFonts w:ascii="宋体" w:hAnsi="宋体"/>
          <w:szCs w:val="21"/>
          <w:highlight w:val="none"/>
        </w:rPr>
        <w:fldChar w:fldCharType="separate"/>
      </w:r>
      <w:r>
        <w:rPr>
          <w:rFonts w:hint="eastAsia" w:ascii="宋体" w:hAnsi="宋体"/>
          <w:kern w:val="2"/>
          <w:highlight w:val="none"/>
        </w:rPr>
        <w:t>第二章</w:t>
      </w:r>
      <w:r>
        <w:rPr>
          <w:rFonts w:ascii="宋体" w:hAnsi="宋体"/>
          <w:kern w:val="2"/>
          <w:highlight w:val="none"/>
        </w:rPr>
        <w:t xml:space="preserve">   </w:t>
      </w:r>
      <w:r>
        <w:rPr>
          <w:rFonts w:hint="eastAsia" w:ascii="宋体" w:hAnsi="宋体"/>
          <w:kern w:val="2"/>
          <w:highlight w:val="none"/>
        </w:rPr>
        <w:t>供应商须知</w:t>
      </w:r>
      <w:r>
        <w:tab/>
      </w:r>
      <w:r>
        <w:fldChar w:fldCharType="begin"/>
      </w:r>
      <w:r>
        <w:instrText xml:space="preserve"> PAGEREF _Toc14701 \h </w:instrText>
      </w:r>
      <w:r>
        <w:fldChar w:fldCharType="separate"/>
      </w:r>
      <w:r>
        <w:t>5</w:t>
      </w:r>
      <w:r>
        <w:fldChar w:fldCharType="end"/>
      </w:r>
      <w:r>
        <w:rPr>
          <w:rFonts w:ascii="宋体" w:hAnsi="宋体"/>
          <w:color w:val="auto"/>
          <w:szCs w:val="21"/>
          <w:highlight w:val="none"/>
        </w:rPr>
        <w:fldChar w:fldCharType="end"/>
      </w:r>
    </w:p>
    <w:p w14:paraId="6154FBAE">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_Toc28238 </w:instrText>
      </w:r>
      <w:r>
        <w:rPr>
          <w:rFonts w:ascii="宋体" w:hAnsi="宋体"/>
          <w:szCs w:val="21"/>
          <w:highlight w:val="none"/>
        </w:rPr>
        <w:fldChar w:fldCharType="separate"/>
      </w:r>
      <w:r>
        <w:rPr>
          <w:rFonts w:hint="eastAsia" w:ascii="宋体" w:hAnsi="宋体"/>
          <w:bCs w:val="0"/>
          <w:szCs w:val="30"/>
          <w:highlight w:val="none"/>
        </w:rPr>
        <w:t>供应商须知前附表</w:t>
      </w:r>
      <w:r>
        <w:tab/>
      </w:r>
      <w:r>
        <w:fldChar w:fldCharType="begin"/>
      </w:r>
      <w:r>
        <w:instrText xml:space="preserve"> PAGEREF _Toc28238 \h </w:instrText>
      </w:r>
      <w:r>
        <w:fldChar w:fldCharType="separate"/>
      </w:r>
      <w:r>
        <w:t>5</w:t>
      </w:r>
      <w:r>
        <w:fldChar w:fldCharType="end"/>
      </w:r>
      <w:r>
        <w:rPr>
          <w:rFonts w:ascii="宋体" w:hAnsi="宋体"/>
          <w:color w:val="auto"/>
          <w:szCs w:val="21"/>
          <w:highlight w:val="none"/>
        </w:rPr>
        <w:fldChar w:fldCharType="end"/>
      </w:r>
    </w:p>
    <w:p w14:paraId="79990C95">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_Toc12830 </w:instrText>
      </w:r>
      <w:r>
        <w:rPr>
          <w:rFonts w:ascii="宋体" w:hAnsi="宋体"/>
          <w:szCs w:val="21"/>
          <w:highlight w:val="none"/>
        </w:rPr>
        <w:fldChar w:fldCharType="separate"/>
      </w:r>
      <w:r>
        <w:rPr>
          <w:rFonts w:hint="eastAsia" w:ascii="宋体" w:hAnsi="宋体" w:eastAsia="宋体"/>
          <w:szCs w:val="24"/>
          <w:highlight w:val="none"/>
        </w:rPr>
        <w:t>一、说明</w:t>
      </w:r>
      <w:r>
        <w:tab/>
      </w:r>
      <w:r>
        <w:fldChar w:fldCharType="begin"/>
      </w:r>
      <w:r>
        <w:instrText xml:space="preserve"> PAGEREF _Toc12830 \h </w:instrText>
      </w:r>
      <w:r>
        <w:fldChar w:fldCharType="separate"/>
      </w:r>
      <w:r>
        <w:t>15</w:t>
      </w:r>
      <w:r>
        <w:fldChar w:fldCharType="end"/>
      </w:r>
      <w:r>
        <w:rPr>
          <w:rFonts w:ascii="宋体" w:hAnsi="宋体"/>
          <w:color w:val="auto"/>
          <w:szCs w:val="21"/>
          <w:highlight w:val="none"/>
        </w:rPr>
        <w:fldChar w:fldCharType="end"/>
      </w:r>
    </w:p>
    <w:p w14:paraId="16F655BD">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_Toc29317 </w:instrText>
      </w:r>
      <w:r>
        <w:rPr>
          <w:rFonts w:ascii="宋体" w:hAnsi="宋体"/>
          <w:szCs w:val="21"/>
          <w:highlight w:val="none"/>
        </w:rPr>
        <w:fldChar w:fldCharType="separate"/>
      </w:r>
      <w:r>
        <w:rPr>
          <w:rFonts w:hint="eastAsia" w:ascii="宋体" w:hAnsi="宋体" w:eastAsia="宋体"/>
          <w:szCs w:val="24"/>
          <w:highlight w:val="none"/>
        </w:rPr>
        <w:t>二、采购文件</w:t>
      </w:r>
      <w:r>
        <w:tab/>
      </w:r>
      <w:r>
        <w:fldChar w:fldCharType="begin"/>
      </w:r>
      <w:r>
        <w:instrText xml:space="preserve"> PAGEREF _Toc29317 \h </w:instrText>
      </w:r>
      <w:r>
        <w:fldChar w:fldCharType="separate"/>
      </w:r>
      <w:r>
        <w:t>15</w:t>
      </w:r>
      <w:r>
        <w:fldChar w:fldCharType="end"/>
      </w:r>
      <w:r>
        <w:rPr>
          <w:rFonts w:ascii="宋体" w:hAnsi="宋体"/>
          <w:color w:val="auto"/>
          <w:szCs w:val="21"/>
          <w:highlight w:val="none"/>
        </w:rPr>
        <w:fldChar w:fldCharType="end"/>
      </w:r>
    </w:p>
    <w:p w14:paraId="5168C540">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_Toc13371 </w:instrText>
      </w:r>
      <w:r>
        <w:rPr>
          <w:rFonts w:ascii="宋体" w:hAnsi="宋体"/>
          <w:szCs w:val="21"/>
          <w:highlight w:val="none"/>
        </w:rPr>
        <w:fldChar w:fldCharType="separate"/>
      </w:r>
      <w:r>
        <w:rPr>
          <w:rFonts w:hint="eastAsia" w:ascii="宋体" w:hAnsi="宋体" w:eastAsia="宋体"/>
          <w:szCs w:val="24"/>
          <w:highlight w:val="none"/>
        </w:rPr>
        <w:t>三、响应文件编写</w:t>
      </w:r>
      <w:r>
        <w:tab/>
      </w:r>
      <w:r>
        <w:fldChar w:fldCharType="begin"/>
      </w:r>
      <w:r>
        <w:instrText xml:space="preserve"> PAGEREF _Toc13371 \h </w:instrText>
      </w:r>
      <w:r>
        <w:fldChar w:fldCharType="separate"/>
      </w:r>
      <w:r>
        <w:t>16</w:t>
      </w:r>
      <w:r>
        <w:fldChar w:fldCharType="end"/>
      </w:r>
      <w:r>
        <w:rPr>
          <w:rFonts w:ascii="宋体" w:hAnsi="宋体"/>
          <w:color w:val="auto"/>
          <w:szCs w:val="21"/>
          <w:highlight w:val="none"/>
        </w:rPr>
        <w:fldChar w:fldCharType="end"/>
      </w:r>
    </w:p>
    <w:p w14:paraId="1D81DAD9">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_Toc13062 </w:instrText>
      </w:r>
      <w:r>
        <w:rPr>
          <w:rFonts w:ascii="宋体" w:hAnsi="宋体"/>
          <w:szCs w:val="21"/>
          <w:highlight w:val="none"/>
        </w:rPr>
        <w:fldChar w:fldCharType="separate"/>
      </w:r>
      <w:r>
        <w:rPr>
          <w:rFonts w:hint="eastAsia" w:ascii="宋体" w:hAnsi="宋体" w:eastAsia="宋体"/>
          <w:szCs w:val="24"/>
          <w:highlight w:val="none"/>
        </w:rPr>
        <w:t>四、</w:t>
      </w:r>
      <w:r>
        <w:rPr>
          <w:rFonts w:hint="eastAsia" w:ascii="宋体" w:hAnsi="宋体" w:eastAsia="宋体"/>
          <w:highlight w:val="none"/>
        </w:rPr>
        <w:t>首次</w:t>
      </w:r>
      <w:r>
        <w:rPr>
          <w:rFonts w:hint="eastAsia" w:ascii="宋体" w:hAnsi="宋体" w:eastAsia="宋体"/>
          <w:szCs w:val="24"/>
          <w:highlight w:val="none"/>
        </w:rPr>
        <w:t>响应文件递交</w:t>
      </w:r>
      <w:r>
        <w:tab/>
      </w:r>
      <w:r>
        <w:fldChar w:fldCharType="begin"/>
      </w:r>
      <w:r>
        <w:instrText xml:space="preserve"> PAGEREF _Toc13062 \h </w:instrText>
      </w:r>
      <w:r>
        <w:fldChar w:fldCharType="separate"/>
      </w:r>
      <w:r>
        <w:t>21</w:t>
      </w:r>
      <w:r>
        <w:fldChar w:fldCharType="end"/>
      </w:r>
      <w:r>
        <w:rPr>
          <w:rFonts w:ascii="宋体" w:hAnsi="宋体"/>
          <w:color w:val="auto"/>
          <w:szCs w:val="21"/>
          <w:highlight w:val="none"/>
        </w:rPr>
        <w:fldChar w:fldCharType="end"/>
      </w:r>
    </w:p>
    <w:p w14:paraId="56159F1F">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_Toc17612 </w:instrText>
      </w:r>
      <w:r>
        <w:rPr>
          <w:rFonts w:ascii="宋体" w:hAnsi="宋体"/>
          <w:szCs w:val="21"/>
          <w:highlight w:val="none"/>
        </w:rPr>
        <w:fldChar w:fldCharType="separate"/>
      </w:r>
      <w:r>
        <w:rPr>
          <w:rFonts w:hint="eastAsia" w:ascii="宋体" w:hAnsi="宋体" w:eastAsia="宋体"/>
          <w:szCs w:val="24"/>
          <w:highlight w:val="none"/>
        </w:rPr>
        <w:t>五、</w:t>
      </w:r>
      <w:r>
        <w:rPr>
          <w:rFonts w:hint="eastAsia" w:ascii="宋体" w:hAnsi="宋体" w:eastAsia="宋体"/>
          <w:szCs w:val="24"/>
          <w:highlight w:val="none"/>
          <w:lang w:eastAsia="zh-CN"/>
        </w:rPr>
        <w:t>谈判</w:t>
      </w:r>
      <w:r>
        <w:rPr>
          <w:rFonts w:hint="eastAsia" w:ascii="宋体" w:hAnsi="宋体" w:eastAsia="宋体"/>
          <w:szCs w:val="24"/>
          <w:highlight w:val="none"/>
        </w:rPr>
        <w:t>会议仪式、</w:t>
      </w:r>
      <w:r>
        <w:rPr>
          <w:rFonts w:hint="eastAsia" w:ascii="宋体" w:hAnsi="宋体" w:eastAsia="宋体"/>
          <w:szCs w:val="24"/>
          <w:highlight w:val="none"/>
          <w:lang w:eastAsia="zh-CN"/>
        </w:rPr>
        <w:t>谈判</w:t>
      </w:r>
      <w:r>
        <w:rPr>
          <w:rFonts w:hint="eastAsia" w:ascii="宋体" w:hAnsi="宋体" w:eastAsia="宋体"/>
          <w:szCs w:val="24"/>
          <w:highlight w:val="none"/>
        </w:rPr>
        <w:t>与评审</w:t>
      </w:r>
      <w:r>
        <w:tab/>
      </w:r>
      <w:r>
        <w:fldChar w:fldCharType="begin"/>
      </w:r>
      <w:r>
        <w:instrText xml:space="preserve"> PAGEREF _Toc17612 \h </w:instrText>
      </w:r>
      <w:r>
        <w:fldChar w:fldCharType="separate"/>
      </w:r>
      <w:r>
        <w:t>21</w:t>
      </w:r>
      <w:r>
        <w:fldChar w:fldCharType="end"/>
      </w:r>
      <w:r>
        <w:rPr>
          <w:rFonts w:ascii="宋体" w:hAnsi="宋体"/>
          <w:color w:val="auto"/>
          <w:szCs w:val="21"/>
          <w:highlight w:val="none"/>
        </w:rPr>
        <w:fldChar w:fldCharType="end"/>
      </w:r>
    </w:p>
    <w:p w14:paraId="51B64FC7">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_Toc5942 </w:instrText>
      </w:r>
      <w:r>
        <w:rPr>
          <w:rFonts w:ascii="宋体" w:hAnsi="宋体"/>
          <w:szCs w:val="21"/>
          <w:highlight w:val="none"/>
        </w:rPr>
        <w:fldChar w:fldCharType="separate"/>
      </w:r>
      <w:r>
        <w:rPr>
          <w:rFonts w:hint="eastAsia" w:ascii="宋体" w:hAnsi="宋体" w:eastAsia="宋体" w:cs="宋体"/>
          <w:szCs w:val="24"/>
          <w:highlight w:val="none"/>
        </w:rPr>
        <w:t>六、询问和质疑</w:t>
      </w:r>
      <w:r>
        <w:tab/>
      </w:r>
      <w:r>
        <w:fldChar w:fldCharType="begin"/>
      </w:r>
      <w:r>
        <w:instrText xml:space="preserve"> PAGEREF _Toc5942 \h </w:instrText>
      </w:r>
      <w:r>
        <w:fldChar w:fldCharType="separate"/>
      </w:r>
      <w:r>
        <w:t>30</w:t>
      </w:r>
      <w:r>
        <w:fldChar w:fldCharType="end"/>
      </w:r>
      <w:r>
        <w:rPr>
          <w:rFonts w:ascii="宋体" w:hAnsi="宋体"/>
          <w:color w:val="auto"/>
          <w:szCs w:val="21"/>
          <w:highlight w:val="none"/>
        </w:rPr>
        <w:fldChar w:fldCharType="end"/>
      </w:r>
    </w:p>
    <w:p w14:paraId="299F0C05">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_Toc12855 </w:instrText>
      </w:r>
      <w:r>
        <w:rPr>
          <w:rFonts w:ascii="宋体" w:hAnsi="宋体"/>
          <w:szCs w:val="21"/>
          <w:highlight w:val="none"/>
        </w:rPr>
        <w:fldChar w:fldCharType="separate"/>
      </w:r>
      <w:r>
        <w:rPr>
          <w:rFonts w:hint="eastAsia" w:ascii="宋体" w:hAnsi="宋体" w:eastAsia="宋体" w:cs="宋体"/>
          <w:szCs w:val="24"/>
          <w:highlight w:val="none"/>
        </w:rPr>
        <w:t>七、授予合同</w:t>
      </w:r>
      <w:r>
        <w:tab/>
      </w:r>
      <w:r>
        <w:fldChar w:fldCharType="begin"/>
      </w:r>
      <w:r>
        <w:instrText xml:space="preserve"> PAGEREF _Toc12855 \h </w:instrText>
      </w:r>
      <w:r>
        <w:fldChar w:fldCharType="separate"/>
      </w:r>
      <w:r>
        <w:t>32</w:t>
      </w:r>
      <w:r>
        <w:fldChar w:fldCharType="end"/>
      </w:r>
      <w:r>
        <w:rPr>
          <w:rFonts w:ascii="宋体" w:hAnsi="宋体"/>
          <w:color w:val="auto"/>
          <w:szCs w:val="21"/>
          <w:highlight w:val="none"/>
        </w:rPr>
        <w:fldChar w:fldCharType="end"/>
      </w:r>
    </w:p>
    <w:p w14:paraId="528FFDDE">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_Toc28203 </w:instrText>
      </w:r>
      <w:r>
        <w:rPr>
          <w:rFonts w:ascii="宋体" w:hAnsi="宋体"/>
          <w:szCs w:val="21"/>
          <w:highlight w:val="none"/>
        </w:rPr>
        <w:fldChar w:fldCharType="separate"/>
      </w:r>
      <w:r>
        <w:rPr>
          <w:rFonts w:hint="eastAsia" w:ascii="宋体" w:hAnsi="宋体" w:eastAsia="宋体" w:cs="宋体"/>
          <w:szCs w:val="24"/>
          <w:highlight w:val="none"/>
        </w:rPr>
        <w:t>八、履约担保</w:t>
      </w:r>
      <w:r>
        <w:tab/>
      </w:r>
      <w:r>
        <w:fldChar w:fldCharType="begin"/>
      </w:r>
      <w:r>
        <w:instrText xml:space="preserve"> PAGEREF _Toc28203 \h </w:instrText>
      </w:r>
      <w:r>
        <w:fldChar w:fldCharType="separate"/>
      </w:r>
      <w:r>
        <w:t>33</w:t>
      </w:r>
      <w:r>
        <w:fldChar w:fldCharType="end"/>
      </w:r>
      <w:r>
        <w:rPr>
          <w:rFonts w:ascii="宋体" w:hAnsi="宋体"/>
          <w:color w:val="auto"/>
          <w:szCs w:val="21"/>
          <w:highlight w:val="none"/>
        </w:rPr>
        <w:fldChar w:fldCharType="end"/>
      </w:r>
    </w:p>
    <w:p w14:paraId="13124AEB">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_Toc2134 </w:instrText>
      </w:r>
      <w:r>
        <w:rPr>
          <w:rFonts w:ascii="宋体" w:hAnsi="宋体"/>
          <w:szCs w:val="21"/>
          <w:highlight w:val="none"/>
        </w:rPr>
        <w:fldChar w:fldCharType="separate"/>
      </w:r>
      <w:r>
        <w:rPr>
          <w:rFonts w:hint="eastAsia" w:ascii="宋体" w:hAnsi="宋体" w:eastAsia="宋体" w:cs="宋体"/>
          <w:szCs w:val="24"/>
          <w:highlight w:val="none"/>
        </w:rPr>
        <w:t>九、成交服务费、公证费/律师见证费</w:t>
      </w:r>
      <w:r>
        <w:tab/>
      </w:r>
      <w:r>
        <w:fldChar w:fldCharType="begin"/>
      </w:r>
      <w:r>
        <w:instrText xml:space="preserve"> PAGEREF _Toc2134 \h </w:instrText>
      </w:r>
      <w:r>
        <w:fldChar w:fldCharType="separate"/>
      </w:r>
      <w:r>
        <w:t>33</w:t>
      </w:r>
      <w:r>
        <w:fldChar w:fldCharType="end"/>
      </w:r>
      <w:r>
        <w:rPr>
          <w:rFonts w:ascii="宋体" w:hAnsi="宋体"/>
          <w:color w:val="auto"/>
          <w:szCs w:val="21"/>
          <w:highlight w:val="none"/>
        </w:rPr>
        <w:fldChar w:fldCharType="end"/>
      </w:r>
    </w:p>
    <w:p w14:paraId="7BE3B9B1">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_Toc12529 </w:instrText>
      </w:r>
      <w:r>
        <w:rPr>
          <w:rFonts w:ascii="宋体" w:hAnsi="宋体"/>
          <w:szCs w:val="21"/>
          <w:highlight w:val="none"/>
        </w:rPr>
        <w:fldChar w:fldCharType="separate"/>
      </w:r>
      <w:r>
        <w:rPr>
          <w:rFonts w:hint="eastAsia" w:ascii="宋体" w:hAnsi="宋体" w:eastAsia="宋体" w:cs="宋体"/>
          <w:szCs w:val="24"/>
          <w:highlight w:val="none"/>
        </w:rPr>
        <w:t>十、解释权</w:t>
      </w:r>
      <w:r>
        <w:tab/>
      </w:r>
      <w:r>
        <w:fldChar w:fldCharType="begin"/>
      </w:r>
      <w:r>
        <w:instrText xml:space="preserve"> PAGEREF _Toc12529 \h </w:instrText>
      </w:r>
      <w:r>
        <w:fldChar w:fldCharType="separate"/>
      </w:r>
      <w:r>
        <w:t>33</w:t>
      </w:r>
      <w:r>
        <w:fldChar w:fldCharType="end"/>
      </w:r>
      <w:r>
        <w:rPr>
          <w:rFonts w:ascii="宋体" w:hAnsi="宋体"/>
          <w:color w:val="auto"/>
          <w:szCs w:val="21"/>
          <w:highlight w:val="none"/>
        </w:rPr>
        <w:fldChar w:fldCharType="end"/>
      </w:r>
    </w:p>
    <w:p w14:paraId="607EC6F7">
      <w:pPr>
        <w:pStyle w:val="62"/>
        <w:tabs>
          <w:tab w:val="right" w:leader="dot" w:pos="9071"/>
          <w:tab w:val="clear" w:pos="8597"/>
        </w:tabs>
      </w:pPr>
      <w:r>
        <w:rPr>
          <w:rFonts w:ascii="宋体" w:hAnsi="宋体"/>
          <w:color w:val="auto"/>
          <w:szCs w:val="21"/>
          <w:highlight w:val="none"/>
        </w:rPr>
        <w:fldChar w:fldCharType="begin"/>
      </w:r>
      <w:r>
        <w:rPr>
          <w:rFonts w:ascii="宋体" w:hAnsi="宋体"/>
          <w:szCs w:val="21"/>
          <w:highlight w:val="none"/>
        </w:rPr>
        <w:instrText xml:space="preserve"> HYPERLINK \l _Toc28218 </w:instrText>
      </w:r>
      <w:r>
        <w:rPr>
          <w:rFonts w:ascii="宋体" w:hAnsi="宋体"/>
          <w:szCs w:val="21"/>
          <w:highlight w:val="none"/>
        </w:rPr>
        <w:fldChar w:fldCharType="separate"/>
      </w:r>
      <w:r>
        <w:rPr>
          <w:rFonts w:hint="eastAsia" w:ascii="宋体" w:hAnsi="宋体" w:eastAsia="宋体" w:cs="宋体"/>
          <w:szCs w:val="24"/>
          <w:highlight w:val="none"/>
        </w:rPr>
        <w:t>十一、其他</w:t>
      </w:r>
      <w:r>
        <w:tab/>
      </w:r>
      <w:r>
        <w:fldChar w:fldCharType="begin"/>
      </w:r>
      <w:r>
        <w:instrText xml:space="preserve"> PAGEREF _Toc28218 \h </w:instrText>
      </w:r>
      <w:r>
        <w:fldChar w:fldCharType="separate"/>
      </w:r>
      <w:r>
        <w:t>34</w:t>
      </w:r>
      <w:r>
        <w:fldChar w:fldCharType="end"/>
      </w:r>
      <w:r>
        <w:rPr>
          <w:rFonts w:ascii="宋体" w:hAnsi="宋体"/>
          <w:color w:val="auto"/>
          <w:szCs w:val="21"/>
          <w:highlight w:val="none"/>
        </w:rPr>
        <w:fldChar w:fldCharType="end"/>
      </w:r>
    </w:p>
    <w:p w14:paraId="429419B3">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_Toc31679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三</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采购内容及项目要求</w:t>
      </w:r>
      <w:r>
        <w:tab/>
      </w:r>
      <w:r>
        <w:fldChar w:fldCharType="begin"/>
      </w:r>
      <w:r>
        <w:instrText xml:space="preserve"> PAGEREF _Toc31679 \h </w:instrText>
      </w:r>
      <w:r>
        <w:fldChar w:fldCharType="separate"/>
      </w:r>
      <w:r>
        <w:t>35</w:t>
      </w:r>
      <w:r>
        <w:fldChar w:fldCharType="end"/>
      </w:r>
      <w:r>
        <w:rPr>
          <w:rFonts w:ascii="宋体" w:hAnsi="宋体"/>
          <w:color w:val="auto"/>
          <w:szCs w:val="21"/>
          <w:highlight w:val="none"/>
        </w:rPr>
        <w:fldChar w:fldCharType="end"/>
      </w:r>
    </w:p>
    <w:p w14:paraId="0D1EBCF5">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_Toc772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四</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合同格式</w:t>
      </w:r>
      <w:r>
        <w:tab/>
      </w:r>
      <w:r>
        <w:fldChar w:fldCharType="begin"/>
      </w:r>
      <w:r>
        <w:instrText xml:space="preserve"> PAGEREF _Toc772 \h </w:instrText>
      </w:r>
      <w:r>
        <w:fldChar w:fldCharType="separate"/>
      </w:r>
      <w:r>
        <w:t>40</w:t>
      </w:r>
      <w:r>
        <w:fldChar w:fldCharType="end"/>
      </w:r>
      <w:r>
        <w:rPr>
          <w:rFonts w:ascii="宋体" w:hAnsi="宋体"/>
          <w:color w:val="auto"/>
          <w:szCs w:val="21"/>
          <w:highlight w:val="none"/>
        </w:rPr>
        <w:fldChar w:fldCharType="end"/>
      </w:r>
    </w:p>
    <w:p w14:paraId="2B244AFB">
      <w:pPr>
        <w:pStyle w:val="53"/>
        <w:tabs>
          <w:tab w:val="right" w:leader="dot" w:pos="9071"/>
        </w:tabs>
      </w:pPr>
      <w:r>
        <w:rPr>
          <w:rFonts w:ascii="宋体" w:hAnsi="宋体"/>
          <w:color w:val="auto"/>
          <w:szCs w:val="21"/>
          <w:highlight w:val="none"/>
        </w:rPr>
        <w:fldChar w:fldCharType="begin"/>
      </w:r>
      <w:r>
        <w:rPr>
          <w:rFonts w:ascii="宋体" w:hAnsi="宋体"/>
          <w:szCs w:val="21"/>
          <w:highlight w:val="none"/>
        </w:rPr>
        <w:instrText xml:space="preserve"> HYPERLINK \l _Toc7661 </w:instrText>
      </w:r>
      <w:r>
        <w:rPr>
          <w:rFonts w:ascii="宋体" w:hAnsi="宋体"/>
          <w:szCs w:val="21"/>
          <w:highlight w:val="none"/>
        </w:rPr>
        <w:fldChar w:fldCharType="separate"/>
      </w:r>
      <w:r>
        <w:rPr>
          <w:rFonts w:hint="eastAsia" w:ascii="宋体" w:hAnsi="宋体"/>
          <w:kern w:val="2"/>
          <w:highlight w:val="none"/>
        </w:rPr>
        <w:t>第</w:t>
      </w:r>
      <w:r>
        <w:rPr>
          <w:rFonts w:hint="eastAsia" w:ascii="宋体" w:hAnsi="宋体"/>
          <w:kern w:val="2"/>
          <w:highlight w:val="none"/>
          <w:lang w:eastAsia="zh-CN"/>
        </w:rPr>
        <w:t>五</w:t>
      </w:r>
      <w:r>
        <w:rPr>
          <w:rFonts w:hint="eastAsia" w:ascii="宋体" w:hAnsi="宋体"/>
          <w:kern w:val="2"/>
          <w:highlight w:val="none"/>
        </w:rPr>
        <w:t>章</w:t>
      </w:r>
      <w:r>
        <w:rPr>
          <w:rFonts w:ascii="宋体" w:hAnsi="宋体"/>
          <w:kern w:val="2"/>
          <w:highlight w:val="none"/>
        </w:rPr>
        <w:t xml:space="preserve">  </w:t>
      </w:r>
      <w:r>
        <w:rPr>
          <w:rFonts w:hint="eastAsia" w:ascii="宋体" w:hAnsi="宋体"/>
          <w:kern w:val="2"/>
          <w:highlight w:val="none"/>
        </w:rPr>
        <w:t>响应文件格式</w:t>
      </w:r>
      <w:r>
        <w:tab/>
      </w:r>
      <w:r>
        <w:fldChar w:fldCharType="begin"/>
      </w:r>
      <w:r>
        <w:instrText xml:space="preserve"> PAGEREF _Toc7661 \h </w:instrText>
      </w:r>
      <w:r>
        <w:fldChar w:fldCharType="separate"/>
      </w:r>
      <w:r>
        <w:t>44</w:t>
      </w:r>
      <w:r>
        <w:fldChar w:fldCharType="end"/>
      </w:r>
      <w:r>
        <w:rPr>
          <w:rFonts w:ascii="宋体" w:hAnsi="宋体"/>
          <w:color w:val="auto"/>
          <w:szCs w:val="21"/>
          <w:highlight w:val="none"/>
        </w:rPr>
        <w:fldChar w:fldCharType="end"/>
      </w:r>
    </w:p>
    <w:p w14:paraId="5744A85A">
      <w:pPr>
        <w:pStyle w:val="2"/>
        <w:tabs>
          <w:tab w:val="right" w:leader="dot" w:pos="8647"/>
        </w:tabs>
        <w:spacing w:before="120" w:after="120" w:line="360" w:lineRule="auto"/>
        <w:jc w:val="center"/>
        <w:rPr>
          <w:rFonts w:ascii="宋体" w:hAnsi="宋体"/>
          <w:color w:val="auto"/>
          <w:kern w:val="2"/>
          <w:sz w:val="32"/>
          <w:highlight w:val="none"/>
        </w:rPr>
      </w:pPr>
      <w:r>
        <w:rPr>
          <w:rFonts w:ascii="宋体" w:hAnsi="宋体"/>
          <w:color w:val="auto"/>
          <w:szCs w:val="21"/>
          <w:highlight w:val="none"/>
        </w:rPr>
        <w:fldChar w:fldCharType="end"/>
      </w:r>
      <w:bookmarkStart w:id="0" w:name="_Toc20463"/>
      <w:r>
        <w:rPr>
          <w:rFonts w:ascii="宋体" w:hAnsi="宋体"/>
          <w:color w:val="auto"/>
          <w:highlight w:val="none"/>
        </w:rPr>
        <w:br w:type="page"/>
      </w:r>
      <w:r>
        <w:rPr>
          <w:rFonts w:hint="eastAsia" w:ascii="宋体" w:hAnsi="宋体"/>
          <w:color w:val="auto"/>
          <w:kern w:val="2"/>
          <w:sz w:val="32"/>
          <w:highlight w:val="none"/>
        </w:rPr>
        <w:t>第一章</w:t>
      </w:r>
      <w:r>
        <w:rPr>
          <w:rFonts w:ascii="宋体" w:hAnsi="宋体"/>
          <w:color w:val="auto"/>
          <w:kern w:val="2"/>
          <w:sz w:val="32"/>
          <w:highlight w:val="none"/>
        </w:rPr>
        <w:t xml:space="preserve">   </w:t>
      </w:r>
      <w:r>
        <w:rPr>
          <w:rFonts w:hint="eastAsia" w:ascii="宋体" w:hAnsi="宋体"/>
          <w:color w:val="auto"/>
          <w:kern w:val="2"/>
          <w:sz w:val="32"/>
          <w:highlight w:val="none"/>
          <w:lang w:eastAsia="zh-CN"/>
        </w:rPr>
        <w:t>竞争性谈判</w:t>
      </w:r>
      <w:r>
        <w:rPr>
          <w:rFonts w:hint="eastAsia" w:ascii="宋体" w:hAnsi="宋体"/>
          <w:color w:val="auto"/>
          <w:kern w:val="2"/>
          <w:sz w:val="32"/>
          <w:highlight w:val="none"/>
        </w:rPr>
        <w:t>公告</w:t>
      </w:r>
      <w:bookmarkEnd w:id="0"/>
    </w:p>
    <w:p w14:paraId="474A3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383940"/>
          <w:sz w:val="28"/>
          <w:szCs w:val="28"/>
        </w:rPr>
      </w:pPr>
      <w:bookmarkStart w:id="1" w:name="_Toc6115"/>
      <w:r>
        <w:rPr>
          <w:rFonts w:hint="eastAsia" w:ascii="宋体" w:hAnsi="宋体" w:eastAsia="宋体" w:cs="宋体"/>
          <w:b/>
          <w:bCs/>
          <w:i w:val="0"/>
          <w:iCs w:val="0"/>
          <w:caps w:val="0"/>
          <w:color w:val="383940"/>
          <w:spacing w:val="0"/>
          <w:sz w:val="28"/>
          <w:szCs w:val="28"/>
          <w:shd w:val="clear" w:fill="FFFFFF"/>
          <w:vertAlign w:val="baseline"/>
          <w:lang w:eastAsia="zh-CN"/>
        </w:rPr>
        <w:t>山东大学第二医院消防器材</w:t>
      </w:r>
      <w:r>
        <w:rPr>
          <w:rFonts w:hint="eastAsia" w:ascii="宋体" w:hAnsi="宋体" w:eastAsia="宋体" w:cs="宋体"/>
          <w:b/>
          <w:bCs/>
          <w:i w:val="0"/>
          <w:iCs w:val="0"/>
          <w:caps w:val="0"/>
          <w:color w:val="383940"/>
          <w:spacing w:val="0"/>
          <w:sz w:val="28"/>
          <w:szCs w:val="28"/>
          <w:shd w:val="clear" w:fill="FFFFFF"/>
          <w:vertAlign w:val="baseline"/>
        </w:rPr>
        <w:t>竞争性谈判公告</w:t>
      </w:r>
      <w:bookmarkEnd w:id="1"/>
    </w:p>
    <w:p w14:paraId="27380A1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383838"/>
          <w:spacing w:val="0"/>
          <w:sz w:val="24"/>
          <w:szCs w:val="24"/>
          <w:shd w:val="clear" w:fill="FFFFFF"/>
          <w:vertAlign w:val="baseline"/>
        </w:rPr>
      </w:pPr>
    </w:p>
    <w:p w14:paraId="4BC749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i w:val="0"/>
          <w:iCs w:val="0"/>
          <w:caps w:val="0"/>
          <w:color w:val="383838"/>
          <w:spacing w:val="0"/>
          <w:sz w:val="24"/>
          <w:szCs w:val="24"/>
          <w:shd w:val="clear" w:fill="FFFFFF"/>
          <w:vertAlign w:val="baseline"/>
        </w:rPr>
        <w:t>项目概况</w:t>
      </w:r>
    </w:p>
    <w:p w14:paraId="7517ACE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cs="宋体"/>
          <w:i w:val="0"/>
          <w:iCs w:val="0"/>
          <w:caps w:val="0"/>
          <w:color w:val="383838"/>
          <w:spacing w:val="0"/>
          <w:sz w:val="24"/>
          <w:szCs w:val="24"/>
          <w:shd w:val="clear" w:fill="FFFFFF"/>
          <w:vertAlign w:val="baseline"/>
          <w:lang w:eastAsia="zh-CN"/>
        </w:rPr>
        <w:t>山东大学第二医院消防器材</w:t>
      </w:r>
      <w:r>
        <w:rPr>
          <w:rFonts w:hint="eastAsia" w:ascii="宋体" w:hAnsi="宋体" w:eastAsia="宋体" w:cs="宋体"/>
          <w:i w:val="0"/>
          <w:iCs w:val="0"/>
          <w:caps w:val="0"/>
          <w:color w:val="383838"/>
          <w:spacing w:val="0"/>
          <w:sz w:val="24"/>
          <w:szCs w:val="24"/>
          <w:shd w:val="clear" w:fill="FFFFFF"/>
          <w:vertAlign w:val="baseline"/>
        </w:rPr>
        <w:t xml:space="preserve"> 采购项目的潜在供应商应在海逸恒安项目管理有限公司获取采购文件，</w:t>
      </w:r>
      <w:r>
        <w:rPr>
          <w:rFonts w:hint="eastAsia" w:ascii="宋体" w:hAnsi="宋体" w:eastAsia="宋体" w:cs="宋体"/>
          <w:i w:val="0"/>
          <w:iCs w:val="0"/>
          <w:caps w:val="0"/>
          <w:color w:val="auto"/>
          <w:spacing w:val="0"/>
          <w:sz w:val="24"/>
          <w:szCs w:val="24"/>
          <w:shd w:val="clear" w:fill="FFFFFF"/>
          <w:vertAlign w:val="baseline"/>
        </w:rPr>
        <w:t>并于</w:t>
      </w:r>
      <w:r>
        <w:rPr>
          <w:rFonts w:hint="eastAsia" w:cs="宋体"/>
          <w:i w:val="0"/>
          <w:iCs w:val="0"/>
          <w:caps w:val="0"/>
          <w:color w:val="auto"/>
          <w:spacing w:val="0"/>
          <w:sz w:val="24"/>
          <w:szCs w:val="24"/>
          <w:shd w:val="clear" w:fill="FFFFFF"/>
          <w:vertAlign w:val="baseline"/>
          <w:lang w:eastAsia="zh-CN"/>
        </w:rPr>
        <w:t>2024年</w:t>
      </w:r>
      <w:r>
        <w:rPr>
          <w:rFonts w:hint="eastAsia" w:cs="宋体"/>
          <w:i w:val="0"/>
          <w:iCs w:val="0"/>
          <w:caps w:val="0"/>
          <w:color w:val="auto"/>
          <w:spacing w:val="0"/>
          <w:sz w:val="24"/>
          <w:szCs w:val="24"/>
          <w:shd w:val="clear" w:fill="FFFFFF"/>
          <w:vertAlign w:val="baseline"/>
          <w:lang w:val="en-US" w:eastAsia="zh-CN"/>
        </w:rPr>
        <w:t>09</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29</w:t>
      </w:r>
      <w:r>
        <w:rPr>
          <w:rFonts w:hint="eastAsia" w:cs="宋体"/>
          <w:i w:val="0"/>
          <w:iCs w:val="0"/>
          <w:caps w:val="0"/>
          <w:color w:val="auto"/>
          <w:spacing w:val="0"/>
          <w:sz w:val="24"/>
          <w:szCs w:val="24"/>
          <w:shd w:val="clear" w:fill="FFFFFF"/>
          <w:vertAlign w:val="baseline"/>
          <w:lang w:eastAsia="zh-CN"/>
        </w:rPr>
        <w:t xml:space="preserve">日 </w:t>
      </w:r>
      <w:r>
        <w:rPr>
          <w:rFonts w:hint="eastAsia" w:cs="宋体"/>
          <w:i w:val="0"/>
          <w:iCs w:val="0"/>
          <w:caps w:val="0"/>
          <w:color w:val="auto"/>
          <w:spacing w:val="0"/>
          <w:sz w:val="24"/>
          <w:szCs w:val="24"/>
          <w:shd w:val="clear" w:fill="FFFFFF"/>
          <w:vertAlign w:val="baseline"/>
          <w:lang w:val="en-US" w:eastAsia="zh-CN"/>
        </w:rPr>
        <w:t>14</w:t>
      </w:r>
      <w:r>
        <w:rPr>
          <w:rFonts w:hint="eastAsia" w:cs="宋体"/>
          <w:i w:val="0"/>
          <w:iCs w:val="0"/>
          <w:caps w:val="0"/>
          <w:color w:val="auto"/>
          <w:spacing w:val="0"/>
          <w:sz w:val="24"/>
          <w:szCs w:val="24"/>
          <w:shd w:val="clear" w:fill="FFFFFF"/>
          <w:vertAlign w:val="baseline"/>
          <w:lang w:eastAsia="zh-CN"/>
        </w:rPr>
        <w:t>点</w:t>
      </w:r>
      <w:r>
        <w:rPr>
          <w:rFonts w:hint="eastAsia" w:cs="宋体"/>
          <w:i w:val="0"/>
          <w:iCs w:val="0"/>
          <w:caps w:val="0"/>
          <w:color w:val="auto"/>
          <w:spacing w:val="0"/>
          <w:sz w:val="24"/>
          <w:szCs w:val="24"/>
          <w:shd w:val="clear" w:fill="FFFFFF"/>
          <w:vertAlign w:val="baseline"/>
          <w:lang w:val="en-US" w:eastAsia="zh-CN"/>
        </w:rPr>
        <w:t>00</w:t>
      </w:r>
      <w:r>
        <w:rPr>
          <w:rFonts w:hint="eastAsia"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w:t>
      </w:r>
      <w:r>
        <w:rPr>
          <w:rFonts w:hint="eastAsia" w:ascii="宋体" w:hAnsi="宋体" w:eastAsia="宋体" w:cs="宋体"/>
          <w:i w:val="0"/>
          <w:iCs w:val="0"/>
          <w:caps w:val="0"/>
          <w:color w:val="383838"/>
          <w:spacing w:val="0"/>
          <w:sz w:val="24"/>
          <w:szCs w:val="24"/>
          <w:shd w:val="clear" w:fill="FFFFFF"/>
          <w:vertAlign w:val="baseline"/>
        </w:rPr>
        <w:t>间）前提交响应文件。</w:t>
      </w:r>
    </w:p>
    <w:p w14:paraId="1FEC461E">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一、项目基本情况</w:t>
      </w:r>
    </w:p>
    <w:p w14:paraId="3317786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 xml:space="preserve">HYHA2024-2896 </w:t>
      </w:r>
    </w:p>
    <w:p w14:paraId="0D146B2F">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83838"/>
          <w:spacing w:val="0"/>
          <w:sz w:val="24"/>
          <w:szCs w:val="24"/>
          <w:shd w:val="clear" w:fill="FFFFFF"/>
          <w:vertAlign w:val="baseline"/>
        </w:rPr>
        <w:t>项目名称：</w:t>
      </w:r>
      <w:r>
        <w:rPr>
          <w:rFonts w:hint="eastAsia" w:cs="宋体"/>
          <w:i w:val="0"/>
          <w:iCs w:val="0"/>
          <w:caps w:val="0"/>
          <w:color w:val="383838"/>
          <w:spacing w:val="0"/>
          <w:sz w:val="24"/>
          <w:szCs w:val="24"/>
          <w:shd w:val="clear" w:fill="FFFFFF"/>
          <w:vertAlign w:val="baseline"/>
          <w:lang w:eastAsia="zh-CN"/>
        </w:rPr>
        <w:t>山东大学第二医院消防器材</w:t>
      </w:r>
    </w:p>
    <w:p w14:paraId="181715D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采购方式：竞争性谈判</w:t>
      </w:r>
    </w:p>
    <w:p w14:paraId="1BEC7B2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预算金额：</w:t>
      </w:r>
      <w:r>
        <w:rPr>
          <w:rFonts w:hint="eastAsia" w:cs="宋体"/>
          <w:i w:val="0"/>
          <w:iCs w:val="0"/>
          <w:caps w:val="0"/>
          <w:color w:val="383838"/>
          <w:spacing w:val="0"/>
          <w:sz w:val="24"/>
          <w:szCs w:val="24"/>
          <w:shd w:val="clear" w:fill="FFFFFF"/>
          <w:vertAlign w:val="baseline"/>
          <w:lang w:eastAsia="zh-CN"/>
        </w:rPr>
        <w:t>34.0000000</w:t>
      </w:r>
      <w:r>
        <w:rPr>
          <w:rFonts w:hint="eastAsia" w:ascii="宋体" w:hAnsi="宋体" w:eastAsia="宋体" w:cs="宋体"/>
          <w:i w:val="0"/>
          <w:iCs w:val="0"/>
          <w:caps w:val="0"/>
          <w:color w:val="383838"/>
          <w:spacing w:val="0"/>
          <w:sz w:val="24"/>
          <w:szCs w:val="24"/>
          <w:shd w:val="clear" w:fill="FFFFFF"/>
          <w:vertAlign w:val="baseline"/>
        </w:rPr>
        <w:t xml:space="preserve"> 万元（人民币）</w:t>
      </w:r>
    </w:p>
    <w:p w14:paraId="6A7F243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最高限价（如有）：</w:t>
      </w:r>
      <w:r>
        <w:rPr>
          <w:rFonts w:hint="eastAsia" w:cs="宋体"/>
          <w:i w:val="0"/>
          <w:iCs w:val="0"/>
          <w:caps w:val="0"/>
          <w:color w:val="383838"/>
          <w:spacing w:val="0"/>
          <w:sz w:val="24"/>
          <w:szCs w:val="24"/>
          <w:shd w:val="clear" w:fill="FFFFFF"/>
          <w:vertAlign w:val="baseline"/>
          <w:lang w:eastAsia="zh-CN"/>
        </w:rPr>
        <w:t>34.0000000</w:t>
      </w:r>
      <w:r>
        <w:rPr>
          <w:rFonts w:hint="eastAsia" w:ascii="宋体" w:hAnsi="宋体" w:eastAsia="宋体" w:cs="宋体"/>
          <w:i w:val="0"/>
          <w:iCs w:val="0"/>
          <w:caps w:val="0"/>
          <w:color w:val="383838"/>
          <w:spacing w:val="0"/>
          <w:sz w:val="24"/>
          <w:szCs w:val="24"/>
          <w:shd w:val="clear" w:fill="FFFFFF"/>
          <w:vertAlign w:val="baseline"/>
        </w:rPr>
        <w:t xml:space="preserve"> 万元（人民币）</w:t>
      </w:r>
    </w:p>
    <w:p w14:paraId="1C28D08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采购需求：</w:t>
      </w:r>
    </w:p>
    <w:tbl>
      <w:tblPr>
        <w:tblStyle w:val="75"/>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80"/>
        <w:gridCol w:w="1302"/>
        <w:gridCol w:w="4536"/>
        <w:gridCol w:w="846"/>
        <w:gridCol w:w="1065"/>
        <w:gridCol w:w="852"/>
      </w:tblGrid>
      <w:tr w14:paraId="16932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367"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EEE351">
            <w:pPr>
              <w:rPr>
                <w:rFonts w:hint="eastAsia"/>
              </w:rPr>
            </w:pPr>
            <w:r>
              <w:rPr>
                <w:rFonts w:hint="eastAsia"/>
              </w:rPr>
              <w:t>标包</w:t>
            </w:r>
          </w:p>
        </w:tc>
        <w:tc>
          <w:tcPr>
            <w:tcW w:w="702"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F20825">
            <w:pPr>
              <w:rPr>
                <w:rFonts w:hint="eastAsia"/>
              </w:rPr>
            </w:pPr>
            <w:r>
              <w:rPr>
                <w:rFonts w:hint="eastAsia"/>
              </w:rPr>
              <w:t>货物名称</w:t>
            </w:r>
          </w:p>
        </w:tc>
        <w:tc>
          <w:tcPr>
            <w:tcW w:w="2443"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7115E7">
            <w:pPr>
              <w:rPr>
                <w:rFonts w:hint="eastAsia"/>
              </w:rPr>
            </w:pPr>
            <w:r>
              <w:rPr>
                <w:rFonts w:hint="eastAsia"/>
              </w:rPr>
              <w:t>简要说明</w:t>
            </w:r>
          </w:p>
        </w:tc>
        <w:tc>
          <w:tcPr>
            <w:tcW w:w="452"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289139">
            <w:pPr>
              <w:rPr>
                <w:rFonts w:hint="eastAsia"/>
              </w:rPr>
            </w:pPr>
            <w:r>
              <w:rPr>
                <w:rFonts w:hint="eastAsia"/>
              </w:rPr>
              <w:t>数量（套）</w:t>
            </w:r>
          </w:p>
        </w:tc>
        <w:tc>
          <w:tcPr>
            <w:tcW w:w="574"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A16E7F">
            <w:pPr>
              <w:rPr>
                <w:rFonts w:hint="eastAsia"/>
              </w:rPr>
            </w:pPr>
            <w:r>
              <w:rPr>
                <w:rFonts w:hint="eastAsia"/>
              </w:rPr>
              <w:t>本包预算金额（万元）</w:t>
            </w:r>
          </w:p>
        </w:tc>
        <w:tc>
          <w:tcPr>
            <w:tcW w:w="45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838D28">
            <w:pPr>
              <w:rPr>
                <w:rFonts w:hint="eastAsia"/>
              </w:rPr>
            </w:pPr>
            <w:r>
              <w:rPr>
                <w:rFonts w:hint="eastAsia"/>
              </w:rPr>
              <w:t>备注</w:t>
            </w:r>
          </w:p>
        </w:tc>
      </w:tr>
      <w:tr w14:paraId="48897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367"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FB73B7">
            <w:pPr>
              <w:rPr>
                <w:rFonts w:hint="eastAsia"/>
              </w:rPr>
            </w:pPr>
            <w:r>
              <w:rPr>
                <w:rFonts w:hint="eastAsia"/>
              </w:rPr>
              <w:t>A</w:t>
            </w:r>
          </w:p>
        </w:tc>
        <w:tc>
          <w:tcPr>
            <w:tcW w:w="70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9734A4">
            <w:pPr>
              <w:rPr>
                <w:rFonts w:hint="eastAsia"/>
                <w:lang w:eastAsia="zh-CN"/>
              </w:rPr>
            </w:pPr>
            <w:r>
              <w:rPr>
                <w:rFonts w:hint="eastAsia"/>
                <w:lang w:eastAsia="zh-CN"/>
              </w:rPr>
              <w:t>消防器材</w:t>
            </w:r>
          </w:p>
        </w:tc>
        <w:tc>
          <w:tcPr>
            <w:tcW w:w="2443" w:type="pct"/>
            <w:tcBorders>
              <w:top w:val="nil"/>
              <w:left w:val="nil"/>
              <w:bottom w:val="outset" w:color="auto" w:sz="8" w:space="0"/>
              <w:right w:val="single" w:color="auto" w:sz="8" w:space="0"/>
            </w:tcBorders>
            <w:shd w:val="clear" w:color="auto" w:fill="FFFFFF"/>
            <w:noWrap w:val="0"/>
            <w:tcMar>
              <w:top w:w="0" w:type="dxa"/>
              <w:left w:w="108" w:type="dxa"/>
              <w:bottom w:w="0" w:type="dxa"/>
              <w:right w:w="108" w:type="dxa"/>
            </w:tcMar>
            <w:vAlign w:val="center"/>
          </w:tcPr>
          <w:p w14:paraId="796232AC">
            <w:pPr>
              <w:rPr>
                <w:rFonts w:hint="default"/>
                <w:lang w:val="en-US" w:eastAsia="zh-CN"/>
              </w:rPr>
            </w:pPr>
            <w:r>
              <w:rPr>
                <w:rFonts w:hint="eastAsia"/>
                <w:lang w:val="en-US" w:eastAsia="zh-CN"/>
              </w:rPr>
              <w:t xml:space="preserve">山东大学第二医院拟采购消防器材，具体参数详见竞争性谈判文件。 </w:t>
            </w:r>
          </w:p>
        </w:tc>
        <w:tc>
          <w:tcPr>
            <w:tcW w:w="452"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7A51C32">
            <w:pPr>
              <w:rPr>
                <w:rFonts w:hint="eastAsia"/>
              </w:rPr>
            </w:pPr>
            <w:r>
              <w:rPr>
                <w:rFonts w:hint="eastAsia"/>
              </w:rPr>
              <w:t>1</w:t>
            </w:r>
          </w:p>
        </w:tc>
        <w:tc>
          <w:tcPr>
            <w:tcW w:w="574"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1622FB">
            <w:pPr>
              <w:rPr>
                <w:rFonts w:hint="default"/>
                <w:lang w:val="en-US" w:eastAsia="zh-CN"/>
              </w:rPr>
            </w:pPr>
            <w:r>
              <w:rPr>
                <w:rFonts w:hint="eastAsia"/>
                <w:lang w:val="en-US" w:eastAsia="zh-CN"/>
              </w:rPr>
              <w:t>34.00</w:t>
            </w:r>
          </w:p>
        </w:tc>
        <w:tc>
          <w:tcPr>
            <w:tcW w:w="45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4AE936A">
            <w:pPr>
              <w:rPr>
                <w:rFonts w:hint="eastAsia"/>
              </w:rPr>
            </w:pPr>
            <w:r>
              <w:rPr>
                <w:rFonts w:hint="eastAsia"/>
              </w:rPr>
              <w:t>国产</w:t>
            </w:r>
          </w:p>
        </w:tc>
      </w:tr>
    </w:tbl>
    <w:p w14:paraId="5C5EF88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合同履行期限：自合同生效之日起至合同履行完毕。</w:t>
      </w:r>
    </w:p>
    <w:p w14:paraId="35E0CAE1">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本项目( 不接受  )联合体投标。</w:t>
      </w:r>
    </w:p>
    <w:p w14:paraId="3D4EB7C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二、申请人的资格要求：</w:t>
      </w:r>
    </w:p>
    <w:p w14:paraId="16B1CA1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1.满足《中华人民共和国政府采购法》第二十二条规定；</w:t>
      </w:r>
    </w:p>
    <w:p w14:paraId="075324C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2.落实政府采购政策需满足的资格要求：无</w:t>
      </w:r>
    </w:p>
    <w:p w14:paraId="17797CE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3.本项目的特定资格要求：1）在“信用中国”、中国政府采购网网站中被列入失信被执行人、重大税收违法失信主体、政府采购严重违法失信行为记录名单的供应商，不得参加本次政府采购活动；2）单位负责人为同一人或者存在直接控股、管理关系的不同供应商，不得参加同一合同项下（同一包号）的政府采购活动。</w:t>
      </w:r>
    </w:p>
    <w:p w14:paraId="60EE569A">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三、获取采购文件</w:t>
      </w:r>
    </w:p>
    <w:p w14:paraId="370362F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eastAsia="zh-CN"/>
        </w:rPr>
        <w:t>2024年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24</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 xml:space="preserve"> 至 </w:t>
      </w:r>
      <w:r>
        <w:rPr>
          <w:rFonts w:hint="eastAsia" w:ascii="宋体" w:hAnsi="宋体" w:eastAsia="宋体" w:cs="宋体"/>
          <w:i w:val="0"/>
          <w:iCs w:val="0"/>
          <w:caps w:val="0"/>
          <w:color w:val="auto"/>
          <w:spacing w:val="0"/>
          <w:sz w:val="24"/>
          <w:szCs w:val="24"/>
          <w:shd w:val="clear" w:fill="FFFFFF"/>
          <w:vertAlign w:val="baseline"/>
          <w:lang w:eastAsia="zh-CN"/>
        </w:rPr>
        <w:t>2024年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26</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，每</w:t>
      </w:r>
      <w:r>
        <w:rPr>
          <w:rFonts w:hint="eastAsia" w:ascii="宋体" w:hAnsi="宋体" w:eastAsia="宋体" w:cs="宋体"/>
          <w:i w:val="0"/>
          <w:iCs w:val="0"/>
          <w:caps w:val="0"/>
          <w:color w:val="383838"/>
          <w:spacing w:val="0"/>
          <w:sz w:val="24"/>
          <w:szCs w:val="24"/>
          <w:shd w:val="clear" w:fill="FFFFFF"/>
          <w:vertAlign w:val="baseline"/>
        </w:rPr>
        <w:t>天上午</w:t>
      </w:r>
      <w:r>
        <w:rPr>
          <w:rFonts w:hint="eastAsia" w:ascii="宋体" w:hAnsi="宋体" w:eastAsia="宋体" w:cs="宋体"/>
          <w:i w:val="0"/>
          <w:iCs w:val="0"/>
          <w:caps w:val="0"/>
          <w:color w:val="383838"/>
          <w:spacing w:val="0"/>
          <w:sz w:val="24"/>
          <w:szCs w:val="24"/>
          <w:shd w:val="clear" w:fill="FFFFFF"/>
          <w:vertAlign w:val="baseline"/>
          <w:lang w:val="en-US" w:eastAsia="zh-CN"/>
        </w:rPr>
        <w:t>9</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0至1</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0，下午1</w:t>
      </w:r>
      <w:r>
        <w:rPr>
          <w:rFonts w:hint="eastAsia" w:ascii="宋体" w:hAnsi="宋体" w:eastAsia="宋体" w:cs="宋体"/>
          <w:i w:val="0"/>
          <w:iCs w:val="0"/>
          <w:caps w:val="0"/>
          <w:color w:val="383838"/>
          <w:spacing w:val="0"/>
          <w:sz w:val="24"/>
          <w:szCs w:val="24"/>
          <w:shd w:val="clear" w:fill="FFFFFF"/>
          <w:vertAlign w:val="baseline"/>
          <w:lang w:val="en-US" w:eastAsia="zh-CN"/>
        </w:rPr>
        <w:t>2</w:t>
      </w:r>
      <w:r>
        <w:rPr>
          <w:rFonts w:hint="eastAsia" w:ascii="宋体" w:hAnsi="宋体" w:eastAsia="宋体" w:cs="宋体"/>
          <w:i w:val="0"/>
          <w:iCs w:val="0"/>
          <w:caps w:val="0"/>
          <w:color w:val="383838"/>
          <w:spacing w:val="0"/>
          <w:sz w:val="24"/>
          <w:szCs w:val="24"/>
          <w:shd w:val="clear" w:fill="FFFFFF"/>
          <w:vertAlign w:val="baseline"/>
        </w:rPr>
        <w:t>:</w:t>
      </w:r>
      <w:r>
        <w:rPr>
          <w:rFonts w:hint="eastAsia" w:ascii="宋体" w:hAnsi="宋体" w:eastAsia="宋体" w:cs="宋体"/>
          <w:i w:val="0"/>
          <w:iCs w:val="0"/>
          <w:caps w:val="0"/>
          <w:color w:val="383838"/>
          <w:spacing w:val="0"/>
          <w:sz w:val="24"/>
          <w:szCs w:val="24"/>
          <w:shd w:val="clear" w:fill="FFFFFF"/>
          <w:vertAlign w:val="baseline"/>
          <w:lang w:val="en-US" w:eastAsia="zh-CN"/>
        </w:rPr>
        <w:t>0</w:t>
      </w:r>
      <w:r>
        <w:rPr>
          <w:rFonts w:hint="eastAsia" w:ascii="宋体" w:hAnsi="宋体" w:eastAsia="宋体" w:cs="宋体"/>
          <w:i w:val="0"/>
          <w:iCs w:val="0"/>
          <w:caps w:val="0"/>
          <w:color w:val="383838"/>
          <w:spacing w:val="0"/>
          <w:sz w:val="24"/>
          <w:szCs w:val="24"/>
          <w:shd w:val="clear" w:fill="FFFFFF"/>
          <w:vertAlign w:val="baseline"/>
        </w:rPr>
        <w:t>0至17:00。（北京时间，法定节假日除外）</w:t>
      </w:r>
    </w:p>
    <w:p w14:paraId="4BAAA6E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地点：海逸恒安项目管理有限公司</w:t>
      </w:r>
    </w:p>
    <w:p w14:paraId="5C28C10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方式：第一步：供应商在海逸恒安项目管理有限公司网站上录入单位名称、</w:t>
      </w:r>
      <w:r>
        <w:rPr>
          <w:rFonts w:hint="eastAsia" w:ascii="宋体" w:hAnsi="宋体" w:eastAsia="宋体" w:cs="宋体"/>
          <w:i w:val="0"/>
          <w:iCs w:val="0"/>
          <w:caps w:val="0"/>
          <w:color w:val="383838"/>
          <w:spacing w:val="0"/>
          <w:sz w:val="24"/>
          <w:szCs w:val="24"/>
          <w:shd w:val="clear" w:fill="FFFFFF"/>
          <w:vertAlign w:val="baseline"/>
          <w:lang w:val="en-US" w:eastAsia="zh-CN"/>
        </w:rPr>
        <w:t>核心产品拟投品牌、</w:t>
      </w:r>
      <w:r>
        <w:rPr>
          <w:rFonts w:hint="eastAsia" w:ascii="宋体" w:hAnsi="宋体" w:eastAsia="宋体" w:cs="宋体"/>
          <w:i w:val="0"/>
          <w:iCs w:val="0"/>
          <w:caps w:val="0"/>
          <w:color w:val="383838"/>
          <w:spacing w:val="0"/>
          <w:sz w:val="24"/>
          <w:szCs w:val="24"/>
          <w:shd w:val="clear" w:fill="FFFFFF"/>
          <w:vertAlign w:val="baseline"/>
        </w:rPr>
        <w:t>联系人</w:t>
      </w:r>
      <w:r>
        <w:rPr>
          <w:rFonts w:hint="eastAsia" w:ascii="宋体" w:hAnsi="宋体" w:eastAsia="宋体" w:cs="宋体"/>
          <w:i w:val="0"/>
          <w:iCs w:val="0"/>
          <w:caps w:val="0"/>
          <w:color w:val="383838"/>
          <w:spacing w:val="0"/>
          <w:sz w:val="24"/>
          <w:szCs w:val="24"/>
          <w:shd w:val="clear" w:fill="FFFFFF"/>
          <w:vertAlign w:val="baseline"/>
          <w:lang w:val="en-US" w:eastAsia="zh-CN"/>
        </w:rPr>
        <w:t>姓名</w:t>
      </w:r>
      <w:r>
        <w:rPr>
          <w:rFonts w:hint="eastAsia" w:ascii="宋体" w:hAnsi="宋体" w:eastAsia="宋体" w:cs="宋体"/>
          <w:i w:val="0"/>
          <w:iCs w:val="0"/>
          <w:caps w:val="0"/>
          <w:color w:val="383838"/>
          <w:spacing w:val="0"/>
          <w:sz w:val="24"/>
          <w:szCs w:val="24"/>
          <w:shd w:val="clear" w:fill="FFFFFF"/>
          <w:vertAlign w:val="baseline"/>
        </w:rPr>
        <w:t>及电话等信息；链接http://www.sdhyha.cn/qpoaweb/bid/baoming.aspx?</w:t>
      </w:r>
      <w:r>
        <w:rPr>
          <w:rFonts w:hint="eastAsia" w:ascii="宋体" w:hAnsi="宋体" w:eastAsia="宋体" w:cs="宋体"/>
          <w:i w:val="0"/>
          <w:iCs w:val="0"/>
          <w:caps w:val="0"/>
          <w:color w:val="383838"/>
          <w:spacing w:val="0"/>
          <w:sz w:val="24"/>
          <w:szCs w:val="24"/>
          <w:shd w:val="clear" w:fill="FFFFFF"/>
          <w:vertAlign w:val="baseline"/>
          <w:lang w:eastAsia="zh-CN"/>
        </w:rPr>
        <w:t>；</w:t>
      </w:r>
      <w:r>
        <w:rPr>
          <w:rFonts w:hint="eastAsia" w:ascii="宋体" w:hAnsi="宋体" w:eastAsia="宋体" w:cs="宋体"/>
          <w:i w:val="0"/>
          <w:iCs w:val="0"/>
          <w:caps w:val="0"/>
          <w:color w:val="383838"/>
          <w:spacing w:val="0"/>
          <w:sz w:val="24"/>
          <w:szCs w:val="24"/>
          <w:shd w:val="clear" w:fill="FFFFFF"/>
          <w:vertAlign w:val="baseline"/>
        </w:rPr>
        <w:t>第二步：</w:t>
      </w:r>
      <w:r>
        <w:rPr>
          <w:rFonts w:hint="eastAsia" w:ascii="宋体" w:hAnsi="宋体" w:eastAsia="宋体" w:cs="宋体"/>
          <w:i w:val="0"/>
          <w:iCs w:val="0"/>
          <w:caps w:val="0"/>
          <w:color w:val="383838"/>
          <w:spacing w:val="0"/>
          <w:sz w:val="24"/>
          <w:szCs w:val="24"/>
          <w:shd w:val="clear" w:fill="FFFFFF"/>
          <w:vertAlign w:val="baseline"/>
          <w:lang w:val="en-US" w:eastAsia="zh-CN"/>
        </w:rPr>
        <w:t>投标人线上扫码缴费后联系代理机构获取纸质版招标文件；如同时需电子版招标文件，请联系代理机构免费获取。如需邮寄纸质招标文件，邮费自理。</w:t>
      </w:r>
    </w:p>
    <w:p w14:paraId="1F6AD04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售价：￥300.0 元（人民币）</w:t>
      </w:r>
    </w:p>
    <w:p w14:paraId="34D7F1F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四、响应文件提交</w:t>
      </w:r>
    </w:p>
    <w:p w14:paraId="099BA0C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2024年</w:t>
      </w:r>
      <w:r>
        <w:rPr>
          <w:rFonts w:hint="eastAsia"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29</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点</w:t>
      </w:r>
      <w:r>
        <w:rPr>
          <w:rFonts w:hint="eastAsia"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（北京时间）</w:t>
      </w:r>
    </w:p>
    <w:p w14:paraId="2CAB0B2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山东大学第二医院</w:t>
      </w:r>
      <w:r>
        <w:rPr>
          <w:rFonts w:hint="eastAsia" w:cs="宋体"/>
          <w:i w:val="0"/>
          <w:iCs w:val="0"/>
          <w:caps w:val="0"/>
          <w:color w:val="auto"/>
          <w:spacing w:val="0"/>
          <w:sz w:val="24"/>
          <w:szCs w:val="24"/>
          <w:shd w:val="clear" w:fill="FFFFFF"/>
          <w:vertAlign w:val="baseline"/>
          <w:lang w:val="en-US" w:eastAsia="zh-CN"/>
        </w:rPr>
        <w:t>文会学堂</w:t>
      </w:r>
      <w:r>
        <w:rPr>
          <w:rFonts w:hint="eastAsia" w:ascii="宋体" w:hAnsi="宋体" w:eastAsia="宋体" w:cs="宋体"/>
          <w:i w:val="0"/>
          <w:iCs w:val="0"/>
          <w:caps w:val="0"/>
          <w:color w:val="auto"/>
          <w:spacing w:val="0"/>
          <w:sz w:val="24"/>
          <w:szCs w:val="24"/>
          <w:shd w:val="clear" w:fill="FFFFFF"/>
          <w:vertAlign w:val="baseline"/>
          <w:lang w:eastAsia="zh-CN"/>
        </w:rPr>
        <w:t>（济南市北园大街247号）</w:t>
      </w:r>
    </w:p>
    <w:p w14:paraId="6C272F9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color w:val="auto"/>
          <w:sz w:val="24"/>
          <w:szCs w:val="24"/>
        </w:rPr>
      </w:pPr>
      <w:r>
        <w:rPr>
          <w:rStyle w:val="121"/>
          <w:rFonts w:hint="eastAsia" w:ascii="宋体" w:hAnsi="宋体" w:eastAsia="宋体" w:cs="宋体"/>
          <w:b/>
          <w:bCs/>
          <w:i w:val="0"/>
          <w:iCs w:val="0"/>
          <w:caps w:val="0"/>
          <w:color w:val="auto"/>
          <w:spacing w:val="0"/>
          <w:sz w:val="24"/>
          <w:szCs w:val="24"/>
          <w:shd w:val="clear" w:fill="FFFFFF"/>
          <w:vertAlign w:val="baseline"/>
        </w:rPr>
        <w:t>五、开启</w:t>
      </w:r>
    </w:p>
    <w:p w14:paraId="397F85C7">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开启</w:t>
      </w: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2024年</w:t>
      </w:r>
      <w:r>
        <w:rPr>
          <w:rFonts w:hint="eastAsia"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29</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点</w:t>
      </w:r>
      <w:r>
        <w:rPr>
          <w:rFonts w:hint="eastAsia"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（北京时间）</w:t>
      </w:r>
    </w:p>
    <w:p w14:paraId="449C0F5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山东大学第二医院</w:t>
      </w:r>
      <w:r>
        <w:rPr>
          <w:rFonts w:hint="eastAsia" w:cs="宋体"/>
          <w:i w:val="0"/>
          <w:iCs w:val="0"/>
          <w:caps w:val="0"/>
          <w:color w:val="auto"/>
          <w:spacing w:val="0"/>
          <w:sz w:val="24"/>
          <w:szCs w:val="24"/>
          <w:shd w:val="clear" w:fill="FFFFFF"/>
          <w:vertAlign w:val="baseline"/>
          <w:lang w:val="en-US" w:eastAsia="zh-CN"/>
        </w:rPr>
        <w:t>文会学堂</w:t>
      </w:r>
      <w:r>
        <w:rPr>
          <w:rFonts w:hint="eastAsia" w:ascii="宋体" w:hAnsi="宋体" w:eastAsia="宋体" w:cs="宋体"/>
          <w:i w:val="0"/>
          <w:iCs w:val="0"/>
          <w:caps w:val="0"/>
          <w:color w:val="auto"/>
          <w:spacing w:val="0"/>
          <w:sz w:val="24"/>
          <w:szCs w:val="24"/>
          <w:shd w:val="clear" w:fill="FFFFFF"/>
          <w:vertAlign w:val="baseline"/>
          <w:lang w:eastAsia="zh-CN"/>
        </w:rPr>
        <w:t>（济南市北园大街247号）</w:t>
      </w:r>
    </w:p>
    <w:p w14:paraId="411C3567">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六、公告期限</w:t>
      </w:r>
    </w:p>
    <w:p w14:paraId="4E875D9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自本公告发布之日起3个工作日。</w:t>
      </w:r>
    </w:p>
    <w:p w14:paraId="62086E35">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七、其他补充事宜</w:t>
      </w:r>
    </w:p>
    <w:p w14:paraId="27056B3D">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采购项目需要落实的政府采购政策</w:t>
      </w:r>
    </w:p>
    <w:p w14:paraId="318BCB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（一）中小微型企业政府采购政策</w:t>
      </w:r>
    </w:p>
    <w:p w14:paraId="480B47E1">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（二）监狱企业政府采购政策</w:t>
      </w:r>
    </w:p>
    <w:p w14:paraId="5699B30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（三）促进残疾人就业政府采购政策</w:t>
      </w:r>
    </w:p>
    <w:p w14:paraId="3730094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（四）节能、环保产品政府采购政策</w:t>
      </w:r>
    </w:p>
    <w:p w14:paraId="1809CCF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详见竞争性谈判采购文件。</w:t>
      </w:r>
    </w:p>
    <w:p w14:paraId="74CCC9A9">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baseline"/>
        <w:rPr>
          <w:rFonts w:hint="eastAsia" w:ascii="宋体" w:hAnsi="宋体" w:eastAsia="宋体" w:cs="宋体"/>
          <w:sz w:val="24"/>
          <w:szCs w:val="24"/>
        </w:rPr>
      </w:pPr>
      <w:r>
        <w:rPr>
          <w:rStyle w:val="121"/>
          <w:rFonts w:hint="eastAsia" w:ascii="宋体" w:hAnsi="宋体" w:eastAsia="宋体" w:cs="宋体"/>
          <w:b/>
          <w:bCs/>
          <w:i w:val="0"/>
          <w:iCs w:val="0"/>
          <w:caps w:val="0"/>
          <w:color w:val="383838"/>
          <w:spacing w:val="0"/>
          <w:sz w:val="24"/>
          <w:szCs w:val="24"/>
          <w:shd w:val="clear" w:fill="FFFFFF"/>
          <w:vertAlign w:val="baseline"/>
        </w:rPr>
        <w:t>八、凡对本次采购提出询问，请按以下方式联系。</w:t>
      </w:r>
    </w:p>
    <w:p w14:paraId="4C47CD0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1.采购人信息</w:t>
      </w:r>
    </w:p>
    <w:p w14:paraId="6363E06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vertAlign w:val="baseline"/>
        </w:rPr>
        <w:t>名称：</w:t>
      </w:r>
      <w:r>
        <w:rPr>
          <w:rFonts w:hint="eastAsia" w:cs="宋体"/>
          <w:i w:val="0"/>
          <w:iCs w:val="0"/>
          <w:caps w:val="0"/>
          <w:color w:val="383838"/>
          <w:spacing w:val="0"/>
          <w:sz w:val="24"/>
          <w:szCs w:val="24"/>
          <w:shd w:val="clear" w:fill="FFFFFF"/>
          <w:vertAlign w:val="baseline"/>
          <w:lang w:eastAsia="zh-CN"/>
        </w:rPr>
        <w:t>山东大学第二医院</w:t>
      </w:r>
      <w:r>
        <w:rPr>
          <w:rFonts w:hint="eastAsia" w:ascii="宋体" w:hAnsi="宋体" w:eastAsia="宋体" w:cs="宋体"/>
          <w:i w:val="0"/>
          <w:iCs w:val="0"/>
          <w:caps w:val="0"/>
          <w:color w:val="383838"/>
          <w:spacing w:val="0"/>
          <w:sz w:val="24"/>
          <w:szCs w:val="24"/>
          <w:shd w:val="clear" w:fill="FFFFFF"/>
          <w:vertAlign w:val="baseline"/>
        </w:rPr>
        <w:t>　　　　　</w:t>
      </w:r>
    </w:p>
    <w:p w14:paraId="0B4FBA0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地址：济南市天桥区北园大街247号　　　　　　　　</w:t>
      </w:r>
    </w:p>
    <w:p w14:paraId="4B3114AB">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联系方式：0531-85875076 </w:t>
      </w:r>
    </w:p>
    <w:p w14:paraId="2AF15E44">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2.采购代理机构信息</w:t>
      </w:r>
    </w:p>
    <w:p w14:paraId="3736D2D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名 称：海逸恒安项目管理有限公司　　　　　　　　　　　　</w:t>
      </w:r>
    </w:p>
    <w:p w14:paraId="1402E0DB">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地　址：山东省济南市历下区华润置地广场A5-6号楼27层</w:t>
      </w:r>
    </w:p>
    <w:p w14:paraId="4B839290">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联系方式：</w:t>
      </w:r>
      <w:r>
        <w:rPr>
          <w:rFonts w:hint="eastAsia" w:ascii="宋体" w:hAnsi="宋体" w:eastAsia="宋体" w:cs="宋体"/>
          <w:i w:val="0"/>
          <w:iCs w:val="0"/>
          <w:caps w:val="0"/>
          <w:color w:val="383838"/>
          <w:spacing w:val="0"/>
          <w:sz w:val="24"/>
          <w:szCs w:val="24"/>
          <w:shd w:val="clear" w:fill="FFFFFF"/>
          <w:vertAlign w:val="baseline"/>
          <w:lang w:val="en-US" w:eastAsia="zh-CN"/>
        </w:rPr>
        <w:t>田飞飞</w:t>
      </w:r>
      <w:r>
        <w:rPr>
          <w:rFonts w:hint="eastAsia" w:ascii="宋体" w:hAnsi="宋体" w:eastAsia="宋体" w:cs="宋体"/>
          <w:i w:val="0"/>
          <w:iCs w:val="0"/>
          <w:caps w:val="0"/>
          <w:color w:val="383838"/>
          <w:spacing w:val="0"/>
          <w:sz w:val="24"/>
          <w:szCs w:val="24"/>
          <w:shd w:val="clear" w:fill="FFFFFF"/>
          <w:vertAlign w:val="baseline"/>
        </w:rPr>
        <w:t>、张洋洋</w:t>
      </w:r>
      <w:r>
        <w:rPr>
          <w:rFonts w:hint="eastAsia" w:ascii="宋体" w:hAnsi="宋体" w:eastAsia="宋体" w:cs="宋体"/>
          <w:i w:val="0"/>
          <w:iCs w:val="0"/>
          <w:caps w:val="0"/>
          <w:color w:val="383838"/>
          <w:spacing w:val="0"/>
          <w:sz w:val="24"/>
          <w:szCs w:val="24"/>
          <w:shd w:val="clear" w:fill="FFFFFF"/>
          <w:vertAlign w:val="baseline"/>
          <w:lang w:eastAsia="zh-CN"/>
        </w:rPr>
        <w:t>、</w:t>
      </w:r>
      <w:r>
        <w:rPr>
          <w:rFonts w:hint="eastAsia" w:ascii="宋体" w:hAnsi="宋体" w:eastAsia="宋体" w:cs="宋体"/>
          <w:i w:val="0"/>
          <w:iCs w:val="0"/>
          <w:caps w:val="0"/>
          <w:color w:val="383838"/>
          <w:spacing w:val="0"/>
          <w:sz w:val="24"/>
          <w:szCs w:val="24"/>
          <w:shd w:val="clear" w:fill="FFFFFF"/>
          <w:vertAlign w:val="baseline"/>
          <w:lang w:val="en-US" w:eastAsia="zh-CN"/>
        </w:rPr>
        <w:t>陈毅然</w:t>
      </w:r>
      <w:r>
        <w:rPr>
          <w:rFonts w:hint="eastAsia" w:ascii="宋体" w:hAnsi="宋体" w:eastAsia="宋体" w:cs="宋体"/>
          <w:i w:val="0"/>
          <w:iCs w:val="0"/>
          <w:caps w:val="0"/>
          <w:color w:val="383838"/>
          <w:spacing w:val="0"/>
          <w:sz w:val="24"/>
          <w:szCs w:val="24"/>
          <w:shd w:val="clear" w:fill="FFFFFF"/>
          <w:vertAlign w:val="baseline"/>
        </w:rPr>
        <w:t xml:space="preserve"> 0531-88763191　　　　　　　　　　　</w:t>
      </w:r>
    </w:p>
    <w:p w14:paraId="1E72130C">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3.项目联系方式</w:t>
      </w:r>
    </w:p>
    <w:p w14:paraId="7C1EDAA6">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r>
        <w:rPr>
          <w:rFonts w:hint="eastAsia" w:ascii="宋体" w:hAnsi="宋体" w:eastAsia="宋体" w:cs="宋体"/>
          <w:i w:val="0"/>
          <w:iCs w:val="0"/>
          <w:caps w:val="0"/>
          <w:color w:val="383838"/>
          <w:spacing w:val="0"/>
          <w:sz w:val="24"/>
          <w:szCs w:val="24"/>
          <w:shd w:val="clear" w:fill="FFFFFF"/>
          <w:vertAlign w:val="baseline"/>
        </w:rPr>
        <w:t>项目联系人：</w:t>
      </w:r>
      <w:r>
        <w:rPr>
          <w:rFonts w:hint="eastAsia" w:ascii="宋体" w:hAnsi="宋体" w:eastAsia="宋体" w:cs="宋体"/>
          <w:i w:val="0"/>
          <w:iCs w:val="0"/>
          <w:caps w:val="0"/>
          <w:color w:val="383838"/>
          <w:spacing w:val="0"/>
          <w:sz w:val="24"/>
          <w:szCs w:val="24"/>
          <w:shd w:val="clear" w:fill="FFFFFF"/>
          <w:vertAlign w:val="baseline"/>
          <w:lang w:val="en-US" w:eastAsia="zh-CN"/>
        </w:rPr>
        <w:t>田飞飞</w:t>
      </w:r>
      <w:r>
        <w:rPr>
          <w:rFonts w:hint="eastAsia" w:ascii="宋体" w:hAnsi="宋体" w:eastAsia="宋体" w:cs="宋体"/>
          <w:i w:val="0"/>
          <w:iCs w:val="0"/>
          <w:caps w:val="0"/>
          <w:color w:val="383838"/>
          <w:spacing w:val="0"/>
          <w:sz w:val="24"/>
          <w:szCs w:val="24"/>
          <w:shd w:val="clear" w:fill="FFFFFF"/>
          <w:vertAlign w:val="baseline"/>
        </w:rPr>
        <w:t>、张洋洋</w:t>
      </w:r>
      <w:r>
        <w:rPr>
          <w:rFonts w:hint="eastAsia" w:ascii="宋体" w:hAnsi="宋体" w:eastAsia="宋体" w:cs="宋体"/>
          <w:i w:val="0"/>
          <w:iCs w:val="0"/>
          <w:caps w:val="0"/>
          <w:color w:val="383838"/>
          <w:spacing w:val="0"/>
          <w:sz w:val="24"/>
          <w:szCs w:val="24"/>
          <w:shd w:val="clear" w:fill="FFFFFF"/>
          <w:vertAlign w:val="baseline"/>
          <w:lang w:eastAsia="zh-CN"/>
        </w:rPr>
        <w:t>、</w:t>
      </w:r>
      <w:r>
        <w:rPr>
          <w:rFonts w:hint="eastAsia" w:ascii="宋体" w:hAnsi="宋体" w:eastAsia="宋体" w:cs="宋体"/>
          <w:i w:val="0"/>
          <w:iCs w:val="0"/>
          <w:caps w:val="0"/>
          <w:color w:val="383838"/>
          <w:spacing w:val="0"/>
          <w:sz w:val="24"/>
          <w:szCs w:val="24"/>
          <w:shd w:val="clear" w:fill="FFFFFF"/>
          <w:vertAlign w:val="baseline"/>
          <w:lang w:val="en-US" w:eastAsia="zh-CN"/>
        </w:rPr>
        <w:t>陈毅然</w:t>
      </w:r>
    </w:p>
    <w:p w14:paraId="0F8C5083">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default" w:ascii="宋体" w:hAnsi="宋体" w:eastAsia="宋体" w:cs="宋体"/>
          <w:i w:val="0"/>
          <w:iCs w:val="0"/>
          <w:caps w:val="0"/>
          <w:color w:val="383838"/>
          <w:spacing w:val="0"/>
          <w:sz w:val="24"/>
          <w:szCs w:val="24"/>
          <w:shd w:val="clear" w:fill="FFFFFF"/>
          <w:vertAlign w:val="baseline"/>
          <w:lang w:val="en-US" w:eastAsia="zh-CN"/>
        </w:rPr>
      </w:pPr>
      <w:r>
        <w:rPr>
          <w:rFonts w:hint="eastAsia" w:ascii="宋体" w:hAnsi="宋体" w:eastAsia="宋体" w:cs="宋体"/>
          <w:i w:val="0"/>
          <w:iCs w:val="0"/>
          <w:caps w:val="0"/>
          <w:color w:val="383838"/>
          <w:spacing w:val="0"/>
          <w:sz w:val="24"/>
          <w:szCs w:val="24"/>
          <w:shd w:val="clear" w:fill="FFFFFF"/>
          <w:vertAlign w:val="baseline"/>
        </w:rPr>
        <w:t>电　话：</w:t>
      </w:r>
      <w:r>
        <w:rPr>
          <w:rFonts w:hint="eastAsia" w:ascii="宋体" w:hAnsi="宋体" w:eastAsia="宋体" w:cs="宋体"/>
          <w:i w:val="0"/>
          <w:iCs w:val="0"/>
          <w:caps w:val="0"/>
          <w:color w:val="383838"/>
          <w:spacing w:val="0"/>
          <w:sz w:val="24"/>
          <w:szCs w:val="24"/>
          <w:shd w:val="clear" w:fill="FFFFFF"/>
          <w:vertAlign w:val="baseline"/>
          <w:lang w:val="en-US" w:eastAsia="zh-CN"/>
        </w:rPr>
        <w:t xml:space="preserve"> </w:t>
      </w:r>
      <w:r>
        <w:rPr>
          <w:rFonts w:hint="eastAsia" w:ascii="宋体" w:hAnsi="宋体" w:eastAsia="宋体" w:cs="宋体"/>
          <w:i w:val="0"/>
          <w:iCs w:val="0"/>
          <w:caps w:val="0"/>
          <w:color w:val="383838"/>
          <w:spacing w:val="0"/>
          <w:sz w:val="24"/>
          <w:szCs w:val="24"/>
          <w:shd w:val="clear" w:fill="FFFFFF"/>
          <w:vertAlign w:val="baseline"/>
        </w:rPr>
        <w:t>0531-88763191</w:t>
      </w:r>
    </w:p>
    <w:p w14:paraId="4D6186E8">
      <w:pPr>
        <w:pStyle w:val="6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宋体" w:hAnsi="宋体" w:eastAsia="宋体" w:cs="宋体"/>
          <w:i w:val="0"/>
          <w:iCs w:val="0"/>
          <w:caps w:val="0"/>
          <w:color w:val="383838"/>
          <w:spacing w:val="0"/>
          <w:sz w:val="24"/>
          <w:szCs w:val="24"/>
          <w:shd w:val="clear" w:fill="FFFFFF"/>
          <w:vertAlign w:val="baseline"/>
        </w:rPr>
      </w:pPr>
    </w:p>
    <w:p w14:paraId="6B2E56DD">
      <w:pPr>
        <w:pStyle w:val="2"/>
        <w:spacing w:before="120" w:after="120" w:line="360" w:lineRule="auto"/>
        <w:jc w:val="center"/>
        <w:rPr>
          <w:rFonts w:ascii="宋体" w:hAnsi="宋体"/>
          <w:color w:val="auto"/>
          <w:kern w:val="2"/>
          <w:sz w:val="32"/>
          <w:highlight w:val="none"/>
        </w:rPr>
      </w:pPr>
      <w:r>
        <w:rPr>
          <w:rFonts w:hint="eastAsia" w:ascii="宋体" w:hAnsi="宋体"/>
          <w:color w:val="auto"/>
          <w:spacing w:val="-10"/>
          <w:sz w:val="24"/>
          <w:highlight w:val="none"/>
        </w:rPr>
        <w:br w:type="page"/>
      </w:r>
      <w:bookmarkStart w:id="2" w:name="_Toc14701"/>
      <w:r>
        <w:rPr>
          <w:rFonts w:hint="eastAsia" w:ascii="宋体" w:hAnsi="宋体"/>
          <w:color w:val="auto"/>
          <w:kern w:val="2"/>
          <w:sz w:val="32"/>
          <w:highlight w:val="none"/>
        </w:rPr>
        <w:t>第二章</w:t>
      </w:r>
      <w:r>
        <w:rPr>
          <w:rFonts w:ascii="宋体" w:hAnsi="宋体"/>
          <w:color w:val="auto"/>
          <w:kern w:val="2"/>
          <w:sz w:val="32"/>
          <w:highlight w:val="none"/>
        </w:rPr>
        <w:t xml:space="preserve">   </w:t>
      </w:r>
      <w:r>
        <w:rPr>
          <w:rFonts w:hint="eastAsia" w:ascii="宋体" w:hAnsi="宋体"/>
          <w:color w:val="auto"/>
          <w:kern w:val="2"/>
          <w:sz w:val="32"/>
          <w:highlight w:val="none"/>
        </w:rPr>
        <w:t>供应商须知</w:t>
      </w:r>
      <w:bookmarkEnd w:id="2"/>
    </w:p>
    <w:p w14:paraId="1B5D0177">
      <w:pPr>
        <w:pStyle w:val="2"/>
        <w:spacing w:before="0" w:after="0"/>
        <w:jc w:val="center"/>
        <w:rPr>
          <w:rFonts w:ascii="宋体" w:hAnsi="宋体"/>
          <w:bCs w:val="0"/>
          <w:color w:val="auto"/>
          <w:sz w:val="30"/>
          <w:szCs w:val="30"/>
          <w:highlight w:val="none"/>
        </w:rPr>
      </w:pPr>
      <w:bookmarkStart w:id="3" w:name="_Toc28238"/>
      <w:r>
        <w:rPr>
          <w:rFonts w:hint="eastAsia" w:ascii="宋体" w:hAnsi="宋体"/>
          <w:bCs w:val="0"/>
          <w:color w:val="auto"/>
          <w:sz w:val="30"/>
          <w:szCs w:val="30"/>
          <w:highlight w:val="none"/>
        </w:rPr>
        <w:t>供应商须知前附表</w:t>
      </w:r>
      <w:bookmarkEnd w:id="3"/>
    </w:p>
    <w:p w14:paraId="15709A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本表是对“供应商须知”正文的具体补充和修改，如有不一致，以“前附表”为准。</w:t>
      </w:r>
    </w:p>
    <w:tbl>
      <w:tblPr>
        <w:tblStyle w:val="75"/>
        <w:tblW w:w="89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646"/>
        <w:gridCol w:w="8325"/>
      </w:tblGrid>
      <w:tr w14:paraId="42308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tblHeader/>
          <w:jc w:val="center"/>
        </w:trPr>
        <w:tc>
          <w:tcPr>
            <w:tcW w:w="646" w:type="dxa"/>
            <w:noWrap w:val="0"/>
            <w:vAlign w:val="center"/>
          </w:tcPr>
          <w:p w14:paraId="16ED6FE2">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bookmarkStart w:id="4" w:name="_Toc346372875"/>
            <w:r>
              <w:rPr>
                <w:rFonts w:hint="eastAsia" w:ascii="宋体" w:hAnsi="宋体"/>
                <w:color w:val="auto"/>
                <w:sz w:val="24"/>
                <w:highlight w:val="none"/>
              </w:rPr>
              <w:t>序号</w:t>
            </w:r>
          </w:p>
        </w:tc>
        <w:tc>
          <w:tcPr>
            <w:tcW w:w="8325" w:type="dxa"/>
            <w:noWrap w:val="0"/>
            <w:vAlign w:val="center"/>
          </w:tcPr>
          <w:p w14:paraId="5251DB61">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内容</w:t>
            </w:r>
          </w:p>
        </w:tc>
      </w:tr>
      <w:tr w14:paraId="74658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0A4D2BFF">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说明</w:t>
            </w:r>
          </w:p>
        </w:tc>
      </w:tr>
      <w:tr w14:paraId="4BA44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22510C6">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p>
        </w:tc>
        <w:tc>
          <w:tcPr>
            <w:tcW w:w="8325" w:type="dxa"/>
            <w:noWrap w:val="0"/>
            <w:vAlign w:val="center"/>
          </w:tcPr>
          <w:p w14:paraId="3ECE379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重要提示：</w:t>
            </w:r>
          </w:p>
          <w:p w14:paraId="10301187">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b/>
                <w:color w:val="auto"/>
                <w:sz w:val="24"/>
                <w:highlight w:val="none"/>
              </w:rPr>
              <w:t>本采购文件中，标注有“★”或“☆”的条款，为本采购文件中的实质性条款，且属于在</w:t>
            </w:r>
            <w:r>
              <w:rPr>
                <w:rFonts w:hint="eastAsia" w:ascii="宋体" w:hAnsi="宋体"/>
                <w:b/>
                <w:color w:val="auto"/>
                <w:sz w:val="24"/>
                <w:highlight w:val="none"/>
                <w:lang w:eastAsia="zh-CN"/>
              </w:rPr>
              <w:t>谈判</w:t>
            </w:r>
            <w:r>
              <w:rPr>
                <w:rFonts w:hint="eastAsia" w:ascii="宋体" w:hAnsi="宋体"/>
                <w:b/>
                <w:color w:val="auto"/>
                <w:sz w:val="24"/>
                <w:highlight w:val="none"/>
              </w:rPr>
              <w:t>过程中不会变动的内容。供应商未实质性响应的，将按无效报价处理。</w:t>
            </w:r>
          </w:p>
        </w:tc>
      </w:tr>
      <w:tr w14:paraId="3A685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45C5792B">
            <w:pPr>
              <w:keepNext w:val="0"/>
              <w:keepLines w:val="0"/>
              <w:pageBreakBefore w:val="0"/>
              <w:kinsoku/>
              <w:overflowPunct/>
              <w:topLinePunct w:val="0"/>
              <w:bidi w:val="0"/>
              <w:spacing w:line="240" w:lineRule="auto"/>
              <w:ind w:left="0" w:firstLine="0" w:firstLineChars="0"/>
              <w:jc w:val="center"/>
              <w:rPr>
                <w:rFonts w:ascii="宋体" w:hAnsi="宋体"/>
                <w:color w:val="auto"/>
                <w:sz w:val="24"/>
                <w:highlight w:val="none"/>
              </w:rPr>
            </w:pPr>
            <w:r>
              <w:rPr>
                <w:rFonts w:ascii="宋体" w:hAnsi="宋体"/>
                <w:color w:val="auto"/>
                <w:sz w:val="24"/>
                <w:highlight w:val="none"/>
              </w:rPr>
              <w:t>1</w:t>
            </w:r>
          </w:p>
        </w:tc>
        <w:tc>
          <w:tcPr>
            <w:tcW w:w="8325" w:type="dxa"/>
            <w:noWrap w:val="0"/>
            <w:vAlign w:val="center"/>
          </w:tcPr>
          <w:p w14:paraId="7AE0B73A">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山东大学第二医院消防器材</w:t>
            </w:r>
          </w:p>
          <w:p w14:paraId="76A7EE26">
            <w:pPr>
              <w:keepNext w:val="0"/>
              <w:keepLines w:val="0"/>
              <w:pageBreakBefore w:val="0"/>
              <w:kinsoku/>
              <w:overflowPunct/>
              <w:topLinePunct w:val="0"/>
              <w:bidi w:val="0"/>
              <w:spacing w:line="240" w:lineRule="auto"/>
              <w:ind w:left="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 xml:space="preserve">HYHA2024-2896 </w:t>
            </w:r>
          </w:p>
        </w:tc>
      </w:tr>
      <w:tr w14:paraId="5BC35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4BC7B44D">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8325" w:type="dxa"/>
            <w:noWrap w:val="0"/>
            <w:vAlign w:val="center"/>
          </w:tcPr>
          <w:p w14:paraId="4D9E8F17">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 xml:space="preserve">采购人： </w:t>
            </w:r>
            <w:r>
              <w:rPr>
                <w:rFonts w:hint="eastAsia" w:ascii="宋体" w:hAnsi="宋体" w:cs="宋体"/>
                <w:color w:val="auto"/>
                <w:sz w:val="24"/>
                <w:highlight w:val="none"/>
                <w:lang w:eastAsia="zh-CN"/>
              </w:rPr>
              <w:t>山东大学第二医院</w:t>
            </w:r>
          </w:p>
          <w:p w14:paraId="25BA64B6">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cs="宋体"/>
                <w:color w:val="auto"/>
                <w:sz w:val="24"/>
                <w:highlight w:val="none"/>
                <w:u w:val="none"/>
              </w:rPr>
              <w:t>0531-</w:t>
            </w:r>
            <w:r>
              <w:rPr>
                <w:rFonts w:hint="eastAsia" w:ascii="宋体" w:hAnsi="宋体" w:cs="宋体"/>
                <w:color w:val="auto"/>
                <w:sz w:val="24"/>
                <w:highlight w:val="none"/>
                <w:u w:val="none"/>
                <w:lang w:eastAsia="zh-CN"/>
              </w:rPr>
              <w:t>85875076</w:t>
            </w:r>
          </w:p>
        </w:tc>
      </w:tr>
      <w:tr w14:paraId="3A694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9897C6C">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8325" w:type="dxa"/>
            <w:noWrap w:val="0"/>
            <w:vAlign w:val="center"/>
          </w:tcPr>
          <w:p w14:paraId="23C77FFD">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代理机构：海逸恒安项目管理有限公司</w:t>
            </w:r>
          </w:p>
          <w:p w14:paraId="501BE2BE">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田飞飞、张洋洋、</w:t>
            </w:r>
            <w:r>
              <w:rPr>
                <w:rFonts w:hint="eastAsia" w:ascii="宋体" w:hAnsi="宋体"/>
                <w:color w:val="auto"/>
                <w:sz w:val="24"/>
                <w:highlight w:val="none"/>
                <w:lang w:val="en-US" w:eastAsia="zh-CN"/>
              </w:rPr>
              <w:t>陈毅然</w:t>
            </w:r>
          </w:p>
          <w:p w14:paraId="1E4D0DD7">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电　话：0531-88763191</w:t>
            </w:r>
          </w:p>
        </w:tc>
      </w:tr>
      <w:tr w14:paraId="170AF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46A08860">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8325" w:type="dxa"/>
            <w:noWrap w:val="0"/>
            <w:vAlign w:val="center"/>
          </w:tcPr>
          <w:p w14:paraId="6C557D08">
            <w:pPr>
              <w:keepNext w:val="0"/>
              <w:keepLines w:val="0"/>
              <w:pageBreakBefore w:val="0"/>
              <w:kinsoku/>
              <w:overflowPunct/>
              <w:topLinePunct w:val="0"/>
              <w:bidi w:val="0"/>
              <w:spacing w:line="240" w:lineRule="auto"/>
              <w:ind w:left="0"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资金来源：</w:t>
            </w:r>
            <w:r>
              <w:rPr>
                <w:rFonts w:hint="eastAsia" w:ascii="宋体" w:hAnsi="宋体"/>
                <w:color w:val="auto"/>
                <w:sz w:val="24"/>
                <w:highlight w:val="none"/>
                <w:lang w:val="en-US" w:eastAsia="zh-CN"/>
              </w:rPr>
              <w:t>自筹资金</w:t>
            </w:r>
          </w:p>
          <w:p w14:paraId="5E5168DF">
            <w:pPr>
              <w:pStyle w:val="30"/>
              <w:keepNext w:val="0"/>
              <w:keepLines w:val="0"/>
              <w:pageBreakBefore w:val="0"/>
              <w:kinsoku/>
              <w:overflowPunct/>
              <w:topLinePunct w:val="0"/>
              <w:bidi w:val="0"/>
              <w:spacing w:after="0" w:line="240" w:lineRule="auto"/>
              <w:ind w:left="0" w:firstLine="0" w:firstLineChars="0"/>
              <w:rPr>
                <w:rFonts w:ascii="宋体" w:hAnsi="宋体" w:cs="宋体"/>
                <w:b/>
                <w:color w:val="auto"/>
                <w:highlight w:val="none"/>
              </w:rPr>
            </w:pPr>
            <w:r>
              <w:rPr>
                <w:rFonts w:hint="eastAsia" w:ascii="宋体" w:hAnsi="宋体" w:cs="宋体"/>
                <w:bCs/>
                <w:color w:val="auto"/>
                <w:sz w:val="24"/>
                <w:highlight w:val="none"/>
              </w:rPr>
              <w:t>预算金额及最高限价</w:t>
            </w:r>
            <w:r>
              <w:rPr>
                <w:rFonts w:hint="eastAsia" w:ascii="宋体" w:hAnsi="宋体" w:cs="宋体"/>
                <w:b/>
                <w:color w:val="auto"/>
                <w:highlight w:val="none"/>
              </w:rPr>
              <w:t>：</w:t>
            </w:r>
          </w:p>
          <w:tbl>
            <w:tblPr>
              <w:tblStyle w:val="7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89"/>
              <w:gridCol w:w="1279"/>
              <w:gridCol w:w="1601"/>
              <w:gridCol w:w="1590"/>
              <w:gridCol w:w="1590"/>
            </w:tblGrid>
            <w:tr w14:paraId="033D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jc w:val="center"/>
              </w:trPr>
              <w:tc>
                <w:tcPr>
                  <w:tcW w:w="427" w:type="pct"/>
                  <w:noWrap w:val="0"/>
                  <w:vAlign w:val="center"/>
                </w:tcPr>
                <w:p w14:paraId="0C3D4171">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hint="eastAsia" w:ascii="宋体" w:hAnsi="宋体" w:eastAsia="宋体"/>
                      <w:b/>
                      <w:color w:val="auto"/>
                      <w:highlight w:val="none"/>
                      <w:lang w:eastAsia="zh-CN"/>
                    </w:rPr>
                  </w:pPr>
                  <w:r>
                    <w:rPr>
                      <w:rFonts w:hint="eastAsia" w:ascii="宋体" w:hAnsi="宋体"/>
                      <w:b/>
                      <w:color w:val="auto"/>
                      <w:highlight w:val="none"/>
                      <w:lang w:eastAsia="zh-CN"/>
                    </w:rPr>
                    <w:t>标包</w:t>
                  </w:r>
                </w:p>
              </w:tc>
              <w:tc>
                <w:tcPr>
                  <w:tcW w:w="902" w:type="pct"/>
                  <w:noWrap w:val="0"/>
                  <w:vAlign w:val="center"/>
                </w:tcPr>
                <w:p w14:paraId="2DF3CFD1">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ascii="宋体" w:hAnsi="宋体"/>
                      <w:b/>
                      <w:color w:val="auto"/>
                      <w:highlight w:val="none"/>
                    </w:rPr>
                  </w:pPr>
                  <w:r>
                    <w:rPr>
                      <w:rFonts w:hint="eastAsia" w:ascii="宋体" w:hAnsi="宋体"/>
                      <w:b/>
                      <w:color w:val="auto"/>
                      <w:highlight w:val="none"/>
                    </w:rPr>
                    <w:t>货物名称</w:t>
                  </w:r>
                </w:p>
              </w:tc>
              <w:tc>
                <w:tcPr>
                  <w:tcW w:w="775" w:type="pct"/>
                  <w:noWrap w:val="0"/>
                  <w:vAlign w:val="center"/>
                </w:tcPr>
                <w:p w14:paraId="4AEBF4F4">
                  <w:pPr>
                    <w:keepNext w:val="0"/>
                    <w:keepLines w:val="0"/>
                    <w:pageBreakBefore w:val="0"/>
                    <w:widowControl/>
                    <w:kinsoku/>
                    <w:overflowPunct/>
                    <w:topLinePunct w:val="0"/>
                    <w:bidi w:val="0"/>
                    <w:adjustRightInd w:val="0"/>
                    <w:snapToGrid w:val="0"/>
                    <w:spacing w:line="240" w:lineRule="auto"/>
                    <w:ind w:left="0" w:firstLine="0" w:firstLineChars="0"/>
                    <w:jc w:val="center"/>
                    <w:textAlignment w:val="auto"/>
                    <w:rPr>
                      <w:rFonts w:hint="eastAsia" w:ascii="宋体" w:hAnsi="宋体" w:eastAsia="宋体"/>
                      <w:b/>
                      <w:color w:val="auto"/>
                      <w:highlight w:val="none"/>
                      <w:lang w:val="en-US" w:eastAsia="zh-CN"/>
                    </w:rPr>
                  </w:pPr>
                  <w:r>
                    <w:rPr>
                      <w:rFonts w:hint="eastAsia" w:ascii="宋体" w:hAnsi="宋体"/>
                      <w:b/>
                      <w:color w:val="auto"/>
                      <w:highlight w:val="none"/>
                    </w:rPr>
                    <w:t>数量</w:t>
                  </w:r>
                  <w:r>
                    <w:rPr>
                      <w:rFonts w:hint="eastAsia" w:ascii="宋体" w:hAnsi="宋体"/>
                      <w:b/>
                      <w:color w:val="auto"/>
                      <w:highlight w:val="none"/>
                      <w:lang w:eastAsia="zh-CN"/>
                    </w:rPr>
                    <w:t>（</w:t>
                  </w:r>
                  <w:r>
                    <w:rPr>
                      <w:rFonts w:hint="eastAsia" w:ascii="宋体" w:hAnsi="宋体"/>
                      <w:b/>
                      <w:color w:val="auto"/>
                      <w:highlight w:val="none"/>
                      <w:lang w:val="en-US" w:eastAsia="zh-CN"/>
                    </w:rPr>
                    <w:t>套</w:t>
                  </w:r>
                  <w:r>
                    <w:rPr>
                      <w:rFonts w:hint="eastAsia" w:ascii="宋体" w:hAnsi="宋体"/>
                      <w:b/>
                      <w:color w:val="auto"/>
                      <w:highlight w:val="none"/>
                      <w:lang w:eastAsia="zh-CN"/>
                    </w:rPr>
                    <w:t>）</w:t>
                  </w:r>
                </w:p>
              </w:tc>
              <w:tc>
                <w:tcPr>
                  <w:tcW w:w="970" w:type="pct"/>
                  <w:noWrap w:val="0"/>
                  <w:vAlign w:val="center"/>
                </w:tcPr>
                <w:p w14:paraId="54C7C8F0">
                  <w:pPr>
                    <w:keepNext w:val="0"/>
                    <w:keepLines w:val="0"/>
                    <w:pageBreakBefore w:val="0"/>
                    <w:kinsoku/>
                    <w:overflowPunct/>
                    <w:topLinePunct w:val="0"/>
                    <w:bidi w:val="0"/>
                    <w:adjustRightInd w:val="0"/>
                    <w:snapToGrid w:val="0"/>
                    <w:spacing w:line="240" w:lineRule="auto"/>
                    <w:ind w:left="0" w:firstLine="0" w:firstLineChars="0"/>
                    <w:jc w:val="center"/>
                    <w:textAlignment w:val="auto"/>
                    <w:rPr>
                      <w:rFonts w:hint="eastAsia" w:ascii="宋体" w:hAnsi="宋体"/>
                      <w:b/>
                      <w:color w:val="auto"/>
                      <w:sz w:val="22"/>
                      <w:highlight w:val="none"/>
                    </w:rPr>
                  </w:pPr>
                  <w:r>
                    <w:rPr>
                      <w:rFonts w:hint="eastAsia" w:ascii="宋体" w:hAnsi="宋体"/>
                      <w:b/>
                      <w:color w:val="auto"/>
                      <w:sz w:val="22"/>
                      <w:highlight w:val="none"/>
                    </w:rPr>
                    <w:t>预算金额</w:t>
                  </w:r>
                </w:p>
                <w:p w14:paraId="08E7F81A">
                  <w:pPr>
                    <w:keepNext w:val="0"/>
                    <w:keepLines w:val="0"/>
                    <w:pageBreakBefore w:val="0"/>
                    <w:kinsoku/>
                    <w:overflowPunct/>
                    <w:topLinePunct w:val="0"/>
                    <w:bidi w:val="0"/>
                    <w:adjustRightInd w:val="0"/>
                    <w:snapToGrid w:val="0"/>
                    <w:spacing w:line="240" w:lineRule="auto"/>
                    <w:ind w:left="0" w:firstLine="0" w:firstLineChars="0"/>
                    <w:jc w:val="center"/>
                    <w:textAlignment w:val="auto"/>
                    <w:rPr>
                      <w:rFonts w:ascii="宋体" w:hAnsi="宋体"/>
                      <w:b/>
                      <w:color w:val="auto"/>
                      <w:highlight w:val="none"/>
                    </w:rPr>
                  </w:pPr>
                  <w:r>
                    <w:rPr>
                      <w:rFonts w:hint="eastAsia" w:ascii="宋体" w:hAnsi="宋体"/>
                      <w:b/>
                      <w:color w:val="auto"/>
                      <w:sz w:val="22"/>
                      <w:highlight w:val="none"/>
                    </w:rPr>
                    <w:t>(万元)</w:t>
                  </w:r>
                </w:p>
              </w:tc>
              <w:tc>
                <w:tcPr>
                  <w:tcW w:w="1616" w:type="dxa"/>
                  <w:noWrap w:val="0"/>
                  <w:vAlign w:val="center"/>
                </w:tcPr>
                <w:p w14:paraId="3943136F">
                  <w:pPr>
                    <w:pStyle w:val="269"/>
                    <w:keepNext w:val="0"/>
                    <w:keepLines w:val="0"/>
                    <w:pageBreakBefore w:val="0"/>
                    <w:numPr>
                      <w:ilvl w:val="4"/>
                      <w:numId w:val="0"/>
                    </w:numPr>
                    <w:kinsoku/>
                    <w:overflowPunct/>
                    <w:topLinePunct w:val="0"/>
                    <w:bidi w:val="0"/>
                    <w:spacing w:after="0" w:line="240" w:lineRule="auto"/>
                    <w:ind w:leftChars="0"/>
                    <w:jc w:val="center"/>
                    <w:rPr>
                      <w:rFonts w:hint="eastAsia" w:ascii="宋体" w:hAnsi="宋体"/>
                      <w:b/>
                      <w:color w:val="auto"/>
                      <w:kern w:val="2"/>
                      <w:sz w:val="21"/>
                      <w:szCs w:val="24"/>
                      <w:highlight w:val="none"/>
                      <w:lang w:val="en-US" w:eastAsia="zh-CN" w:bidi="ar-SA"/>
                    </w:rPr>
                  </w:pPr>
                  <w:r>
                    <w:rPr>
                      <w:rFonts w:hint="eastAsia"/>
                      <w:b/>
                      <w:bCs/>
                      <w:color w:val="auto"/>
                      <w:highlight w:val="none"/>
                      <w:lang w:val="en-US" w:eastAsia="zh-CN"/>
                    </w:rPr>
                    <w:t>单价最高限价</w:t>
                  </w:r>
                </w:p>
              </w:tc>
              <w:tc>
                <w:tcPr>
                  <w:tcW w:w="1616" w:type="dxa"/>
                  <w:noWrap w:val="0"/>
                  <w:vAlign w:val="center"/>
                </w:tcPr>
                <w:p w14:paraId="27E150A5">
                  <w:pPr>
                    <w:pStyle w:val="269"/>
                    <w:keepNext w:val="0"/>
                    <w:keepLines w:val="0"/>
                    <w:pageBreakBefore w:val="0"/>
                    <w:numPr>
                      <w:ilvl w:val="4"/>
                      <w:numId w:val="0"/>
                    </w:numPr>
                    <w:kinsoku/>
                    <w:overflowPunct/>
                    <w:topLinePunct w:val="0"/>
                    <w:bidi w:val="0"/>
                    <w:spacing w:after="0" w:line="240" w:lineRule="auto"/>
                    <w:ind w:leftChars="0"/>
                    <w:jc w:val="center"/>
                    <w:rPr>
                      <w:rFonts w:hint="eastAsia"/>
                      <w:b/>
                      <w:bCs/>
                      <w:color w:val="auto"/>
                      <w:highlight w:val="none"/>
                    </w:rPr>
                  </w:pPr>
                  <w:r>
                    <w:rPr>
                      <w:rFonts w:hint="eastAsia"/>
                      <w:b/>
                      <w:bCs/>
                      <w:color w:val="auto"/>
                      <w:highlight w:val="none"/>
                    </w:rPr>
                    <w:t>备注</w:t>
                  </w:r>
                </w:p>
              </w:tc>
            </w:tr>
            <w:tr w14:paraId="5406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noWrap w:val="0"/>
                  <w:vAlign w:val="center"/>
                </w:tcPr>
                <w:p w14:paraId="56B9510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A</w:t>
                  </w:r>
                </w:p>
              </w:tc>
              <w:tc>
                <w:tcPr>
                  <w:tcW w:w="902" w:type="pct"/>
                  <w:noWrap w:val="0"/>
                  <w:vAlign w:val="center"/>
                </w:tcPr>
                <w:p w14:paraId="0C89D8C8">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eastAsia="宋体"/>
                      <w:color w:val="auto"/>
                      <w:sz w:val="24"/>
                      <w:szCs w:val="24"/>
                      <w:highlight w:val="none"/>
                      <w:lang w:eastAsia="zh-CN"/>
                    </w:rPr>
                    <w:t>消防器材</w:t>
                  </w:r>
                </w:p>
              </w:tc>
              <w:tc>
                <w:tcPr>
                  <w:tcW w:w="775" w:type="pct"/>
                  <w:noWrap w:val="0"/>
                  <w:vAlign w:val="center"/>
                </w:tcPr>
                <w:p w14:paraId="4D7B78F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kern w:val="0"/>
                      <w:highlight w:val="none"/>
                      <w:lang w:val="en-US" w:eastAsia="zh-CN"/>
                    </w:rPr>
                  </w:pPr>
                  <w:r>
                    <w:rPr>
                      <w:color w:val="auto"/>
                      <w:sz w:val="24"/>
                      <w:szCs w:val="24"/>
                      <w:highlight w:val="none"/>
                    </w:rPr>
                    <w:t>1</w:t>
                  </w:r>
                </w:p>
              </w:tc>
              <w:tc>
                <w:tcPr>
                  <w:tcW w:w="970" w:type="pct"/>
                  <w:noWrap w:val="0"/>
                  <w:vAlign w:val="center"/>
                </w:tcPr>
                <w:p w14:paraId="54D3FF5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color w:val="auto"/>
                      <w:kern w:val="0"/>
                      <w:highlight w:val="none"/>
                      <w:lang w:val="en-US" w:eastAsia="zh-CN"/>
                    </w:rPr>
                  </w:pPr>
                  <w:r>
                    <w:rPr>
                      <w:rFonts w:hint="eastAsia" w:eastAsia="宋体"/>
                      <w:color w:val="auto"/>
                      <w:sz w:val="24"/>
                      <w:szCs w:val="24"/>
                      <w:highlight w:val="none"/>
                      <w:lang w:val="en-US" w:eastAsia="zh-CN"/>
                    </w:rPr>
                    <w:t>34.00</w:t>
                  </w:r>
                </w:p>
              </w:tc>
              <w:tc>
                <w:tcPr>
                  <w:tcW w:w="1616" w:type="dxa"/>
                  <w:noWrap w:val="0"/>
                  <w:vAlign w:val="center"/>
                </w:tcPr>
                <w:p w14:paraId="2203656F">
                  <w:pPr>
                    <w:pStyle w:val="269"/>
                    <w:keepNext w:val="0"/>
                    <w:keepLines w:val="0"/>
                    <w:pageBreakBefore w:val="0"/>
                    <w:numPr>
                      <w:ilvl w:val="4"/>
                      <w:numId w:val="0"/>
                    </w:numPr>
                    <w:kinsoku/>
                    <w:overflowPunct/>
                    <w:topLinePunct w:val="0"/>
                    <w:bidi w:val="0"/>
                    <w:spacing w:after="0" w:line="240" w:lineRule="auto"/>
                    <w:ind w:leftChars="0"/>
                    <w:jc w:val="both"/>
                    <w:rPr>
                      <w:rFonts w:hint="default" w:ascii="宋体" w:hAnsi="宋体" w:eastAsia="宋体" w:cs="宋体"/>
                      <w:color w:val="auto"/>
                      <w:kern w:val="0"/>
                      <w:highlight w:val="none"/>
                      <w:lang w:val="en-US" w:eastAsia="zh-CN"/>
                    </w:rPr>
                  </w:pPr>
                  <w:r>
                    <w:rPr>
                      <w:rFonts w:hint="eastAsia"/>
                      <w:color w:val="auto"/>
                      <w:highlight w:val="none"/>
                      <w:lang w:val="en-US" w:eastAsia="zh-CN"/>
                    </w:rPr>
                    <w:t>详见采购清单</w:t>
                  </w:r>
                </w:p>
              </w:tc>
              <w:tc>
                <w:tcPr>
                  <w:tcW w:w="1616" w:type="dxa"/>
                  <w:noWrap w:val="0"/>
                  <w:vAlign w:val="center"/>
                </w:tcPr>
                <w:p w14:paraId="6DE48044">
                  <w:pPr>
                    <w:pStyle w:val="269"/>
                    <w:keepNext w:val="0"/>
                    <w:keepLines w:val="0"/>
                    <w:pageBreakBefore w:val="0"/>
                    <w:numPr>
                      <w:ilvl w:val="4"/>
                      <w:numId w:val="0"/>
                    </w:numPr>
                    <w:kinsoku/>
                    <w:overflowPunct/>
                    <w:topLinePunct w:val="0"/>
                    <w:bidi w:val="0"/>
                    <w:spacing w:after="0" w:line="240" w:lineRule="auto"/>
                    <w:ind w:leftChars="0"/>
                    <w:jc w:val="both"/>
                    <w:rPr>
                      <w:rFonts w:hint="eastAsia"/>
                      <w:color w:val="auto"/>
                      <w:highlight w:val="none"/>
                    </w:rPr>
                  </w:pPr>
                  <w:r>
                    <w:rPr>
                      <w:rFonts w:hint="eastAsia"/>
                      <w:color w:val="auto"/>
                      <w:highlight w:val="none"/>
                    </w:rPr>
                    <w:t>国产</w:t>
                  </w:r>
                </w:p>
              </w:tc>
            </w:tr>
          </w:tbl>
          <w:p w14:paraId="198EB10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w:t>
            </w:r>
            <w:r>
              <w:rPr>
                <w:rFonts w:hint="eastAsia" w:ascii="宋体" w:hAnsi="宋体" w:eastAsia="宋体" w:cs="Times New Roman"/>
                <w:b/>
                <w:bCs w:val="0"/>
                <w:snapToGrid w:val="0"/>
                <w:color w:val="auto"/>
                <w:sz w:val="24"/>
                <w:highlight w:val="none"/>
                <w:lang w:val="en-US" w:eastAsia="zh-CN"/>
              </w:rPr>
              <w:t>超过预算或单项报价超单价最高限价的</w:t>
            </w:r>
            <w:r>
              <w:rPr>
                <w:rFonts w:hint="eastAsia" w:ascii="宋体" w:hAnsi="宋体" w:cs="宋体"/>
                <w:b/>
                <w:color w:val="auto"/>
                <w:sz w:val="24"/>
                <w:highlight w:val="none"/>
              </w:rPr>
              <w:t>，按无效报价处理。</w:t>
            </w:r>
          </w:p>
        </w:tc>
      </w:tr>
      <w:tr w14:paraId="6742F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CDFD464">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8325" w:type="dxa"/>
            <w:noWrap w:val="0"/>
            <w:vAlign w:val="center"/>
          </w:tcPr>
          <w:p w14:paraId="15B05460">
            <w:pPr>
              <w:keepNext w:val="0"/>
              <w:keepLines w:val="0"/>
              <w:pageBreakBefore w:val="0"/>
              <w:kinsoku/>
              <w:overflowPunct/>
              <w:topLinePunct w:val="0"/>
              <w:bidi w:val="0"/>
              <w:spacing w:line="240" w:lineRule="auto"/>
              <w:ind w:left="0" w:firstLine="0" w:firstLineChars="0"/>
              <w:textAlignment w:val="auto"/>
              <w:rPr>
                <w:rFonts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供应商资格要求：</w:t>
            </w:r>
          </w:p>
          <w:p w14:paraId="31C0DAAE">
            <w:pPr>
              <w:keepNext w:val="0"/>
              <w:keepLines w:val="0"/>
              <w:pageBreakBefore w:val="0"/>
              <w:kinsoku/>
              <w:overflowPunct/>
              <w:topLinePunct w:val="0"/>
              <w:bidi w:val="0"/>
              <w:spacing w:line="240" w:lineRule="auto"/>
              <w:ind w:left="0" w:firstLine="0" w:firstLineChars="0"/>
              <w:textAlignment w:val="auto"/>
              <w:rPr>
                <w:rFonts w:ascii="宋体" w:hAnsi="宋体"/>
                <w:b/>
                <w:color w:val="auto"/>
                <w:sz w:val="24"/>
                <w:highlight w:val="none"/>
              </w:rPr>
            </w:pPr>
            <w:r>
              <w:rPr>
                <w:rFonts w:hint="eastAsia" w:ascii="宋体" w:hAnsi="宋体"/>
                <w:b/>
                <w:color w:val="auto"/>
                <w:sz w:val="24"/>
                <w:highlight w:val="none"/>
              </w:rPr>
              <w:t>详见本项目采购公告。</w:t>
            </w:r>
          </w:p>
          <w:p w14:paraId="1C45204F">
            <w:pPr>
              <w:keepNext w:val="0"/>
              <w:keepLines w:val="0"/>
              <w:pageBreakBefore w:val="0"/>
              <w:kinsoku/>
              <w:overflowPunct/>
              <w:topLinePunct w:val="0"/>
              <w:bidi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供应商应提供能够证明符合资格条件的下列材料</w:t>
            </w:r>
          </w:p>
          <w:p w14:paraId="0BEE282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（1）供应商须具有独立承担民事责任的能力，向采购人提供货物和服务的法人、其他组织或自然人，</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59CA376B">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供应商是企业（包括合伙企业）的，应提供其在工商部门注册的有效“企业法人营业执照”或“营业执照”；</w:t>
            </w:r>
          </w:p>
          <w:p w14:paraId="3E3E361A">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供应商是事业单位的，应提供其有效的“事业单位法人证书”；</w:t>
            </w:r>
          </w:p>
          <w:p w14:paraId="5199222F">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供应商是非企业专业服务机构的，应提供其有效的执业许可证；</w:t>
            </w:r>
          </w:p>
          <w:p w14:paraId="33FEEF00">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供应商是个体工商户的，应提供其有效的“个体工商户营业执照”；</w:t>
            </w:r>
          </w:p>
          <w:p w14:paraId="60E69FAD">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供应商是自然人的，应提供其有效的自然人身份证明</w:t>
            </w:r>
            <w:r>
              <w:rPr>
                <w:rFonts w:hint="eastAsia" w:ascii="宋体" w:hAnsi="宋体" w:cs="宋体"/>
                <w:color w:val="auto"/>
                <w:kern w:val="0"/>
                <w:sz w:val="24"/>
                <w:highlight w:val="none"/>
              </w:rPr>
              <w:t>。</w:t>
            </w:r>
          </w:p>
          <w:p w14:paraId="26176949">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供应商须具有良好的商业信誉和健全的财务会计制度，</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7A29E8CD">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供应商是法人的，应提供财务会计报表</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或经审计的财务报告</w:t>
            </w:r>
            <w:r>
              <w:rPr>
                <w:rFonts w:hint="eastAsia" w:ascii="宋体" w:hAnsi="宋体" w:cs="宋体"/>
                <w:color w:val="auto"/>
                <w:kern w:val="0"/>
                <w:sz w:val="24"/>
                <w:highlight w:val="none"/>
              </w:rPr>
              <w:t>（包括资产负债表、利润表、现金流量表）</w:t>
            </w:r>
            <w:r>
              <w:rPr>
                <w:rFonts w:hint="eastAsia" w:ascii="宋体" w:hAnsi="宋体" w:cs="宋体"/>
                <w:color w:val="auto"/>
                <w:kern w:val="0"/>
                <w:sz w:val="24"/>
                <w:highlight w:val="none"/>
                <w:lang w:eastAsia="zh-CN"/>
              </w:rPr>
              <w:t>，</w:t>
            </w:r>
            <w:r>
              <w:rPr>
                <w:rFonts w:hint="eastAsia" w:ascii="宋体" w:hAnsi="宋体" w:cs="宋体"/>
                <w:snapToGrid w:val="0"/>
                <w:color w:val="auto"/>
                <w:kern w:val="0"/>
                <w:sz w:val="24"/>
                <w:highlight w:val="none"/>
              </w:rPr>
              <w:t>或其基本开户银行出具的资信证明；</w:t>
            </w:r>
          </w:p>
          <w:p w14:paraId="1A037DF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供应商是其他组织或自然人的，应提供银行出具的资信证明</w:t>
            </w:r>
            <w:r>
              <w:rPr>
                <w:rFonts w:hint="eastAsia" w:ascii="宋体" w:hAnsi="宋体" w:cs="宋体"/>
                <w:color w:val="auto"/>
                <w:kern w:val="0"/>
                <w:sz w:val="24"/>
                <w:highlight w:val="none"/>
              </w:rPr>
              <w:t>。</w:t>
            </w:r>
          </w:p>
          <w:p w14:paraId="2E00B120">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供应商须具有履行合同所必需的设备和专业技术能力，</w:t>
            </w:r>
            <w:r>
              <w:rPr>
                <w:rFonts w:hint="eastAsia" w:ascii="宋体" w:hAnsi="宋体" w:cs="宋体"/>
                <w:b/>
                <w:bCs/>
                <w:color w:val="auto"/>
                <w:kern w:val="0"/>
                <w:sz w:val="24"/>
                <w:highlight w:val="none"/>
              </w:rPr>
              <w:t>须附相关证明材料或书面声明</w:t>
            </w:r>
            <w:r>
              <w:rPr>
                <w:rFonts w:hint="eastAsia" w:ascii="宋体" w:hAnsi="宋体" w:cs="宋体"/>
                <w:color w:val="auto"/>
                <w:kern w:val="0"/>
                <w:sz w:val="24"/>
                <w:highlight w:val="none"/>
              </w:rPr>
              <w:t xml:space="preserve">。 </w:t>
            </w:r>
          </w:p>
          <w:p w14:paraId="6DDA014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供应商须具有依法缴纳税收和社会保障资金的良好记录，</w:t>
            </w:r>
            <w:r>
              <w:rPr>
                <w:rFonts w:hint="eastAsia" w:ascii="宋体" w:hAnsi="宋体" w:cs="宋体"/>
                <w:b/>
                <w:bCs/>
                <w:color w:val="auto"/>
                <w:kern w:val="0"/>
                <w:sz w:val="24"/>
                <w:highlight w:val="none"/>
              </w:rPr>
              <w:t>须提供相关证明材料</w:t>
            </w:r>
            <w:r>
              <w:rPr>
                <w:rFonts w:hint="eastAsia" w:ascii="宋体" w:hAnsi="宋体" w:cs="宋体"/>
                <w:color w:val="auto"/>
                <w:kern w:val="0"/>
                <w:sz w:val="24"/>
                <w:highlight w:val="none"/>
              </w:rPr>
              <w:t>，其中：</w:t>
            </w:r>
          </w:p>
          <w:p w14:paraId="34DAB6FE">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snapToGrid w:val="0"/>
                <w:color w:val="auto"/>
                <w:kern w:val="0"/>
                <w:sz w:val="24"/>
                <w:highlight w:val="none"/>
              </w:rPr>
              <w:t>供应商是法人的，缴纳税收的证明材料，应提供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任意一个月的依法缴税凭据；</w:t>
            </w:r>
          </w:p>
          <w:p w14:paraId="3855261B">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供应商是法人的，缴纳社会保障资金的证明材料，应提供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任意一个月的缴纳社会保险的凭据；</w:t>
            </w:r>
          </w:p>
          <w:p w14:paraId="10B41626">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snapToGrid w:val="0"/>
                <w:color w:val="auto"/>
                <w:kern w:val="0"/>
                <w:sz w:val="24"/>
                <w:highlight w:val="none"/>
              </w:rPr>
              <w:t>供应商是其他组织和自然人的，需要提供</w:t>
            </w:r>
            <w:r>
              <w:rPr>
                <w:rFonts w:hint="eastAsia" w:ascii="宋体" w:hAnsi="宋体" w:cs="宋体"/>
                <w:snapToGrid w:val="0"/>
                <w:color w:val="auto"/>
                <w:kern w:val="0"/>
                <w:sz w:val="24"/>
                <w:highlight w:val="none"/>
                <w:lang w:eastAsia="zh-CN"/>
              </w:rPr>
              <w:t>开标前六个月内</w:t>
            </w:r>
            <w:r>
              <w:rPr>
                <w:rFonts w:hint="eastAsia" w:ascii="宋体" w:hAnsi="宋体" w:cs="宋体"/>
                <w:snapToGrid w:val="0"/>
                <w:color w:val="auto"/>
                <w:kern w:val="0"/>
                <w:sz w:val="24"/>
                <w:highlight w:val="none"/>
              </w:rPr>
              <w:t>任意一个月的缴纳税收和社会保险的凭据</w:t>
            </w:r>
            <w:r>
              <w:rPr>
                <w:rFonts w:hint="eastAsia" w:ascii="宋体" w:hAnsi="宋体" w:cs="宋体"/>
                <w:color w:val="auto"/>
                <w:kern w:val="0"/>
                <w:sz w:val="24"/>
                <w:highlight w:val="none"/>
              </w:rPr>
              <w:t>。</w:t>
            </w:r>
          </w:p>
          <w:p w14:paraId="7447849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注：依法免税或不需要缴纳社会保障资金的供应商，须提供相应文件证明其依法免税或不需要缴纳社会保障资金。</w:t>
            </w:r>
          </w:p>
          <w:p w14:paraId="7C56B8BC">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w:t>
            </w:r>
            <w:r>
              <w:rPr>
                <w:rFonts w:hint="eastAsia" w:ascii="宋体" w:hAnsi="宋体" w:cs="宋体"/>
                <w:color w:val="auto"/>
                <w:kern w:val="0"/>
                <w:sz w:val="24"/>
                <w:highlight w:val="none"/>
              </w:rPr>
              <w:tab/>
            </w:r>
            <w:r>
              <w:rPr>
                <w:rFonts w:hint="eastAsia" w:ascii="宋体" w:hAnsi="宋体" w:cs="宋体"/>
                <w:color w:val="auto"/>
                <w:kern w:val="0"/>
                <w:sz w:val="24"/>
                <w:highlight w:val="none"/>
              </w:rPr>
              <w:t>近三年内（本项目递交首次响应文件截止日前）供应商在经营活动中没有重大违法记录，其中：</w:t>
            </w:r>
          </w:p>
          <w:p w14:paraId="41973843">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重大违法记录是指供应商因违法经营受到刑事处罚或者责令停产停业、吊销许可证或者执照、较大数额罚款等行政处罚；</w:t>
            </w:r>
          </w:p>
          <w:p w14:paraId="487011D4">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供应商须提供参与本采购活动前三年内在经营活动中没有重大违法记录的</w:t>
            </w:r>
            <w:r>
              <w:rPr>
                <w:rFonts w:hint="eastAsia" w:ascii="宋体" w:hAnsi="宋体" w:cs="宋体"/>
                <w:b/>
                <w:bCs/>
                <w:color w:val="auto"/>
                <w:kern w:val="0"/>
                <w:sz w:val="24"/>
                <w:highlight w:val="none"/>
              </w:rPr>
              <w:t>书面声明</w:t>
            </w:r>
            <w:r>
              <w:rPr>
                <w:rFonts w:hint="eastAsia" w:ascii="宋体" w:hAnsi="宋体" w:cs="宋体"/>
                <w:color w:val="auto"/>
                <w:kern w:val="0"/>
                <w:sz w:val="24"/>
                <w:highlight w:val="none"/>
              </w:rPr>
              <w:t>。</w:t>
            </w:r>
          </w:p>
          <w:p w14:paraId="7E62B9C9">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rPr>
              <w:tab/>
            </w:r>
            <w:r>
              <w:rPr>
                <w:rFonts w:hint="eastAsia" w:ascii="宋体" w:hAnsi="宋体" w:cs="宋体"/>
                <w:color w:val="auto"/>
                <w:kern w:val="0"/>
                <w:sz w:val="24"/>
                <w:highlight w:val="none"/>
              </w:rPr>
              <w:t>供应商在“信用中国”网站、“中国政府采购网”网站</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的、政府采购严重违法失信行为记录名单（处罚期限尚未届满的）的，不得参与本项目的政府采购活动。</w:t>
            </w:r>
          </w:p>
          <w:p w14:paraId="58027B2E">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将在“信用中国”和“中国政府采购网”网站上对供应商进行查询并打印查询记录，查询截止时点为：递交首次响应文件截止时间当日。对经查询被“信用中国”网站、“中国政府采购网”网站</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的、政府采购严重违法失信行为记录名单（处罚期限尚未届满的）的供应商，其报价将按无效报价处理。</w:t>
            </w:r>
            <w:r>
              <w:rPr>
                <w:rFonts w:hint="eastAsia"/>
                <w:color w:val="auto"/>
                <w:sz w:val="24"/>
                <w:highlight w:val="none"/>
              </w:rPr>
              <w:t>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p>
          <w:p w14:paraId="38B1AF97">
            <w:pPr>
              <w:pStyle w:val="30"/>
              <w:keepNext w:val="0"/>
              <w:keepLines w:val="0"/>
              <w:pageBreakBefore w:val="0"/>
              <w:kinsoku/>
              <w:overflowPunct/>
              <w:topLinePunct w:val="0"/>
              <w:bidi w:val="0"/>
              <w:spacing w:after="0" w:line="240" w:lineRule="auto"/>
              <w:ind w:left="0" w:firstLine="0" w:firstLineChars="0"/>
              <w:textAlignment w:val="auto"/>
              <w:rPr>
                <w:rFonts w:ascii="宋体" w:hAnsi="宋体"/>
                <w:b/>
                <w:bCs/>
                <w:color w:val="auto"/>
                <w:sz w:val="24"/>
                <w:highlight w:val="none"/>
                <w:lang w:val="en-US" w:eastAsia="zh-CN"/>
              </w:rPr>
            </w:pPr>
            <w:r>
              <w:rPr>
                <w:rFonts w:hint="eastAsia" w:ascii="宋体" w:hAnsi="宋体"/>
                <w:bCs/>
                <w:color w:val="auto"/>
                <w:sz w:val="24"/>
                <w:highlight w:val="none"/>
                <w:lang w:val="en-US" w:eastAsia="zh-CN"/>
              </w:rPr>
              <w:t>采购人或采购代理机构对于查询到的供应商失信行为事由、处理机关名称及处理日期、处理有效期间等，以屏幕截图的方式保存，并承诺查询记录仅用于本次采购活动过程中，不用于其他目的。供应商不良信用记录以采购人或采购代理机构现场查询结果为准，并如实记录查询情况。供应商自行提供的与网站信息不一致的其他证明材料亦不作为资格审查的依据。在本采购文件规定的查询时间之后，网站信息发生的任何变更均不再作为评审依据。</w:t>
            </w:r>
          </w:p>
          <w:p w14:paraId="184B54D3">
            <w:pPr>
              <w:keepNext w:val="0"/>
              <w:keepLines w:val="0"/>
              <w:pageBreakBefore w:val="0"/>
              <w:numPr>
                <w:ilvl w:val="0"/>
                <w:numId w:val="2"/>
              </w:numPr>
              <w:kinsoku/>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单位负责人为同一人或者存在直接控股、管理关系的不同供应商，不得参加同一包的报价或者未划分包的同一项目的报价，供应商</w:t>
            </w:r>
            <w:r>
              <w:rPr>
                <w:rFonts w:hint="eastAsia" w:ascii="宋体" w:hAnsi="宋体" w:cs="宋体"/>
                <w:b/>
                <w:bCs/>
                <w:color w:val="auto"/>
                <w:kern w:val="0"/>
                <w:sz w:val="24"/>
                <w:highlight w:val="none"/>
              </w:rPr>
              <w:t>须提供书面声明</w:t>
            </w:r>
            <w:r>
              <w:rPr>
                <w:rFonts w:hint="eastAsia" w:ascii="宋体" w:hAnsi="宋体" w:cs="宋体"/>
                <w:color w:val="auto"/>
                <w:kern w:val="0"/>
                <w:sz w:val="24"/>
                <w:highlight w:val="none"/>
              </w:rPr>
              <w:t>。</w:t>
            </w:r>
          </w:p>
          <w:p w14:paraId="1BC8B016">
            <w:pPr>
              <w:keepNext w:val="0"/>
              <w:keepLines w:val="0"/>
              <w:pageBreakBefore w:val="0"/>
              <w:widowControl w:val="0"/>
              <w:numPr>
                <w:ilvl w:val="0"/>
                <w:numId w:val="2"/>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供应商符合法律、行政法规规定的其它要求。</w:t>
            </w:r>
          </w:p>
          <w:p w14:paraId="6ABCA244">
            <w:pPr>
              <w:keepNext w:val="0"/>
              <w:keepLines w:val="0"/>
              <w:pageBreakBefore w:val="0"/>
              <w:widowControl w:val="0"/>
              <w:kinsoku/>
              <w:wordWrap/>
              <w:overflowPunct/>
              <w:topLinePunct w:val="0"/>
              <w:bidi w:val="0"/>
              <w:spacing w:line="240" w:lineRule="auto"/>
              <w:ind w:left="0" w:leftChars="0" w:firstLine="0" w:firstLineChars="0"/>
              <w:textAlignment w:val="auto"/>
              <w:rPr>
                <w:rFonts w:ascii="宋体" w:hAnsi="宋体"/>
                <w:b/>
                <w:color w:val="auto"/>
                <w:sz w:val="24"/>
                <w:highlight w:val="none"/>
              </w:rPr>
            </w:pPr>
            <w:r>
              <w:rPr>
                <w:rFonts w:hint="eastAsia" w:ascii="宋体" w:hAnsi="宋体"/>
                <w:b/>
                <w:color w:val="auto"/>
                <w:sz w:val="24"/>
                <w:highlight w:val="none"/>
              </w:rPr>
              <w:t>本项目实行资格后审，资格审查未通过，不进入下一步评审。</w:t>
            </w:r>
          </w:p>
        </w:tc>
      </w:tr>
      <w:tr w14:paraId="04D32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72152AFC">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采购文件的答疑、澄清和修改</w:t>
            </w:r>
          </w:p>
        </w:tc>
      </w:tr>
      <w:tr w14:paraId="2AB75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9FF6D9A">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8325" w:type="dxa"/>
            <w:noWrap w:val="0"/>
            <w:vAlign w:val="center"/>
          </w:tcPr>
          <w:p w14:paraId="31264D03">
            <w:pPr>
              <w:keepNext w:val="0"/>
              <w:keepLines w:val="0"/>
              <w:pageBreakBefore w:val="0"/>
              <w:kinsoku/>
              <w:overflowPunct/>
              <w:topLinePunct w:val="0"/>
              <w:bidi w:val="0"/>
              <w:snapToGrid w:val="0"/>
              <w:spacing w:line="240" w:lineRule="auto"/>
              <w:ind w:left="0" w:firstLine="0" w:firstLineChars="0"/>
              <w:rPr>
                <w:rFonts w:hint="eastAsia" w:ascii="宋体" w:hAnsi="宋体" w:eastAsia="宋体"/>
                <w:b/>
                <w:bCs/>
                <w:color w:val="auto"/>
                <w:sz w:val="24"/>
                <w:highlight w:val="none"/>
                <w:lang w:eastAsia="zh-CN"/>
              </w:rPr>
            </w:pPr>
            <w:r>
              <w:rPr>
                <w:rFonts w:hint="eastAsia" w:ascii="宋体" w:hAnsi="宋体"/>
                <w:color w:val="auto"/>
                <w:sz w:val="24"/>
                <w:highlight w:val="none"/>
              </w:rPr>
              <w:t>提交疑问时间：</w:t>
            </w:r>
            <w:r>
              <w:rPr>
                <w:rFonts w:hint="eastAsia" w:ascii="宋体" w:hAnsi="宋体"/>
                <w:color w:val="auto"/>
                <w:sz w:val="24"/>
                <w:highlight w:val="none"/>
                <w:lang w:val="en-US" w:eastAsia="zh-CN"/>
              </w:rPr>
              <w:t>2024年09月27日 10点00分。</w:t>
            </w:r>
          </w:p>
          <w:p w14:paraId="4FC420E8">
            <w:pPr>
              <w:keepNext w:val="0"/>
              <w:keepLines w:val="0"/>
              <w:pageBreakBefore w:val="0"/>
              <w:kinsoku/>
              <w:overflowPunct/>
              <w:topLinePunct w:val="0"/>
              <w:bidi w:val="0"/>
              <w:snapToGrid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提交疑问方式：发电子邮件至</w:t>
            </w:r>
            <w:r>
              <w:rPr>
                <w:rFonts w:hint="eastAsia" w:ascii="宋体" w:hAnsi="宋体"/>
                <w:color w:val="auto"/>
                <w:sz w:val="24"/>
                <w:highlight w:val="none"/>
                <w:lang w:val="en-US" w:eastAsia="zh-CN"/>
              </w:rPr>
              <w:t>chenyiran@sdhyha.com</w:t>
            </w:r>
            <w:r>
              <w:rPr>
                <w:rFonts w:hint="eastAsia" w:ascii="宋体" w:hAnsi="宋体"/>
                <w:color w:val="auto"/>
                <w:sz w:val="24"/>
                <w:highlight w:val="none"/>
              </w:rPr>
              <w:t>（</w:t>
            </w:r>
            <w:r>
              <w:rPr>
                <w:rFonts w:ascii="宋体" w:hAnsi="宋体"/>
                <w:color w:val="auto"/>
                <w:sz w:val="24"/>
                <w:highlight w:val="none"/>
              </w:rPr>
              <w:t>word</w:t>
            </w:r>
            <w:r>
              <w:rPr>
                <w:rFonts w:hint="eastAsia" w:ascii="宋体" w:hAnsi="宋体"/>
                <w:color w:val="auto"/>
                <w:sz w:val="24"/>
                <w:highlight w:val="none"/>
              </w:rPr>
              <w:t>文档及加盖公章的扫描件各一份）。</w:t>
            </w:r>
          </w:p>
        </w:tc>
      </w:tr>
      <w:tr w14:paraId="0A411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CAE9928">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8325" w:type="dxa"/>
            <w:noWrap w:val="0"/>
            <w:vAlign w:val="center"/>
          </w:tcPr>
          <w:p w14:paraId="7C5BC345">
            <w:pPr>
              <w:keepNext w:val="0"/>
              <w:keepLines w:val="0"/>
              <w:pageBreakBefore w:val="0"/>
              <w:kinsoku/>
              <w:overflowPunct/>
              <w:topLinePunct w:val="0"/>
              <w:bidi w:val="0"/>
              <w:snapToGrid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领取答疑文件时间：报价截止时间</w:t>
            </w:r>
            <w:r>
              <w:rPr>
                <w:rFonts w:hint="eastAsia" w:ascii="宋体" w:hAnsi="宋体"/>
                <w:color w:val="auto"/>
                <w:sz w:val="24"/>
                <w:highlight w:val="none"/>
                <w:lang w:val="en-US" w:eastAsia="zh-CN"/>
              </w:rPr>
              <w:t>3个工作日前</w:t>
            </w:r>
            <w:r>
              <w:rPr>
                <w:rFonts w:hint="eastAsia" w:ascii="宋体" w:hAnsi="宋体"/>
                <w:color w:val="auto"/>
                <w:sz w:val="24"/>
                <w:highlight w:val="none"/>
              </w:rPr>
              <w:t>。</w:t>
            </w:r>
          </w:p>
          <w:p w14:paraId="5A58C206">
            <w:pPr>
              <w:keepNext w:val="0"/>
              <w:keepLines w:val="0"/>
              <w:pageBreakBefore w:val="0"/>
              <w:kinsoku/>
              <w:overflowPunct/>
              <w:topLinePunct w:val="0"/>
              <w:bidi w:val="0"/>
              <w:snapToGrid w:val="0"/>
              <w:spacing w:line="240" w:lineRule="auto"/>
              <w:ind w:left="0" w:firstLine="0" w:firstLineChars="0"/>
              <w:rPr>
                <w:rFonts w:ascii="宋体" w:hAnsi="宋体"/>
                <w:color w:val="auto"/>
                <w:sz w:val="24"/>
                <w:highlight w:val="none"/>
              </w:rPr>
            </w:pPr>
            <w:r>
              <w:rPr>
                <w:rFonts w:hint="eastAsia" w:ascii="宋体" w:hAnsi="宋体" w:cs="TimesNewRomanPSMT"/>
                <w:snapToGrid w:val="0"/>
                <w:color w:val="auto"/>
                <w:kern w:val="0"/>
                <w:sz w:val="24"/>
                <w:highlight w:val="none"/>
                <w:lang w:eastAsia="zh-CN"/>
              </w:rPr>
              <w:t>答疑文件</w:t>
            </w:r>
            <w:r>
              <w:rPr>
                <w:rFonts w:hint="eastAsia" w:ascii="宋体" w:hAnsi="宋体" w:cs="TimesNewRomanPSMT"/>
                <w:snapToGrid w:val="0"/>
                <w:color w:val="auto"/>
                <w:kern w:val="0"/>
                <w:sz w:val="24"/>
                <w:highlight w:val="none"/>
              </w:rPr>
              <w:t>为</w:t>
            </w:r>
            <w:r>
              <w:rPr>
                <w:rFonts w:hint="eastAsia" w:ascii="宋体" w:hAnsi="宋体" w:cs="TimesNewRomanPSMT"/>
                <w:snapToGrid w:val="0"/>
                <w:color w:val="auto"/>
                <w:kern w:val="0"/>
                <w:sz w:val="24"/>
                <w:highlight w:val="none"/>
                <w:lang w:eastAsia="zh-CN"/>
              </w:rPr>
              <w:t>采购</w:t>
            </w:r>
            <w:r>
              <w:rPr>
                <w:rFonts w:hint="eastAsia" w:ascii="宋体" w:hAnsi="宋体" w:cs="TimesNewRomanPSMT"/>
                <w:snapToGrid w:val="0"/>
                <w:color w:val="auto"/>
                <w:kern w:val="0"/>
                <w:sz w:val="24"/>
                <w:highlight w:val="none"/>
              </w:rPr>
              <w:t>文件的组成部分</w:t>
            </w:r>
            <w:r>
              <w:rPr>
                <w:rFonts w:hint="eastAsia" w:ascii="宋体" w:hAnsi="宋体" w:cs="TimesNewRomanPSMT"/>
                <w:snapToGrid w:val="0"/>
                <w:color w:val="auto"/>
                <w:kern w:val="0"/>
                <w:sz w:val="24"/>
                <w:highlight w:val="none"/>
                <w:lang w:eastAsia="zh-CN"/>
              </w:rPr>
              <w:t>。</w:t>
            </w:r>
          </w:p>
        </w:tc>
      </w:tr>
      <w:tr w14:paraId="09CB7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D3F051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8325" w:type="dxa"/>
            <w:noWrap w:val="0"/>
            <w:vAlign w:val="center"/>
          </w:tcPr>
          <w:p w14:paraId="4C7D780A">
            <w:pPr>
              <w:keepNext w:val="0"/>
              <w:keepLines w:val="0"/>
              <w:pageBreakBefore w:val="0"/>
              <w:kinsoku/>
              <w:overflowPunct/>
              <w:topLinePunct w:val="0"/>
              <w:autoSpaceDE w:val="0"/>
              <w:autoSpaceDN w:val="0"/>
              <w:bidi w:val="0"/>
              <w:adjustRightInd w:val="0"/>
              <w:snapToGrid w:val="0"/>
              <w:spacing w:line="240" w:lineRule="auto"/>
              <w:ind w:left="0" w:firstLine="0" w:firstLineChars="0"/>
              <w:jc w:val="left"/>
              <w:rPr>
                <w:rFonts w:ascii="宋体" w:hAnsi="宋体" w:cs="TimesNewRomanPSMT"/>
                <w:color w:val="auto"/>
                <w:kern w:val="0"/>
                <w:sz w:val="24"/>
                <w:highlight w:val="none"/>
              </w:rPr>
            </w:pPr>
            <w:r>
              <w:rPr>
                <w:rFonts w:hint="eastAsia" w:ascii="宋体" w:hAnsi="宋体"/>
                <w:color w:val="auto"/>
                <w:sz w:val="24"/>
                <w:highlight w:val="none"/>
              </w:rPr>
              <w:t>“响应文件组成”详见“供应商须知”第</w:t>
            </w:r>
            <w:r>
              <w:rPr>
                <w:rFonts w:ascii="宋体" w:hAnsi="宋体"/>
                <w:color w:val="auto"/>
                <w:sz w:val="24"/>
                <w:highlight w:val="none"/>
              </w:rPr>
              <w:t>9</w:t>
            </w:r>
            <w:r>
              <w:rPr>
                <w:rFonts w:hint="eastAsia" w:ascii="宋体" w:hAnsi="宋体"/>
                <w:color w:val="auto"/>
                <w:sz w:val="24"/>
                <w:highlight w:val="none"/>
              </w:rPr>
              <w:t>条。</w:t>
            </w:r>
          </w:p>
        </w:tc>
      </w:tr>
      <w:tr w14:paraId="4DD10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0F0CEEE">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8325" w:type="dxa"/>
            <w:noWrap w:val="0"/>
            <w:vAlign w:val="center"/>
          </w:tcPr>
          <w:p w14:paraId="470D169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“报价”详见“供应商须知”第</w:t>
            </w:r>
            <w:r>
              <w:rPr>
                <w:rFonts w:ascii="宋体" w:hAnsi="宋体"/>
                <w:color w:val="auto"/>
                <w:sz w:val="24"/>
                <w:highlight w:val="none"/>
              </w:rPr>
              <w:t>10</w:t>
            </w:r>
            <w:r>
              <w:rPr>
                <w:rFonts w:hint="eastAsia" w:ascii="宋体" w:hAnsi="宋体"/>
                <w:color w:val="auto"/>
                <w:sz w:val="24"/>
                <w:highlight w:val="none"/>
              </w:rPr>
              <w:t>条。</w:t>
            </w:r>
          </w:p>
        </w:tc>
      </w:tr>
      <w:tr w14:paraId="3969F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A43EC72">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0</w:t>
            </w:r>
          </w:p>
        </w:tc>
        <w:tc>
          <w:tcPr>
            <w:tcW w:w="8325" w:type="dxa"/>
            <w:noWrap w:val="0"/>
            <w:vAlign w:val="center"/>
          </w:tcPr>
          <w:p w14:paraId="07E33C41">
            <w:pPr>
              <w:pStyle w:val="30"/>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首次响应文件份数：</w:t>
            </w:r>
          </w:p>
          <w:p w14:paraId="73BE93D6">
            <w:pPr>
              <w:pStyle w:val="30"/>
              <w:keepNext w:val="0"/>
              <w:keepLines w:val="0"/>
              <w:pageBreakBefore w:val="0"/>
              <w:kinsoku/>
              <w:overflowPunct/>
              <w:topLinePunct w:val="0"/>
              <w:bidi w:val="0"/>
              <w:spacing w:after="0" w:line="240" w:lineRule="auto"/>
              <w:ind w:left="0" w:firstLine="0" w:firstLineChars="0"/>
              <w:rPr>
                <w:rFonts w:ascii="宋体" w:hAnsi="宋体"/>
                <w:bCs/>
                <w:color w:val="auto"/>
                <w:kern w:val="2"/>
                <w:sz w:val="24"/>
                <w:highlight w:val="none"/>
                <w:lang w:val="en-US" w:eastAsia="zh-CN"/>
              </w:rPr>
            </w:pPr>
            <w:r>
              <w:rPr>
                <w:rFonts w:hint="eastAsia" w:ascii="宋体" w:hAnsi="宋体"/>
                <w:bCs/>
                <w:color w:val="auto"/>
                <w:kern w:val="2"/>
                <w:sz w:val="24"/>
                <w:highlight w:val="none"/>
                <w:lang w:val="en-US" w:eastAsia="zh-CN"/>
              </w:rPr>
              <w:t>纸质首次响应文件</w:t>
            </w:r>
            <w:r>
              <w:rPr>
                <w:rFonts w:hint="eastAsia" w:ascii="宋体" w:hAnsi="宋体"/>
                <w:bCs/>
                <w:color w:val="auto"/>
                <w:kern w:val="2"/>
                <w:sz w:val="24"/>
                <w:highlight w:val="none"/>
                <w:u w:val="single"/>
                <w:lang w:val="en-US" w:eastAsia="zh-CN"/>
              </w:rPr>
              <w:t>4</w:t>
            </w:r>
            <w:r>
              <w:rPr>
                <w:rFonts w:hint="eastAsia" w:ascii="宋体" w:hAnsi="宋体"/>
                <w:bCs/>
                <w:color w:val="auto"/>
                <w:kern w:val="2"/>
                <w:sz w:val="24"/>
                <w:highlight w:val="none"/>
                <w:lang w:val="en-US" w:eastAsia="zh-CN"/>
              </w:rPr>
              <w:t>份，其中正本1份和副本</w:t>
            </w:r>
            <w:r>
              <w:rPr>
                <w:rFonts w:hint="eastAsia" w:ascii="宋体" w:hAnsi="宋体"/>
                <w:bCs/>
                <w:color w:val="auto"/>
                <w:kern w:val="2"/>
                <w:sz w:val="24"/>
                <w:highlight w:val="none"/>
                <w:u w:val="single"/>
                <w:lang w:val="en-US" w:eastAsia="zh-CN"/>
              </w:rPr>
              <w:t>3</w:t>
            </w:r>
            <w:r>
              <w:rPr>
                <w:rFonts w:hint="eastAsia" w:ascii="宋体" w:hAnsi="宋体"/>
                <w:bCs/>
                <w:color w:val="auto"/>
                <w:kern w:val="2"/>
                <w:sz w:val="24"/>
                <w:highlight w:val="none"/>
                <w:lang w:val="en-US" w:eastAsia="zh-CN"/>
              </w:rPr>
              <w:t>份；</w:t>
            </w:r>
          </w:p>
          <w:p w14:paraId="01F654C9">
            <w:pPr>
              <w:pStyle w:val="30"/>
              <w:keepNext w:val="0"/>
              <w:keepLines w:val="0"/>
              <w:pageBreakBefore w:val="0"/>
              <w:kinsoku/>
              <w:overflowPunct/>
              <w:topLinePunct w:val="0"/>
              <w:bidi w:val="0"/>
              <w:spacing w:after="0" w:line="240" w:lineRule="auto"/>
              <w:ind w:left="0" w:firstLine="0" w:firstLineChars="0"/>
              <w:rPr>
                <w:rFonts w:ascii="宋体" w:hAnsi="宋体"/>
                <w:bCs/>
                <w:color w:val="auto"/>
                <w:kern w:val="2"/>
                <w:sz w:val="24"/>
                <w:highlight w:val="none"/>
                <w:lang w:val="en-US" w:eastAsia="zh-CN"/>
              </w:rPr>
            </w:pPr>
            <w:r>
              <w:rPr>
                <w:rFonts w:hint="eastAsia" w:ascii="宋体" w:hAnsi="宋体"/>
                <w:color w:val="auto"/>
                <w:kern w:val="2"/>
                <w:sz w:val="24"/>
                <w:highlight w:val="none"/>
                <w:lang w:val="en-US" w:eastAsia="zh-CN"/>
              </w:rPr>
              <w:t>电子版响应文件份数：</w:t>
            </w:r>
            <w:r>
              <w:rPr>
                <w:rFonts w:hint="eastAsia" w:ascii="宋体" w:hAnsi="宋体"/>
                <w:color w:val="auto"/>
                <w:kern w:val="2"/>
                <w:sz w:val="24"/>
                <w:highlight w:val="none"/>
                <w:u w:val="single"/>
                <w:lang w:val="en-US" w:eastAsia="zh-CN"/>
              </w:rPr>
              <w:t>1</w:t>
            </w:r>
            <w:r>
              <w:rPr>
                <w:rFonts w:hint="eastAsia" w:ascii="宋体" w:hAnsi="宋体"/>
                <w:color w:val="auto"/>
                <w:kern w:val="2"/>
                <w:sz w:val="24"/>
                <w:highlight w:val="none"/>
                <w:lang w:val="en-US" w:eastAsia="zh-CN"/>
              </w:rPr>
              <w:t>份（介质为USB接口的移动存储设备）；电子版内容应包含响应文件的全部商务、报价、技术内容及技术资料（正本响应文件签字盖章后的全本扫描件），其中有英文资料的还应提供中、英文对照文本。供应商投多个包的，可将多个包的电子版合并至一份电子移动存储设备递交。</w:t>
            </w:r>
          </w:p>
          <w:p w14:paraId="3E6FA8D7">
            <w:pPr>
              <w:pStyle w:val="30"/>
              <w:keepNext w:val="0"/>
              <w:keepLines w:val="0"/>
              <w:pageBreakBefore w:val="0"/>
              <w:kinsoku/>
              <w:overflowPunct/>
              <w:topLinePunct w:val="0"/>
              <w:bidi w:val="0"/>
              <w:spacing w:after="0" w:line="240" w:lineRule="auto"/>
              <w:ind w:left="0" w:firstLine="0" w:firstLineChars="0"/>
              <w:rPr>
                <w:rFonts w:ascii="宋体" w:hAnsi="宋体"/>
                <w:b/>
                <w:color w:val="auto"/>
                <w:kern w:val="2"/>
                <w:sz w:val="24"/>
                <w:szCs w:val="24"/>
                <w:highlight w:val="none"/>
                <w:lang w:val="en-US" w:eastAsia="zh-CN" w:bidi="ar-SA"/>
              </w:rPr>
            </w:pPr>
            <w:r>
              <w:rPr>
                <w:rFonts w:hint="eastAsia" w:ascii="宋体" w:hAnsi="宋体"/>
                <w:bCs/>
                <w:color w:val="auto"/>
                <w:kern w:val="2"/>
                <w:sz w:val="24"/>
                <w:highlight w:val="none"/>
                <w:lang w:val="en-US" w:eastAsia="zh-CN"/>
              </w:rPr>
              <w:t>首轮报价一览表一式3份单独密封（本项目首轮报价公开时，需要提供）</w:t>
            </w:r>
            <w:r>
              <w:rPr>
                <w:rFonts w:hint="eastAsia" w:ascii="宋体" w:hAnsi="宋体"/>
                <w:b/>
                <w:bCs/>
                <w:color w:val="auto"/>
                <w:kern w:val="2"/>
                <w:sz w:val="24"/>
                <w:highlight w:val="none"/>
                <w:lang w:val="en-US" w:eastAsia="zh-CN"/>
              </w:rPr>
              <w:t>。</w:t>
            </w:r>
          </w:p>
        </w:tc>
      </w:tr>
      <w:tr w14:paraId="48966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65C2AAF1">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1</w:t>
            </w:r>
          </w:p>
        </w:tc>
        <w:tc>
          <w:tcPr>
            <w:tcW w:w="8325" w:type="dxa"/>
            <w:noWrap w:val="0"/>
            <w:vAlign w:val="center"/>
          </w:tcPr>
          <w:p w14:paraId="38BD76B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首次响应文件密封和标记：</w:t>
            </w:r>
          </w:p>
          <w:p w14:paraId="3742713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供应商应将首次响应文件正本、副本、电子版及首轮报价一览表密封，并在封面明显处注明以下内容：</w:t>
            </w:r>
          </w:p>
          <w:p w14:paraId="5D59E81A">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项目编号、项目名称、包号</w:t>
            </w:r>
          </w:p>
          <w:p w14:paraId="01E597C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正本或副本或电子版或首轮报价一览表</w:t>
            </w:r>
          </w:p>
          <w:p w14:paraId="0EF2ABE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供应商名称（加盖公章）、地址、邮编、电话、传真</w:t>
            </w:r>
          </w:p>
          <w:p w14:paraId="18EB9214">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）每一密封件在封口处注明“</w:t>
            </w:r>
            <w:r>
              <w:rPr>
                <w:rFonts w:hint="eastAsia" w:ascii="宋体" w:hAnsi="宋体"/>
                <w:color w:val="auto"/>
                <w:sz w:val="24"/>
                <w:highlight w:val="none"/>
                <w:lang w:eastAsia="zh-CN"/>
              </w:rPr>
              <w:t>首次响应文件递交</w:t>
            </w:r>
            <w:r>
              <w:rPr>
                <w:rFonts w:hint="eastAsia" w:ascii="宋体" w:hAnsi="宋体"/>
                <w:color w:val="auto"/>
                <w:sz w:val="24"/>
                <w:highlight w:val="none"/>
              </w:rPr>
              <w:t>截止时间前不准启封”字样。</w:t>
            </w:r>
          </w:p>
          <w:p w14:paraId="69B0B6F5">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注：单包所有副本密封在一个包封内即可。</w:t>
            </w:r>
          </w:p>
        </w:tc>
      </w:tr>
      <w:tr w14:paraId="1C9A0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4FCE556">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2</w:t>
            </w:r>
          </w:p>
        </w:tc>
        <w:tc>
          <w:tcPr>
            <w:tcW w:w="8325" w:type="dxa"/>
            <w:noWrap w:val="0"/>
            <w:vAlign w:val="center"/>
          </w:tcPr>
          <w:p w14:paraId="4F9174E5">
            <w:pPr>
              <w:pStyle w:val="30"/>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rPr>
            </w:pPr>
            <w:r>
              <w:rPr>
                <w:rFonts w:hint="eastAsia" w:ascii="宋体" w:hAnsi="宋体"/>
                <w:b/>
                <w:color w:val="auto"/>
                <w:kern w:val="2"/>
                <w:sz w:val="24"/>
                <w:highlight w:val="none"/>
              </w:rPr>
              <w:t>首次响应文件</w:t>
            </w:r>
            <w:r>
              <w:rPr>
                <w:rFonts w:hint="eastAsia" w:ascii="宋体" w:hAnsi="宋体"/>
                <w:b/>
                <w:color w:val="auto"/>
                <w:kern w:val="2"/>
                <w:sz w:val="24"/>
                <w:highlight w:val="none"/>
                <w:lang w:val="en-US" w:eastAsia="zh-CN"/>
              </w:rPr>
              <w:t>纸质版</w:t>
            </w:r>
            <w:r>
              <w:rPr>
                <w:rFonts w:hint="eastAsia" w:ascii="宋体" w:hAnsi="宋体"/>
                <w:b/>
                <w:color w:val="auto"/>
                <w:kern w:val="2"/>
                <w:sz w:val="24"/>
                <w:highlight w:val="none"/>
              </w:rPr>
              <w:t>的装订</w:t>
            </w:r>
            <w:r>
              <w:rPr>
                <w:rFonts w:hint="eastAsia" w:ascii="宋体" w:hAnsi="宋体"/>
                <w:color w:val="auto"/>
                <w:kern w:val="2"/>
                <w:sz w:val="24"/>
                <w:highlight w:val="none"/>
              </w:rPr>
              <w:t>：</w:t>
            </w:r>
          </w:p>
          <w:p w14:paraId="307AA067">
            <w:pPr>
              <w:pStyle w:val="30"/>
              <w:keepNext w:val="0"/>
              <w:keepLines w:val="0"/>
              <w:pageBreakBefore w:val="0"/>
              <w:kinsoku/>
              <w:overflowPunct/>
              <w:topLinePunct w:val="0"/>
              <w:bidi w:val="0"/>
              <w:spacing w:after="0" w:line="240" w:lineRule="auto"/>
              <w:ind w:left="0" w:firstLine="0" w:firstLineChars="0"/>
              <w:rPr>
                <w:rFonts w:ascii="宋体" w:hAnsi="宋体"/>
                <w:color w:val="auto"/>
                <w:kern w:val="2"/>
                <w:sz w:val="24"/>
                <w:highlight w:val="none"/>
              </w:rPr>
            </w:pPr>
            <w:r>
              <w:rPr>
                <w:rFonts w:hint="eastAsia" w:ascii="宋体" w:hAnsi="宋体"/>
                <w:color w:val="auto"/>
                <w:kern w:val="2"/>
                <w:sz w:val="24"/>
                <w:highlight w:val="none"/>
              </w:rPr>
              <w:t>首次响应文件（正本、副本）</w:t>
            </w:r>
            <w:r>
              <w:rPr>
                <w:rFonts w:hint="eastAsia" w:ascii="宋体" w:hAnsi="宋体" w:cs="宋体"/>
                <w:color w:val="auto"/>
                <w:sz w:val="24"/>
                <w:highlight w:val="none"/>
              </w:rPr>
              <w:t>应按照响应文件组成的顺序分别胶装成册，并在首页编制“响应文件目录”，响应文件建议双面打印，每页均应标注页码，装订应牢固、不易拆散和换页</w:t>
            </w:r>
            <w:r>
              <w:rPr>
                <w:rFonts w:hint="eastAsia" w:ascii="宋体" w:hAnsi="宋体" w:cs="TimesNewRomanPSMT"/>
                <w:color w:val="auto"/>
                <w:sz w:val="24"/>
                <w:highlight w:val="none"/>
              </w:rPr>
              <w:t>。首次响应文件封装背脊打印：“</w:t>
            </w:r>
            <w:r>
              <w:rPr>
                <w:rFonts w:hint="eastAsia" w:ascii="宋体" w:hAnsi="宋体" w:cs="TimesNewRomanPSMT"/>
                <w:color w:val="auto"/>
                <w:sz w:val="24"/>
                <w:highlight w:val="none"/>
                <w:u w:val="single"/>
              </w:rPr>
              <w:t>X</w:t>
            </w:r>
            <w:r>
              <w:rPr>
                <w:rFonts w:ascii="宋体" w:hAnsi="宋体" w:cs="TimesNewRomanPSMT"/>
                <w:color w:val="auto"/>
                <w:sz w:val="24"/>
                <w:highlight w:val="none"/>
                <w:u w:val="single"/>
              </w:rPr>
              <w:t>XXX</w:t>
            </w:r>
            <w:r>
              <w:rPr>
                <w:rFonts w:hint="eastAsia" w:ascii="宋体" w:hAnsi="宋体" w:cs="TimesNewRomanPSMT"/>
                <w:color w:val="auto"/>
                <w:sz w:val="24"/>
                <w:highlight w:val="none"/>
                <w:u w:val="single"/>
              </w:rPr>
              <w:t>项目响应文件</w:t>
            </w:r>
            <w:r>
              <w:rPr>
                <w:rFonts w:hint="eastAsia" w:ascii="宋体" w:hAnsi="宋体" w:cs="TimesNewRomanPSMT"/>
                <w:color w:val="auto"/>
                <w:sz w:val="24"/>
                <w:highlight w:val="none"/>
              </w:rPr>
              <w:t>”。</w:t>
            </w:r>
          </w:p>
        </w:tc>
      </w:tr>
      <w:tr w14:paraId="73E4F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FB9F9F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3</w:t>
            </w:r>
          </w:p>
        </w:tc>
        <w:tc>
          <w:tcPr>
            <w:tcW w:w="8325" w:type="dxa"/>
            <w:noWrap w:val="0"/>
            <w:vAlign w:val="center"/>
          </w:tcPr>
          <w:p w14:paraId="34C3336D">
            <w:pPr>
              <w:keepNext w:val="0"/>
              <w:keepLines w:val="0"/>
              <w:pageBreakBefore w:val="0"/>
              <w:kinsoku/>
              <w:overflowPunct/>
              <w:topLinePunct w:val="0"/>
              <w:bidi w:val="0"/>
              <w:spacing w:line="240" w:lineRule="auto"/>
              <w:ind w:left="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谈判</w:t>
            </w:r>
            <w:r>
              <w:rPr>
                <w:rFonts w:hint="eastAsia" w:ascii="宋体" w:hAnsi="宋体"/>
                <w:color w:val="auto"/>
                <w:sz w:val="24"/>
                <w:highlight w:val="none"/>
              </w:rPr>
              <w:t>保证金金额：</w:t>
            </w:r>
            <w:r>
              <w:rPr>
                <w:rFonts w:hint="eastAsia" w:ascii="宋体" w:hAnsi="宋体"/>
                <w:color w:val="auto"/>
                <w:sz w:val="24"/>
                <w:highlight w:val="none"/>
                <w:lang w:val="en-US" w:eastAsia="zh-CN"/>
              </w:rPr>
              <w:t>5000元</w:t>
            </w:r>
          </w:p>
          <w:p w14:paraId="5959A443">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保证金缴纳形式：网银转账或电汇，或银行保函，或第三方担保。</w:t>
            </w:r>
          </w:p>
          <w:p w14:paraId="10D8360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1、采用</w:t>
            </w:r>
            <w:r>
              <w:rPr>
                <w:rFonts w:hint="eastAsia" w:ascii="宋体" w:hAnsi="宋体"/>
                <w:snapToGrid w:val="0"/>
                <w:color w:val="auto"/>
                <w:kern w:val="0"/>
                <w:sz w:val="24"/>
                <w:highlight w:val="none"/>
              </w:rPr>
              <w:t>网银转账或</w:t>
            </w:r>
            <w:r>
              <w:rPr>
                <w:rFonts w:hint="eastAsia" w:ascii="宋体" w:hAnsi="宋体"/>
                <w:color w:val="auto"/>
                <w:sz w:val="24"/>
                <w:highlight w:val="none"/>
              </w:rPr>
              <w:t>电汇转帐方式时，</w:t>
            </w:r>
            <w:r>
              <w:rPr>
                <w:rFonts w:hint="eastAsia" w:ascii="宋体" w:hAnsi="宋体"/>
                <w:color w:val="auto"/>
                <w:sz w:val="24"/>
                <w:highlight w:val="none"/>
                <w:lang w:eastAsia="zh-CN"/>
              </w:rPr>
              <w:t>谈判</w:t>
            </w:r>
            <w:r>
              <w:rPr>
                <w:rFonts w:hint="eastAsia" w:ascii="宋体" w:hAnsi="宋体"/>
                <w:color w:val="auto"/>
                <w:sz w:val="24"/>
                <w:highlight w:val="none"/>
              </w:rPr>
              <w:t>保证金存款帐号信息：</w:t>
            </w:r>
          </w:p>
          <w:p w14:paraId="0024F8BB">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开 户 名：海逸恒安项目管理有限公司</w:t>
            </w:r>
          </w:p>
          <w:p w14:paraId="302143AE">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s="仿宋"/>
                <w:snapToGrid w:val="0"/>
                <w:color w:val="auto"/>
                <w:kern w:val="0"/>
                <w:sz w:val="24"/>
                <w:highlight w:val="none"/>
              </w:rPr>
              <w:t>中国工商银行济南千佛山支行</w:t>
            </w:r>
          </w:p>
          <w:p w14:paraId="3AF4A124">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账    号：</w:t>
            </w:r>
            <w:r>
              <w:rPr>
                <w:rFonts w:hint="eastAsia" w:ascii="宋体" w:hAnsi="宋体" w:cs="仿宋"/>
                <w:snapToGrid w:val="0"/>
                <w:color w:val="auto"/>
                <w:kern w:val="0"/>
                <w:sz w:val="24"/>
                <w:highlight w:val="none"/>
              </w:rPr>
              <w:t>1602 0231 1920 0202 861</w:t>
            </w:r>
          </w:p>
          <w:p w14:paraId="2AC5991D">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b/>
                <w:color w:val="auto"/>
                <w:sz w:val="24"/>
                <w:highlight w:val="none"/>
                <w:lang w:eastAsia="zh-CN"/>
              </w:rPr>
              <w:t>谈判</w:t>
            </w:r>
            <w:r>
              <w:rPr>
                <w:rFonts w:hint="eastAsia" w:ascii="宋体" w:hAnsi="宋体"/>
                <w:b/>
                <w:color w:val="auto"/>
                <w:sz w:val="24"/>
                <w:highlight w:val="none"/>
              </w:rPr>
              <w:t>保证金到账截止时间为递交首次响应文件截止时间，逾期到帐的，视为“未按规定交纳</w:t>
            </w:r>
            <w:r>
              <w:rPr>
                <w:rFonts w:hint="eastAsia" w:ascii="宋体" w:hAnsi="宋体"/>
                <w:b/>
                <w:color w:val="auto"/>
                <w:sz w:val="24"/>
                <w:highlight w:val="none"/>
                <w:lang w:eastAsia="zh-CN"/>
              </w:rPr>
              <w:t>谈判</w:t>
            </w:r>
            <w:r>
              <w:rPr>
                <w:rFonts w:hint="eastAsia" w:ascii="宋体" w:hAnsi="宋体"/>
                <w:b/>
                <w:color w:val="auto"/>
                <w:sz w:val="24"/>
                <w:highlight w:val="none"/>
              </w:rPr>
              <w:t>保证金</w:t>
            </w:r>
            <w:r>
              <w:rPr>
                <w:rFonts w:ascii="宋体" w:hAnsi="宋体"/>
                <w:b/>
                <w:color w:val="auto"/>
                <w:sz w:val="24"/>
                <w:highlight w:val="none"/>
              </w:rPr>
              <w:t>”</w:t>
            </w:r>
            <w:r>
              <w:rPr>
                <w:rFonts w:hint="eastAsia" w:ascii="宋体" w:hAnsi="宋体"/>
                <w:b/>
                <w:color w:val="auto"/>
                <w:sz w:val="24"/>
                <w:highlight w:val="none"/>
              </w:rPr>
              <w:t>，按无效报价处理；</w:t>
            </w:r>
          </w:p>
          <w:p w14:paraId="7F62911A">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b/>
                <w:color w:val="auto"/>
                <w:sz w:val="24"/>
                <w:highlight w:val="none"/>
                <w:lang w:eastAsia="zh-CN"/>
              </w:rPr>
              <w:t>谈判</w:t>
            </w:r>
            <w:r>
              <w:rPr>
                <w:rFonts w:hint="eastAsia" w:ascii="宋体" w:hAnsi="宋体"/>
                <w:b/>
                <w:color w:val="auto"/>
                <w:sz w:val="24"/>
                <w:highlight w:val="none"/>
              </w:rPr>
              <w:t>保证金必须从供应商帐户转出；未按上述规定递交</w:t>
            </w:r>
            <w:r>
              <w:rPr>
                <w:rFonts w:hint="eastAsia" w:ascii="宋体" w:hAnsi="宋体"/>
                <w:b/>
                <w:color w:val="auto"/>
                <w:sz w:val="24"/>
                <w:highlight w:val="none"/>
                <w:lang w:eastAsia="zh-CN"/>
              </w:rPr>
              <w:t>谈判</w:t>
            </w:r>
            <w:r>
              <w:rPr>
                <w:rFonts w:hint="eastAsia" w:ascii="宋体" w:hAnsi="宋体"/>
                <w:b/>
                <w:color w:val="auto"/>
                <w:sz w:val="24"/>
                <w:highlight w:val="none"/>
              </w:rPr>
              <w:t>保证金的供应商，按无效报价处理；</w:t>
            </w:r>
          </w:p>
          <w:p w14:paraId="341A7414">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）供应商应充分考虑银行数据交换时间，由此带来的保证金不能按时到帐的责任由供应商自行承担。</w:t>
            </w:r>
          </w:p>
          <w:p w14:paraId="54475CA7">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、采用银行保函或第三方担保的，银行保函或第三方担保函应附在响应文件中。</w:t>
            </w:r>
          </w:p>
        </w:tc>
      </w:tr>
      <w:tr w14:paraId="499EA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1F096620">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325" w:type="dxa"/>
            <w:noWrap w:val="0"/>
            <w:vAlign w:val="center"/>
          </w:tcPr>
          <w:p w14:paraId="2B72EF70">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★报价有效期：</w:t>
            </w:r>
            <w:r>
              <w:rPr>
                <w:rFonts w:hint="eastAsia" w:ascii="宋体" w:hAnsi="宋体"/>
                <w:color w:val="auto"/>
                <w:sz w:val="24"/>
                <w:highlight w:val="none"/>
                <w:lang w:eastAsia="zh-CN"/>
              </w:rPr>
              <w:t>自</w:t>
            </w:r>
            <w:r>
              <w:rPr>
                <w:rFonts w:hint="eastAsia" w:ascii="宋体" w:hAnsi="宋体"/>
                <w:color w:val="auto"/>
                <w:sz w:val="24"/>
                <w:highlight w:val="none"/>
              </w:rPr>
              <w:t>提交</w:t>
            </w:r>
            <w:r>
              <w:rPr>
                <w:rFonts w:hint="eastAsia" w:ascii="宋体" w:hAnsi="宋体"/>
                <w:color w:val="auto"/>
                <w:sz w:val="24"/>
                <w:highlight w:val="none"/>
                <w:lang w:eastAsia="zh-CN"/>
              </w:rPr>
              <w:t>首次响应</w:t>
            </w:r>
            <w:r>
              <w:rPr>
                <w:rFonts w:hint="eastAsia" w:ascii="宋体" w:hAnsi="宋体"/>
                <w:color w:val="auto"/>
                <w:sz w:val="24"/>
                <w:highlight w:val="none"/>
              </w:rPr>
              <w:t>文件的截止之日起</w:t>
            </w:r>
            <w:r>
              <w:rPr>
                <w:rFonts w:hint="eastAsia" w:ascii="宋体" w:hAnsi="宋体"/>
                <w:color w:val="auto"/>
                <w:sz w:val="24"/>
                <w:highlight w:val="none"/>
                <w:u w:val="single"/>
              </w:rPr>
              <w:t>90</w:t>
            </w:r>
            <w:r>
              <w:rPr>
                <w:rFonts w:hint="eastAsia" w:ascii="宋体" w:hAnsi="宋体"/>
                <w:color w:val="auto"/>
                <w:sz w:val="24"/>
                <w:highlight w:val="none"/>
              </w:rPr>
              <w:t>日历天</w:t>
            </w:r>
          </w:p>
        </w:tc>
      </w:tr>
      <w:tr w14:paraId="48910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646" w:type="dxa"/>
            <w:noWrap w:val="0"/>
            <w:vAlign w:val="center"/>
          </w:tcPr>
          <w:p w14:paraId="4D47330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8325" w:type="dxa"/>
            <w:noWrap w:val="0"/>
            <w:vAlign w:val="center"/>
          </w:tcPr>
          <w:p w14:paraId="25AAF9D0">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首次响应文件递交截止时间：详见</w:t>
            </w:r>
            <w:r>
              <w:rPr>
                <w:rFonts w:hint="eastAsia" w:ascii="宋体" w:hAnsi="宋体"/>
                <w:color w:val="auto"/>
                <w:sz w:val="24"/>
                <w:highlight w:val="none"/>
                <w:lang w:eastAsia="zh-CN"/>
              </w:rPr>
              <w:t>竞争性谈判</w:t>
            </w:r>
            <w:r>
              <w:rPr>
                <w:rFonts w:ascii="宋体" w:hAnsi="宋体"/>
                <w:color w:val="auto"/>
                <w:sz w:val="24"/>
                <w:highlight w:val="none"/>
              </w:rPr>
              <w:t>公告</w:t>
            </w:r>
          </w:p>
          <w:p w14:paraId="2796AD11">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首次响应文件递交地点：详见</w:t>
            </w:r>
            <w:r>
              <w:rPr>
                <w:rFonts w:hint="eastAsia" w:ascii="宋体" w:hAnsi="宋体"/>
                <w:color w:val="auto"/>
                <w:sz w:val="24"/>
                <w:highlight w:val="none"/>
                <w:lang w:eastAsia="zh-CN"/>
              </w:rPr>
              <w:t>竞争性谈判</w:t>
            </w:r>
            <w:r>
              <w:rPr>
                <w:rFonts w:ascii="宋体" w:hAnsi="宋体"/>
                <w:color w:val="auto"/>
                <w:sz w:val="24"/>
                <w:highlight w:val="none"/>
              </w:rPr>
              <w:t>公告</w:t>
            </w:r>
          </w:p>
          <w:p w14:paraId="57583958">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t>截止时间后送达的响应文件为无效文件，采购人、采购代理机构应当拒收。</w:t>
            </w:r>
          </w:p>
        </w:tc>
      </w:tr>
      <w:tr w14:paraId="245C6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FB99500">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8325" w:type="dxa"/>
            <w:noWrap w:val="0"/>
            <w:vAlign w:val="center"/>
          </w:tcPr>
          <w:p w14:paraId="306EEA28">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会议仪式开始时间</w:t>
            </w:r>
            <w:r>
              <w:rPr>
                <w:rFonts w:hint="eastAsia" w:ascii="宋体" w:hAnsi="宋体"/>
                <w:color w:val="auto"/>
                <w:sz w:val="24"/>
                <w:highlight w:val="none"/>
                <w:lang w:eastAsia="zh-CN"/>
              </w:rPr>
              <w:t>（如有）</w:t>
            </w:r>
            <w:r>
              <w:rPr>
                <w:rFonts w:hint="eastAsia" w:ascii="宋体" w:hAnsi="宋体"/>
                <w:color w:val="auto"/>
                <w:sz w:val="24"/>
                <w:highlight w:val="none"/>
              </w:rPr>
              <w:t>：同首次响应文件递交截止时间；</w:t>
            </w:r>
          </w:p>
          <w:p w14:paraId="4C4DAF2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会议地点：同首次响应文件递交地点。</w:t>
            </w:r>
          </w:p>
          <w:p w14:paraId="5CA11113">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是否公开首次响应文件报价（首轮报价）等主要内容:</w:t>
            </w:r>
          </w:p>
          <w:p w14:paraId="4E7A59CD">
            <w:pPr>
              <w:keepNext w:val="0"/>
              <w:keepLines w:val="0"/>
              <w:pageBreakBefore w:val="0"/>
              <w:kinsoku/>
              <w:overflowPunct/>
              <w:topLinePunct w:val="0"/>
              <w:bidi w:val="0"/>
              <w:spacing w:line="24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□公开，唱价员宣读首轮报价一览表中的主要内容。</w:t>
            </w:r>
          </w:p>
          <w:p w14:paraId="23CC0A3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不公开，采购代理机构将拆封的首次响应文件直接送</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小组审阅。</w:t>
            </w:r>
          </w:p>
        </w:tc>
      </w:tr>
      <w:tr w14:paraId="0D157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15BE40B5">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7</w:t>
            </w:r>
          </w:p>
        </w:tc>
        <w:tc>
          <w:tcPr>
            <w:tcW w:w="8325" w:type="dxa"/>
            <w:noWrap w:val="0"/>
            <w:vAlign w:val="center"/>
          </w:tcPr>
          <w:p w14:paraId="74BF253C">
            <w:pPr>
              <w:keepNext w:val="0"/>
              <w:keepLines w:val="0"/>
              <w:pageBreakBefore w:val="0"/>
              <w:kinsoku/>
              <w:overflowPunct/>
              <w:topLinePunct w:val="0"/>
              <w:bidi w:val="0"/>
              <w:spacing w:line="240" w:lineRule="auto"/>
              <w:ind w:left="0" w:firstLine="0" w:firstLineChars="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财务状况年份要求：2023年；</w:t>
            </w:r>
            <w:r>
              <w:rPr>
                <w:rFonts w:ascii="宋体" w:hAnsi="宋体" w:cs="宋体"/>
                <w:snapToGrid w:val="0"/>
                <w:color w:val="auto"/>
                <w:kern w:val="0"/>
                <w:sz w:val="24"/>
                <w:highlight w:val="none"/>
              </w:rPr>
              <w:t xml:space="preserve"> </w:t>
            </w:r>
          </w:p>
          <w:p w14:paraId="4601B778">
            <w:pPr>
              <w:keepNext w:val="0"/>
              <w:keepLines w:val="0"/>
              <w:pageBreakBefore w:val="0"/>
              <w:kinsoku/>
              <w:overflowPunct/>
              <w:topLinePunct w:val="0"/>
              <w:bidi w:val="0"/>
              <w:spacing w:line="240" w:lineRule="auto"/>
              <w:ind w:left="0" w:firstLine="0" w:firstLineChars="0"/>
              <w:rPr>
                <w:rFonts w:hint="eastAsia" w:ascii="宋体" w:hAnsi="宋体" w:cs="宋体"/>
                <w:snapToGrid w:val="0"/>
                <w:color w:val="auto"/>
                <w:sz w:val="24"/>
                <w:highlight w:val="none"/>
              </w:rPr>
            </w:pPr>
            <w:r>
              <w:rPr>
                <w:rFonts w:hint="eastAsia" w:ascii="宋体" w:hAnsi="宋体" w:eastAsia="宋体" w:cs="Times New Roman"/>
                <w:b w:val="0"/>
                <w:bCs w:val="0"/>
                <w:color w:val="auto"/>
                <w:sz w:val="24"/>
                <w:szCs w:val="21"/>
                <w:highlight w:val="none"/>
              </w:rPr>
              <w:t>类似业绩近年</w:t>
            </w:r>
            <w:r>
              <w:rPr>
                <w:rFonts w:hint="eastAsia" w:ascii="宋体" w:hAnsi="宋体" w:cs="宋体"/>
                <w:snapToGrid w:val="0"/>
                <w:color w:val="auto"/>
                <w:kern w:val="0"/>
                <w:sz w:val="24"/>
                <w:highlight w:val="none"/>
              </w:rPr>
              <w:t>年份要求：2023年</w:t>
            </w:r>
            <w:r>
              <w:rPr>
                <w:rFonts w:hint="eastAsia" w:ascii="宋体" w:hAnsi="宋体" w:cs="宋体"/>
                <w:snapToGrid w:val="0"/>
                <w:color w:val="auto"/>
                <w:kern w:val="0"/>
                <w:sz w:val="24"/>
                <w:highlight w:val="none"/>
                <w:lang w:val="en-US" w:eastAsia="zh-CN"/>
              </w:rPr>
              <w:t>1月1日至今</w:t>
            </w:r>
            <w:r>
              <w:rPr>
                <w:rFonts w:hint="eastAsia" w:ascii="宋体" w:hAnsi="宋体" w:cs="宋体"/>
                <w:snapToGrid w:val="0"/>
                <w:color w:val="auto"/>
                <w:kern w:val="0"/>
                <w:sz w:val="24"/>
                <w:highlight w:val="none"/>
              </w:rPr>
              <w:t>；</w:t>
            </w:r>
          </w:p>
          <w:p w14:paraId="490DE091">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snapToGrid w:val="0"/>
                <w:color w:val="auto"/>
                <w:sz w:val="24"/>
                <w:highlight w:val="none"/>
              </w:rPr>
              <w:t>如成立时间较短的供应商，可提供成立至今的相关证明材料。</w:t>
            </w:r>
          </w:p>
        </w:tc>
      </w:tr>
      <w:tr w14:paraId="46E69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318D5420">
            <w:pPr>
              <w:keepNext w:val="0"/>
              <w:keepLines w:val="0"/>
              <w:pageBreakBefore w:val="0"/>
              <w:kinsoku/>
              <w:overflowPunct/>
              <w:topLinePunct w:val="0"/>
              <w:bidi w:val="0"/>
              <w:spacing w:line="240" w:lineRule="auto"/>
              <w:ind w:left="0" w:firstLine="0" w:firstLineChars="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18</w:t>
            </w:r>
          </w:p>
        </w:tc>
        <w:tc>
          <w:tcPr>
            <w:tcW w:w="8325" w:type="dxa"/>
            <w:noWrap w:val="0"/>
            <w:vAlign w:val="center"/>
          </w:tcPr>
          <w:p w14:paraId="3688B96C">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小组组成：采购人将根据本项目的特点组建</w:t>
            </w:r>
            <w:r>
              <w:rPr>
                <w:rFonts w:hint="eastAsia" w:ascii="宋体" w:hAnsi="宋体"/>
                <w:color w:val="auto"/>
                <w:sz w:val="24"/>
                <w:highlight w:val="none"/>
                <w:lang w:eastAsia="zh-CN"/>
              </w:rPr>
              <w:t>谈判</w:t>
            </w:r>
            <w:r>
              <w:rPr>
                <w:rFonts w:hint="eastAsia" w:ascii="宋体" w:hAnsi="宋体"/>
                <w:color w:val="auto"/>
                <w:sz w:val="24"/>
                <w:highlight w:val="none"/>
              </w:rPr>
              <w:t>小组，其成员由评审专家和采购人代表等3人或以上单数组成，其中评审专家不得少于成员总数的三分之二。</w:t>
            </w:r>
          </w:p>
        </w:tc>
      </w:tr>
      <w:tr w14:paraId="0B363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3A3CAC2">
            <w:pPr>
              <w:keepNext w:val="0"/>
              <w:keepLines w:val="0"/>
              <w:pageBreakBefore w:val="0"/>
              <w:kinsoku/>
              <w:overflowPunct/>
              <w:topLinePunct w:val="0"/>
              <w:bidi w:val="0"/>
              <w:spacing w:line="240" w:lineRule="auto"/>
              <w:ind w:left="0" w:firstLine="0" w:firstLineChars="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19</w:t>
            </w:r>
          </w:p>
        </w:tc>
        <w:tc>
          <w:tcPr>
            <w:tcW w:w="8325" w:type="dxa"/>
            <w:noWrap w:val="0"/>
            <w:vAlign w:val="center"/>
          </w:tcPr>
          <w:p w14:paraId="5AADF546">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评审方法：谈判小组从质量和服务均能满足采购文件实质性响应要求的供应商中，按照最后报价由低到高的顺序提出成交候选</w:t>
            </w:r>
            <w:r>
              <w:rPr>
                <w:rFonts w:hint="eastAsia" w:ascii="宋体" w:hAnsi="宋体"/>
                <w:color w:val="auto"/>
                <w:sz w:val="24"/>
                <w:highlight w:val="none"/>
                <w:lang w:eastAsia="zh-CN"/>
              </w:rPr>
              <w:t>供应商</w:t>
            </w:r>
            <w:r>
              <w:rPr>
                <w:rFonts w:hint="eastAsia" w:ascii="宋体" w:hAnsi="宋体"/>
                <w:color w:val="auto"/>
                <w:sz w:val="24"/>
                <w:highlight w:val="none"/>
              </w:rPr>
              <w:t>。</w:t>
            </w:r>
          </w:p>
        </w:tc>
      </w:tr>
      <w:tr w14:paraId="33245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AF563A7">
            <w:pPr>
              <w:keepNext w:val="0"/>
              <w:keepLines w:val="0"/>
              <w:pageBreakBefore w:val="0"/>
              <w:kinsoku/>
              <w:overflowPunct/>
              <w:topLinePunct w:val="0"/>
              <w:bidi w:val="0"/>
              <w:spacing w:line="240" w:lineRule="auto"/>
              <w:ind w:left="0" w:firstLine="0" w:firstLineChars="0"/>
              <w:jc w:val="center"/>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hint="eastAsia" w:ascii="宋体" w:hAnsi="宋体"/>
                <w:bCs/>
                <w:color w:val="auto"/>
                <w:sz w:val="24"/>
                <w:highlight w:val="none"/>
                <w:lang w:val="en-US" w:eastAsia="zh-CN"/>
              </w:rPr>
              <w:t>0</w:t>
            </w:r>
          </w:p>
        </w:tc>
        <w:tc>
          <w:tcPr>
            <w:tcW w:w="8325" w:type="dxa"/>
            <w:noWrap w:val="0"/>
            <w:vAlign w:val="center"/>
          </w:tcPr>
          <w:p w14:paraId="10900B47">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t>是否授权</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小组确定成交供应商：</w:t>
            </w:r>
          </w:p>
          <w:p w14:paraId="5C231E0D">
            <w:pPr>
              <w:keepNext w:val="0"/>
              <w:keepLines w:val="0"/>
              <w:pageBreakBefore w:val="0"/>
              <w:kinsoku/>
              <w:overflowPunct/>
              <w:topLinePunct w:val="0"/>
              <w:bidi w:val="0"/>
              <w:spacing w:line="240" w:lineRule="auto"/>
              <w:ind w:left="0" w:firstLine="0" w:firstLineChars="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否，</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小组推荐3名</w:t>
            </w:r>
            <w:r>
              <w:rPr>
                <w:rFonts w:hint="eastAsia" w:ascii="宋体" w:hAnsi="宋体"/>
                <w:color w:val="auto"/>
                <w:sz w:val="24"/>
                <w:highlight w:val="none"/>
              </w:rPr>
              <w:t>成交候选供应商</w:t>
            </w:r>
            <w:r>
              <w:rPr>
                <w:rFonts w:hint="eastAsia" w:ascii="宋体" w:hAnsi="宋体" w:cs="宋体"/>
                <w:color w:val="auto"/>
                <w:sz w:val="24"/>
                <w:highlight w:val="none"/>
              </w:rPr>
              <w:t>，由采购人依法确定</w:t>
            </w:r>
            <w:r>
              <w:rPr>
                <w:rFonts w:hint="eastAsia" w:ascii="宋体" w:hAnsi="宋体"/>
                <w:color w:val="auto"/>
                <w:sz w:val="24"/>
                <w:highlight w:val="none"/>
              </w:rPr>
              <w:t>成交供应商</w:t>
            </w:r>
            <w:r>
              <w:rPr>
                <w:rFonts w:hint="eastAsia" w:ascii="宋体" w:hAnsi="宋体" w:cs="宋体"/>
                <w:color w:val="auto"/>
                <w:sz w:val="24"/>
                <w:highlight w:val="none"/>
              </w:rPr>
              <w:t>；</w:t>
            </w:r>
          </w:p>
          <w:p w14:paraId="5D24F06F">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sz w:val="24"/>
                <w:highlight w:val="none"/>
              </w:rPr>
              <w:t>□ 是，</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小组推荐3名</w:t>
            </w:r>
            <w:r>
              <w:rPr>
                <w:rFonts w:hint="eastAsia" w:ascii="宋体" w:hAnsi="宋体"/>
                <w:color w:val="auto"/>
                <w:sz w:val="24"/>
                <w:highlight w:val="none"/>
              </w:rPr>
              <w:t>成交候选供应商</w:t>
            </w:r>
            <w:r>
              <w:rPr>
                <w:rFonts w:hint="eastAsia" w:ascii="宋体" w:hAnsi="宋体" w:cs="宋体"/>
                <w:color w:val="auto"/>
                <w:sz w:val="24"/>
                <w:highlight w:val="none"/>
              </w:rPr>
              <w:t>，并按照采购人授权确定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名</w:t>
            </w:r>
            <w:r>
              <w:rPr>
                <w:rFonts w:hint="eastAsia" w:ascii="宋体" w:hAnsi="宋体"/>
                <w:color w:val="auto"/>
                <w:sz w:val="24"/>
                <w:highlight w:val="none"/>
              </w:rPr>
              <w:t>成交供应商</w:t>
            </w:r>
            <w:r>
              <w:rPr>
                <w:rFonts w:hint="eastAsia" w:ascii="宋体" w:hAnsi="宋体" w:cs="宋体"/>
                <w:color w:val="auto"/>
                <w:sz w:val="24"/>
                <w:highlight w:val="none"/>
              </w:rPr>
              <w:t>。</w:t>
            </w:r>
          </w:p>
        </w:tc>
      </w:tr>
      <w:tr w14:paraId="18885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2AF722E1">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1</w:t>
            </w:r>
          </w:p>
        </w:tc>
        <w:tc>
          <w:tcPr>
            <w:tcW w:w="8325" w:type="dxa"/>
            <w:noWrap w:val="0"/>
            <w:vAlign w:val="center"/>
          </w:tcPr>
          <w:p w14:paraId="0DE4E60F">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1）成交服务费：</w:t>
            </w:r>
          </w:p>
          <w:p w14:paraId="5C4ED59D">
            <w:pPr>
              <w:keepNext w:val="0"/>
              <w:keepLines w:val="0"/>
              <w:pageBreakBefore w:val="0"/>
              <w:kinsoku/>
              <w:overflowPunct/>
              <w:topLinePunct w:val="0"/>
              <w:bidi w:val="0"/>
              <w:spacing w:line="240" w:lineRule="auto"/>
              <w:ind w:left="0" w:firstLine="0" w:firstLineChars="0"/>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 xml:space="preserve"> 成交服务费按附表“采购代理服务费收费标准”以差额累进法计算后下浮</w:t>
            </w:r>
            <w:r>
              <w:rPr>
                <w:rFonts w:hint="eastAsia" w:ascii="宋体" w:hAnsi="宋体" w:cs="宋体"/>
                <w:color w:val="auto"/>
                <w:kern w:val="0"/>
                <w:sz w:val="24"/>
                <w:highlight w:val="none"/>
                <w:u w:val="single"/>
                <w:lang w:val="en-US" w:eastAsia="zh-CN"/>
              </w:rPr>
              <w:t>40</w:t>
            </w:r>
            <w:r>
              <w:rPr>
                <w:rFonts w:hint="eastAsia" w:ascii="宋体" w:hAnsi="宋体" w:cs="宋体"/>
                <w:color w:val="auto"/>
                <w:kern w:val="0"/>
                <w:sz w:val="24"/>
                <w:highlight w:val="none"/>
              </w:rPr>
              <w:t>%计取，由成交供应商向代理机构交纳</w:t>
            </w:r>
            <w:r>
              <w:rPr>
                <w:rFonts w:hint="eastAsia" w:ascii="宋体" w:hAnsi="宋体" w:eastAsia="宋体" w:cs="宋体"/>
                <w:color w:val="auto"/>
                <w:kern w:val="0"/>
                <w:sz w:val="24"/>
                <w:highlight w:val="none"/>
              </w:rPr>
              <w:t>（计费基数，暂按</w:t>
            </w: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rPr>
              <w:t>万元）。</w:t>
            </w:r>
          </w:p>
          <w:p w14:paraId="406E298B">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s="宋体"/>
                <w:color w:val="auto"/>
                <w:kern w:val="0"/>
                <w:sz w:val="24"/>
                <w:highlight w:val="none"/>
              </w:rPr>
              <w:t>□ 本项目成交服务费_____元，由成交供应商向代理机构交纳。</w:t>
            </w:r>
          </w:p>
        </w:tc>
      </w:tr>
      <w:tr w14:paraId="1552B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7B2E5EA9">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2</w:t>
            </w:r>
          </w:p>
        </w:tc>
        <w:tc>
          <w:tcPr>
            <w:tcW w:w="8325" w:type="dxa"/>
            <w:noWrap w:val="0"/>
            <w:vAlign w:val="center"/>
          </w:tcPr>
          <w:p w14:paraId="588577BD">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t>进口产品报价：</w:t>
            </w:r>
          </w:p>
          <w:p w14:paraId="60655C79">
            <w:pPr>
              <w:keepNext w:val="0"/>
              <w:keepLines w:val="0"/>
              <w:pageBreakBefore w:val="0"/>
              <w:kinsoku/>
              <w:overflowPunct/>
              <w:topLinePunct w:val="0"/>
              <w:bidi w:val="0"/>
              <w:spacing w:line="240" w:lineRule="auto"/>
              <w:ind w:left="0" w:firstLine="0" w:firstLineChars="0"/>
              <w:rPr>
                <w:rFonts w:ascii="宋体" w:hAnsi="宋体"/>
                <w:color w:val="auto"/>
                <w:sz w:val="24"/>
                <w:highlight w:val="none"/>
              </w:rPr>
            </w:pPr>
            <w:r>
              <w:rPr>
                <w:rFonts w:hint="eastAsia" w:ascii="宋体" w:hAnsi="宋体"/>
                <w:color w:val="auto"/>
                <w:sz w:val="24"/>
                <w:highlight w:val="none"/>
              </w:rPr>
              <w:sym w:font="Wingdings 2" w:char="0052"/>
            </w:r>
            <w:r>
              <w:rPr>
                <w:rFonts w:hint="eastAsia" w:ascii="宋体" w:hAnsi="宋体"/>
                <w:color w:val="auto"/>
                <w:sz w:val="24"/>
                <w:highlight w:val="none"/>
              </w:rPr>
              <w:t xml:space="preserve"> 不允许</w:t>
            </w:r>
          </w:p>
          <w:p w14:paraId="74E26351">
            <w:pPr>
              <w:keepNext w:val="0"/>
              <w:keepLines w:val="0"/>
              <w:pageBreakBefore w:val="0"/>
              <w:kinsoku/>
              <w:overflowPunct/>
              <w:topLinePunct w:val="0"/>
              <w:bidi w:val="0"/>
              <w:spacing w:line="240" w:lineRule="auto"/>
              <w:ind w:left="0" w:firstLine="0" w:firstLineChars="0"/>
              <w:rPr>
                <w:rFonts w:hint="eastAsia"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 xml:space="preserve"> 允许，产品清单详见</w:t>
            </w:r>
            <w:r>
              <w:rPr>
                <w:rFonts w:hint="eastAsia" w:ascii="宋体" w:hAnsi="宋体"/>
                <w:color w:val="auto"/>
                <w:sz w:val="24"/>
                <w:highlight w:val="none"/>
                <w:lang w:eastAsia="zh-CN"/>
              </w:rPr>
              <w:t>谈判</w:t>
            </w:r>
            <w:r>
              <w:rPr>
                <w:rFonts w:hint="eastAsia" w:ascii="宋体" w:hAnsi="宋体"/>
                <w:color w:val="auto"/>
                <w:sz w:val="24"/>
                <w:highlight w:val="none"/>
              </w:rPr>
              <w:t>文件第四章。</w:t>
            </w:r>
          </w:p>
        </w:tc>
      </w:tr>
      <w:tr w14:paraId="0A1D0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8971" w:type="dxa"/>
            <w:gridSpan w:val="2"/>
            <w:noWrap w:val="0"/>
            <w:vAlign w:val="center"/>
          </w:tcPr>
          <w:p w14:paraId="4A114AAF">
            <w:pPr>
              <w:keepNext w:val="0"/>
              <w:keepLines w:val="0"/>
              <w:pageBreakBefore w:val="0"/>
              <w:kinsoku/>
              <w:overflowPunct/>
              <w:topLinePunct w:val="0"/>
              <w:bidi w:val="0"/>
              <w:spacing w:line="240" w:lineRule="auto"/>
              <w:ind w:left="0" w:firstLine="0" w:firstLineChars="0"/>
              <w:jc w:val="center"/>
              <w:rPr>
                <w:rFonts w:ascii="宋体" w:hAnsi="宋体"/>
                <w:b/>
                <w:color w:val="auto"/>
                <w:sz w:val="24"/>
                <w:highlight w:val="none"/>
              </w:rPr>
            </w:pPr>
            <w:r>
              <w:rPr>
                <w:rFonts w:hint="eastAsia" w:ascii="宋体" w:hAnsi="宋体"/>
                <w:b/>
                <w:color w:val="auto"/>
                <w:sz w:val="24"/>
                <w:highlight w:val="none"/>
              </w:rPr>
              <w:t>其他</w:t>
            </w:r>
          </w:p>
        </w:tc>
      </w:tr>
      <w:tr w14:paraId="63283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525AF64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8325" w:type="dxa"/>
            <w:noWrap w:val="0"/>
            <w:vAlign w:val="center"/>
          </w:tcPr>
          <w:p w14:paraId="0659F9D6">
            <w:pPr>
              <w:keepNext w:val="0"/>
              <w:keepLines w:val="0"/>
              <w:pageBreakBefore w:val="0"/>
              <w:kinsoku/>
              <w:overflowPunct/>
              <w:topLinePunct w:val="0"/>
              <w:bidi w:val="0"/>
              <w:spacing w:line="240" w:lineRule="auto"/>
              <w:ind w:left="0" w:firstLine="0" w:firstLineChars="0"/>
              <w:rPr>
                <w:rFonts w:hint="eastAsia" w:ascii="宋体" w:hAnsi="宋体" w:eastAsia="宋体" w:cs="Times New Roman"/>
                <w:b/>
                <w:color w:val="auto"/>
                <w:sz w:val="24"/>
                <w:highlight w:val="none"/>
              </w:rPr>
            </w:pPr>
            <w:r>
              <w:rPr>
                <w:rFonts w:hint="eastAsia" w:ascii="宋体" w:hAnsi="宋体" w:cs="宋体"/>
                <w:bCs/>
                <w:color w:val="auto"/>
                <w:sz w:val="24"/>
                <w:highlight w:val="none"/>
              </w:rPr>
              <w:t>★</w:t>
            </w:r>
            <w:r>
              <w:rPr>
                <w:rFonts w:hint="eastAsia" w:ascii="宋体" w:hAnsi="宋体" w:cs="Times New Roman"/>
                <w:b/>
                <w:color w:val="auto"/>
                <w:sz w:val="24"/>
                <w:highlight w:val="none"/>
                <w:lang w:eastAsia="zh-CN"/>
              </w:rPr>
              <w:t>供货（安装）期： 医院每周或每月按需求制订计划，供应厂商接医院备货通知2日内，送达医院指定位地点</w:t>
            </w:r>
            <w:r>
              <w:rPr>
                <w:rFonts w:hint="eastAsia" w:ascii="宋体" w:hAnsi="宋体" w:eastAsia="宋体" w:cs="Times New Roman"/>
                <w:b/>
                <w:color w:val="auto"/>
                <w:sz w:val="24"/>
                <w:highlight w:val="none"/>
              </w:rPr>
              <w:t>。</w:t>
            </w:r>
          </w:p>
          <w:p w14:paraId="7E31D35E">
            <w:pPr>
              <w:keepNext w:val="0"/>
              <w:keepLines w:val="0"/>
              <w:pageBreakBefore w:val="0"/>
              <w:kinsoku/>
              <w:overflowPunct/>
              <w:topLinePunct w:val="0"/>
              <w:bidi w:val="0"/>
              <w:spacing w:line="240" w:lineRule="auto"/>
              <w:ind w:left="0" w:firstLine="0" w:firstLineChars="0"/>
              <w:rPr>
                <w:rFonts w:ascii="宋体" w:hAnsi="宋体"/>
                <w:b/>
                <w:color w:val="auto"/>
                <w:sz w:val="24"/>
                <w:highlight w:val="none"/>
              </w:rPr>
            </w:pPr>
            <w:r>
              <w:rPr>
                <w:rFonts w:hint="eastAsia" w:ascii="宋体" w:hAnsi="宋体" w:eastAsia="宋体" w:cs="Times New Roman"/>
                <w:b/>
                <w:color w:val="auto"/>
                <w:sz w:val="24"/>
                <w:highlight w:val="none"/>
              </w:rPr>
              <w:t>供应商可根据自身情况自报最快交货时间。</w:t>
            </w:r>
          </w:p>
        </w:tc>
      </w:tr>
      <w:tr w14:paraId="41618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6F9FBFE">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8325" w:type="dxa"/>
            <w:noWrap w:val="0"/>
            <w:vAlign w:val="center"/>
          </w:tcPr>
          <w:p w14:paraId="21D204A2">
            <w:pPr>
              <w:keepNext w:val="0"/>
              <w:keepLines w:val="0"/>
              <w:pageBreakBefore w:val="0"/>
              <w:kinsoku/>
              <w:overflowPunct/>
              <w:topLinePunct w:val="0"/>
              <w:bidi w:val="0"/>
              <w:spacing w:line="240" w:lineRule="auto"/>
              <w:ind w:left="0" w:leftChars="0" w:firstLine="0" w:firstLineChars="0"/>
              <w:textAlignment w:val="auto"/>
              <w:rPr>
                <w:rFonts w:hint="eastAsia" w:ascii="宋体" w:hAnsi="宋体" w:eastAsia="宋体" w:cs="Times New Roman"/>
                <w:b/>
                <w:bCs w:val="0"/>
                <w:color w:val="auto"/>
                <w:sz w:val="24"/>
                <w:highlight w:val="none"/>
              </w:rPr>
            </w:pPr>
            <w:r>
              <w:rPr>
                <w:rFonts w:hint="eastAsia" w:ascii="宋体" w:hAnsi="宋体" w:eastAsia="宋体" w:cs="宋体"/>
                <w:b/>
                <w:color w:val="auto"/>
                <w:sz w:val="24"/>
                <w:szCs w:val="24"/>
                <w:highlight w:val="none"/>
              </w:rPr>
              <w:t>★</w:t>
            </w:r>
            <w:r>
              <w:rPr>
                <w:rFonts w:hint="eastAsia" w:ascii="宋体" w:hAnsi="宋体" w:eastAsia="宋体" w:cs="Times New Roman"/>
                <w:b/>
                <w:color w:val="auto"/>
                <w:sz w:val="24"/>
                <w:highlight w:val="none"/>
                <w:lang w:eastAsia="zh-CN"/>
              </w:rPr>
              <w:t>质保期</w:t>
            </w:r>
            <w:r>
              <w:rPr>
                <w:rFonts w:hint="eastAsia" w:ascii="宋体" w:hAnsi="宋体" w:eastAsia="宋体" w:cs="Times New Roman"/>
                <w:b/>
                <w:color w:val="auto"/>
                <w:sz w:val="24"/>
                <w:highlight w:val="none"/>
              </w:rPr>
              <w:t>：</w:t>
            </w:r>
            <w:r>
              <w:rPr>
                <w:rFonts w:hint="eastAsia" w:ascii="宋体" w:hAnsi="宋体" w:eastAsia="宋体" w:cs="Times New Roman"/>
                <w:b/>
                <w:color w:val="auto"/>
                <w:sz w:val="24"/>
                <w:highlight w:val="none"/>
                <w:lang w:eastAsia="zh-CN"/>
              </w:rPr>
              <w:t>自验收合格之日起不少于</w:t>
            </w:r>
            <w:r>
              <w:rPr>
                <w:rFonts w:hint="eastAsia" w:ascii="宋体" w:hAnsi="宋体" w:eastAsia="宋体" w:cs="Times New Roman"/>
                <w:b/>
                <w:color w:val="auto"/>
                <w:sz w:val="24"/>
                <w:highlight w:val="none"/>
                <w:lang w:val="en-US" w:eastAsia="zh-CN"/>
              </w:rPr>
              <w:t>2</w:t>
            </w:r>
            <w:r>
              <w:rPr>
                <w:rFonts w:hint="eastAsia" w:ascii="宋体" w:hAnsi="宋体" w:eastAsia="宋体" w:cs="Times New Roman"/>
                <w:b/>
                <w:color w:val="auto"/>
                <w:sz w:val="24"/>
                <w:highlight w:val="none"/>
                <w:lang w:eastAsia="zh-CN"/>
              </w:rPr>
              <w:t>年</w:t>
            </w:r>
            <w:r>
              <w:rPr>
                <w:rFonts w:hint="eastAsia" w:ascii="宋体" w:hAnsi="宋体" w:eastAsia="宋体" w:cs="Times New Roman"/>
                <w:b/>
                <w:color w:val="auto"/>
                <w:sz w:val="24"/>
                <w:highlight w:val="none"/>
                <w:lang w:val="en-US" w:eastAsia="zh-CN"/>
              </w:rPr>
              <w:t>。</w:t>
            </w:r>
          </w:p>
        </w:tc>
      </w:tr>
      <w:tr w14:paraId="41382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noWrap w:val="0"/>
            <w:vAlign w:val="center"/>
          </w:tcPr>
          <w:p w14:paraId="0F180B35">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r>
              <w:rPr>
                <w:rFonts w:hint="eastAsia" w:ascii="宋体" w:hAnsi="宋体"/>
                <w:color w:val="auto"/>
                <w:sz w:val="24"/>
                <w:highlight w:val="none"/>
                <w:lang w:val="en-US" w:eastAsia="zh-CN"/>
              </w:rPr>
              <w:t>5</w:t>
            </w:r>
          </w:p>
        </w:tc>
        <w:tc>
          <w:tcPr>
            <w:tcW w:w="8325" w:type="dxa"/>
            <w:noWrap w:val="0"/>
            <w:vAlign w:val="center"/>
          </w:tcPr>
          <w:p w14:paraId="0C831E0A">
            <w:pPr>
              <w:keepNext w:val="0"/>
              <w:keepLines w:val="0"/>
              <w:pageBreakBefore w:val="0"/>
              <w:kinsoku/>
              <w:overflowPunct/>
              <w:topLinePunct w:val="0"/>
              <w:bidi w:val="0"/>
              <w:spacing w:line="240" w:lineRule="auto"/>
              <w:ind w:left="0" w:leftChars="0" w:firstLine="0" w:firstLineChars="0"/>
              <w:textAlignment w:val="auto"/>
              <w:rPr>
                <w:rFonts w:ascii="宋体" w:hAnsi="宋体"/>
                <w:b w:val="0"/>
                <w:bCs/>
                <w:color w:val="auto"/>
                <w:sz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kern w:val="0"/>
                <w:sz w:val="24"/>
                <w:highlight w:val="none"/>
              </w:rPr>
              <w:t>付款方式：</w:t>
            </w:r>
            <w:r>
              <w:rPr>
                <w:rFonts w:hint="eastAsia" w:ascii="宋体" w:hAnsi="宋体" w:cs="宋体"/>
                <w:b/>
                <w:color w:val="auto"/>
                <w:kern w:val="0"/>
                <w:sz w:val="24"/>
                <w:highlight w:val="none"/>
                <w:lang w:eastAsia="zh-CN"/>
              </w:rPr>
              <w:t>据实结算，每批货物交付完毕并验收合格后办理入库手续，凭发票等资料三个月内付全款。</w:t>
            </w:r>
          </w:p>
        </w:tc>
      </w:tr>
      <w:tr w14:paraId="7124C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5ECFFCBC">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6</w:t>
            </w:r>
          </w:p>
        </w:tc>
        <w:tc>
          <w:tcPr>
            <w:tcW w:w="8325" w:type="dxa"/>
            <w:tcBorders>
              <w:left w:val="single" w:color="auto" w:sz="4" w:space="0"/>
            </w:tcBorders>
            <w:noWrap w:val="0"/>
            <w:vAlign w:val="center"/>
          </w:tcPr>
          <w:p w14:paraId="7AC883A7">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本项目不需缴纳履约担保。</w:t>
            </w:r>
          </w:p>
          <w:p w14:paraId="25049CD3">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□本项目要求成交供应商提交履约担保：</w:t>
            </w:r>
          </w:p>
          <w:p w14:paraId="0F5526B7">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履约担保的金额：成交金额的10%。</w:t>
            </w:r>
          </w:p>
          <w:p w14:paraId="727DD1A6">
            <w:pPr>
              <w:keepNext w:val="0"/>
              <w:keepLines w:val="0"/>
              <w:pageBreakBefore w:val="0"/>
              <w:kinsoku/>
              <w:overflowPunct/>
              <w:topLinePunct w:val="0"/>
              <w:bidi w:val="0"/>
              <w:spacing w:line="240" w:lineRule="auto"/>
              <w:ind w:left="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履约担保的形式：现金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电汇、银行保函、专业担保机构出具的保函。</w:t>
            </w:r>
          </w:p>
          <w:p w14:paraId="0630256C">
            <w:pPr>
              <w:keepNext w:val="0"/>
              <w:keepLines w:val="0"/>
              <w:pageBreakBefore w:val="0"/>
              <w:kinsoku/>
              <w:overflowPunct/>
              <w:topLinePunct w:val="0"/>
              <w:bidi w:val="0"/>
              <w:spacing w:line="240" w:lineRule="auto"/>
              <w:ind w:left="0" w:leftChars="0" w:firstLine="0" w:firstLineChars="0"/>
              <w:rPr>
                <w:rFonts w:hint="eastAsia" w:ascii="宋体" w:hAnsi="宋体" w:eastAsia="宋体" w:cs="宋体"/>
                <w:b w:val="0"/>
                <w:bCs/>
                <w:color w:val="auto"/>
                <w:kern w:val="0"/>
                <w:sz w:val="24"/>
                <w:highlight w:val="none"/>
                <w:lang w:eastAsia="zh-CN"/>
              </w:rPr>
            </w:pPr>
            <w:r>
              <w:rPr>
                <w:rFonts w:hint="eastAsia" w:ascii="宋体" w:hAnsi="宋体" w:cs="宋体"/>
                <w:color w:val="auto"/>
                <w:kern w:val="0"/>
                <w:sz w:val="24"/>
                <w:highlight w:val="none"/>
              </w:rPr>
              <w:t>履约担保受益人：采购单位。</w:t>
            </w:r>
          </w:p>
        </w:tc>
      </w:tr>
      <w:tr w14:paraId="52DF5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5183F344">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val="en-US" w:eastAsia="zh-CN"/>
              </w:rPr>
              <w:t>7</w:t>
            </w:r>
          </w:p>
        </w:tc>
        <w:tc>
          <w:tcPr>
            <w:tcW w:w="8325" w:type="dxa"/>
            <w:tcBorders>
              <w:left w:val="single" w:color="auto" w:sz="4" w:space="0"/>
            </w:tcBorders>
            <w:noWrap w:val="0"/>
            <w:vAlign w:val="top"/>
          </w:tcPr>
          <w:p w14:paraId="139E59C5">
            <w:pPr>
              <w:keepNext w:val="0"/>
              <w:keepLines w:val="0"/>
              <w:pageBreakBefore w:val="0"/>
              <w:kinsoku/>
              <w:overflowPunct/>
              <w:topLinePunct w:val="0"/>
              <w:bidi w:val="0"/>
              <w:spacing w:line="240" w:lineRule="auto"/>
              <w:ind w:left="0" w:leftChars="0" w:firstLine="0" w:firstLineChars="0"/>
              <w:rPr>
                <w:rFonts w:ascii="宋体" w:hAnsi="宋体" w:cs="宋体"/>
                <w:color w:val="auto"/>
                <w:kern w:val="0"/>
                <w:sz w:val="24"/>
                <w:highlight w:val="none"/>
              </w:rPr>
            </w:pPr>
            <w:r>
              <w:rPr>
                <w:rFonts w:hint="eastAsia" w:ascii="宋体" w:hAnsi="宋体"/>
                <w:bCs/>
                <w:color w:val="auto"/>
                <w:sz w:val="24"/>
                <w:highlight w:val="none"/>
              </w:rPr>
              <w:t>★参与政府采购活动时，台式计算机，便携式计算机，平板式微型计算机，激光打印机，针式打印机，液晶显示器，制冷压缩机，空调机组，专用制冷、空调设备，管型荧光灯镇流器，空调机，电热水器，普通照明用双端荧光灯，电视设备，视频设备，便器（含坐便器、蹲便器、小便器），水嘴等为政府强制采购的节能产品。</w:t>
            </w:r>
            <w:r>
              <w:rPr>
                <w:rFonts w:hint="eastAsia" w:ascii="宋体" w:hAnsi="宋体"/>
                <w:color w:val="auto"/>
                <w:sz w:val="24"/>
                <w:highlight w:val="none"/>
              </w:rPr>
              <w:t>所投产品属于政府强制采购范围内的产品，须在响应文件中提供该产品有效的《国家节能产品认证证书》复印件并加盖供应商公章。</w:t>
            </w:r>
            <w:r>
              <w:rPr>
                <w:rFonts w:hint="eastAsia" w:ascii="宋体" w:hAnsi="宋体"/>
                <w:b/>
                <w:color w:val="auto"/>
                <w:sz w:val="24"/>
                <w:highlight w:val="none"/>
              </w:rPr>
              <w:t>未按强制节能清单参与报价或未按</w:t>
            </w:r>
            <w:r>
              <w:rPr>
                <w:rFonts w:hint="eastAsia" w:ascii="宋体" w:hAnsi="宋体"/>
                <w:b/>
                <w:color w:val="auto"/>
                <w:sz w:val="24"/>
                <w:highlight w:val="none"/>
                <w:lang w:eastAsia="zh-CN"/>
              </w:rPr>
              <w:t>竞争性谈判</w:t>
            </w:r>
            <w:r>
              <w:rPr>
                <w:rFonts w:hint="eastAsia" w:ascii="宋体" w:hAnsi="宋体"/>
                <w:b/>
                <w:color w:val="auto"/>
                <w:sz w:val="24"/>
                <w:highlight w:val="none"/>
              </w:rPr>
              <w:t>文件要求提供相关证明材料的，均属于无效报价。</w:t>
            </w:r>
          </w:p>
        </w:tc>
      </w:tr>
      <w:tr w14:paraId="35DC2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34468BEB">
            <w:pPr>
              <w:keepNext w:val="0"/>
              <w:keepLines w:val="0"/>
              <w:pageBreakBefore w:val="0"/>
              <w:kinsoku/>
              <w:overflowPunct/>
              <w:topLinePunct w:val="0"/>
              <w:bidi w:val="0"/>
              <w:spacing w:line="240" w:lineRule="auto"/>
              <w:ind w:left="0" w:firstLine="0" w:firstLineChars="0"/>
              <w:jc w:val="center"/>
              <w:rPr>
                <w:rFonts w:hint="eastAsia" w:ascii="宋体" w:hAnsi="宋体" w:eastAsia="宋体"/>
                <w:color w:val="auto"/>
                <w:sz w:val="24"/>
                <w:highlight w:val="yellow"/>
                <w:lang w:val="en-US"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8</w:t>
            </w:r>
          </w:p>
        </w:tc>
        <w:tc>
          <w:tcPr>
            <w:tcW w:w="8325" w:type="dxa"/>
            <w:tcBorders>
              <w:left w:val="single" w:color="auto" w:sz="4" w:space="0"/>
            </w:tcBorders>
            <w:noWrap w:val="0"/>
            <w:vAlign w:val="top"/>
          </w:tcPr>
          <w:p w14:paraId="10FBA89C">
            <w:pPr>
              <w:keepNext w:val="0"/>
              <w:keepLines w:val="0"/>
              <w:pageBreakBefore w:val="0"/>
              <w:kinsoku/>
              <w:overflowPunct/>
              <w:topLinePunct w:val="0"/>
              <w:bidi w:val="0"/>
              <w:spacing w:line="240" w:lineRule="auto"/>
              <w:ind w:left="0" w:firstLine="0" w:firstLineChars="0"/>
              <w:rPr>
                <w:rFonts w:hint="eastAsia" w:ascii="宋体" w:hAnsi="宋体"/>
                <w:bCs/>
                <w:color w:val="auto"/>
                <w:sz w:val="24"/>
                <w:highlight w:val="none"/>
                <w:lang w:eastAsia="zh-CN"/>
              </w:rPr>
            </w:pPr>
            <w:r>
              <w:rPr>
                <w:rFonts w:hint="eastAsia" w:ascii="宋体" w:hAnsi="宋体"/>
                <w:bCs/>
                <w:color w:val="auto"/>
                <w:sz w:val="24"/>
                <w:highlight w:val="none"/>
                <w:lang w:eastAsia="zh-CN"/>
              </w:rPr>
              <w:t>本项目非单一产品采购的各包，核心产品已在</w:t>
            </w:r>
            <w:r>
              <w:rPr>
                <w:rFonts w:hint="eastAsia" w:ascii="宋体" w:hAnsi="宋体"/>
                <w:bCs/>
                <w:color w:val="auto"/>
                <w:sz w:val="24"/>
                <w:highlight w:val="none"/>
                <w:lang w:val="en-US" w:eastAsia="zh-CN"/>
              </w:rPr>
              <w:t>谈判</w:t>
            </w:r>
            <w:r>
              <w:rPr>
                <w:rFonts w:hint="eastAsia" w:ascii="宋体" w:hAnsi="宋体"/>
                <w:bCs/>
                <w:color w:val="auto"/>
                <w:sz w:val="24"/>
                <w:highlight w:val="none"/>
                <w:lang w:eastAsia="zh-CN"/>
              </w:rPr>
              <w:t>文件第四章《采购内容及项目要求》中列明，多家供应商提供的核心产品品牌相同的，属投报相同品牌产品，按下列规定处理：</w:t>
            </w:r>
          </w:p>
          <w:p w14:paraId="6EA154E4">
            <w:pPr>
              <w:keepNext w:val="0"/>
              <w:keepLines w:val="0"/>
              <w:pageBreakBefore w:val="0"/>
              <w:kinsoku/>
              <w:overflowPunct/>
              <w:topLinePunct w:val="0"/>
              <w:bidi w:val="0"/>
              <w:spacing w:line="240" w:lineRule="auto"/>
              <w:ind w:left="0" w:firstLine="0" w:firstLineChars="0"/>
              <w:rPr>
                <w:rFonts w:hint="eastAsia" w:ascii="宋体" w:hAnsi="宋体"/>
                <w:bCs/>
                <w:color w:val="auto"/>
                <w:sz w:val="24"/>
                <w:highlight w:val="yellow"/>
                <w:lang w:eastAsia="zh-CN"/>
              </w:rPr>
            </w:pPr>
            <w:r>
              <w:rPr>
                <w:rFonts w:hint="eastAsia" w:ascii="宋体" w:hAnsi="宋体"/>
                <w:b/>
                <w:bCs w:val="0"/>
                <w:color w:val="auto"/>
                <w:sz w:val="24"/>
                <w:highlight w:val="none"/>
              </w:rPr>
              <w:t>提供</w:t>
            </w:r>
            <w:r>
              <w:rPr>
                <w:rFonts w:hint="eastAsia" w:ascii="宋体" w:hAnsi="宋体"/>
                <w:b/>
                <w:bCs w:val="0"/>
                <w:color w:val="auto"/>
                <w:sz w:val="24"/>
                <w:highlight w:val="none"/>
                <w:lang w:val="en-US" w:eastAsia="zh-CN"/>
              </w:rPr>
              <w:t>核心产品</w:t>
            </w:r>
            <w:r>
              <w:rPr>
                <w:rFonts w:hint="eastAsia" w:ascii="宋体" w:hAnsi="宋体"/>
                <w:b/>
                <w:bCs w:val="0"/>
                <w:color w:val="auto"/>
                <w:sz w:val="24"/>
                <w:highlight w:val="none"/>
              </w:rPr>
              <w:t>相同品牌相同型号产品且通过资格审查、符合性审查的不同供应商参加同一合同项下报价的，应当作为一个供应商计算</w:t>
            </w:r>
            <w:r>
              <w:rPr>
                <w:rFonts w:hint="eastAsia" w:ascii="宋体" w:hAnsi="宋体"/>
                <w:b/>
                <w:bCs w:val="0"/>
                <w:color w:val="auto"/>
                <w:sz w:val="24"/>
                <w:highlight w:val="none"/>
                <w:lang w:eastAsia="zh-CN"/>
              </w:rPr>
              <w:t>，以最后</w:t>
            </w:r>
            <w:r>
              <w:rPr>
                <w:rFonts w:hint="eastAsia" w:ascii="宋体" w:hAnsi="宋体"/>
                <w:b/>
                <w:bCs w:val="0"/>
                <w:color w:val="auto"/>
                <w:sz w:val="24"/>
                <w:highlight w:val="none"/>
              </w:rPr>
              <w:t>报价最低的参加</w:t>
            </w:r>
            <w:r>
              <w:rPr>
                <w:rFonts w:hint="eastAsia" w:ascii="宋体" w:hAnsi="宋体"/>
                <w:b/>
                <w:bCs w:val="0"/>
                <w:color w:val="auto"/>
                <w:sz w:val="24"/>
                <w:highlight w:val="none"/>
                <w:lang w:eastAsia="zh-CN"/>
              </w:rPr>
              <w:t>谈判评审；最后</w:t>
            </w:r>
            <w:r>
              <w:rPr>
                <w:rFonts w:hint="eastAsia" w:ascii="宋体" w:hAnsi="宋体"/>
                <w:b/>
                <w:bCs w:val="0"/>
                <w:color w:val="auto"/>
                <w:sz w:val="24"/>
                <w:highlight w:val="none"/>
              </w:rPr>
              <w:t>报价相同的，由</w:t>
            </w:r>
            <w:r>
              <w:rPr>
                <w:rFonts w:hint="eastAsia" w:ascii="宋体" w:hAnsi="宋体"/>
                <w:b/>
                <w:bCs w:val="0"/>
                <w:color w:val="auto"/>
                <w:sz w:val="24"/>
                <w:highlight w:val="none"/>
                <w:lang w:eastAsia="zh-CN"/>
              </w:rPr>
              <w:t>谈判小组通过投票的方式或随机抽取的方式</w:t>
            </w:r>
            <w:r>
              <w:rPr>
                <w:rFonts w:hint="eastAsia" w:ascii="宋体" w:hAnsi="宋体"/>
                <w:b/>
                <w:bCs w:val="0"/>
                <w:color w:val="auto"/>
                <w:sz w:val="24"/>
                <w:highlight w:val="none"/>
              </w:rPr>
              <w:t>确定一个参加</w:t>
            </w:r>
            <w:r>
              <w:rPr>
                <w:rFonts w:hint="eastAsia" w:ascii="宋体" w:hAnsi="宋体"/>
                <w:b/>
                <w:bCs w:val="0"/>
                <w:color w:val="auto"/>
                <w:sz w:val="24"/>
                <w:highlight w:val="none"/>
                <w:lang w:eastAsia="zh-CN"/>
              </w:rPr>
              <w:t>谈判评审</w:t>
            </w:r>
            <w:r>
              <w:rPr>
                <w:rFonts w:hint="eastAsia" w:ascii="宋体" w:hAnsi="宋体"/>
                <w:b/>
                <w:bCs w:val="0"/>
                <w:color w:val="auto"/>
                <w:sz w:val="24"/>
                <w:highlight w:val="none"/>
              </w:rPr>
              <w:t>的</w:t>
            </w:r>
            <w:r>
              <w:rPr>
                <w:rFonts w:hint="eastAsia" w:ascii="宋体" w:hAnsi="宋体"/>
                <w:b/>
                <w:bCs w:val="0"/>
                <w:color w:val="auto"/>
                <w:sz w:val="24"/>
                <w:highlight w:val="none"/>
                <w:lang w:eastAsia="zh-CN"/>
              </w:rPr>
              <w:t>供应商</w:t>
            </w:r>
            <w:r>
              <w:rPr>
                <w:rFonts w:hint="eastAsia" w:ascii="宋体" w:hAnsi="宋体"/>
                <w:b/>
                <w:bCs w:val="0"/>
                <w:color w:val="auto"/>
                <w:sz w:val="24"/>
                <w:highlight w:val="none"/>
              </w:rPr>
              <w:t>，其他</w:t>
            </w:r>
            <w:r>
              <w:rPr>
                <w:rFonts w:hint="eastAsia" w:ascii="宋体" w:hAnsi="宋体"/>
                <w:b/>
                <w:bCs w:val="0"/>
                <w:color w:val="auto"/>
                <w:sz w:val="24"/>
                <w:highlight w:val="none"/>
                <w:lang w:eastAsia="zh-CN"/>
              </w:rPr>
              <w:t>报价</w:t>
            </w:r>
            <w:r>
              <w:rPr>
                <w:rFonts w:hint="eastAsia" w:ascii="宋体" w:hAnsi="宋体"/>
                <w:b/>
                <w:bCs w:val="0"/>
                <w:color w:val="auto"/>
                <w:sz w:val="24"/>
                <w:highlight w:val="none"/>
              </w:rPr>
              <w:t>无效</w:t>
            </w:r>
            <w:r>
              <w:rPr>
                <w:rFonts w:hint="eastAsia" w:ascii="宋体" w:hAnsi="宋体"/>
                <w:b/>
                <w:bCs w:val="0"/>
                <w:color w:val="auto"/>
                <w:sz w:val="24"/>
                <w:highlight w:val="none"/>
                <w:lang w:eastAsia="zh-CN"/>
              </w:rPr>
              <w:t>。</w:t>
            </w:r>
          </w:p>
        </w:tc>
      </w:tr>
      <w:tr w14:paraId="6255B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12F502EA">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8325" w:type="dxa"/>
            <w:tcBorders>
              <w:left w:val="single" w:color="auto" w:sz="4" w:space="0"/>
            </w:tcBorders>
            <w:noWrap w:val="0"/>
            <w:vAlign w:val="center"/>
          </w:tcPr>
          <w:p w14:paraId="5FF26BCF">
            <w:pPr>
              <w:keepNext w:val="0"/>
              <w:keepLines w:val="0"/>
              <w:pageBreakBefore w:val="0"/>
              <w:kinsoku/>
              <w:overflowPunct/>
              <w:topLinePunct w:val="0"/>
              <w:bidi w:val="0"/>
              <w:spacing w:line="240" w:lineRule="auto"/>
              <w:ind w:left="0" w:firstLine="0" w:firstLineChars="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采购标的对</w:t>
            </w:r>
            <w:r>
              <w:rPr>
                <w:rFonts w:hint="eastAsia" w:ascii="宋体" w:hAnsi="宋体"/>
                <w:snapToGrid w:val="0"/>
                <w:color w:val="auto"/>
                <w:kern w:val="0"/>
                <w:sz w:val="24"/>
                <w:highlight w:val="none"/>
                <w:lang w:eastAsia="zh-CN"/>
              </w:rPr>
              <w:t>应</w:t>
            </w:r>
            <w:r>
              <w:rPr>
                <w:rFonts w:hint="eastAsia" w:ascii="宋体" w:hAnsi="宋体"/>
                <w:snapToGrid w:val="0"/>
                <w:color w:val="auto"/>
                <w:kern w:val="0"/>
                <w:sz w:val="24"/>
                <w:highlight w:val="none"/>
              </w:rPr>
              <w:t>的中小企业划分标准所属行业:</w:t>
            </w:r>
          </w:p>
          <w:p w14:paraId="0BA3EE97">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rFonts w:hint="eastAsia"/>
                <w:color w:val="auto"/>
                <w:sz w:val="24"/>
                <w:highlight w:val="none"/>
              </w:rPr>
              <w:sym w:font="Wingdings 2" w:char="0052"/>
            </w:r>
            <w:r>
              <w:rPr>
                <w:rFonts w:hint="eastAsia"/>
                <w:color w:val="auto"/>
                <w:sz w:val="24"/>
                <w:highlight w:val="none"/>
                <w:u w:val="single"/>
              </w:rPr>
              <w:t xml:space="preserve"> </w:t>
            </w:r>
            <w:r>
              <w:rPr>
                <w:rFonts w:hint="eastAsia"/>
                <w:color w:val="auto"/>
                <w:sz w:val="24"/>
                <w:highlight w:val="none"/>
                <w:u w:val="single"/>
                <w:lang w:val="en-US" w:eastAsia="zh-CN"/>
              </w:rPr>
              <w:t>工</w:t>
            </w:r>
            <w:r>
              <w:rPr>
                <w:rFonts w:hint="eastAsia"/>
                <w:color w:val="auto"/>
                <w:sz w:val="24"/>
                <w:highlight w:val="none"/>
                <w:u w:val="single"/>
              </w:rPr>
              <w:t xml:space="preserve"> </w:t>
            </w:r>
            <w:r>
              <w:rPr>
                <w:rFonts w:hint="eastAsia"/>
                <w:color w:val="auto"/>
                <w:sz w:val="24"/>
                <w:highlight w:val="none"/>
              </w:rPr>
              <w:t>业，</w:t>
            </w:r>
            <w:r>
              <w:rPr>
                <w:rFonts w:hint="eastAsia" w:ascii="宋体" w:hAnsi="宋体" w:cs="宋体"/>
                <w:color w:val="auto"/>
                <w:kern w:val="0"/>
                <w:sz w:val="24"/>
                <w:highlight w:val="none"/>
              </w:rPr>
              <w:t>具体划分标准详见本章附表2</w:t>
            </w:r>
          </w:p>
          <w:p w14:paraId="26FBDEF4">
            <w:pPr>
              <w:keepNext w:val="0"/>
              <w:keepLines w:val="0"/>
              <w:pageBreakBefore w:val="0"/>
              <w:kinsoku/>
              <w:overflowPunct/>
              <w:topLinePunct w:val="0"/>
              <w:bidi w:val="0"/>
              <w:spacing w:line="240" w:lineRule="auto"/>
              <w:ind w:left="0" w:leftChars="0" w:firstLine="0" w:firstLineChars="0"/>
              <w:rPr>
                <w:rFonts w:hint="default" w:ascii="宋体" w:hAnsi="宋体"/>
                <w:b/>
                <w:bCs w:val="0"/>
                <w:color w:val="auto"/>
                <w:sz w:val="24"/>
                <w:highlight w:val="none"/>
                <w:lang w:val="en-US" w:eastAsia="zh-CN"/>
              </w:rPr>
            </w:pPr>
            <w:r>
              <w:rPr>
                <w:rFonts w:hint="eastAsia" w:hAnsi="宋体"/>
                <w:color w:val="auto"/>
                <w:sz w:val="24"/>
                <w:highlight w:val="none"/>
              </w:rPr>
              <w:t>□详见采购清单</w:t>
            </w:r>
          </w:p>
        </w:tc>
      </w:tr>
      <w:tr w14:paraId="3CA5D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06CCC6F7">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r>
              <w:rPr>
                <w:rFonts w:hint="eastAsia" w:ascii="宋体" w:hAnsi="宋体"/>
                <w:color w:val="auto"/>
                <w:sz w:val="24"/>
                <w:highlight w:val="none"/>
                <w:lang w:val="en-US" w:eastAsia="zh-CN"/>
              </w:rPr>
              <w:t>1</w:t>
            </w:r>
          </w:p>
        </w:tc>
        <w:tc>
          <w:tcPr>
            <w:tcW w:w="8325" w:type="dxa"/>
            <w:tcBorders>
              <w:left w:val="single" w:color="auto" w:sz="4" w:space="0"/>
            </w:tcBorders>
            <w:noWrap w:val="0"/>
            <w:vAlign w:val="center"/>
          </w:tcPr>
          <w:p w14:paraId="7D3CCB92">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color w:val="auto"/>
                <w:sz w:val="24"/>
                <w:highlight w:val="none"/>
              </w:rPr>
              <w:t>1</w:t>
            </w:r>
            <w:r>
              <w:rPr>
                <w:rFonts w:hint="eastAsia"/>
                <w:color w:val="auto"/>
                <w:sz w:val="24"/>
                <w:highlight w:val="none"/>
              </w:rPr>
              <w:t>）</w:t>
            </w:r>
            <w:r>
              <w:rPr>
                <w:rFonts w:hint="eastAsia"/>
                <w:color w:val="auto"/>
                <w:sz w:val="24"/>
                <w:highlight w:val="none"/>
                <w:lang w:eastAsia="zh-CN"/>
              </w:rPr>
              <w:t>谈判</w:t>
            </w:r>
            <w:r>
              <w:rPr>
                <w:rFonts w:hint="eastAsia"/>
                <w:color w:val="auto"/>
                <w:sz w:val="24"/>
                <w:highlight w:val="none"/>
              </w:rPr>
              <w:t>文件各章节中，有加粗的文字，表示是重要的内容，应引起供应商的注意。</w:t>
            </w:r>
          </w:p>
          <w:p w14:paraId="7B55EB65">
            <w:pPr>
              <w:keepNext w:val="0"/>
              <w:keepLines w:val="0"/>
              <w:pageBreakBefore w:val="0"/>
              <w:kinsoku/>
              <w:overflowPunct/>
              <w:topLinePunct w:val="0"/>
              <w:bidi w:val="0"/>
              <w:spacing w:line="240" w:lineRule="auto"/>
              <w:ind w:left="0" w:firstLine="0" w:firstLineChars="0"/>
              <w:rPr>
                <w:rFonts w:hint="eastAsia"/>
                <w:color w:val="auto"/>
                <w:sz w:val="24"/>
                <w:highlight w:val="none"/>
              </w:rPr>
            </w:pPr>
            <w:r>
              <w:rPr>
                <w:color w:val="auto"/>
                <w:sz w:val="24"/>
                <w:highlight w:val="none"/>
              </w:rPr>
              <w:t>2</w:t>
            </w:r>
            <w:r>
              <w:rPr>
                <w:rFonts w:hint="eastAsia"/>
                <w:color w:val="auto"/>
                <w:sz w:val="24"/>
                <w:highlight w:val="none"/>
              </w:rPr>
              <w:t>）采购人认为具备相关条件的，将在签订合同时对中小企业在资金支付期限、预付款比例等方面提供明确的优惠措施。</w:t>
            </w:r>
          </w:p>
          <w:p w14:paraId="4A6B8CFD">
            <w:pPr>
              <w:keepNext w:val="0"/>
              <w:keepLines w:val="0"/>
              <w:pageBreakBefore w:val="0"/>
              <w:kinsoku/>
              <w:overflowPunct/>
              <w:topLinePunct w:val="0"/>
              <w:bidi w:val="0"/>
              <w:spacing w:line="240" w:lineRule="auto"/>
              <w:ind w:left="0" w:leftChars="0" w:firstLine="0" w:firstLineChars="0"/>
              <w:rPr>
                <w:rFonts w:hint="eastAsia" w:ascii="宋体" w:hAnsi="宋体"/>
                <w:bCs/>
                <w:color w:val="auto"/>
                <w:kern w:val="2"/>
                <w:sz w:val="24"/>
                <w:szCs w:val="24"/>
                <w:highlight w:val="none"/>
                <w:lang w:val="en-US" w:eastAsia="zh-CN" w:bidi="ar-SA"/>
              </w:rPr>
            </w:pPr>
            <w:r>
              <w:rPr>
                <w:rFonts w:hint="eastAsia"/>
                <w:color w:val="auto"/>
                <w:sz w:val="24"/>
                <w:highlight w:val="none"/>
                <w:lang w:val="en-US" w:eastAsia="zh-CN"/>
              </w:rPr>
              <w:t>3</w:t>
            </w:r>
            <w:r>
              <w:rPr>
                <w:rFonts w:hint="eastAsia"/>
                <w:color w:val="auto"/>
                <w:sz w:val="24"/>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14:paraId="45D9E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46" w:type="dxa"/>
            <w:tcBorders>
              <w:right w:val="single" w:color="auto" w:sz="4" w:space="0"/>
            </w:tcBorders>
            <w:noWrap w:val="0"/>
            <w:vAlign w:val="center"/>
          </w:tcPr>
          <w:p w14:paraId="38642068">
            <w:pPr>
              <w:keepNext w:val="0"/>
              <w:keepLines w:val="0"/>
              <w:pageBreakBefore w:val="0"/>
              <w:kinsoku/>
              <w:overflowPunct/>
              <w:topLinePunct w:val="0"/>
              <w:bidi w:val="0"/>
              <w:spacing w:line="240" w:lineRule="auto"/>
              <w:ind w:left="0" w:firstLine="0" w:firstLine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r>
              <w:rPr>
                <w:rFonts w:hint="eastAsia" w:ascii="宋体" w:hAnsi="宋体"/>
                <w:color w:val="auto"/>
                <w:sz w:val="24"/>
                <w:highlight w:val="none"/>
                <w:lang w:val="en-US" w:eastAsia="zh-CN"/>
              </w:rPr>
              <w:t>2</w:t>
            </w:r>
          </w:p>
        </w:tc>
        <w:tc>
          <w:tcPr>
            <w:tcW w:w="8325" w:type="dxa"/>
            <w:tcBorders>
              <w:left w:val="single" w:color="auto" w:sz="4" w:space="0"/>
            </w:tcBorders>
            <w:noWrap w:val="0"/>
            <w:vAlign w:val="center"/>
          </w:tcPr>
          <w:p w14:paraId="7816C0D4">
            <w:pPr>
              <w:keepNext w:val="0"/>
              <w:keepLines w:val="0"/>
              <w:pageBreakBefore w:val="0"/>
              <w:kinsoku/>
              <w:overflowPunct/>
              <w:topLinePunct w:val="0"/>
              <w:bidi w:val="0"/>
              <w:spacing w:line="240" w:lineRule="auto"/>
              <w:ind w:left="0" w:leftChars="0" w:firstLine="0" w:firstLineChars="0"/>
              <w:rPr>
                <w:rFonts w:hint="eastAsia" w:ascii="宋体" w:hAnsi="宋体"/>
                <w:bCs/>
                <w:color w:val="auto"/>
                <w:kern w:val="2"/>
                <w:sz w:val="24"/>
                <w:szCs w:val="24"/>
                <w:highlight w:val="none"/>
                <w:lang w:val="en-US" w:eastAsia="zh-CN" w:bidi="ar-SA"/>
              </w:rPr>
            </w:pPr>
            <w:r>
              <w:rPr>
                <w:rFonts w:hint="eastAsia" w:ascii="宋体" w:hAnsi="宋体"/>
                <w:bCs/>
                <w:color w:val="auto"/>
                <w:sz w:val="24"/>
                <w:highlight w:val="none"/>
              </w:rPr>
              <w:t>供应商应派熟知本项目的技术人员出席</w:t>
            </w:r>
            <w:r>
              <w:rPr>
                <w:rFonts w:hint="eastAsia" w:ascii="宋体" w:hAnsi="宋体"/>
                <w:bCs/>
                <w:color w:val="auto"/>
                <w:sz w:val="24"/>
                <w:highlight w:val="none"/>
                <w:lang w:eastAsia="zh-CN"/>
              </w:rPr>
              <w:t>谈判</w:t>
            </w:r>
            <w:r>
              <w:rPr>
                <w:rFonts w:hint="eastAsia" w:ascii="宋体" w:hAnsi="宋体"/>
                <w:bCs/>
                <w:color w:val="auto"/>
                <w:sz w:val="24"/>
                <w:highlight w:val="none"/>
              </w:rPr>
              <w:t>会议，在评审过程中</w:t>
            </w:r>
            <w:r>
              <w:rPr>
                <w:rFonts w:hint="eastAsia" w:ascii="宋体" w:hAnsi="宋体"/>
                <w:bCs/>
                <w:color w:val="auto"/>
                <w:sz w:val="24"/>
                <w:highlight w:val="none"/>
                <w:lang w:eastAsia="zh-CN"/>
              </w:rPr>
              <w:t>谈判</w:t>
            </w:r>
            <w:r>
              <w:rPr>
                <w:rFonts w:hint="eastAsia" w:ascii="宋体" w:hAnsi="宋体"/>
                <w:bCs/>
                <w:color w:val="auto"/>
                <w:sz w:val="24"/>
                <w:highlight w:val="none"/>
              </w:rPr>
              <w:t>小组可能会要求供应商代表进行澄清、说明或补正。</w:t>
            </w:r>
          </w:p>
        </w:tc>
      </w:tr>
    </w:tbl>
    <w:p w14:paraId="5899F596">
      <w:pPr>
        <w:spacing w:line="360" w:lineRule="auto"/>
        <w:rPr>
          <w:rFonts w:ascii="宋体" w:hAnsi="宋体"/>
          <w:color w:val="auto"/>
          <w:sz w:val="24"/>
          <w:highlight w:val="none"/>
        </w:rPr>
      </w:pPr>
    </w:p>
    <w:p w14:paraId="765F4CBE">
      <w:pPr>
        <w:spacing w:line="360" w:lineRule="auto"/>
        <w:rPr>
          <w:rFonts w:ascii="宋体" w:hAnsi="宋体"/>
          <w:color w:val="auto"/>
          <w:sz w:val="24"/>
          <w:highlight w:val="none"/>
        </w:rPr>
      </w:pPr>
      <w:r>
        <w:rPr>
          <w:rFonts w:ascii="宋体" w:hAnsi="宋体"/>
          <w:color w:val="auto"/>
          <w:sz w:val="24"/>
          <w:highlight w:val="none"/>
        </w:rPr>
        <w:t>附表</w:t>
      </w:r>
      <w:r>
        <w:rPr>
          <w:rFonts w:hint="eastAsia" w:ascii="宋体" w:hAnsi="宋体"/>
          <w:color w:val="auto"/>
          <w:sz w:val="24"/>
          <w:highlight w:val="none"/>
        </w:rPr>
        <w:t>1：</w:t>
      </w:r>
    </w:p>
    <w:p w14:paraId="66A692DC">
      <w:pPr>
        <w:spacing w:line="360" w:lineRule="auto"/>
        <w:jc w:val="center"/>
        <w:rPr>
          <w:rFonts w:ascii="宋体" w:hAnsi="宋体"/>
          <w:color w:val="auto"/>
          <w:sz w:val="24"/>
          <w:highlight w:val="none"/>
        </w:rPr>
      </w:pPr>
      <w:r>
        <w:rPr>
          <w:rFonts w:hint="eastAsia" w:ascii="宋体" w:hAnsi="宋体"/>
          <w:color w:val="auto"/>
          <w:sz w:val="24"/>
          <w:highlight w:val="none"/>
        </w:rPr>
        <w:t>采购代理服务费收费标准</w:t>
      </w:r>
    </w:p>
    <w:tbl>
      <w:tblPr>
        <w:tblStyle w:val="75"/>
        <w:tblpPr w:leftFromText="180" w:rightFromText="180" w:vertAnchor="text" w:horzAnchor="page" w:tblpX="1648" w:tblpY="277"/>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1837"/>
        <w:gridCol w:w="1987"/>
        <w:gridCol w:w="2028"/>
      </w:tblGrid>
      <w:tr w14:paraId="047F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847" w:type="pct"/>
            <w:tcBorders>
              <w:tl2br w:val="single" w:color="auto" w:sz="2" w:space="0"/>
            </w:tcBorders>
            <w:noWrap w:val="0"/>
            <w:vAlign w:val="center"/>
          </w:tcPr>
          <w:p w14:paraId="2C7D0CA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代理服务类型</w:t>
            </w:r>
          </w:p>
          <w:p w14:paraId="7A666A04">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w:t>
            </w:r>
          </w:p>
          <w:p w14:paraId="441D735A">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金额（万元）</w:t>
            </w:r>
          </w:p>
        </w:tc>
        <w:tc>
          <w:tcPr>
            <w:tcW w:w="989" w:type="pct"/>
            <w:noWrap w:val="0"/>
            <w:vAlign w:val="center"/>
          </w:tcPr>
          <w:p w14:paraId="7A6962F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货物采购</w:t>
            </w:r>
          </w:p>
        </w:tc>
        <w:tc>
          <w:tcPr>
            <w:tcW w:w="1070" w:type="pct"/>
            <w:noWrap w:val="0"/>
            <w:vAlign w:val="center"/>
          </w:tcPr>
          <w:p w14:paraId="3422795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服务采购</w:t>
            </w:r>
          </w:p>
        </w:tc>
        <w:tc>
          <w:tcPr>
            <w:tcW w:w="1092" w:type="pct"/>
            <w:noWrap w:val="0"/>
            <w:vAlign w:val="center"/>
          </w:tcPr>
          <w:p w14:paraId="15EB7D23">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工程采购</w:t>
            </w:r>
          </w:p>
        </w:tc>
      </w:tr>
      <w:tr w14:paraId="726D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04EE21D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100(含)</w:t>
            </w:r>
            <w:r>
              <w:rPr>
                <w:rFonts w:hint="eastAsia" w:ascii="宋体" w:hAnsi="宋体" w:eastAsia="宋体" w:cs="宋体"/>
                <w:color w:val="auto"/>
                <w:sz w:val="24"/>
                <w:highlight w:val="none"/>
              </w:rPr>
              <w:t>以下</w:t>
            </w:r>
          </w:p>
        </w:tc>
        <w:tc>
          <w:tcPr>
            <w:tcW w:w="989" w:type="pct"/>
            <w:noWrap w:val="0"/>
            <w:vAlign w:val="center"/>
          </w:tcPr>
          <w:p w14:paraId="7FA22144">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w:t>
            </w:r>
          </w:p>
        </w:tc>
        <w:tc>
          <w:tcPr>
            <w:tcW w:w="1070" w:type="pct"/>
            <w:noWrap w:val="0"/>
            <w:vAlign w:val="center"/>
          </w:tcPr>
          <w:p w14:paraId="634750CE">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w:t>
            </w:r>
          </w:p>
        </w:tc>
        <w:tc>
          <w:tcPr>
            <w:tcW w:w="1092" w:type="pct"/>
            <w:noWrap w:val="0"/>
            <w:vAlign w:val="center"/>
          </w:tcPr>
          <w:p w14:paraId="3E36BEF7">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w:t>
            </w:r>
          </w:p>
        </w:tc>
      </w:tr>
      <w:tr w14:paraId="48D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79951CFF">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r>
              <w:rPr>
                <w:rFonts w:hint="eastAsia" w:ascii="宋体" w:hAnsi="宋体" w:eastAsia="宋体" w:cs="宋体"/>
                <w:color w:val="auto"/>
                <w:sz w:val="24"/>
                <w:highlight w:val="none"/>
                <w:lang w:val="en-US" w:eastAsia="zh-CN"/>
              </w:rPr>
              <w:t>(含)</w:t>
            </w:r>
          </w:p>
        </w:tc>
        <w:tc>
          <w:tcPr>
            <w:tcW w:w="989" w:type="pct"/>
            <w:noWrap w:val="0"/>
            <w:vAlign w:val="center"/>
          </w:tcPr>
          <w:p w14:paraId="41003ADB">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0.77</w:t>
            </w:r>
            <w:r>
              <w:rPr>
                <w:rFonts w:hint="eastAsia" w:ascii="宋体" w:hAnsi="宋体" w:eastAsia="宋体" w:cs="宋体"/>
                <w:color w:val="auto"/>
                <w:sz w:val="24"/>
                <w:highlight w:val="none"/>
              </w:rPr>
              <w:t>％</w:t>
            </w:r>
          </w:p>
        </w:tc>
        <w:tc>
          <w:tcPr>
            <w:tcW w:w="1070" w:type="pct"/>
            <w:noWrap w:val="0"/>
            <w:vAlign w:val="center"/>
          </w:tcPr>
          <w:p w14:paraId="2A54C19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0.56</w:t>
            </w:r>
            <w:r>
              <w:rPr>
                <w:rFonts w:hint="eastAsia" w:ascii="宋体" w:hAnsi="宋体" w:eastAsia="宋体" w:cs="宋体"/>
                <w:color w:val="auto"/>
                <w:sz w:val="24"/>
                <w:highlight w:val="none"/>
              </w:rPr>
              <w:t>％</w:t>
            </w:r>
          </w:p>
        </w:tc>
        <w:tc>
          <w:tcPr>
            <w:tcW w:w="1092" w:type="pct"/>
            <w:noWrap w:val="0"/>
            <w:vAlign w:val="center"/>
          </w:tcPr>
          <w:p w14:paraId="2CA09E4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w:t>
            </w:r>
          </w:p>
        </w:tc>
      </w:tr>
      <w:tr w14:paraId="49AC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AA5FFCB">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r>
              <w:rPr>
                <w:rFonts w:hint="eastAsia" w:ascii="宋体" w:hAnsi="宋体" w:eastAsia="宋体" w:cs="宋体"/>
                <w:color w:val="auto"/>
                <w:sz w:val="24"/>
                <w:highlight w:val="none"/>
                <w:lang w:val="en-US" w:eastAsia="zh-CN"/>
              </w:rPr>
              <w:t>(含)</w:t>
            </w:r>
          </w:p>
        </w:tc>
        <w:tc>
          <w:tcPr>
            <w:tcW w:w="989" w:type="pct"/>
            <w:noWrap w:val="0"/>
            <w:vAlign w:val="center"/>
          </w:tcPr>
          <w:p w14:paraId="309D52D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w:t>
            </w:r>
          </w:p>
        </w:tc>
        <w:tc>
          <w:tcPr>
            <w:tcW w:w="1070" w:type="pct"/>
            <w:noWrap w:val="0"/>
            <w:vAlign w:val="center"/>
          </w:tcPr>
          <w:p w14:paraId="2A209FB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w:t>
            </w:r>
          </w:p>
        </w:tc>
        <w:tc>
          <w:tcPr>
            <w:tcW w:w="1092" w:type="pct"/>
            <w:noWrap w:val="0"/>
            <w:vAlign w:val="center"/>
          </w:tcPr>
          <w:p w14:paraId="4080E31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w:t>
            </w:r>
          </w:p>
        </w:tc>
      </w:tr>
      <w:tr w14:paraId="21DB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67EBBC1">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r>
              <w:rPr>
                <w:rFonts w:hint="eastAsia" w:ascii="宋体" w:hAnsi="宋体" w:eastAsia="宋体" w:cs="宋体"/>
                <w:color w:val="auto"/>
                <w:sz w:val="24"/>
                <w:highlight w:val="none"/>
                <w:lang w:val="en-US" w:eastAsia="zh-CN"/>
              </w:rPr>
              <w:t>(含)</w:t>
            </w:r>
          </w:p>
        </w:tc>
        <w:tc>
          <w:tcPr>
            <w:tcW w:w="989" w:type="pct"/>
            <w:noWrap w:val="0"/>
            <w:vAlign w:val="center"/>
          </w:tcPr>
          <w:p w14:paraId="779CEB9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1070" w:type="pct"/>
            <w:noWrap w:val="0"/>
            <w:vAlign w:val="center"/>
          </w:tcPr>
          <w:p w14:paraId="2966A68D">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w:t>
            </w:r>
          </w:p>
        </w:tc>
        <w:tc>
          <w:tcPr>
            <w:tcW w:w="1092" w:type="pct"/>
            <w:noWrap w:val="0"/>
            <w:vAlign w:val="center"/>
          </w:tcPr>
          <w:p w14:paraId="02C0998E">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w:t>
            </w:r>
          </w:p>
        </w:tc>
      </w:tr>
      <w:tr w14:paraId="1559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7F3EAB00">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r>
              <w:rPr>
                <w:rFonts w:hint="eastAsia" w:ascii="宋体" w:hAnsi="宋体" w:eastAsia="宋体" w:cs="宋体"/>
                <w:color w:val="auto"/>
                <w:sz w:val="24"/>
                <w:highlight w:val="none"/>
                <w:lang w:val="en-US" w:eastAsia="zh-CN"/>
              </w:rPr>
              <w:t>(含)</w:t>
            </w:r>
          </w:p>
        </w:tc>
        <w:tc>
          <w:tcPr>
            <w:tcW w:w="989" w:type="pct"/>
            <w:noWrap w:val="0"/>
            <w:vAlign w:val="center"/>
          </w:tcPr>
          <w:p w14:paraId="4257DBC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p>
        </w:tc>
        <w:tc>
          <w:tcPr>
            <w:tcW w:w="1070" w:type="pct"/>
            <w:noWrap w:val="0"/>
            <w:vAlign w:val="center"/>
          </w:tcPr>
          <w:p w14:paraId="121A5F62">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w:t>
            </w:r>
          </w:p>
        </w:tc>
        <w:tc>
          <w:tcPr>
            <w:tcW w:w="1092" w:type="pct"/>
            <w:noWrap w:val="0"/>
            <w:vAlign w:val="center"/>
          </w:tcPr>
          <w:p w14:paraId="70D5DF5C">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p>
        </w:tc>
      </w:tr>
      <w:tr w14:paraId="096C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24C9D397">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r>
              <w:rPr>
                <w:rFonts w:hint="eastAsia" w:ascii="宋体" w:hAnsi="宋体" w:eastAsia="宋体" w:cs="宋体"/>
                <w:color w:val="auto"/>
                <w:sz w:val="24"/>
                <w:highlight w:val="none"/>
                <w:lang w:val="en-US" w:eastAsia="zh-CN"/>
              </w:rPr>
              <w:t>(含)</w:t>
            </w:r>
          </w:p>
        </w:tc>
        <w:tc>
          <w:tcPr>
            <w:tcW w:w="989" w:type="pct"/>
            <w:noWrap w:val="0"/>
            <w:vAlign w:val="center"/>
          </w:tcPr>
          <w:p w14:paraId="0DF83BC8">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p>
        </w:tc>
        <w:tc>
          <w:tcPr>
            <w:tcW w:w="1070" w:type="pct"/>
            <w:noWrap w:val="0"/>
            <w:vAlign w:val="center"/>
          </w:tcPr>
          <w:p w14:paraId="4073C35C">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p>
        </w:tc>
        <w:tc>
          <w:tcPr>
            <w:tcW w:w="1092" w:type="pct"/>
            <w:noWrap w:val="0"/>
            <w:vAlign w:val="center"/>
          </w:tcPr>
          <w:p w14:paraId="6EE5459A">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5％</w:t>
            </w:r>
          </w:p>
        </w:tc>
      </w:tr>
      <w:tr w14:paraId="4BEE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47" w:type="pct"/>
            <w:noWrap w:val="0"/>
            <w:vAlign w:val="center"/>
          </w:tcPr>
          <w:p w14:paraId="5676E1A9">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989" w:type="pct"/>
            <w:noWrap w:val="0"/>
            <w:vAlign w:val="center"/>
          </w:tcPr>
          <w:p w14:paraId="4AFAD991">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c>
          <w:tcPr>
            <w:tcW w:w="1070" w:type="pct"/>
            <w:noWrap w:val="0"/>
            <w:vAlign w:val="center"/>
          </w:tcPr>
          <w:p w14:paraId="6D4110B6">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c>
          <w:tcPr>
            <w:tcW w:w="1092" w:type="pct"/>
            <w:noWrap w:val="0"/>
            <w:vAlign w:val="center"/>
          </w:tcPr>
          <w:p w14:paraId="6B648CE5">
            <w:pPr>
              <w:pageBreakBefore w:val="0"/>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w:t>
            </w:r>
          </w:p>
        </w:tc>
      </w:tr>
    </w:tbl>
    <w:p w14:paraId="0337D6A3">
      <w:pPr>
        <w:pStyle w:val="11"/>
        <w:tabs>
          <w:tab w:val="left" w:pos="1146"/>
        </w:tabs>
        <w:spacing w:line="560" w:lineRule="exact"/>
        <w:ind w:left="0" w:leftChars="0" w:firstLine="0" w:firstLineChars="0"/>
        <w:jc w:val="left"/>
        <w:rPr>
          <w:rFonts w:ascii="宋体" w:hAnsi="宋体"/>
          <w:snapToGrid w:val="0"/>
          <w:color w:val="auto"/>
          <w:kern w:val="0"/>
          <w:sz w:val="24"/>
          <w:highlight w:val="none"/>
        </w:rPr>
      </w:pPr>
    </w:p>
    <w:p w14:paraId="0FFAAFEC">
      <w:pPr>
        <w:pStyle w:val="11"/>
        <w:tabs>
          <w:tab w:val="left" w:pos="1146"/>
        </w:tabs>
        <w:spacing w:line="560" w:lineRule="exact"/>
        <w:ind w:left="0" w:leftChars="0" w:firstLine="0" w:firstLineChars="0"/>
        <w:jc w:val="left"/>
        <w:rPr>
          <w:rFonts w:hint="eastAsia" w:ascii="宋体" w:hAnsi="宋体"/>
          <w:snapToGrid w:val="0"/>
          <w:color w:val="auto"/>
          <w:kern w:val="0"/>
          <w:sz w:val="24"/>
          <w:highlight w:val="none"/>
        </w:rPr>
        <w:sectPr>
          <w:footerReference r:id="rId6" w:type="default"/>
          <w:pgSz w:w="11907" w:h="16840"/>
          <w:pgMar w:top="1418" w:right="1418" w:bottom="1418" w:left="1418" w:header="851" w:footer="823" w:gutter="0"/>
          <w:pgNumType w:fmt="decimal" w:start="1"/>
          <w:cols w:space="720" w:num="1"/>
          <w:docGrid w:linePitch="290" w:charSpace="-3931"/>
        </w:sectPr>
      </w:pPr>
    </w:p>
    <w:p w14:paraId="138AF318">
      <w:pPr>
        <w:pStyle w:val="11"/>
        <w:tabs>
          <w:tab w:val="left" w:pos="1146"/>
        </w:tabs>
        <w:spacing w:line="560" w:lineRule="exact"/>
        <w:ind w:left="0" w:leftChars="0" w:firstLine="0" w:firstLineChars="0"/>
        <w:jc w:val="lef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附表2</w:t>
      </w:r>
    </w:p>
    <w:p w14:paraId="5CA1566C">
      <w:pPr>
        <w:pStyle w:val="69"/>
        <w:spacing w:line="432" w:lineRule="auto"/>
        <w:jc w:val="center"/>
        <w:rPr>
          <w:rFonts w:hint="eastAsia" w:eastAsia="宋体"/>
          <w:color w:val="auto"/>
          <w:highlight w:val="none"/>
          <w:lang w:eastAsia="zh-CN"/>
        </w:rPr>
      </w:pPr>
      <w:r>
        <w:rPr>
          <w:rStyle w:val="121"/>
          <w:rFonts w:hint="eastAsia"/>
          <w:color w:val="auto"/>
          <w:sz w:val="36"/>
          <w:szCs w:val="36"/>
          <w:highlight w:val="none"/>
        </w:rPr>
        <w:t>关于印发中小企业划型标准规定的通知</w:t>
      </w:r>
    </w:p>
    <w:p w14:paraId="4DED750C">
      <w:pPr>
        <w:pStyle w:val="69"/>
        <w:spacing w:line="432" w:lineRule="auto"/>
        <w:jc w:val="center"/>
        <w:rPr>
          <w:color w:val="auto"/>
          <w:highlight w:val="none"/>
        </w:rPr>
      </w:pPr>
      <w:r>
        <w:rPr>
          <w:rFonts w:ascii="楷体_GB2312" w:eastAsia="楷体_GB2312" w:cs="楷体_GB2312"/>
          <w:color w:val="auto"/>
          <w:highlight w:val="none"/>
        </w:rPr>
        <w:t>工信部联企业〔2011〕300号</w:t>
      </w:r>
    </w:p>
    <w:p w14:paraId="6F400BBE">
      <w:pPr>
        <w:pStyle w:val="69"/>
        <w:spacing w:line="432" w:lineRule="auto"/>
        <w:rPr>
          <w:rFonts w:hint="eastAsia" w:eastAsia="宋体"/>
          <w:color w:val="auto"/>
          <w:highlight w:val="none"/>
          <w:lang w:eastAsia="zh-CN"/>
        </w:rPr>
      </w:pPr>
      <w:r>
        <w:rPr>
          <w:rFonts w:hint="eastAsia"/>
          <w:color w:val="auto"/>
          <w:highlight w:val="none"/>
        </w:rPr>
        <w:t>各省、自治区、直辖市人民政府，国务院各部委、各直属机构及有关单位：</w:t>
      </w:r>
    </w:p>
    <w:p w14:paraId="0200989B">
      <w:pPr>
        <w:pStyle w:val="69"/>
        <w:spacing w:line="432" w:lineRule="auto"/>
        <w:rPr>
          <w:rFonts w:hint="eastAsia" w:eastAsia="宋体"/>
          <w:color w:val="auto"/>
          <w:highlight w:val="none"/>
          <w:lang w:eastAsia="zh-CN"/>
        </w:rPr>
      </w:pPr>
      <w:r>
        <w:rPr>
          <w:rFonts w:hint="eastAsia"/>
          <w:color w:val="auto"/>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6D69786">
      <w:pPr>
        <w:pStyle w:val="69"/>
        <w:spacing w:line="432" w:lineRule="auto"/>
        <w:rPr>
          <w:rFonts w:hint="eastAsia" w:eastAsia="宋体"/>
          <w:color w:val="auto"/>
          <w:highlight w:val="none"/>
          <w:lang w:eastAsia="zh-CN"/>
        </w:rPr>
      </w:pPr>
      <w:r>
        <w:rPr>
          <w:rFonts w:hint="eastAsia"/>
          <w:color w:val="auto"/>
          <w:highlight w:val="none"/>
        </w:rPr>
        <w:t>　　　　　　　　　　　　　　　　　　　　　　 工业和信息化部　国家统计局</w:t>
      </w:r>
    </w:p>
    <w:p w14:paraId="554AC84A">
      <w:pPr>
        <w:pStyle w:val="69"/>
        <w:spacing w:line="432" w:lineRule="auto"/>
        <w:rPr>
          <w:rFonts w:hint="eastAsia" w:eastAsia="宋体"/>
          <w:color w:val="auto"/>
          <w:highlight w:val="none"/>
          <w:lang w:eastAsia="zh-CN"/>
        </w:rPr>
      </w:pPr>
      <w:r>
        <w:rPr>
          <w:rFonts w:hint="eastAsia"/>
          <w:color w:val="auto"/>
          <w:highlight w:val="none"/>
        </w:rPr>
        <w:t>　　　　　　　　　　　　　　　　　　　　　　国家发展和改革委员会　财政部</w:t>
      </w:r>
    </w:p>
    <w:p w14:paraId="314ABA34">
      <w:pPr>
        <w:pStyle w:val="69"/>
        <w:spacing w:line="432" w:lineRule="auto"/>
        <w:rPr>
          <w:color w:val="auto"/>
          <w:highlight w:val="none"/>
        </w:rPr>
      </w:pPr>
      <w:r>
        <w:rPr>
          <w:rFonts w:hint="eastAsia"/>
          <w:color w:val="auto"/>
          <w:highlight w:val="none"/>
        </w:rPr>
        <w:t>　　　　　　　　　　　　　　　　　　　　　　　　二○一一年六月十八日</w:t>
      </w:r>
    </w:p>
    <w:p w14:paraId="052BE7B8">
      <w:pPr>
        <w:pStyle w:val="69"/>
        <w:spacing w:line="432" w:lineRule="auto"/>
        <w:rPr>
          <w:color w:val="auto"/>
          <w:highlight w:val="none"/>
        </w:rPr>
      </w:pPr>
      <w:r>
        <w:rPr>
          <w:rFonts w:hint="eastAsia"/>
          <w:color w:val="auto"/>
          <w:highlight w:val="none"/>
        </w:rPr>
        <w:t> </w:t>
      </w:r>
    </w:p>
    <w:p w14:paraId="5219C8AE">
      <w:pPr>
        <w:pStyle w:val="69"/>
        <w:spacing w:line="432" w:lineRule="auto"/>
        <w:jc w:val="center"/>
        <w:rPr>
          <w:color w:val="auto"/>
          <w:highlight w:val="none"/>
        </w:rPr>
      </w:pPr>
      <w:r>
        <w:rPr>
          <w:rStyle w:val="121"/>
          <w:rFonts w:hint="eastAsia"/>
          <w:color w:val="auto"/>
          <w:sz w:val="36"/>
          <w:szCs w:val="36"/>
          <w:highlight w:val="none"/>
        </w:rPr>
        <w:t>中小企业划型标准规定</w:t>
      </w:r>
    </w:p>
    <w:p w14:paraId="33D9C7FA">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一、根据《中华人民共和国中小企业促进法》和《国务院关于进一步促进中小企业发展的若干意见》(国发〔2009〕36号)，制定本规定。</w:t>
      </w:r>
    </w:p>
    <w:p w14:paraId="426B9742">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二、中小企业划分为中型、小型、微型三种类型，具体标准根据企业从业人员、营业收入、资产总额等指标，结合行业特点制定。</w:t>
      </w:r>
    </w:p>
    <w:p w14:paraId="27E40A2A">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8DF515">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四、各行业划型标准为：</w:t>
      </w:r>
    </w:p>
    <w:p w14:paraId="37856B7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05C62B5F">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251AC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49178D">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64DD7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9A82E6">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952276">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5C0A0D">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C91A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54410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90CE24">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49F8DA">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A43503">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4BCEBCC">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01738F">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A1B420">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153F3646">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五、企业类型的划分以统计部门的统计数据为依据。</w:t>
      </w:r>
    </w:p>
    <w:p w14:paraId="535C1832">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六、本规定适用于在中华人民共和国境内依法设立的各类所有制和各种组织形式的企业。个体工商户和本规定以外的行业，参照本规定进行划型。</w:t>
      </w:r>
    </w:p>
    <w:p w14:paraId="27A6277B">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1AF16E">
      <w:pPr>
        <w:pStyle w:val="11"/>
        <w:tabs>
          <w:tab w:val="left" w:pos="1146"/>
        </w:tabs>
        <w:spacing w:line="360" w:lineRule="auto"/>
        <w:ind w:left="571" w:leftChars="272" w:firstLine="480" w:firstLineChars="0"/>
        <w:jc w:val="left"/>
        <w:rPr>
          <w:rFonts w:hint="eastAsia" w:eastAsia="宋体"/>
          <w:color w:val="auto"/>
          <w:sz w:val="24"/>
          <w:highlight w:val="none"/>
          <w:lang w:eastAsia="zh-CN"/>
        </w:rPr>
      </w:pPr>
      <w:r>
        <w:rPr>
          <w:rFonts w:hint="eastAsia"/>
          <w:color w:val="auto"/>
          <w:sz w:val="24"/>
          <w:highlight w:val="none"/>
        </w:rPr>
        <w:t>八、本规定由工业和信息化部、国家统计局会同有关部门根据《国民经济行业分类》修订情况和企业发展变化情况适时修订。</w:t>
      </w:r>
    </w:p>
    <w:p w14:paraId="0A1D98D8">
      <w:pPr>
        <w:pStyle w:val="11"/>
        <w:tabs>
          <w:tab w:val="left" w:pos="1146"/>
        </w:tabs>
        <w:spacing w:line="360" w:lineRule="auto"/>
        <w:ind w:left="571" w:leftChars="272" w:firstLine="480" w:firstLineChars="0"/>
        <w:jc w:val="left"/>
        <w:rPr>
          <w:color w:val="auto"/>
          <w:sz w:val="24"/>
          <w:highlight w:val="none"/>
        </w:rPr>
      </w:pPr>
      <w:r>
        <w:rPr>
          <w:rFonts w:hint="eastAsia"/>
          <w:color w:val="auto"/>
          <w:sz w:val="24"/>
          <w:highlight w:val="none"/>
        </w:rPr>
        <w:t>九、本规定由工业和信息化部、国家统计局会同有关部门负责解释。</w:t>
      </w:r>
    </w:p>
    <w:p w14:paraId="2801612B">
      <w:pPr>
        <w:pStyle w:val="11"/>
        <w:tabs>
          <w:tab w:val="left" w:pos="1146"/>
        </w:tabs>
        <w:spacing w:line="360" w:lineRule="auto"/>
        <w:ind w:left="571" w:leftChars="272" w:firstLine="480" w:firstLineChars="0"/>
        <w:jc w:val="left"/>
        <w:rPr>
          <w:color w:val="auto"/>
          <w:sz w:val="24"/>
          <w:highlight w:val="none"/>
        </w:rPr>
      </w:pPr>
    </w:p>
    <w:p w14:paraId="08D14F9D">
      <w:pPr>
        <w:pStyle w:val="11"/>
        <w:tabs>
          <w:tab w:val="left" w:pos="1146"/>
        </w:tabs>
        <w:spacing w:line="360" w:lineRule="auto"/>
        <w:ind w:left="571" w:leftChars="272" w:firstLine="480" w:firstLineChars="0"/>
        <w:jc w:val="center"/>
        <w:rPr>
          <w:rFonts w:ascii="宋体" w:hAnsi="宋体"/>
          <w:b/>
          <w:color w:val="auto"/>
          <w:sz w:val="30"/>
          <w:szCs w:val="30"/>
          <w:highlight w:val="none"/>
        </w:rPr>
      </w:pPr>
      <w:r>
        <w:rPr>
          <w:rFonts w:ascii="宋体" w:hAnsi="宋体"/>
          <w:b/>
          <w:color w:val="auto"/>
          <w:sz w:val="28"/>
          <w:highlight w:val="none"/>
        </w:rPr>
        <w:br w:type="page"/>
      </w:r>
      <w:bookmarkEnd w:id="4"/>
      <w:r>
        <w:rPr>
          <w:rFonts w:hint="eastAsia" w:ascii="宋体" w:hAnsi="宋体"/>
          <w:b/>
          <w:color w:val="auto"/>
          <w:sz w:val="30"/>
          <w:szCs w:val="30"/>
          <w:highlight w:val="none"/>
        </w:rPr>
        <w:t>供应商须知正文</w:t>
      </w:r>
    </w:p>
    <w:p w14:paraId="38C55AFB">
      <w:pPr>
        <w:pStyle w:val="3"/>
        <w:spacing w:before="120" w:after="120" w:line="360" w:lineRule="exact"/>
        <w:ind w:firstLine="516" w:firstLineChars="214"/>
        <w:rPr>
          <w:rFonts w:ascii="宋体" w:hAnsi="宋体" w:eastAsia="宋体"/>
          <w:color w:val="auto"/>
          <w:sz w:val="24"/>
          <w:szCs w:val="24"/>
          <w:highlight w:val="none"/>
        </w:rPr>
      </w:pPr>
      <w:bookmarkStart w:id="5" w:name="_Toc12830"/>
      <w:r>
        <w:rPr>
          <w:rFonts w:hint="eastAsia" w:ascii="宋体" w:hAnsi="宋体" w:eastAsia="宋体"/>
          <w:color w:val="auto"/>
          <w:sz w:val="24"/>
          <w:szCs w:val="24"/>
          <w:highlight w:val="none"/>
        </w:rPr>
        <w:t>一、说明</w:t>
      </w:r>
      <w:bookmarkEnd w:id="5"/>
    </w:p>
    <w:p w14:paraId="44CB56FC">
      <w:pPr>
        <w:pStyle w:val="4"/>
        <w:spacing w:before="0" w:after="0" w:line="500" w:lineRule="exact"/>
        <w:ind w:firstLine="504" w:firstLineChars="209"/>
        <w:rPr>
          <w:rFonts w:ascii="宋体" w:hAnsi="宋体"/>
          <w:color w:val="auto"/>
          <w:sz w:val="24"/>
          <w:szCs w:val="24"/>
          <w:highlight w:val="none"/>
        </w:rPr>
      </w:pPr>
      <w:bookmarkStart w:id="6" w:name="_Toc346372877"/>
      <w:bookmarkStart w:id="7" w:name="_Toc346306730"/>
      <w:bookmarkStart w:id="8" w:name="_Toc352332851"/>
      <w:r>
        <w:rPr>
          <w:rFonts w:ascii="宋体" w:hAnsi="宋体"/>
          <w:color w:val="auto"/>
          <w:sz w:val="24"/>
          <w:szCs w:val="24"/>
          <w:highlight w:val="none"/>
        </w:rPr>
        <w:t xml:space="preserve">1.   </w:t>
      </w:r>
      <w:bookmarkEnd w:id="6"/>
      <w:bookmarkEnd w:id="7"/>
      <w:bookmarkEnd w:id="8"/>
      <w:r>
        <w:rPr>
          <w:rFonts w:hint="eastAsia" w:ascii="宋体" w:hAnsi="宋体"/>
          <w:color w:val="auto"/>
          <w:sz w:val="24"/>
          <w:szCs w:val="24"/>
          <w:highlight w:val="none"/>
        </w:rPr>
        <w:t>采购人</w:t>
      </w:r>
    </w:p>
    <w:p w14:paraId="3D8C9846">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详见供应商须知前附表。</w:t>
      </w:r>
    </w:p>
    <w:p w14:paraId="7D2AE085">
      <w:pPr>
        <w:pStyle w:val="4"/>
        <w:spacing w:before="0" w:after="0" w:line="500" w:lineRule="exact"/>
        <w:ind w:firstLine="504" w:firstLineChars="209"/>
        <w:rPr>
          <w:rFonts w:ascii="宋体" w:hAnsi="宋体"/>
          <w:color w:val="auto"/>
          <w:sz w:val="24"/>
          <w:szCs w:val="24"/>
          <w:highlight w:val="none"/>
        </w:rPr>
      </w:pPr>
      <w:bookmarkStart w:id="9" w:name="_Toc346306731"/>
      <w:bookmarkStart w:id="10" w:name="_Toc352332852"/>
      <w:bookmarkStart w:id="11" w:name="_Toc346372878"/>
      <w:r>
        <w:rPr>
          <w:rFonts w:ascii="宋体" w:hAnsi="宋体"/>
          <w:color w:val="auto"/>
          <w:sz w:val="24"/>
          <w:szCs w:val="24"/>
          <w:highlight w:val="none"/>
        </w:rPr>
        <w:t xml:space="preserve">2.   </w:t>
      </w:r>
      <w:bookmarkEnd w:id="9"/>
      <w:bookmarkEnd w:id="10"/>
      <w:bookmarkEnd w:id="11"/>
      <w:r>
        <w:rPr>
          <w:rFonts w:hint="eastAsia" w:ascii="宋体" w:hAnsi="宋体"/>
          <w:color w:val="auto"/>
          <w:sz w:val="24"/>
          <w:szCs w:val="24"/>
          <w:highlight w:val="none"/>
        </w:rPr>
        <w:t>代理机构</w:t>
      </w:r>
    </w:p>
    <w:p w14:paraId="33002B2E">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bookmarkStart w:id="12" w:name="_Toc352332853"/>
      <w:bookmarkStart w:id="13" w:name="_Toc346306732"/>
      <w:bookmarkStart w:id="14" w:name="_Toc346372879"/>
      <w:r>
        <w:rPr>
          <w:rFonts w:hint="eastAsia" w:ascii="宋体" w:hAnsi="宋体" w:cs="TimesNewRomanPSMT"/>
          <w:color w:val="auto"/>
          <w:kern w:val="0"/>
          <w:sz w:val="24"/>
          <w:highlight w:val="none"/>
        </w:rPr>
        <w:t>详见供应商须知前附表。</w:t>
      </w:r>
    </w:p>
    <w:p w14:paraId="7848C324">
      <w:pPr>
        <w:pStyle w:val="4"/>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合格供应商</w:t>
      </w:r>
      <w:bookmarkEnd w:id="12"/>
      <w:bookmarkEnd w:id="13"/>
      <w:bookmarkEnd w:id="14"/>
    </w:p>
    <w:p w14:paraId="4F53A71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详见供应商须知前附表。</w:t>
      </w:r>
    </w:p>
    <w:p w14:paraId="2061419B">
      <w:pPr>
        <w:pStyle w:val="4"/>
        <w:spacing w:before="0" w:after="0" w:line="500" w:lineRule="exact"/>
        <w:ind w:firstLine="504" w:firstLineChars="209"/>
        <w:rPr>
          <w:rFonts w:ascii="宋体" w:hAnsi="宋体"/>
          <w:color w:val="auto"/>
          <w:sz w:val="24"/>
          <w:szCs w:val="24"/>
          <w:highlight w:val="none"/>
        </w:rPr>
      </w:pPr>
      <w:bookmarkStart w:id="15" w:name="_Toc352332854"/>
      <w:bookmarkStart w:id="16" w:name="_Toc346306733"/>
      <w:bookmarkStart w:id="17" w:name="_Toc346372880"/>
      <w:r>
        <w:rPr>
          <w:rFonts w:ascii="宋体" w:hAnsi="宋体"/>
          <w:color w:val="auto"/>
          <w:sz w:val="24"/>
          <w:szCs w:val="24"/>
          <w:highlight w:val="none"/>
        </w:rPr>
        <w:t xml:space="preserve">4.   </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竞争性谈判</w:t>
      </w:r>
      <w:r>
        <w:rPr>
          <w:rFonts w:hint="eastAsia" w:ascii="宋体" w:hAnsi="宋体"/>
          <w:color w:val="auto"/>
          <w:sz w:val="24"/>
          <w:szCs w:val="24"/>
          <w:highlight w:val="none"/>
        </w:rPr>
        <w:t>的费用</w:t>
      </w:r>
      <w:bookmarkEnd w:id="15"/>
      <w:bookmarkEnd w:id="16"/>
      <w:bookmarkEnd w:id="17"/>
    </w:p>
    <w:p w14:paraId="49E069F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无论</w:t>
      </w:r>
      <w:r>
        <w:rPr>
          <w:rFonts w:hint="eastAsia" w:ascii="宋体" w:hAnsi="宋体" w:cs="TimesNewRomanPSMT"/>
          <w:color w:val="auto"/>
          <w:kern w:val="0"/>
          <w:sz w:val="24"/>
          <w:highlight w:val="none"/>
          <w:lang w:eastAsia="zh-CN"/>
        </w:rPr>
        <w:t>谈判</w:t>
      </w:r>
      <w:r>
        <w:rPr>
          <w:rFonts w:hint="eastAsia" w:ascii="宋体" w:hAnsi="宋体" w:cs="TimesNewRomanPSMT"/>
          <w:color w:val="auto"/>
          <w:kern w:val="0"/>
          <w:sz w:val="24"/>
          <w:highlight w:val="none"/>
        </w:rPr>
        <w:t>过程中的方法和结果如何，供应商自行承担所有与参加</w:t>
      </w:r>
      <w:r>
        <w:rPr>
          <w:rFonts w:hint="eastAsia" w:ascii="宋体" w:hAnsi="宋体" w:cs="TimesNewRomanPSMT"/>
          <w:color w:val="auto"/>
          <w:kern w:val="0"/>
          <w:sz w:val="24"/>
          <w:highlight w:val="none"/>
          <w:lang w:eastAsia="zh-CN"/>
        </w:rPr>
        <w:t>谈判</w:t>
      </w:r>
      <w:r>
        <w:rPr>
          <w:rFonts w:hint="eastAsia" w:ascii="宋体" w:hAnsi="宋体" w:cs="TimesNewRomanPSMT"/>
          <w:color w:val="auto"/>
          <w:kern w:val="0"/>
          <w:sz w:val="24"/>
          <w:highlight w:val="none"/>
        </w:rPr>
        <w:t>有关费用。</w:t>
      </w:r>
    </w:p>
    <w:p w14:paraId="2F5366FF">
      <w:pPr>
        <w:pStyle w:val="3"/>
        <w:spacing w:before="120" w:after="120" w:line="360" w:lineRule="exact"/>
        <w:ind w:firstLine="516" w:firstLineChars="214"/>
        <w:rPr>
          <w:rFonts w:ascii="宋体" w:hAnsi="宋体" w:eastAsia="宋体"/>
          <w:color w:val="auto"/>
          <w:sz w:val="24"/>
          <w:szCs w:val="24"/>
          <w:highlight w:val="none"/>
        </w:rPr>
      </w:pPr>
      <w:bookmarkStart w:id="18" w:name="_Toc29317"/>
      <w:r>
        <w:rPr>
          <w:rFonts w:hint="eastAsia" w:ascii="宋体" w:hAnsi="宋体" w:eastAsia="宋体"/>
          <w:color w:val="auto"/>
          <w:sz w:val="24"/>
          <w:szCs w:val="24"/>
          <w:highlight w:val="none"/>
        </w:rPr>
        <w:t>二、采购文件</w:t>
      </w:r>
      <w:bookmarkEnd w:id="18"/>
    </w:p>
    <w:p w14:paraId="5762343A">
      <w:pPr>
        <w:pStyle w:val="4"/>
        <w:spacing w:before="0" w:after="0" w:line="500" w:lineRule="exact"/>
        <w:ind w:firstLine="504" w:firstLineChars="209"/>
        <w:rPr>
          <w:rFonts w:ascii="宋体" w:hAnsi="宋体"/>
          <w:color w:val="auto"/>
          <w:sz w:val="24"/>
          <w:szCs w:val="24"/>
          <w:highlight w:val="none"/>
        </w:rPr>
      </w:pPr>
      <w:bookmarkStart w:id="19" w:name="_Toc346306735"/>
      <w:bookmarkStart w:id="20" w:name="_Toc352332856"/>
      <w:bookmarkStart w:id="21" w:name="_Toc346372882"/>
      <w:r>
        <w:rPr>
          <w:rFonts w:ascii="宋体" w:hAnsi="宋体"/>
          <w:color w:val="auto"/>
          <w:sz w:val="24"/>
          <w:szCs w:val="24"/>
          <w:highlight w:val="none"/>
        </w:rPr>
        <w:t xml:space="preserve">5.   </w:t>
      </w:r>
      <w:r>
        <w:rPr>
          <w:rFonts w:hint="eastAsia" w:ascii="宋体" w:hAnsi="宋体"/>
          <w:color w:val="auto"/>
          <w:sz w:val="24"/>
          <w:szCs w:val="24"/>
          <w:highlight w:val="none"/>
        </w:rPr>
        <w:t>采购文件组成</w:t>
      </w:r>
      <w:bookmarkEnd w:id="19"/>
      <w:bookmarkEnd w:id="20"/>
      <w:bookmarkEnd w:id="21"/>
    </w:p>
    <w:p w14:paraId="0128B02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本采购文件由采购文件目录所列内容及按本采购文件要求发出的澄清、答疑和修改组成。</w:t>
      </w:r>
    </w:p>
    <w:p w14:paraId="432DCCBB">
      <w:pPr>
        <w:pStyle w:val="4"/>
        <w:spacing w:before="0" w:after="0" w:line="500" w:lineRule="exact"/>
        <w:ind w:firstLine="504" w:firstLineChars="209"/>
        <w:rPr>
          <w:rFonts w:ascii="宋体" w:hAnsi="宋体"/>
          <w:color w:val="auto"/>
          <w:sz w:val="24"/>
          <w:szCs w:val="24"/>
          <w:highlight w:val="none"/>
        </w:rPr>
      </w:pPr>
      <w:bookmarkStart w:id="22" w:name="_Toc346372883"/>
      <w:bookmarkStart w:id="23" w:name="_Toc346306736"/>
      <w:bookmarkStart w:id="24" w:name="_Toc352332857"/>
      <w:r>
        <w:rPr>
          <w:rFonts w:ascii="宋体" w:hAnsi="宋体"/>
          <w:color w:val="auto"/>
          <w:sz w:val="24"/>
          <w:szCs w:val="24"/>
          <w:highlight w:val="none"/>
        </w:rPr>
        <w:t xml:space="preserve">6.   </w:t>
      </w:r>
      <w:r>
        <w:rPr>
          <w:rFonts w:hint="eastAsia" w:ascii="宋体" w:hAnsi="宋体"/>
          <w:color w:val="auto"/>
          <w:sz w:val="24"/>
          <w:szCs w:val="24"/>
          <w:highlight w:val="none"/>
        </w:rPr>
        <w:t>采购文件答疑</w:t>
      </w:r>
      <w:bookmarkEnd w:id="22"/>
      <w:bookmarkEnd w:id="23"/>
      <w:bookmarkEnd w:id="24"/>
    </w:p>
    <w:p w14:paraId="68DD75A3">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供应商对采购文件如有疑问，应于前附表所述时间以前以书面形式通知到代理机构。在前附表所述时间之前，代理机构将视情况以书面形式予以答复，如有必要可将答复内容包括原提出的问题（但不表明问题的来源），分发给所有取得同一采购文件的供应商。供应商须在收到代理机构的书面答复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小时内书面回复。</w:t>
      </w:r>
    </w:p>
    <w:p w14:paraId="3552E4B6">
      <w:pPr>
        <w:pStyle w:val="4"/>
        <w:spacing w:before="0" w:after="0" w:line="500" w:lineRule="exact"/>
        <w:ind w:firstLine="504" w:firstLineChars="209"/>
        <w:rPr>
          <w:rFonts w:ascii="宋体" w:hAnsi="宋体"/>
          <w:color w:val="auto"/>
          <w:sz w:val="24"/>
          <w:szCs w:val="24"/>
          <w:highlight w:val="none"/>
        </w:rPr>
      </w:pPr>
      <w:bookmarkStart w:id="25" w:name="_Toc346372884"/>
      <w:bookmarkStart w:id="26" w:name="_Toc352332858"/>
      <w:bookmarkStart w:id="27" w:name="_Toc346306737"/>
      <w:r>
        <w:rPr>
          <w:rFonts w:ascii="宋体" w:hAnsi="宋体"/>
          <w:color w:val="auto"/>
          <w:sz w:val="24"/>
          <w:szCs w:val="24"/>
          <w:highlight w:val="none"/>
        </w:rPr>
        <w:t xml:space="preserve">7.   </w:t>
      </w:r>
      <w:r>
        <w:rPr>
          <w:rFonts w:hint="eastAsia" w:ascii="宋体" w:hAnsi="宋体"/>
          <w:color w:val="auto"/>
          <w:sz w:val="24"/>
          <w:szCs w:val="24"/>
          <w:highlight w:val="none"/>
        </w:rPr>
        <w:t>采购文件澄清和修改</w:t>
      </w:r>
      <w:bookmarkEnd w:id="25"/>
      <w:bookmarkEnd w:id="26"/>
      <w:bookmarkEnd w:id="27"/>
    </w:p>
    <w:p w14:paraId="7D051520">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7.1  </w:t>
      </w:r>
      <w:r>
        <w:rPr>
          <w:rFonts w:hint="eastAsia" w:ascii="宋体" w:hAnsi="宋体" w:cs="TimesNewRomanPSMT"/>
          <w:color w:val="auto"/>
          <w:kern w:val="0"/>
          <w:sz w:val="24"/>
          <w:highlight w:val="none"/>
        </w:rPr>
        <w:t>代理机构对采购文件有澄清或修改的内容，将以书面补充文件形式通知已购买采购文件的所有供应商。补充文件作为采购文件的组成部分，对所有供应商具有约束力。</w:t>
      </w:r>
    </w:p>
    <w:p w14:paraId="1AD7C88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7.2  </w:t>
      </w:r>
      <w:r>
        <w:rPr>
          <w:rFonts w:hint="eastAsia" w:ascii="宋体" w:hAnsi="宋体" w:cs="TimesNewRomanPSMT"/>
          <w:color w:val="auto"/>
          <w:kern w:val="0"/>
          <w:sz w:val="24"/>
          <w:highlight w:val="none"/>
        </w:rPr>
        <w:t>为使供应商有足够的时间按采购文件的要求修改响应文件，代理机构可酌情推迟</w:t>
      </w:r>
      <w:r>
        <w:rPr>
          <w:rFonts w:hint="eastAsia" w:ascii="宋体" w:hAnsi="宋体" w:cs="TimesNewRomanPSMT"/>
          <w:color w:val="auto"/>
          <w:kern w:val="0"/>
          <w:sz w:val="24"/>
          <w:highlight w:val="none"/>
          <w:lang w:eastAsia="zh-CN"/>
        </w:rPr>
        <w:t>首次响应文件递交</w:t>
      </w:r>
      <w:r>
        <w:rPr>
          <w:rFonts w:hint="eastAsia" w:ascii="宋体" w:hAnsi="宋体" w:cs="TimesNewRomanPSMT"/>
          <w:color w:val="auto"/>
          <w:kern w:val="0"/>
          <w:sz w:val="24"/>
          <w:highlight w:val="none"/>
        </w:rPr>
        <w:t>的截止时间，并将此变更书面通知各供应商。</w:t>
      </w:r>
    </w:p>
    <w:p w14:paraId="281C106B">
      <w:pPr>
        <w:autoSpaceDE w:val="0"/>
        <w:autoSpaceDN w:val="0"/>
        <w:adjustRightInd w:val="0"/>
        <w:snapToGrid w:val="0"/>
        <w:spacing w:line="560" w:lineRule="exact"/>
        <w:ind w:firstLine="600" w:firstLineChars="250"/>
        <w:jc w:val="left"/>
        <w:rPr>
          <w:rFonts w:hint="eastAsia" w:ascii="宋体" w:hAnsi="宋体" w:eastAsia="宋体" w:cs="TimesNewRomanPSMT"/>
          <w:color w:val="auto"/>
          <w:kern w:val="0"/>
          <w:sz w:val="24"/>
          <w:highlight w:val="none"/>
          <w:lang w:eastAsia="zh-CN"/>
        </w:rPr>
      </w:pPr>
      <w:r>
        <w:rPr>
          <w:rFonts w:ascii="宋体" w:hAnsi="宋体" w:cs="TimesNewRomanPSMT"/>
          <w:color w:val="auto"/>
          <w:kern w:val="0"/>
          <w:sz w:val="24"/>
          <w:highlight w:val="none"/>
        </w:rPr>
        <w:t xml:space="preserve">7.3  </w:t>
      </w:r>
      <w:r>
        <w:rPr>
          <w:rFonts w:hint="eastAsia" w:ascii="宋体" w:hAnsi="宋体" w:cs="TimesNewRomanPSMT"/>
          <w:color w:val="auto"/>
          <w:kern w:val="0"/>
          <w:sz w:val="24"/>
          <w:highlight w:val="none"/>
        </w:rPr>
        <w:t>供应商须在收到代理机构的澄清、修改或变更后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小时内书面回执。供应商未回复的，视同已知晓澄清或者修改的内容</w:t>
      </w:r>
      <w:r>
        <w:rPr>
          <w:rFonts w:hint="eastAsia" w:ascii="宋体" w:hAnsi="宋体" w:cs="TimesNewRomanPSMT"/>
          <w:color w:val="auto"/>
          <w:kern w:val="0"/>
          <w:sz w:val="24"/>
          <w:highlight w:val="none"/>
          <w:lang w:eastAsia="zh-CN"/>
        </w:rPr>
        <w:t>。</w:t>
      </w:r>
    </w:p>
    <w:p w14:paraId="2937E7A9">
      <w:pPr>
        <w:pStyle w:val="30"/>
        <w:tabs>
          <w:tab w:val="left" w:pos="955"/>
        </w:tabs>
        <w:spacing w:after="0" w:line="560" w:lineRule="exact"/>
        <w:ind w:left="1144" w:leftChars="273" w:hanging="571" w:hangingChars="238"/>
        <w:rPr>
          <w:rFonts w:ascii="宋体" w:hAnsi="宋体"/>
          <w:color w:val="auto"/>
          <w:sz w:val="24"/>
          <w:highlight w:val="none"/>
        </w:rPr>
      </w:pPr>
    </w:p>
    <w:p w14:paraId="65CA55FE">
      <w:pPr>
        <w:pStyle w:val="3"/>
        <w:spacing w:before="120" w:after="120" w:line="360" w:lineRule="exact"/>
        <w:ind w:firstLine="516" w:firstLineChars="214"/>
        <w:rPr>
          <w:rFonts w:ascii="宋体" w:hAnsi="宋体" w:eastAsia="宋体"/>
          <w:color w:val="auto"/>
          <w:sz w:val="24"/>
          <w:szCs w:val="24"/>
          <w:highlight w:val="none"/>
        </w:rPr>
      </w:pPr>
      <w:bookmarkStart w:id="28" w:name="_Toc13371"/>
      <w:r>
        <w:rPr>
          <w:rFonts w:hint="eastAsia" w:ascii="宋体" w:hAnsi="宋体" w:eastAsia="宋体"/>
          <w:color w:val="auto"/>
          <w:sz w:val="24"/>
          <w:szCs w:val="24"/>
          <w:highlight w:val="none"/>
        </w:rPr>
        <w:t>三、响应文件编写</w:t>
      </w:r>
      <w:bookmarkEnd w:id="28"/>
    </w:p>
    <w:p w14:paraId="71B121C6">
      <w:pPr>
        <w:pStyle w:val="4"/>
        <w:spacing w:before="0" w:after="0" w:line="500" w:lineRule="exact"/>
        <w:ind w:firstLine="504" w:firstLineChars="209"/>
        <w:rPr>
          <w:rFonts w:ascii="宋体" w:hAnsi="宋体"/>
          <w:color w:val="auto"/>
          <w:sz w:val="24"/>
          <w:szCs w:val="24"/>
          <w:highlight w:val="none"/>
        </w:rPr>
      </w:pPr>
      <w:bookmarkStart w:id="29" w:name="_Toc352332860"/>
      <w:bookmarkStart w:id="30" w:name="_Toc346372886"/>
      <w:bookmarkStart w:id="31" w:name="_Toc346306739"/>
      <w:r>
        <w:rPr>
          <w:rFonts w:ascii="宋体" w:hAnsi="宋体"/>
          <w:color w:val="auto"/>
          <w:sz w:val="24"/>
          <w:szCs w:val="24"/>
          <w:highlight w:val="none"/>
        </w:rPr>
        <w:t xml:space="preserve">8.   </w:t>
      </w:r>
      <w:r>
        <w:rPr>
          <w:rFonts w:hint="eastAsia" w:ascii="宋体" w:hAnsi="宋体"/>
          <w:color w:val="auto"/>
          <w:sz w:val="24"/>
          <w:szCs w:val="24"/>
          <w:highlight w:val="none"/>
        </w:rPr>
        <w:t>报价语言及计量单位</w:t>
      </w:r>
      <w:bookmarkEnd w:id="29"/>
      <w:bookmarkEnd w:id="30"/>
      <w:bookmarkEnd w:id="31"/>
    </w:p>
    <w:p w14:paraId="7855B7D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8.1  </w:t>
      </w:r>
      <w:r>
        <w:rPr>
          <w:rFonts w:hint="eastAsia" w:ascii="宋体" w:hAnsi="宋体" w:cs="TimesNewRomanPSMT"/>
          <w:color w:val="auto"/>
          <w:kern w:val="0"/>
          <w:sz w:val="24"/>
          <w:highlight w:val="none"/>
        </w:rPr>
        <w:t>供应商和代理机构就采购过程交换的文件和来往信函均使用中文。</w:t>
      </w:r>
    </w:p>
    <w:p w14:paraId="1B24F16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8.2  </w:t>
      </w:r>
      <w:r>
        <w:rPr>
          <w:rFonts w:hint="eastAsia" w:ascii="宋体" w:hAnsi="宋体" w:cs="TimesNewRomanPSMT"/>
          <w:color w:val="auto"/>
          <w:kern w:val="0"/>
          <w:sz w:val="24"/>
          <w:highlight w:val="none"/>
        </w:rPr>
        <w:t>除采购文件的技术要求中另有规定外，响应文件中所使用的计量单位应使用中华人民共和国法定计量单位。</w:t>
      </w:r>
    </w:p>
    <w:p w14:paraId="0D207B8B">
      <w:pPr>
        <w:pStyle w:val="4"/>
        <w:spacing w:before="0" w:after="0" w:line="500" w:lineRule="exact"/>
        <w:ind w:firstLine="504" w:firstLineChars="209"/>
        <w:rPr>
          <w:rFonts w:ascii="宋体" w:hAnsi="宋体"/>
          <w:color w:val="auto"/>
          <w:sz w:val="24"/>
          <w:szCs w:val="24"/>
          <w:highlight w:val="none"/>
        </w:rPr>
      </w:pPr>
      <w:bookmarkStart w:id="32" w:name="_Toc352332861"/>
      <w:bookmarkStart w:id="33" w:name="_Toc346306740"/>
      <w:bookmarkStart w:id="34" w:name="_Toc346372887"/>
      <w:r>
        <w:rPr>
          <w:rFonts w:ascii="宋体" w:hAnsi="宋体"/>
          <w:color w:val="auto"/>
          <w:sz w:val="24"/>
          <w:szCs w:val="24"/>
          <w:highlight w:val="none"/>
        </w:rPr>
        <w:t xml:space="preserve">9.   </w:t>
      </w:r>
      <w:r>
        <w:rPr>
          <w:rFonts w:hint="eastAsia" w:ascii="宋体" w:hAnsi="宋体"/>
          <w:color w:val="auto"/>
          <w:sz w:val="24"/>
          <w:szCs w:val="24"/>
          <w:highlight w:val="none"/>
        </w:rPr>
        <w:t>响应文件组成</w:t>
      </w:r>
      <w:bookmarkEnd w:id="32"/>
      <w:bookmarkEnd w:id="33"/>
      <w:bookmarkEnd w:id="34"/>
    </w:p>
    <w:p w14:paraId="2C4EC237">
      <w:pPr>
        <w:pStyle w:val="30"/>
        <w:spacing w:after="0" w:line="560" w:lineRule="exact"/>
        <w:ind w:firstLine="573" w:firstLineChars="238"/>
        <w:rPr>
          <w:rFonts w:ascii="宋体" w:hAnsi="宋体"/>
          <w:b/>
          <w:color w:val="auto"/>
          <w:sz w:val="24"/>
          <w:highlight w:val="none"/>
        </w:rPr>
      </w:pPr>
      <w:r>
        <w:rPr>
          <w:rFonts w:hint="eastAsia" w:ascii="宋体" w:hAnsi="宋体"/>
          <w:b/>
          <w:color w:val="auto"/>
          <w:sz w:val="24"/>
          <w:highlight w:val="none"/>
        </w:rPr>
        <w:t>响应文件由下列部分组成，但不限于以下部分：</w:t>
      </w:r>
    </w:p>
    <w:p w14:paraId="4C15A0FC">
      <w:pPr>
        <w:pStyle w:val="30"/>
        <w:spacing w:after="0" w:line="560" w:lineRule="exact"/>
        <w:ind w:firstLine="573" w:firstLineChars="238"/>
        <w:rPr>
          <w:rFonts w:ascii="宋体" w:hAnsi="宋体"/>
          <w:b/>
          <w:color w:val="auto"/>
          <w:sz w:val="24"/>
          <w:highlight w:val="none"/>
        </w:rPr>
      </w:pPr>
      <w:r>
        <w:rPr>
          <w:rFonts w:ascii="宋体" w:hAnsi="宋体"/>
          <w:b/>
          <w:color w:val="auto"/>
          <w:sz w:val="24"/>
          <w:highlight w:val="none"/>
        </w:rPr>
        <w:t xml:space="preserve">9.1 </w:t>
      </w:r>
      <w:r>
        <w:rPr>
          <w:rFonts w:hint="eastAsia" w:ascii="宋体" w:hAnsi="宋体"/>
          <w:b/>
          <w:color w:val="auto"/>
          <w:sz w:val="24"/>
          <w:highlight w:val="none"/>
        </w:rPr>
        <w:t>商务部分</w:t>
      </w:r>
    </w:p>
    <w:p w14:paraId="448FDD45">
      <w:pPr>
        <w:pStyle w:val="30"/>
        <w:spacing w:after="0" w:line="560" w:lineRule="exact"/>
        <w:ind w:firstLine="571" w:firstLineChars="238"/>
        <w:rPr>
          <w:rFonts w:hint="eastAsia" w:ascii="宋体" w:hAnsi="宋体"/>
          <w:b w:val="0"/>
          <w:bCs/>
          <w:color w:val="auto"/>
          <w:sz w:val="24"/>
          <w:highlight w:val="none"/>
        </w:rPr>
      </w:pPr>
      <w:bookmarkStart w:id="35" w:name="_Toc346306742"/>
      <w:bookmarkStart w:id="36" w:name="_Toc346372889"/>
      <w:bookmarkStart w:id="37" w:name="_Toc352332863"/>
      <w:r>
        <w:rPr>
          <w:rFonts w:hint="eastAsia" w:ascii="宋体" w:hAnsi="宋体"/>
          <w:b w:val="0"/>
          <w:bCs/>
          <w:color w:val="auto"/>
          <w:sz w:val="24"/>
          <w:highlight w:val="none"/>
        </w:rPr>
        <w:t>（1）报价函；</w:t>
      </w:r>
    </w:p>
    <w:p w14:paraId="550408F3">
      <w:pPr>
        <w:pStyle w:val="30"/>
        <w:spacing w:after="0" w:line="560" w:lineRule="exact"/>
        <w:ind w:firstLine="573" w:firstLineChars="238"/>
        <w:rPr>
          <w:rFonts w:hint="eastAsia" w:ascii="宋体" w:hAnsi="宋体"/>
          <w:b/>
          <w:bCs w:val="0"/>
          <w:color w:val="auto"/>
          <w:sz w:val="24"/>
          <w:highlight w:val="none"/>
          <w:lang w:eastAsia="zh-CN"/>
        </w:rPr>
      </w:pPr>
      <w:r>
        <w:rPr>
          <w:rFonts w:hint="eastAsia" w:ascii="宋体" w:hAnsi="宋体"/>
          <w:b/>
          <w:bCs w:val="0"/>
          <w:color w:val="auto"/>
          <w:sz w:val="24"/>
          <w:highlight w:val="none"/>
        </w:rPr>
        <w:t>（2）诚信廉政承诺书</w:t>
      </w:r>
      <w:r>
        <w:rPr>
          <w:rFonts w:hint="eastAsia" w:ascii="宋体" w:hAnsi="宋体"/>
          <w:b/>
          <w:bCs w:val="0"/>
          <w:color w:val="auto"/>
          <w:sz w:val="24"/>
          <w:highlight w:val="none"/>
          <w:lang w:eastAsia="zh-CN"/>
        </w:rPr>
        <w:t>；</w:t>
      </w:r>
    </w:p>
    <w:p w14:paraId="0C487E83">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（3）法定代表人授权委托书；</w:t>
      </w:r>
    </w:p>
    <w:p w14:paraId="7ECD3F14">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（4）首轮报价一览表；</w:t>
      </w:r>
    </w:p>
    <w:p w14:paraId="1DABC83E">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）报价明细表；</w:t>
      </w:r>
    </w:p>
    <w:p w14:paraId="7D13642C">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）质保期内供应的备品备件、易损件、耗材、专用工具价格表；</w:t>
      </w:r>
    </w:p>
    <w:p w14:paraId="03ABC8D3">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）质保期满后长期供应的备品备件、易损件、耗材、专用工具价格表；</w:t>
      </w:r>
    </w:p>
    <w:p w14:paraId="277CE8CA">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）商务响应一览表；</w:t>
      </w:r>
    </w:p>
    <w:p w14:paraId="1F05D022">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）近年类似业绩一览表，附相关证明材料；</w:t>
      </w:r>
    </w:p>
    <w:p w14:paraId="7932ABEA">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）供应商认为需要加以说明的其他内容。</w:t>
      </w:r>
    </w:p>
    <w:p w14:paraId="13883341">
      <w:pPr>
        <w:pStyle w:val="30"/>
        <w:spacing w:after="0" w:line="560" w:lineRule="exact"/>
        <w:ind w:firstLine="573" w:firstLineChars="238"/>
        <w:rPr>
          <w:rFonts w:ascii="宋体" w:hAnsi="宋体"/>
          <w:b/>
          <w:color w:val="auto"/>
          <w:sz w:val="24"/>
          <w:highlight w:val="none"/>
        </w:rPr>
      </w:pPr>
      <w:r>
        <w:rPr>
          <w:rFonts w:ascii="宋体" w:hAnsi="宋体"/>
          <w:b/>
          <w:color w:val="auto"/>
          <w:sz w:val="24"/>
          <w:highlight w:val="none"/>
        </w:rPr>
        <w:t xml:space="preserve">9.2 </w:t>
      </w:r>
      <w:r>
        <w:rPr>
          <w:rFonts w:hint="eastAsia" w:ascii="宋体" w:hAnsi="宋体"/>
          <w:b/>
          <w:color w:val="auto"/>
          <w:sz w:val="24"/>
          <w:highlight w:val="none"/>
        </w:rPr>
        <w:t>技术部分</w:t>
      </w:r>
    </w:p>
    <w:p w14:paraId="649964C0">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（1）供货清单及技术响应一览表；</w:t>
      </w:r>
    </w:p>
    <w:p w14:paraId="2E487BA4">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（2）主要技术数据的详细描述；</w:t>
      </w:r>
    </w:p>
    <w:p w14:paraId="05D70C51">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（3）设备配置明细表；</w:t>
      </w:r>
    </w:p>
    <w:p w14:paraId="7C272F4A">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（4）技术支持资料。</w:t>
      </w:r>
    </w:p>
    <w:p w14:paraId="3B3BD93D">
      <w:pPr>
        <w:pStyle w:val="30"/>
        <w:spacing w:after="0" w:line="560" w:lineRule="exact"/>
        <w:ind w:firstLine="571" w:firstLineChars="238"/>
        <w:rPr>
          <w:rFonts w:hint="eastAsia" w:ascii="宋体" w:hAnsi="宋体" w:eastAsia="宋体"/>
          <w:color w:val="auto"/>
          <w:sz w:val="24"/>
          <w:highlight w:val="none"/>
          <w:lang w:eastAsia="zh-CN"/>
        </w:rPr>
      </w:pPr>
      <w:r>
        <w:rPr>
          <w:rFonts w:hint="eastAsia" w:ascii="宋体" w:hAnsi="宋体"/>
          <w:color w:val="auto"/>
          <w:sz w:val="24"/>
          <w:highlight w:val="none"/>
        </w:rPr>
        <w:t>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r>
        <w:rPr>
          <w:rFonts w:hint="eastAsia" w:ascii="宋体" w:hAnsi="宋体"/>
          <w:color w:val="auto"/>
          <w:sz w:val="24"/>
          <w:highlight w:val="none"/>
          <w:lang w:eastAsia="zh-CN"/>
        </w:rPr>
        <w:t>；</w:t>
      </w:r>
    </w:p>
    <w:p w14:paraId="6C1EEF33">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）投标货物供货方案</w:t>
      </w:r>
      <w:r>
        <w:rPr>
          <w:rFonts w:hint="eastAsia" w:ascii="宋体" w:hAnsi="宋体"/>
          <w:b w:val="0"/>
          <w:bCs/>
          <w:color w:val="auto"/>
          <w:sz w:val="24"/>
          <w:highlight w:val="none"/>
          <w:lang w:val="en-US" w:eastAsia="zh-CN"/>
        </w:rPr>
        <w:t>，含</w:t>
      </w:r>
      <w:r>
        <w:rPr>
          <w:rFonts w:hint="eastAsia" w:ascii="宋体" w:hAnsi="宋体"/>
          <w:b w:val="0"/>
          <w:bCs/>
          <w:color w:val="auto"/>
          <w:sz w:val="24"/>
          <w:highlight w:val="none"/>
        </w:rPr>
        <w:t>包装、运输</w:t>
      </w:r>
      <w:r>
        <w:rPr>
          <w:rFonts w:hint="eastAsia" w:ascii="宋体" w:hAnsi="宋体"/>
          <w:b w:val="0"/>
          <w:bCs/>
          <w:color w:val="auto"/>
          <w:sz w:val="24"/>
          <w:highlight w:val="none"/>
          <w:lang w:val="en-US" w:eastAsia="zh-CN"/>
        </w:rPr>
        <w:t>及装卸保护措施</w:t>
      </w:r>
      <w:r>
        <w:rPr>
          <w:rFonts w:hint="eastAsia" w:ascii="宋体" w:hAnsi="宋体"/>
          <w:b w:val="0"/>
          <w:bCs/>
          <w:color w:val="auto"/>
          <w:sz w:val="24"/>
          <w:highlight w:val="none"/>
        </w:rPr>
        <w:t>；</w:t>
      </w:r>
    </w:p>
    <w:p w14:paraId="368FD1EE">
      <w:pPr>
        <w:pStyle w:val="30"/>
        <w:spacing w:after="0" w:line="560" w:lineRule="exact"/>
        <w:ind w:firstLine="571" w:firstLineChars="238"/>
        <w:rPr>
          <w:rFonts w:hint="eastAsia" w:ascii="宋体" w:hAnsi="宋体"/>
          <w:b w:val="0"/>
          <w:bCs/>
          <w:color w:val="auto"/>
          <w:sz w:val="24"/>
          <w:highlight w:val="none"/>
          <w:lang w:val="en-US" w:eastAsia="zh-CN"/>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）售后服务</w:t>
      </w:r>
      <w:r>
        <w:rPr>
          <w:rFonts w:hint="eastAsia" w:ascii="宋体" w:hAnsi="宋体"/>
          <w:b w:val="0"/>
          <w:bCs/>
          <w:color w:val="auto"/>
          <w:sz w:val="24"/>
          <w:highlight w:val="none"/>
          <w:lang w:val="en-US" w:eastAsia="zh-CN"/>
        </w:rPr>
        <w:t>；</w:t>
      </w:r>
    </w:p>
    <w:p w14:paraId="252C9606">
      <w:pPr>
        <w:pStyle w:val="30"/>
        <w:spacing w:after="0" w:line="560" w:lineRule="exact"/>
        <w:ind w:firstLine="571" w:firstLineChars="238"/>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（7）备品备件；</w:t>
      </w:r>
    </w:p>
    <w:p w14:paraId="60D1E962">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）需</w:t>
      </w:r>
      <w:r>
        <w:rPr>
          <w:rFonts w:hint="eastAsia" w:ascii="宋体" w:hAnsi="宋体"/>
          <w:b w:val="0"/>
          <w:bCs/>
          <w:color w:val="auto"/>
          <w:sz w:val="24"/>
          <w:highlight w:val="none"/>
          <w:lang w:eastAsia="zh-CN"/>
        </w:rPr>
        <w:t>采购人</w:t>
      </w:r>
      <w:r>
        <w:rPr>
          <w:rFonts w:hint="eastAsia" w:ascii="宋体" w:hAnsi="宋体"/>
          <w:b w:val="0"/>
          <w:bCs/>
          <w:color w:val="auto"/>
          <w:sz w:val="24"/>
          <w:highlight w:val="none"/>
        </w:rPr>
        <w:t>配合的工作和条件；</w:t>
      </w:r>
    </w:p>
    <w:p w14:paraId="50B731BC">
      <w:pPr>
        <w:pStyle w:val="30"/>
        <w:spacing w:after="0" w:line="560" w:lineRule="exact"/>
        <w:ind w:firstLine="571" w:firstLineChars="238"/>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）供应商</w:t>
      </w:r>
      <w:r>
        <w:rPr>
          <w:rFonts w:hint="eastAsia" w:ascii="宋体" w:hAnsi="宋体"/>
          <w:b w:val="0"/>
          <w:bCs/>
          <w:color w:val="auto"/>
          <w:sz w:val="24"/>
          <w:highlight w:val="none"/>
          <w:lang w:val="en-US" w:eastAsia="zh-CN"/>
        </w:rPr>
        <w:t>/</w:t>
      </w:r>
      <w:r>
        <w:rPr>
          <w:rFonts w:hint="eastAsia" w:ascii="宋体" w:hAnsi="宋体"/>
          <w:b w:val="0"/>
          <w:bCs/>
          <w:color w:val="auto"/>
          <w:sz w:val="24"/>
          <w:highlight w:val="none"/>
        </w:rPr>
        <w:t>制造商的基本情况；</w:t>
      </w:r>
    </w:p>
    <w:p w14:paraId="6E0D8C1D">
      <w:pPr>
        <w:pStyle w:val="30"/>
        <w:spacing w:after="0" w:line="560" w:lineRule="exact"/>
        <w:ind w:firstLine="571" w:firstLineChars="238"/>
        <w:rPr>
          <w:rFonts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0</w:t>
      </w:r>
      <w:r>
        <w:rPr>
          <w:rFonts w:hint="eastAsia" w:ascii="宋体" w:hAnsi="宋体"/>
          <w:b w:val="0"/>
          <w:bCs/>
          <w:color w:val="auto"/>
          <w:sz w:val="24"/>
          <w:highlight w:val="none"/>
        </w:rPr>
        <w:t>）供应商认为需加以说明的其他内容。</w:t>
      </w:r>
    </w:p>
    <w:p w14:paraId="41716F11">
      <w:pPr>
        <w:pStyle w:val="30"/>
        <w:spacing w:after="0" w:line="560" w:lineRule="exact"/>
        <w:ind w:firstLine="573" w:firstLineChars="238"/>
        <w:rPr>
          <w:rFonts w:ascii="宋体" w:hAnsi="宋体"/>
          <w:b/>
          <w:color w:val="auto"/>
          <w:sz w:val="24"/>
          <w:highlight w:val="none"/>
        </w:rPr>
      </w:pPr>
      <w:r>
        <w:rPr>
          <w:rFonts w:ascii="宋体" w:hAnsi="宋体"/>
          <w:b/>
          <w:color w:val="auto"/>
          <w:sz w:val="24"/>
          <w:highlight w:val="none"/>
        </w:rPr>
        <w:t>9.3</w:t>
      </w:r>
      <w:r>
        <w:rPr>
          <w:rFonts w:hint="eastAsia" w:ascii="宋体" w:hAnsi="宋体"/>
          <w:b/>
          <w:color w:val="auto"/>
          <w:sz w:val="24"/>
          <w:highlight w:val="none"/>
        </w:rPr>
        <w:t>资格证明文件：</w:t>
      </w:r>
    </w:p>
    <w:p w14:paraId="4731A63C">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）按《政府采购法实施条例》第十七条的规定，应提供的基本资格条件证明材料，详见供应商须知前附表。</w:t>
      </w:r>
    </w:p>
    <w:p w14:paraId="13A06376">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）符合本项目要求的资质条件证明材料，或符合本项目要求的经营许可、制造许可、特许经营许可、产品登记</w:t>
      </w:r>
      <w:r>
        <w:rPr>
          <w:rFonts w:ascii="宋体" w:hAnsi="宋体"/>
          <w:color w:val="auto"/>
          <w:sz w:val="24"/>
          <w:highlight w:val="none"/>
        </w:rPr>
        <w:t>(</w:t>
      </w:r>
      <w:r>
        <w:rPr>
          <w:rFonts w:hint="eastAsia" w:ascii="宋体" w:hAnsi="宋体"/>
          <w:color w:val="auto"/>
          <w:sz w:val="24"/>
          <w:highlight w:val="none"/>
        </w:rPr>
        <w:t>备案</w:t>
      </w:r>
      <w:r>
        <w:rPr>
          <w:rFonts w:ascii="宋体" w:hAnsi="宋体"/>
          <w:color w:val="auto"/>
          <w:sz w:val="24"/>
          <w:highlight w:val="none"/>
        </w:rPr>
        <w:t>/</w:t>
      </w:r>
      <w:r>
        <w:rPr>
          <w:rFonts w:hint="eastAsia" w:ascii="宋体" w:hAnsi="宋体"/>
          <w:color w:val="auto"/>
          <w:sz w:val="24"/>
          <w:highlight w:val="none"/>
        </w:rPr>
        <w:t>注册</w:t>
      </w:r>
      <w:r>
        <w:rPr>
          <w:rFonts w:ascii="宋体" w:hAnsi="宋体"/>
          <w:color w:val="auto"/>
          <w:sz w:val="24"/>
          <w:highlight w:val="none"/>
        </w:rPr>
        <w:t>)</w:t>
      </w:r>
      <w:r>
        <w:rPr>
          <w:rFonts w:hint="eastAsia" w:ascii="宋体" w:hAnsi="宋体"/>
          <w:color w:val="auto"/>
          <w:sz w:val="24"/>
          <w:highlight w:val="none"/>
        </w:rPr>
        <w:t>证书、各类认证证书、产品代理授权等证明材料；详见供应商须知前附表。</w:t>
      </w:r>
    </w:p>
    <w:p w14:paraId="2B14E139">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（3）供应商认为需要提交的其他相关证明文件。</w:t>
      </w:r>
    </w:p>
    <w:p w14:paraId="2038714C">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（4）供应商须知前附表规定接受联合体报价的，除应符合采购文件中关于供应商的一般规定，还应遵守以下规定： </w:t>
      </w:r>
    </w:p>
    <w:p w14:paraId="5DDE9CFC">
      <w:pPr>
        <w:pStyle w:val="30"/>
        <w:spacing w:after="0" w:line="560" w:lineRule="exact"/>
        <w:ind w:firstLine="571" w:firstLineChars="238"/>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 MERGEFORMAT </w:instrText>
      </w:r>
      <w:r>
        <w:rPr>
          <w:rFonts w:ascii="宋体" w:hAnsi="宋体"/>
          <w:color w:val="auto"/>
          <w:sz w:val="24"/>
          <w:highlight w:val="none"/>
        </w:rPr>
        <w:fldChar w:fldCharType="separate"/>
      </w:r>
      <w:r>
        <w:rPr>
          <w:rFonts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联合体各方应按采购文件提供的格式签订联合体协议书，明确联合体牵头人和各方权利义务；</w:t>
      </w:r>
    </w:p>
    <w:p w14:paraId="7B3895E6">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 MERGEFORMAT </w:instrText>
      </w:r>
      <w:r>
        <w:rPr>
          <w:rFonts w:hint="eastAsia" w:ascii="宋体" w:hAnsi="宋体"/>
          <w:color w:val="auto"/>
          <w:sz w:val="24"/>
          <w:highlight w:val="none"/>
        </w:rPr>
        <w:fldChar w:fldCharType="separate"/>
      </w:r>
      <w:r>
        <w:rPr>
          <w:rFonts w:ascii="宋体" w:hAnsi="宋体"/>
          <w:color w:val="auto"/>
          <w:sz w:val="24"/>
          <w:highlight w:val="none"/>
        </w:rPr>
        <w:t>②</w:t>
      </w:r>
      <w:r>
        <w:rPr>
          <w:rFonts w:hint="eastAsia" w:ascii="宋体" w:hAnsi="宋体"/>
          <w:color w:val="auto"/>
          <w:sz w:val="24"/>
          <w:highlight w:val="none"/>
        </w:rPr>
        <w:fldChar w:fldCharType="end"/>
      </w:r>
      <w:r>
        <w:rPr>
          <w:rFonts w:hint="eastAsia" w:ascii="宋体" w:hAnsi="宋体"/>
          <w:color w:val="auto"/>
          <w:sz w:val="24"/>
          <w:highlight w:val="none"/>
        </w:rPr>
        <w:t xml:space="preserve">联合体中有同类资质的供应商按照联合体分工承担相同工作的，应当按照资质等级较低的供应商确定资质等级； </w:t>
      </w:r>
    </w:p>
    <w:p w14:paraId="1159D6E8">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3 \* GB3 \* MERGEFORMAT </w:instrText>
      </w:r>
      <w:r>
        <w:rPr>
          <w:rFonts w:hint="eastAsia" w:ascii="宋体" w:hAnsi="宋体"/>
          <w:color w:val="auto"/>
          <w:sz w:val="24"/>
          <w:highlight w:val="none"/>
        </w:rPr>
        <w:fldChar w:fldCharType="separate"/>
      </w:r>
      <w:r>
        <w:rPr>
          <w:rFonts w:ascii="宋体" w:hAnsi="宋体"/>
          <w:color w:val="auto"/>
          <w:sz w:val="24"/>
          <w:highlight w:val="none"/>
        </w:rPr>
        <w:t>③</w:t>
      </w:r>
      <w:r>
        <w:rPr>
          <w:rFonts w:hint="eastAsia" w:ascii="宋体" w:hAnsi="宋体"/>
          <w:color w:val="auto"/>
          <w:sz w:val="24"/>
          <w:highlight w:val="none"/>
        </w:rPr>
        <w:fldChar w:fldCharType="end"/>
      </w:r>
      <w:r>
        <w:rPr>
          <w:rFonts w:hint="eastAsia" w:ascii="宋体" w:hAnsi="宋体"/>
          <w:color w:val="auto"/>
          <w:sz w:val="24"/>
          <w:highlight w:val="none"/>
        </w:rPr>
        <w:t>联合体各方不得再以自己名义单独或参加其他联合体在同一标段中报价，否则各方均按无效报价处理。</w:t>
      </w:r>
    </w:p>
    <w:p w14:paraId="2255BC31">
      <w:pPr>
        <w:pStyle w:val="30"/>
        <w:spacing w:after="0" w:line="560" w:lineRule="exact"/>
        <w:ind w:firstLine="571" w:firstLineChars="238"/>
        <w:rPr>
          <w:rFonts w:ascii="宋体" w:hAnsi="宋体" w:cs="宋体"/>
          <w:color w:val="auto"/>
          <w:highlight w:val="none"/>
        </w:rPr>
      </w:pPr>
      <w:r>
        <w:rPr>
          <w:rFonts w:hint="eastAsia" w:ascii="宋体" w:hAnsi="宋体"/>
          <w:color w:val="auto"/>
          <w:sz w:val="24"/>
          <w:highlight w:val="none"/>
        </w:rPr>
        <w:t>供应商可将商务部分、技术部分、资格证明部分顺序胶装装订，并自正文首页开始编制连续页码。页数较多时，可以分册装订。采购文件中未提供格式的，供应商可自拟格式</w:t>
      </w:r>
      <w:r>
        <w:rPr>
          <w:rFonts w:hint="eastAsia" w:ascii="宋体" w:hAnsi="宋体" w:cs="宋体"/>
          <w:color w:val="auto"/>
          <w:highlight w:val="none"/>
        </w:rPr>
        <w:t>。</w:t>
      </w:r>
    </w:p>
    <w:p w14:paraId="5A00B8B4">
      <w:pPr>
        <w:pStyle w:val="30"/>
        <w:spacing w:after="0" w:line="560" w:lineRule="exact"/>
        <w:ind w:firstLine="571" w:firstLineChars="238"/>
        <w:rPr>
          <w:rFonts w:ascii="宋体" w:hAnsi="宋体"/>
          <w:color w:val="auto"/>
          <w:sz w:val="24"/>
          <w:highlight w:val="none"/>
        </w:rPr>
      </w:pPr>
      <w:r>
        <w:rPr>
          <w:rFonts w:ascii="宋体" w:hAnsi="宋体"/>
          <w:color w:val="auto"/>
          <w:sz w:val="24"/>
          <w:highlight w:val="none"/>
        </w:rPr>
        <w:t xml:space="preserve">10.  </w:t>
      </w:r>
      <w:r>
        <w:rPr>
          <w:rFonts w:hint="eastAsia" w:ascii="宋体" w:hAnsi="宋体"/>
          <w:color w:val="auto"/>
          <w:sz w:val="24"/>
          <w:highlight w:val="none"/>
        </w:rPr>
        <w:t>报价</w:t>
      </w:r>
      <w:bookmarkEnd w:id="35"/>
      <w:bookmarkEnd w:id="36"/>
      <w:bookmarkEnd w:id="37"/>
    </w:p>
    <w:p w14:paraId="66F37CD1">
      <w:pPr>
        <w:pStyle w:val="30"/>
        <w:spacing w:after="0" w:line="560" w:lineRule="exact"/>
        <w:ind w:firstLine="573" w:firstLineChars="238"/>
        <w:rPr>
          <w:rFonts w:ascii="宋体" w:hAnsi="宋体"/>
          <w:b/>
          <w:color w:val="auto"/>
          <w:sz w:val="24"/>
          <w:highlight w:val="none"/>
        </w:rPr>
      </w:pPr>
      <w:r>
        <w:rPr>
          <w:rFonts w:ascii="宋体" w:hAnsi="宋体"/>
          <w:b/>
          <w:color w:val="auto"/>
          <w:sz w:val="24"/>
          <w:highlight w:val="none"/>
        </w:rPr>
        <w:t>10.1</w:t>
      </w:r>
      <w:r>
        <w:rPr>
          <w:rFonts w:hint="eastAsia" w:ascii="宋体" w:hAnsi="宋体"/>
          <w:b/>
          <w:color w:val="auto"/>
          <w:sz w:val="24"/>
          <w:highlight w:val="none"/>
        </w:rPr>
        <w:t>供应商限报一种方案报价，采购人不接受可选择的报价方案。供应商的报价应包括设备及附件备件费、包装费、运输费、</w:t>
      </w:r>
      <w:r>
        <w:rPr>
          <w:rFonts w:hint="eastAsia" w:ascii="宋体" w:hAnsi="宋体"/>
          <w:b/>
          <w:color w:val="auto"/>
          <w:sz w:val="24"/>
          <w:highlight w:val="none"/>
          <w:lang w:val="en-US" w:eastAsia="zh-CN"/>
        </w:rPr>
        <w:t>装卸</w:t>
      </w:r>
      <w:r>
        <w:rPr>
          <w:rFonts w:hint="eastAsia" w:ascii="宋体" w:hAnsi="宋体"/>
          <w:b/>
          <w:color w:val="auto"/>
          <w:sz w:val="24"/>
          <w:highlight w:val="none"/>
        </w:rPr>
        <w:t>费、保管费、</w:t>
      </w:r>
      <w:r>
        <w:rPr>
          <w:rFonts w:hint="eastAsia" w:ascii="宋体" w:hAnsi="宋体"/>
          <w:b/>
          <w:color w:val="auto"/>
          <w:sz w:val="24"/>
          <w:highlight w:val="none"/>
          <w:lang w:val="en-US" w:eastAsia="zh-CN"/>
        </w:rPr>
        <w:t>调试费、</w:t>
      </w:r>
      <w:r>
        <w:rPr>
          <w:rFonts w:hint="eastAsia" w:ascii="宋体" w:hAnsi="宋体"/>
          <w:b/>
          <w:color w:val="auto"/>
          <w:sz w:val="24"/>
          <w:highlight w:val="none"/>
        </w:rPr>
        <w:t>检验费、验收费、</w:t>
      </w:r>
      <w:r>
        <w:rPr>
          <w:rFonts w:hint="eastAsia" w:ascii="宋体" w:hAnsi="宋体"/>
          <w:b/>
          <w:color w:val="auto"/>
          <w:sz w:val="24"/>
          <w:highlight w:val="none"/>
          <w:lang w:val="en-US" w:eastAsia="zh-CN"/>
        </w:rPr>
        <w:t>伴随服务</w:t>
      </w:r>
      <w:r>
        <w:rPr>
          <w:rFonts w:hint="eastAsia" w:ascii="宋体" w:hAnsi="宋体"/>
          <w:b/>
          <w:color w:val="auto"/>
          <w:sz w:val="24"/>
          <w:highlight w:val="none"/>
        </w:rPr>
        <w:t>及其他附带服务的费用、利润、税金、质保期内的售后服务及其它相关费用等全部费用。报价币种为人民币。</w:t>
      </w:r>
    </w:p>
    <w:p w14:paraId="21BE1ED0">
      <w:pPr>
        <w:pStyle w:val="30"/>
        <w:spacing w:after="0" w:line="560" w:lineRule="exact"/>
        <w:ind w:firstLine="573" w:firstLineChars="238"/>
        <w:rPr>
          <w:rFonts w:ascii="宋体" w:hAnsi="宋体"/>
          <w:b/>
          <w:color w:val="auto"/>
          <w:sz w:val="24"/>
          <w:highlight w:val="none"/>
        </w:rPr>
      </w:pPr>
      <w:r>
        <w:rPr>
          <w:rFonts w:ascii="宋体" w:hAnsi="宋体"/>
          <w:b/>
          <w:color w:val="auto"/>
          <w:sz w:val="24"/>
          <w:highlight w:val="none"/>
        </w:rPr>
        <w:t>10.2</w:t>
      </w:r>
      <w:r>
        <w:rPr>
          <w:rFonts w:hint="eastAsia" w:ascii="宋体" w:hAnsi="宋体"/>
          <w:b/>
          <w:color w:val="auto"/>
          <w:sz w:val="24"/>
          <w:highlight w:val="none"/>
        </w:rPr>
        <w:t xml:space="preserve"> 本项目为</w:t>
      </w:r>
      <w:r>
        <w:rPr>
          <w:rFonts w:hint="eastAsia" w:ascii="宋体" w:hAnsi="宋体"/>
          <w:b/>
          <w:color w:val="auto"/>
          <w:sz w:val="24"/>
          <w:highlight w:val="none"/>
          <w:lang w:eastAsia="zh-CN"/>
        </w:rPr>
        <w:t>竞争性谈判</w:t>
      </w:r>
      <w:r>
        <w:rPr>
          <w:rFonts w:hint="eastAsia" w:ascii="宋体" w:hAnsi="宋体"/>
          <w:b/>
          <w:color w:val="auto"/>
          <w:sz w:val="24"/>
          <w:highlight w:val="none"/>
        </w:rPr>
        <w:t>项目，</w:t>
      </w:r>
      <w:r>
        <w:rPr>
          <w:rFonts w:hint="eastAsia" w:ascii="宋体" w:hAnsi="宋体"/>
          <w:b/>
          <w:color w:val="auto"/>
          <w:sz w:val="24"/>
          <w:highlight w:val="none"/>
          <w:lang w:val="en-US" w:eastAsia="zh-CN"/>
        </w:rPr>
        <w:t>非一次性报价。</w:t>
      </w:r>
      <w:r>
        <w:rPr>
          <w:rFonts w:hint="eastAsia" w:ascii="宋体" w:hAnsi="宋体"/>
          <w:b/>
          <w:color w:val="auto"/>
          <w:sz w:val="24"/>
          <w:highlight w:val="none"/>
          <w:lang w:eastAsia="zh-CN"/>
        </w:rPr>
        <w:t>谈判</w:t>
      </w:r>
      <w:r>
        <w:rPr>
          <w:rFonts w:hint="eastAsia" w:ascii="宋体" w:hAnsi="宋体"/>
          <w:b/>
          <w:color w:val="auto"/>
          <w:sz w:val="24"/>
          <w:highlight w:val="none"/>
        </w:rPr>
        <w:t>小组可要求所有实质性响应本采购文件的供应商在规定时间内提交二次报价或最后报价，最后报价是供应商响应文件的有效组成部分。</w:t>
      </w:r>
    </w:p>
    <w:p w14:paraId="192091D2">
      <w:pPr>
        <w:pStyle w:val="30"/>
        <w:keepNext w:val="0"/>
        <w:keepLines w:val="0"/>
        <w:pageBreakBefore w:val="0"/>
        <w:widowControl w:val="0"/>
        <w:kinsoku/>
        <w:wordWrap/>
        <w:overflowPunct/>
        <w:topLinePunct w:val="0"/>
        <w:autoSpaceDE/>
        <w:autoSpaceDN/>
        <w:bidi w:val="0"/>
        <w:adjustRightInd/>
        <w:snapToGrid/>
        <w:spacing w:after="0" w:line="560" w:lineRule="exact"/>
        <w:ind w:firstLine="571" w:firstLineChars="238"/>
        <w:textAlignment w:val="auto"/>
        <w:rPr>
          <w:rFonts w:hint="eastAsia" w:ascii="宋体" w:hAnsi="宋体" w:cs="宋体"/>
          <w:b/>
          <w:bCs/>
          <w:color w:val="auto"/>
          <w:sz w:val="24"/>
          <w:highlight w:val="none"/>
        </w:rPr>
      </w:pPr>
      <w:r>
        <w:rPr>
          <w:rFonts w:hint="eastAsia" w:ascii="宋体" w:hAnsi="宋体"/>
          <w:bCs/>
          <w:color w:val="auto"/>
          <w:sz w:val="24"/>
          <w:highlight w:val="none"/>
        </w:rPr>
        <w:t>10.3单独密封的首轮报价一览表与响应文件正本不符，以首轮报价一览表为准，但首轮报价一览表有明显文字错误的除外。正本与副本有不一致之处，以正本为准。如果大写金额和小写金额不一致时，以大写金额为准。</w:t>
      </w:r>
      <w:r>
        <w:rPr>
          <w:rFonts w:hint="eastAsia" w:ascii="宋体" w:hAnsi="宋体" w:cs="宋体"/>
          <w:bCs/>
          <w:color w:val="auto"/>
          <w:sz w:val="24"/>
          <w:highlight w:val="none"/>
        </w:rPr>
        <w:t>★</w:t>
      </w:r>
      <w:r>
        <w:rPr>
          <w:rFonts w:hint="eastAsia" w:ascii="宋体" w:hAnsi="宋体" w:cs="宋体"/>
          <w:b/>
          <w:bCs w:val="0"/>
          <w:color w:val="auto"/>
          <w:sz w:val="24"/>
          <w:highlight w:val="none"/>
        </w:rPr>
        <w:t>供应商所投同一个包中，两个或以上</w:t>
      </w:r>
      <w:r>
        <w:rPr>
          <w:rFonts w:hint="eastAsia" w:ascii="宋体" w:hAnsi="宋体"/>
          <w:b/>
          <w:bCs w:val="0"/>
          <w:color w:val="auto"/>
          <w:sz w:val="24"/>
          <w:highlight w:val="none"/>
        </w:rPr>
        <w:t>报价一览表</w:t>
      </w:r>
      <w:r>
        <w:rPr>
          <w:rFonts w:hint="eastAsia" w:ascii="宋体" w:hAnsi="宋体" w:cs="宋体"/>
          <w:b/>
          <w:bCs w:val="0"/>
          <w:color w:val="auto"/>
          <w:sz w:val="24"/>
          <w:highlight w:val="none"/>
        </w:rPr>
        <w:t>不一致的，视为投报多个方案，除非</w:t>
      </w:r>
      <w:r>
        <w:rPr>
          <w:rFonts w:hint="eastAsia" w:ascii="宋体" w:hAnsi="宋体" w:cs="宋体"/>
          <w:b/>
          <w:bCs w:val="0"/>
          <w:color w:val="auto"/>
          <w:sz w:val="24"/>
          <w:highlight w:val="none"/>
          <w:lang w:eastAsia="zh-CN"/>
        </w:rPr>
        <w:t>竞争性谈判</w:t>
      </w:r>
      <w:r>
        <w:rPr>
          <w:rFonts w:hint="eastAsia" w:ascii="宋体" w:hAnsi="宋体" w:cs="宋体"/>
          <w:b/>
          <w:bCs w:val="0"/>
          <w:color w:val="auto"/>
          <w:sz w:val="24"/>
          <w:highlight w:val="none"/>
        </w:rPr>
        <w:t>文件明确规定接受备选方案外，均按未实质性响应</w:t>
      </w:r>
      <w:r>
        <w:rPr>
          <w:rFonts w:hint="eastAsia" w:ascii="宋体" w:hAnsi="宋体" w:cs="宋体"/>
          <w:b/>
          <w:bCs w:val="0"/>
          <w:color w:val="auto"/>
          <w:sz w:val="24"/>
          <w:highlight w:val="none"/>
          <w:lang w:eastAsia="zh-CN"/>
        </w:rPr>
        <w:t>谈判</w:t>
      </w:r>
      <w:r>
        <w:rPr>
          <w:rFonts w:hint="eastAsia" w:ascii="宋体" w:hAnsi="宋体" w:cs="宋体"/>
          <w:b/>
          <w:bCs w:val="0"/>
          <w:color w:val="auto"/>
          <w:sz w:val="24"/>
          <w:highlight w:val="none"/>
        </w:rPr>
        <w:t>文件处理</w:t>
      </w:r>
      <w:r>
        <w:rPr>
          <w:rFonts w:hint="eastAsia" w:ascii="宋体" w:hAnsi="宋体" w:cs="宋体"/>
          <w:b/>
          <w:bCs/>
          <w:color w:val="auto"/>
          <w:sz w:val="24"/>
          <w:highlight w:val="none"/>
        </w:rPr>
        <w:t>。</w:t>
      </w:r>
    </w:p>
    <w:p w14:paraId="2365730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pPr>
      <w:r>
        <w:rPr>
          <w:rFonts w:hint="eastAsia" w:ascii="宋体" w:hAnsi="宋体" w:eastAsia="宋体" w:cs="Times New Roman"/>
          <w:b/>
          <w:color w:val="auto"/>
          <w:kern w:val="0"/>
          <w:sz w:val="24"/>
          <w:szCs w:val="24"/>
          <w:highlight w:val="none"/>
          <w:lang w:val="en-US" w:eastAsia="zh-CN" w:bidi="ar-SA"/>
        </w:rPr>
        <w:t>10.4供应商的报价（包括首轮报价、最后报价）明显低于其他通过符合性审查供应商的报价，有可能影响商品质量和不能诚信履约的，谈判小组有权要求其在规定的时间内提供书面文件予以解释说明，并提交相关证明材料；供应商不能证明其报价合理性的，谈判小组有权作出不利于供应商的认定和处理。</w:t>
      </w:r>
    </w:p>
    <w:p w14:paraId="4F042EAF">
      <w:pPr>
        <w:pStyle w:val="4"/>
        <w:spacing w:before="0" w:after="0" w:line="500" w:lineRule="exact"/>
        <w:ind w:firstLine="504" w:firstLineChars="209"/>
        <w:rPr>
          <w:rFonts w:ascii="宋体" w:hAnsi="宋体"/>
          <w:color w:val="auto"/>
          <w:sz w:val="24"/>
          <w:szCs w:val="24"/>
          <w:highlight w:val="none"/>
        </w:rPr>
      </w:pPr>
      <w:bookmarkStart w:id="38" w:name="_Toc352332874"/>
      <w:bookmarkStart w:id="39" w:name="_Toc346372900"/>
      <w:bookmarkStart w:id="40" w:name="_Toc346306753"/>
      <w:r>
        <w:rPr>
          <w:rFonts w:hint="eastAsia" w:ascii="宋体" w:hAnsi="宋体"/>
          <w:color w:val="auto"/>
          <w:sz w:val="24"/>
          <w:szCs w:val="24"/>
          <w:highlight w:val="none"/>
        </w:rPr>
        <w:t>11.  首次响应文件编写</w:t>
      </w:r>
    </w:p>
    <w:p w14:paraId="122684A9">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11.1首次响应文件应按“响应文件组成”进行编写，如有必要，可以增加附页，作为响应文件的组成部分。</w:t>
      </w:r>
    </w:p>
    <w:p w14:paraId="6D7AE15C">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11.2首次响应文件应用不褪色的材料打印或复印。</w:t>
      </w:r>
    </w:p>
    <w:p w14:paraId="325F1A85">
      <w:pPr>
        <w:pStyle w:val="30"/>
        <w:spacing w:after="0"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11.3首次响应文件应尽量避免涂改、行间插字或删除。如果出现上述情况，改动之处应加盖单位章或由供应商的法定代表人或其授权的代理人签字确认。</w:t>
      </w:r>
    </w:p>
    <w:p w14:paraId="63BB205E">
      <w:pPr>
        <w:pStyle w:val="30"/>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11.4供应商须如实响应采购文件要求，在响应文件中如实提供其技术指标，如必要，应说明其测试条件和测试方法并提供原厂技术资料（DataSheet）并盖章，作为最终认定证据。供应商不得复制粘贴采购文件中参数及要求作为其响应文件的响应情况，否则，</w:t>
      </w:r>
      <w:r>
        <w:rPr>
          <w:rFonts w:hint="eastAsia" w:ascii="宋体" w:hAnsi="宋体"/>
          <w:bCs/>
          <w:color w:val="auto"/>
          <w:sz w:val="24"/>
          <w:highlight w:val="none"/>
          <w:lang w:eastAsia="zh-CN"/>
        </w:rPr>
        <w:t>谈判</w:t>
      </w:r>
      <w:r>
        <w:rPr>
          <w:rFonts w:hint="eastAsia" w:ascii="宋体" w:hAnsi="宋体"/>
          <w:bCs/>
          <w:color w:val="auto"/>
          <w:sz w:val="24"/>
          <w:highlight w:val="none"/>
        </w:rPr>
        <w:t>小组有权作出不利于供应商的认定。</w:t>
      </w:r>
    </w:p>
    <w:p w14:paraId="2196FB3F">
      <w:pPr>
        <w:pStyle w:val="30"/>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11.5供应商应提供设备主要技术指标、规格和性能、技术参数值的详细说明，并提供设备制造商的白皮书或制造商对外公布的宣传彩页或制造商的其他证明材料或检测机构出具的检测报告，若制造商的证明资料与检测机构出具的检测报告不一致，以检测机构出具的检测报告为准。</w:t>
      </w:r>
    </w:p>
    <w:p w14:paraId="0765FD2F">
      <w:pPr>
        <w:pStyle w:val="30"/>
        <w:spacing w:line="560" w:lineRule="exact"/>
        <w:ind w:firstLine="571" w:firstLineChars="238"/>
        <w:rPr>
          <w:rFonts w:ascii="宋体" w:hAnsi="宋体"/>
          <w:bCs/>
          <w:color w:val="auto"/>
          <w:sz w:val="24"/>
          <w:highlight w:val="none"/>
        </w:rPr>
      </w:pPr>
      <w:r>
        <w:rPr>
          <w:rFonts w:hint="eastAsia" w:ascii="宋体" w:hAnsi="宋体"/>
          <w:bCs/>
          <w:color w:val="auto"/>
          <w:sz w:val="24"/>
          <w:highlight w:val="none"/>
        </w:rPr>
        <w:t>11.6 若响应文件中供应商针对商务、技术响应表的响应情况与制造商提供的证明材料不相符，有可能导致其技术响应不满足采购文件要求的，</w:t>
      </w:r>
      <w:r>
        <w:rPr>
          <w:rFonts w:hint="eastAsia" w:ascii="宋体" w:hAnsi="宋体"/>
          <w:bCs/>
          <w:color w:val="auto"/>
          <w:sz w:val="24"/>
          <w:highlight w:val="none"/>
          <w:lang w:eastAsia="zh-CN"/>
        </w:rPr>
        <w:t>谈判</w:t>
      </w:r>
      <w:r>
        <w:rPr>
          <w:rFonts w:hint="eastAsia" w:ascii="宋体" w:hAnsi="宋体"/>
          <w:bCs/>
          <w:color w:val="auto"/>
          <w:sz w:val="24"/>
          <w:highlight w:val="none"/>
        </w:rPr>
        <w:t>小组有权作出不利于供应商的认定。</w:t>
      </w:r>
    </w:p>
    <w:p w14:paraId="084251A3">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11.7供应商提供的支持资料和已印刷的文献（如有关货物/服务的技术部分）可以用另一种语言，但相应内容应附有中文翻译本或中英文对照，在解释响应文件时以中文翻译本为准。若供应商的中文翻译本与英文版明显不符的，则</w:t>
      </w:r>
      <w:r>
        <w:rPr>
          <w:rFonts w:hint="eastAsia" w:ascii="宋体" w:hAnsi="宋体"/>
          <w:color w:val="auto"/>
          <w:sz w:val="24"/>
          <w:highlight w:val="none"/>
          <w:lang w:eastAsia="zh-CN"/>
        </w:rPr>
        <w:t>谈判</w:t>
      </w:r>
      <w:r>
        <w:rPr>
          <w:rFonts w:hint="eastAsia" w:ascii="宋体" w:hAnsi="宋体"/>
          <w:color w:val="auto"/>
          <w:sz w:val="24"/>
          <w:highlight w:val="none"/>
        </w:rPr>
        <w:t>小组有权作出不利于供应商的认定。</w:t>
      </w:r>
    </w:p>
    <w:p w14:paraId="37B6DC78">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8</w:t>
      </w:r>
      <w:r>
        <w:rPr>
          <w:rFonts w:ascii="宋体" w:hAnsi="宋体"/>
          <w:color w:val="auto"/>
          <w:sz w:val="24"/>
          <w:highlight w:val="none"/>
        </w:rPr>
        <w:t>供应商须注意：为合理节约政府采购评审成本，提倡诚实信用的报价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w:t>
      </w:r>
    </w:p>
    <w:p w14:paraId="176BF951">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12.  </w:t>
      </w:r>
      <w:r>
        <w:rPr>
          <w:rFonts w:hint="eastAsia" w:ascii="宋体" w:hAnsi="宋体"/>
          <w:color w:val="auto"/>
          <w:sz w:val="24"/>
          <w:highlight w:val="none"/>
        </w:rPr>
        <w:t>首次</w:t>
      </w:r>
      <w:r>
        <w:rPr>
          <w:rFonts w:hint="eastAsia" w:ascii="宋体" w:hAnsi="宋体"/>
          <w:color w:val="auto"/>
          <w:sz w:val="24"/>
          <w:szCs w:val="24"/>
          <w:highlight w:val="none"/>
        </w:rPr>
        <w:t>响应文件签署</w:t>
      </w:r>
    </w:p>
    <w:p w14:paraId="562F6027">
      <w:pPr>
        <w:pStyle w:val="30"/>
        <w:spacing w:after="0" w:line="560" w:lineRule="exact"/>
        <w:ind w:firstLine="573" w:firstLineChars="238"/>
        <w:rPr>
          <w:rFonts w:ascii="宋体" w:hAnsi="宋体"/>
          <w:b/>
          <w:color w:val="auto"/>
          <w:sz w:val="24"/>
          <w:highlight w:val="none"/>
        </w:rPr>
      </w:pPr>
      <w:r>
        <w:rPr>
          <w:rFonts w:hint="eastAsia" w:ascii="宋体" w:hAnsi="宋体"/>
          <w:b/>
          <w:color w:val="auto"/>
          <w:sz w:val="24"/>
          <w:highlight w:val="none"/>
        </w:rPr>
        <w:t>★首次响应文件应加盖供应商公章（不得使用其他形式如带有“专用章”等字样的印章）并经法定代表人或其委托代理人签署（签字或加盖人名章），由委托代理人签字的响应文件中须附授权委托书。供应商代表必须按采购文件的规定签署响应文件正本（副本可用正本复印件）。未按采购文件要求签署及盖章的响应文件无效。</w:t>
      </w:r>
    </w:p>
    <w:p w14:paraId="56FDDE1E">
      <w:pPr>
        <w:pStyle w:val="4"/>
        <w:spacing w:before="0" w:after="0" w:line="500" w:lineRule="exact"/>
        <w:ind w:firstLine="504" w:firstLineChars="20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 xml:space="preserve">13.  </w:t>
      </w:r>
      <w:r>
        <w:rPr>
          <w:rFonts w:hint="eastAsia" w:ascii="宋体" w:hAnsi="宋体"/>
          <w:color w:val="auto"/>
          <w:sz w:val="24"/>
          <w:highlight w:val="none"/>
        </w:rPr>
        <w:t>首次</w:t>
      </w:r>
      <w:r>
        <w:rPr>
          <w:rFonts w:hint="eastAsia" w:ascii="宋体" w:hAnsi="宋体"/>
          <w:color w:val="auto"/>
          <w:sz w:val="24"/>
          <w:szCs w:val="24"/>
          <w:highlight w:val="none"/>
        </w:rPr>
        <w:t>响应文件</w:t>
      </w:r>
      <w:r>
        <w:rPr>
          <w:rFonts w:hint="eastAsia" w:ascii="宋体" w:hAnsi="宋体"/>
          <w:color w:val="auto"/>
          <w:sz w:val="24"/>
          <w:szCs w:val="24"/>
          <w:highlight w:val="none"/>
          <w:lang w:val="en-US" w:eastAsia="zh-CN"/>
        </w:rPr>
        <w:t>密封</w:t>
      </w:r>
    </w:p>
    <w:p w14:paraId="62F127F1">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13.1供应商应准备的响应文件份数见供应商须知前附表，供应商应在每一份</w:t>
      </w:r>
      <w:r>
        <w:rPr>
          <w:rFonts w:hint="eastAsia" w:ascii="宋体" w:hAnsi="宋体"/>
          <w:color w:val="auto"/>
          <w:sz w:val="24"/>
          <w:highlight w:val="none"/>
          <w:lang w:val="en-US" w:eastAsia="zh-CN"/>
        </w:rPr>
        <w:t>纸质</w:t>
      </w:r>
      <w:r>
        <w:rPr>
          <w:rFonts w:hint="eastAsia" w:ascii="宋体" w:hAnsi="宋体"/>
          <w:color w:val="auto"/>
          <w:sz w:val="24"/>
          <w:highlight w:val="none"/>
        </w:rPr>
        <w:t>响应文件上注明“正本”或“副本”字样。</w:t>
      </w:r>
    </w:p>
    <w:p w14:paraId="0A9B4743">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13.2响应文件的</w:t>
      </w:r>
      <w:r>
        <w:rPr>
          <w:rFonts w:hint="eastAsia" w:ascii="宋体" w:hAnsi="宋体"/>
          <w:color w:val="auto"/>
          <w:sz w:val="24"/>
          <w:highlight w:val="none"/>
          <w:lang w:val="en-US" w:eastAsia="zh-CN"/>
        </w:rPr>
        <w:t>密封</w:t>
      </w:r>
      <w:r>
        <w:rPr>
          <w:rFonts w:hint="eastAsia" w:ascii="宋体" w:hAnsi="宋体"/>
          <w:color w:val="auto"/>
          <w:sz w:val="24"/>
          <w:highlight w:val="none"/>
        </w:rPr>
        <w:t>详见供应商须知前附表。</w:t>
      </w:r>
    </w:p>
    <w:p w14:paraId="6817DD13">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13.3</w:t>
      </w:r>
      <w:r>
        <w:rPr>
          <w:rFonts w:ascii="宋体" w:hAnsi="宋体"/>
          <w:color w:val="auto"/>
          <w:sz w:val="24"/>
          <w:highlight w:val="none"/>
        </w:rPr>
        <w:t>如果供应商未按上述要求对响应文件</w:t>
      </w:r>
      <w:r>
        <w:rPr>
          <w:rFonts w:hint="eastAsia" w:ascii="宋体" w:hAnsi="宋体"/>
          <w:color w:val="auto"/>
          <w:sz w:val="24"/>
          <w:highlight w:val="none"/>
          <w:lang w:val="en-US" w:eastAsia="zh-CN"/>
        </w:rPr>
        <w:t>密封</w:t>
      </w:r>
      <w:r>
        <w:rPr>
          <w:rFonts w:ascii="宋体" w:hAnsi="宋体"/>
          <w:color w:val="auto"/>
          <w:sz w:val="24"/>
          <w:highlight w:val="none"/>
        </w:rPr>
        <w:t>，</w:t>
      </w:r>
      <w:r>
        <w:rPr>
          <w:rFonts w:hint="eastAsia" w:ascii="宋体" w:hAnsi="宋体"/>
          <w:color w:val="auto"/>
          <w:sz w:val="24"/>
          <w:highlight w:val="none"/>
        </w:rPr>
        <w:t>采购人及采购代理</w:t>
      </w:r>
      <w:r>
        <w:rPr>
          <w:rFonts w:ascii="宋体" w:hAnsi="宋体"/>
          <w:color w:val="auto"/>
          <w:sz w:val="24"/>
          <w:highlight w:val="none"/>
        </w:rPr>
        <w:t>对响应文件的误投和提前</w:t>
      </w:r>
      <w:r>
        <w:rPr>
          <w:rFonts w:hint="eastAsia" w:ascii="宋体" w:hAnsi="宋体"/>
          <w:color w:val="auto"/>
          <w:sz w:val="24"/>
          <w:highlight w:val="none"/>
          <w:lang w:val="en-US" w:eastAsia="zh-CN"/>
        </w:rPr>
        <w:t>开启</w:t>
      </w:r>
      <w:r>
        <w:rPr>
          <w:rFonts w:ascii="宋体" w:hAnsi="宋体"/>
          <w:color w:val="auto"/>
          <w:sz w:val="24"/>
          <w:highlight w:val="none"/>
        </w:rPr>
        <w:t>概不负责。对由此造成提前</w:t>
      </w:r>
      <w:r>
        <w:rPr>
          <w:rFonts w:hint="eastAsia" w:ascii="宋体" w:hAnsi="宋体"/>
          <w:color w:val="auto"/>
          <w:sz w:val="24"/>
          <w:highlight w:val="none"/>
          <w:lang w:val="en-US" w:eastAsia="zh-CN"/>
        </w:rPr>
        <w:t>开启</w:t>
      </w:r>
      <w:r>
        <w:rPr>
          <w:rFonts w:ascii="宋体" w:hAnsi="宋体"/>
          <w:color w:val="auto"/>
          <w:sz w:val="24"/>
          <w:highlight w:val="none"/>
        </w:rPr>
        <w:t>的响应文件，</w:t>
      </w:r>
      <w:r>
        <w:rPr>
          <w:rFonts w:hint="eastAsia" w:ascii="宋体" w:hAnsi="宋体"/>
          <w:color w:val="auto"/>
          <w:sz w:val="24"/>
          <w:highlight w:val="none"/>
        </w:rPr>
        <w:t>采购人及采购代理</w:t>
      </w:r>
      <w:r>
        <w:rPr>
          <w:rFonts w:ascii="宋体" w:hAnsi="宋体"/>
          <w:color w:val="auto"/>
          <w:sz w:val="24"/>
          <w:highlight w:val="none"/>
        </w:rPr>
        <w:t>有权予以拒绝，并退回供应商。</w:t>
      </w:r>
    </w:p>
    <w:p w14:paraId="73356F62">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14.  </w:t>
      </w:r>
      <w:r>
        <w:rPr>
          <w:rFonts w:hint="eastAsia" w:ascii="宋体" w:hAnsi="宋体"/>
          <w:color w:val="auto"/>
          <w:sz w:val="24"/>
          <w:highlight w:val="none"/>
        </w:rPr>
        <w:t>首次</w:t>
      </w:r>
      <w:r>
        <w:rPr>
          <w:rFonts w:hint="eastAsia" w:ascii="宋体" w:hAnsi="宋体"/>
          <w:color w:val="auto"/>
          <w:sz w:val="24"/>
          <w:szCs w:val="24"/>
          <w:highlight w:val="none"/>
        </w:rPr>
        <w:t>响应文件</w:t>
      </w:r>
      <w:r>
        <w:rPr>
          <w:rFonts w:hint="eastAsia" w:ascii="宋体" w:hAnsi="宋体"/>
          <w:b/>
          <w:color w:val="auto"/>
          <w:kern w:val="2"/>
          <w:sz w:val="24"/>
          <w:highlight w:val="none"/>
          <w:lang w:val="en-US" w:eastAsia="zh-CN"/>
        </w:rPr>
        <w:t>纸质版</w:t>
      </w:r>
      <w:r>
        <w:rPr>
          <w:rFonts w:hint="eastAsia" w:ascii="宋体" w:hAnsi="宋体"/>
          <w:color w:val="auto"/>
          <w:sz w:val="24"/>
          <w:szCs w:val="24"/>
          <w:highlight w:val="none"/>
        </w:rPr>
        <w:t>装订</w:t>
      </w:r>
    </w:p>
    <w:p w14:paraId="10DDC27A">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详见供应商须知前附表。</w:t>
      </w:r>
    </w:p>
    <w:p w14:paraId="72FB7D96">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15.  </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保证金</w:t>
      </w:r>
    </w:p>
    <w:p w14:paraId="7F0BD508">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15.1★供应商应按前附表的规定提交</w:t>
      </w:r>
      <w:r>
        <w:rPr>
          <w:rFonts w:hint="eastAsia" w:ascii="宋体" w:hAnsi="宋体"/>
          <w:color w:val="auto"/>
          <w:sz w:val="24"/>
          <w:highlight w:val="none"/>
          <w:lang w:eastAsia="zh-CN"/>
        </w:rPr>
        <w:t>谈判</w:t>
      </w:r>
      <w:r>
        <w:rPr>
          <w:rFonts w:hint="eastAsia" w:ascii="宋体" w:hAnsi="宋体"/>
          <w:color w:val="auto"/>
          <w:sz w:val="24"/>
          <w:highlight w:val="none"/>
        </w:rPr>
        <w:t>保证金，作为其响应文件的一部分。</w:t>
      </w:r>
    </w:p>
    <w:p w14:paraId="7D06D14D">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15.2如供应商有下列情况，</w:t>
      </w:r>
      <w:r>
        <w:rPr>
          <w:rFonts w:hint="eastAsia" w:ascii="宋体" w:hAnsi="宋体"/>
          <w:color w:val="auto"/>
          <w:sz w:val="24"/>
          <w:highlight w:val="none"/>
          <w:lang w:eastAsia="zh-CN"/>
        </w:rPr>
        <w:t>谈判</w:t>
      </w:r>
      <w:r>
        <w:rPr>
          <w:rFonts w:hint="eastAsia" w:ascii="宋体" w:hAnsi="宋体"/>
          <w:color w:val="auto"/>
          <w:sz w:val="24"/>
          <w:highlight w:val="none"/>
        </w:rPr>
        <w:t>保证金不予退还：</w:t>
      </w:r>
    </w:p>
    <w:p w14:paraId="4220D381">
      <w:pPr>
        <w:pStyle w:val="30"/>
        <w:spacing w:line="560" w:lineRule="exact"/>
        <w:ind w:firstLine="571" w:firstLineChars="238"/>
        <w:rPr>
          <w:rFonts w:ascii="宋体" w:hAnsi="宋体"/>
          <w:color w:val="auto"/>
          <w:sz w:val="24"/>
          <w:highlight w:val="none"/>
        </w:rPr>
      </w:pPr>
      <w:r>
        <w:rPr>
          <w:rFonts w:hint="eastAsia" w:ascii="宋体" w:hAnsi="宋体"/>
          <w:color w:val="auto"/>
          <w:sz w:val="24"/>
          <w:highlight w:val="none"/>
        </w:rPr>
        <w:t>1）供应商在提交响应文件截止时间后撤回响应文件的；</w:t>
      </w:r>
    </w:p>
    <w:p w14:paraId="043C5779">
      <w:pPr>
        <w:pStyle w:val="30"/>
        <w:spacing w:line="560" w:lineRule="exact"/>
        <w:ind w:firstLine="571" w:firstLineChars="238"/>
        <w:rPr>
          <w:rFonts w:ascii="宋体" w:hAnsi="宋体"/>
          <w:color w:val="auto"/>
          <w:sz w:val="24"/>
          <w:highlight w:val="none"/>
        </w:rPr>
      </w:pPr>
      <w:r>
        <w:rPr>
          <w:rFonts w:hint="eastAsia" w:ascii="宋体" w:hAnsi="宋体"/>
          <w:color w:val="auto"/>
          <w:sz w:val="24"/>
          <w:highlight w:val="none"/>
        </w:rPr>
        <w:t>2）供应商在响应文件中提供虚假材料的；</w:t>
      </w:r>
    </w:p>
    <w:p w14:paraId="4BEA7D47">
      <w:pPr>
        <w:pStyle w:val="30"/>
        <w:spacing w:line="560" w:lineRule="exact"/>
        <w:ind w:firstLine="571" w:firstLineChars="238"/>
        <w:rPr>
          <w:rFonts w:ascii="宋体" w:hAnsi="宋体"/>
          <w:color w:val="auto"/>
          <w:sz w:val="24"/>
          <w:highlight w:val="none"/>
        </w:rPr>
      </w:pPr>
      <w:r>
        <w:rPr>
          <w:rFonts w:hint="eastAsia" w:ascii="宋体" w:hAnsi="宋体"/>
          <w:color w:val="auto"/>
          <w:sz w:val="24"/>
          <w:highlight w:val="none"/>
        </w:rPr>
        <w:t>3）除因不可抗力或</w:t>
      </w:r>
      <w:r>
        <w:rPr>
          <w:rFonts w:hint="eastAsia" w:ascii="宋体" w:hAnsi="宋体"/>
          <w:color w:val="auto"/>
          <w:sz w:val="24"/>
          <w:highlight w:val="none"/>
          <w:lang w:eastAsia="zh-CN"/>
        </w:rPr>
        <w:t>谈判</w:t>
      </w:r>
      <w:r>
        <w:rPr>
          <w:rFonts w:hint="eastAsia" w:ascii="宋体" w:hAnsi="宋体"/>
          <w:color w:val="auto"/>
          <w:sz w:val="24"/>
          <w:highlight w:val="none"/>
        </w:rPr>
        <w:t>文件认可的情形以外，成交供应商不与采购人签订合同的；</w:t>
      </w:r>
    </w:p>
    <w:p w14:paraId="7440271A">
      <w:pPr>
        <w:pStyle w:val="30"/>
        <w:spacing w:line="560" w:lineRule="exact"/>
        <w:ind w:firstLine="571" w:firstLineChars="238"/>
        <w:rPr>
          <w:rFonts w:ascii="宋体" w:hAnsi="宋体"/>
          <w:color w:val="auto"/>
          <w:sz w:val="24"/>
          <w:highlight w:val="none"/>
        </w:rPr>
      </w:pPr>
      <w:r>
        <w:rPr>
          <w:rFonts w:hint="eastAsia" w:ascii="宋体" w:hAnsi="宋体"/>
          <w:color w:val="auto"/>
          <w:sz w:val="24"/>
          <w:highlight w:val="none"/>
        </w:rPr>
        <w:t>4）供应商与采购人、其他供应商或者采购代理机构恶意串通的；</w:t>
      </w:r>
    </w:p>
    <w:p w14:paraId="1931F88B">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5）法律法规和采购文件规定的其他情形。</w:t>
      </w:r>
    </w:p>
    <w:p w14:paraId="198A4458">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15.3</w:t>
      </w:r>
      <w:r>
        <w:rPr>
          <w:rFonts w:hint="eastAsia" w:ascii="宋体" w:hAnsi="宋体"/>
          <w:color w:val="auto"/>
          <w:sz w:val="24"/>
          <w:highlight w:val="none"/>
          <w:lang w:eastAsia="zh-CN"/>
        </w:rPr>
        <w:t>谈判</w:t>
      </w:r>
      <w:r>
        <w:rPr>
          <w:rFonts w:hint="eastAsia" w:ascii="宋体" w:hAnsi="宋体"/>
          <w:color w:val="auto"/>
          <w:sz w:val="24"/>
          <w:highlight w:val="none"/>
        </w:rPr>
        <w:t>保证金的退还：</w:t>
      </w:r>
    </w:p>
    <w:p w14:paraId="2613E22D">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1）未成交供应商的</w:t>
      </w:r>
      <w:r>
        <w:rPr>
          <w:rFonts w:hint="eastAsia" w:ascii="宋体" w:hAnsi="宋体"/>
          <w:color w:val="auto"/>
          <w:sz w:val="24"/>
          <w:highlight w:val="none"/>
          <w:lang w:eastAsia="zh-CN"/>
        </w:rPr>
        <w:t>谈判</w:t>
      </w:r>
      <w:r>
        <w:rPr>
          <w:rFonts w:hint="eastAsia" w:ascii="宋体" w:hAnsi="宋体"/>
          <w:color w:val="auto"/>
          <w:sz w:val="24"/>
          <w:highlight w:val="none"/>
        </w:rPr>
        <w:t>保证金，在成交通知书发出后5个工作日内退还；</w:t>
      </w:r>
    </w:p>
    <w:p w14:paraId="66788EEE">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2）成交供应商的</w:t>
      </w:r>
      <w:r>
        <w:rPr>
          <w:rFonts w:hint="eastAsia" w:ascii="宋体" w:hAnsi="宋体"/>
          <w:color w:val="auto"/>
          <w:sz w:val="24"/>
          <w:highlight w:val="none"/>
          <w:lang w:eastAsia="zh-CN"/>
        </w:rPr>
        <w:t>谈判</w:t>
      </w:r>
      <w:r>
        <w:rPr>
          <w:rFonts w:hint="eastAsia" w:ascii="宋体" w:hAnsi="宋体"/>
          <w:color w:val="auto"/>
          <w:sz w:val="24"/>
          <w:highlight w:val="none"/>
        </w:rPr>
        <w:t>保证金在签订合同后5个工作日内退还。</w:t>
      </w:r>
    </w:p>
    <w:p w14:paraId="2CF8987D">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16.  报价有效期</w:t>
      </w:r>
    </w:p>
    <w:p w14:paraId="4FDDC6E9">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16.1 </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本项目报价有效期见供应商须知前附表。</w:t>
      </w:r>
      <w:r>
        <w:rPr>
          <w:rFonts w:hint="eastAsia" w:ascii="宋体" w:hAnsi="宋体" w:eastAsia="宋体" w:cs="宋体"/>
          <w:b/>
          <w:color w:val="auto"/>
          <w:sz w:val="24"/>
          <w:highlight w:val="none"/>
        </w:rPr>
        <w:t>报价函的有效期比本须知规定的有效期短的，按无效报价处理</w:t>
      </w:r>
      <w:r>
        <w:rPr>
          <w:rFonts w:hint="eastAsia" w:ascii="宋体" w:hAnsi="宋体"/>
          <w:b/>
          <w:color w:val="auto"/>
          <w:sz w:val="24"/>
          <w:highlight w:val="none"/>
        </w:rPr>
        <w:t>。</w:t>
      </w:r>
    </w:p>
    <w:p w14:paraId="7942981F">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16.2 特殊情况下，在报价有效期满之前，代理机构可以以书面形式要求供应商同意延长报价有效期。供应商可以以书面形式拒绝或接受上述要求。拒绝延长报价有效期的供应商有权收回</w:t>
      </w:r>
      <w:r>
        <w:rPr>
          <w:rFonts w:hint="eastAsia" w:ascii="宋体" w:hAnsi="宋体"/>
          <w:color w:val="auto"/>
          <w:sz w:val="24"/>
          <w:highlight w:val="none"/>
          <w:lang w:eastAsia="zh-CN"/>
        </w:rPr>
        <w:t>谈判</w:t>
      </w:r>
      <w:r>
        <w:rPr>
          <w:rFonts w:hint="eastAsia" w:ascii="宋体" w:hAnsi="宋体"/>
          <w:color w:val="auto"/>
          <w:sz w:val="24"/>
          <w:highlight w:val="none"/>
        </w:rPr>
        <w:t>保证金；同意延长报价有效期的供应商应当相应延长其</w:t>
      </w:r>
      <w:r>
        <w:rPr>
          <w:rFonts w:hint="eastAsia" w:ascii="宋体" w:hAnsi="宋体"/>
          <w:color w:val="auto"/>
          <w:sz w:val="24"/>
          <w:highlight w:val="none"/>
          <w:lang w:eastAsia="zh-CN"/>
        </w:rPr>
        <w:t>谈判</w:t>
      </w:r>
      <w:r>
        <w:rPr>
          <w:rFonts w:hint="eastAsia" w:ascii="宋体" w:hAnsi="宋体"/>
          <w:color w:val="auto"/>
          <w:sz w:val="24"/>
          <w:highlight w:val="none"/>
        </w:rPr>
        <w:t>保证金的有效期，但不得修改响应文件的实质性内容。</w:t>
      </w:r>
    </w:p>
    <w:p w14:paraId="1F5122ED">
      <w:pPr>
        <w:pStyle w:val="3"/>
        <w:spacing w:before="120" w:after="120" w:line="360" w:lineRule="exact"/>
        <w:ind w:firstLine="516" w:firstLineChars="214"/>
        <w:rPr>
          <w:rFonts w:ascii="宋体" w:hAnsi="宋体" w:eastAsia="宋体"/>
          <w:color w:val="auto"/>
          <w:sz w:val="24"/>
          <w:szCs w:val="24"/>
          <w:highlight w:val="none"/>
        </w:rPr>
      </w:pPr>
      <w:bookmarkStart w:id="41" w:name="_Toc13062"/>
      <w:r>
        <w:rPr>
          <w:rFonts w:hint="eastAsia" w:ascii="宋体" w:hAnsi="宋体" w:eastAsia="宋体"/>
          <w:color w:val="auto"/>
          <w:sz w:val="24"/>
          <w:szCs w:val="24"/>
          <w:highlight w:val="none"/>
        </w:rPr>
        <w:t>四、</w:t>
      </w:r>
      <w:r>
        <w:rPr>
          <w:rFonts w:hint="eastAsia" w:ascii="宋体" w:hAnsi="宋体" w:eastAsia="宋体"/>
          <w:color w:val="auto"/>
          <w:sz w:val="24"/>
          <w:highlight w:val="none"/>
        </w:rPr>
        <w:t>首次</w:t>
      </w:r>
      <w:r>
        <w:rPr>
          <w:rFonts w:hint="eastAsia" w:ascii="宋体" w:hAnsi="宋体" w:eastAsia="宋体"/>
          <w:color w:val="auto"/>
          <w:sz w:val="24"/>
          <w:szCs w:val="24"/>
          <w:highlight w:val="none"/>
        </w:rPr>
        <w:t>响应文件递交</w:t>
      </w:r>
      <w:bookmarkEnd w:id="41"/>
    </w:p>
    <w:p w14:paraId="0E6C2441">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17.  首次响应文件递交时间和地点</w:t>
      </w:r>
    </w:p>
    <w:p w14:paraId="0B921B1A">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17.1 首次响应文件递交时间及地点、首次响应文件</w:t>
      </w:r>
      <w:r>
        <w:rPr>
          <w:rFonts w:hint="eastAsia" w:ascii="宋体" w:hAnsi="宋体"/>
          <w:color w:val="auto"/>
          <w:sz w:val="24"/>
          <w:highlight w:val="none"/>
          <w:lang w:eastAsia="zh-CN"/>
        </w:rPr>
        <w:t>递交</w:t>
      </w:r>
      <w:r>
        <w:rPr>
          <w:rFonts w:hint="eastAsia" w:ascii="宋体" w:hAnsi="宋体"/>
          <w:color w:val="auto"/>
          <w:sz w:val="24"/>
          <w:highlight w:val="none"/>
        </w:rPr>
        <w:t>截止时间详见供应商须知前附表。</w:t>
      </w:r>
    </w:p>
    <w:p w14:paraId="5B48BD71">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17.2 供应商代表必须在递交首次响应文件截止时间前将响应文件送达指定地点。如因采购文件的修改推迟报价截止日期的，则按代理机构另行通知规定的时间递交。</w:t>
      </w:r>
    </w:p>
    <w:p w14:paraId="3948067D">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17.3 代理机构不接收首次响应文件递交截止时间后送达的响应文件。</w:t>
      </w:r>
    </w:p>
    <w:p w14:paraId="273493B2">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18.  </w:t>
      </w:r>
      <w:r>
        <w:rPr>
          <w:rFonts w:hint="eastAsia" w:ascii="宋体" w:hAnsi="宋体"/>
          <w:color w:val="auto"/>
          <w:sz w:val="24"/>
          <w:highlight w:val="none"/>
        </w:rPr>
        <w:t>首次</w:t>
      </w:r>
      <w:r>
        <w:rPr>
          <w:rFonts w:hint="eastAsia" w:ascii="宋体" w:hAnsi="宋体"/>
          <w:color w:val="auto"/>
          <w:sz w:val="24"/>
          <w:szCs w:val="24"/>
          <w:highlight w:val="none"/>
        </w:rPr>
        <w:t>响应文件签收</w:t>
      </w:r>
    </w:p>
    <w:p w14:paraId="21C070D0">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18.1 本项目只接受书面形式的报价，其他形式的报价不予接收。</w:t>
      </w:r>
    </w:p>
    <w:p w14:paraId="354202D5">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18.2 首次响应文件递交截止时间后对供应商已提交的响应文件不予退还。</w:t>
      </w:r>
    </w:p>
    <w:p w14:paraId="3F0E727D">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 xml:space="preserve">19.  </w:t>
      </w:r>
      <w:r>
        <w:rPr>
          <w:rFonts w:hint="eastAsia" w:ascii="宋体" w:hAnsi="宋体"/>
          <w:color w:val="auto"/>
          <w:sz w:val="24"/>
          <w:highlight w:val="none"/>
        </w:rPr>
        <w:t>首次</w:t>
      </w:r>
      <w:r>
        <w:rPr>
          <w:rFonts w:hint="eastAsia" w:ascii="宋体" w:hAnsi="宋体"/>
          <w:color w:val="auto"/>
          <w:sz w:val="24"/>
          <w:szCs w:val="24"/>
          <w:highlight w:val="none"/>
        </w:rPr>
        <w:t>响应文件修改与撤回</w:t>
      </w:r>
    </w:p>
    <w:p w14:paraId="515D0C2D">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19.1 供应商在采购文件要求提交首次响应文件的截止时间前，可以修改或者撤回已提交的首次响应文件，并以书面形式通知代理机构。</w:t>
      </w:r>
    </w:p>
    <w:p w14:paraId="21ACC53F">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19.2 首次响应文件任何修改内容必须由供应商的法定代表人或其委托代理人签字，不得涂抹。经法定代表人或其委托代理人正式签署的修改文件组成响应文件的一部分，份数和</w:t>
      </w:r>
      <w:r>
        <w:rPr>
          <w:rFonts w:hint="eastAsia" w:ascii="宋体" w:hAnsi="宋体"/>
          <w:color w:val="auto"/>
          <w:sz w:val="24"/>
          <w:highlight w:val="none"/>
          <w:lang w:val="en-US" w:eastAsia="zh-CN"/>
        </w:rPr>
        <w:t>密封</w:t>
      </w:r>
      <w:r>
        <w:rPr>
          <w:rFonts w:hint="eastAsia" w:ascii="宋体" w:hAnsi="宋体"/>
          <w:color w:val="auto"/>
          <w:sz w:val="24"/>
          <w:highlight w:val="none"/>
        </w:rPr>
        <w:t>要求同响应文件一致。</w:t>
      </w:r>
    </w:p>
    <w:p w14:paraId="79B1C67A">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 xml:space="preserve">19.3报价有效期内不得撤回响应文件。 </w:t>
      </w:r>
    </w:p>
    <w:p w14:paraId="5B676E64">
      <w:pPr>
        <w:pStyle w:val="3"/>
        <w:spacing w:before="120" w:after="120" w:line="360" w:lineRule="exact"/>
        <w:ind w:firstLine="516" w:firstLineChars="214"/>
        <w:rPr>
          <w:rFonts w:ascii="宋体" w:hAnsi="宋体" w:eastAsia="宋体"/>
          <w:color w:val="auto"/>
          <w:sz w:val="24"/>
          <w:szCs w:val="24"/>
          <w:highlight w:val="none"/>
        </w:rPr>
      </w:pPr>
      <w:bookmarkStart w:id="42" w:name="_Toc17612"/>
      <w:r>
        <w:rPr>
          <w:rFonts w:hint="eastAsia" w:ascii="宋体" w:hAnsi="宋体" w:eastAsia="宋体"/>
          <w:color w:val="auto"/>
          <w:sz w:val="24"/>
          <w:szCs w:val="24"/>
          <w:highlight w:val="none"/>
        </w:rPr>
        <w:t>五、</w:t>
      </w:r>
      <w:r>
        <w:rPr>
          <w:rFonts w:hint="eastAsia" w:ascii="宋体" w:hAnsi="宋体" w:eastAsia="宋体"/>
          <w:color w:val="auto"/>
          <w:sz w:val="24"/>
          <w:szCs w:val="24"/>
          <w:highlight w:val="none"/>
          <w:lang w:eastAsia="zh-CN"/>
        </w:rPr>
        <w:t>谈判</w:t>
      </w:r>
      <w:r>
        <w:rPr>
          <w:rFonts w:hint="eastAsia" w:ascii="宋体" w:hAnsi="宋体" w:eastAsia="宋体"/>
          <w:color w:val="auto"/>
          <w:sz w:val="24"/>
          <w:szCs w:val="24"/>
          <w:highlight w:val="none"/>
        </w:rPr>
        <w:t>会议仪式、</w:t>
      </w:r>
      <w:r>
        <w:rPr>
          <w:rFonts w:hint="eastAsia" w:ascii="宋体" w:hAnsi="宋体" w:eastAsia="宋体"/>
          <w:color w:val="auto"/>
          <w:sz w:val="24"/>
          <w:szCs w:val="24"/>
          <w:highlight w:val="none"/>
          <w:lang w:eastAsia="zh-CN"/>
        </w:rPr>
        <w:t>谈判</w:t>
      </w:r>
      <w:r>
        <w:rPr>
          <w:rFonts w:hint="eastAsia" w:ascii="宋体" w:hAnsi="宋体" w:eastAsia="宋体"/>
          <w:color w:val="auto"/>
          <w:sz w:val="24"/>
          <w:szCs w:val="24"/>
          <w:highlight w:val="none"/>
        </w:rPr>
        <w:t>与评审</w:t>
      </w:r>
      <w:bookmarkEnd w:id="42"/>
    </w:p>
    <w:p w14:paraId="3C4C3D18">
      <w:pPr>
        <w:pStyle w:val="30"/>
        <w:spacing w:after="0" w:line="560" w:lineRule="exact"/>
        <w:ind w:firstLine="571" w:firstLineChars="238"/>
        <w:rPr>
          <w:rFonts w:ascii="宋体" w:hAnsi="宋体"/>
          <w:color w:val="auto"/>
          <w:sz w:val="24"/>
          <w:highlight w:val="none"/>
        </w:rPr>
      </w:pPr>
      <w:r>
        <w:rPr>
          <w:rFonts w:hint="eastAsia" w:ascii="宋体" w:hAnsi="宋体"/>
          <w:color w:val="auto"/>
          <w:sz w:val="24"/>
          <w:highlight w:val="none"/>
        </w:rPr>
        <w:t>本次采购项目的</w:t>
      </w:r>
      <w:r>
        <w:rPr>
          <w:rFonts w:hint="eastAsia" w:ascii="宋体" w:hAnsi="宋体"/>
          <w:color w:val="auto"/>
          <w:sz w:val="24"/>
          <w:highlight w:val="none"/>
          <w:lang w:eastAsia="zh-CN"/>
        </w:rPr>
        <w:t>谈判</w:t>
      </w:r>
      <w:r>
        <w:rPr>
          <w:rFonts w:hint="eastAsia" w:ascii="宋体" w:hAnsi="宋体"/>
          <w:color w:val="auto"/>
          <w:sz w:val="24"/>
          <w:highlight w:val="none"/>
        </w:rPr>
        <w:t>会议、</w:t>
      </w:r>
      <w:r>
        <w:rPr>
          <w:rFonts w:hint="eastAsia" w:ascii="宋体" w:hAnsi="宋体"/>
          <w:color w:val="auto"/>
          <w:sz w:val="24"/>
          <w:highlight w:val="none"/>
          <w:lang w:eastAsia="zh-CN"/>
        </w:rPr>
        <w:t>谈判</w:t>
      </w:r>
      <w:r>
        <w:rPr>
          <w:rFonts w:hint="eastAsia" w:ascii="宋体" w:hAnsi="宋体"/>
          <w:color w:val="auto"/>
          <w:sz w:val="24"/>
          <w:highlight w:val="none"/>
        </w:rPr>
        <w:t>和评审过程由采购人依法组织实施。</w:t>
      </w:r>
    </w:p>
    <w:p w14:paraId="4BE46306">
      <w:pPr>
        <w:pStyle w:val="4"/>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 xml:space="preserve">20.  </w:t>
      </w:r>
      <w:bookmarkEnd w:id="38"/>
      <w:bookmarkEnd w:id="39"/>
      <w:bookmarkEnd w:id="40"/>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会议仪式</w:t>
      </w:r>
    </w:p>
    <w:p w14:paraId="07B940EB">
      <w:pPr>
        <w:pStyle w:val="30"/>
        <w:spacing w:after="0" w:line="560" w:lineRule="exact"/>
        <w:ind w:firstLine="571" w:firstLineChars="238"/>
        <w:rPr>
          <w:rFonts w:ascii="宋体" w:hAnsi="宋体"/>
          <w:color w:val="auto"/>
          <w:sz w:val="24"/>
          <w:highlight w:val="none"/>
        </w:rPr>
      </w:pPr>
      <w:r>
        <w:rPr>
          <w:rFonts w:ascii="宋体" w:hAnsi="宋体"/>
          <w:color w:val="auto"/>
          <w:sz w:val="24"/>
          <w:highlight w:val="none"/>
        </w:rPr>
        <w:t xml:space="preserve">20.1 </w:t>
      </w:r>
      <w:r>
        <w:rPr>
          <w:rFonts w:hint="eastAsia" w:ascii="宋体" w:hAnsi="宋体"/>
          <w:color w:val="auto"/>
          <w:sz w:val="24"/>
          <w:highlight w:val="none"/>
        </w:rPr>
        <w:t>本项目举行</w:t>
      </w:r>
      <w:r>
        <w:rPr>
          <w:rFonts w:hint="eastAsia" w:ascii="宋体" w:hAnsi="宋体"/>
          <w:color w:val="auto"/>
          <w:sz w:val="24"/>
          <w:highlight w:val="none"/>
          <w:lang w:eastAsia="zh-CN"/>
        </w:rPr>
        <w:t>谈判</w:t>
      </w:r>
      <w:r>
        <w:rPr>
          <w:rFonts w:hint="eastAsia" w:ascii="宋体" w:hAnsi="宋体"/>
          <w:color w:val="auto"/>
          <w:sz w:val="24"/>
          <w:highlight w:val="none"/>
        </w:rPr>
        <w:t>会议的时间和地点见供应商须知前附表。</w:t>
      </w:r>
    </w:p>
    <w:p w14:paraId="2AA15A93">
      <w:pPr>
        <w:pStyle w:val="30"/>
        <w:spacing w:after="0" w:line="560" w:lineRule="exact"/>
        <w:ind w:firstLine="571" w:firstLineChars="238"/>
        <w:rPr>
          <w:rFonts w:hint="eastAsia" w:ascii="宋体" w:hAnsi="宋体"/>
          <w:color w:val="auto"/>
          <w:sz w:val="24"/>
          <w:highlight w:val="none"/>
        </w:rPr>
      </w:pPr>
      <w:r>
        <w:rPr>
          <w:rFonts w:hint="eastAsia" w:ascii="宋体" w:hAnsi="宋体"/>
          <w:color w:val="auto"/>
          <w:sz w:val="24"/>
          <w:highlight w:val="none"/>
          <w:lang w:eastAsia="zh-CN"/>
        </w:rPr>
        <w:t>谈判</w:t>
      </w:r>
      <w:r>
        <w:rPr>
          <w:rFonts w:hint="eastAsia" w:ascii="宋体" w:hAnsi="宋体"/>
          <w:color w:val="auto"/>
          <w:sz w:val="24"/>
          <w:highlight w:val="none"/>
        </w:rPr>
        <w:t>会议仪式由代理机构组织并主持，邀请所有递交首次响应文件的供应商代表参加。未参加</w:t>
      </w:r>
      <w:r>
        <w:rPr>
          <w:rFonts w:hint="eastAsia" w:ascii="宋体" w:hAnsi="宋体"/>
          <w:color w:val="auto"/>
          <w:sz w:val="24"/>
          <w:highlight w:val="none"/>
          <w:lang w:eastAsia="zh-CN"/>
        </w:rPr>
        <w:t>谈判</w:t>
      </w:r>
      <w:r>
        <w:rPr>
          <w:rFonts w:hint="eastAsia" w:ascii="宋体" w:hAnsi="宋体"/>
          <w:color w:val="auto"/>
          <w:sz w:val="24"/>
          <w:highlight w:val="none"/>
        </w:rPr>
        <w:t>会议的，视同为默认</w:t>
      </w:r>
      <w:r>
        <w:rPr>
          <w:rFonts w:hint="eastAsia" w:ascii="宋体" w:hAnsi="宋体"/>
          <w:color w:val="auto"/>
          <w:sz w:val="24"/>
          <w:highlight w:val="none"/>
          <w:lang w:eastAsia="zh-CN"/>
        </w:rPr>
        <w:t>谈判</w:t>
      </w:r>
      <w:r>
        <w:rPr>
          <w:rFonts w:hint="eastAsia" w:ascii="宋体" w:hAnsi="宋体"/>
          <w:color w:val="auto"/>
          <w:sz w:val="24"/>
          <w:highlight w:val="none"/>
        </w:rPr>
        <w:t>会议结果。</w:t>
      </w:r>
    </w:p>
    <w:p w14:paraId="3023C287">
      <w:pPr>
        <w:pStyle w:val="30"/>
        <w:spacing w:after="0" w:line="560" w:lineRule="exact"/>
        <w:ind w:firstLine="571" w:firstLineChars="238"/>
        <w:rPr>
          <w:rFonts w:ascii="宋体" w:hAnsi="宋体"/>
          <w:color w:val="auto"/>
          <w:sz w:val="24"/>
          <w:highlight w:val="none"/>
        </w:rPr>
      </w:pPr>
      <w:r>
        <w:rPr>
          <w:rFonts w:ascii="宋体" w:hAnsi="宋体"/>
          <w:color w:val="auto"/>
          <w:sz w:val="24"/>
          <w:highlight w:val="none"/>
        </w:rPr>
        <w:t>20.2</w:t>
      </w:r>
      <w:r>
        <w:rPr>
          <w:rFonts w:hint="eastAsia" w:ascii="宋体" w:hAnsi="宋体"/>
          <w:color w:val="auto"/>
          <w:sz w:val="24"/>
          <w:highlight w:val="none"/>
          <w:lang w:eastAsia="zh-CN"/>
        </w:rPr>
        <w:t>谈判</w:t>
      </w:r>
      <w:r>
        <w:rPr>
          <w:rFonts w:hint="eastAsia" w:ascii="宋体" w:hAnsi="宋体"/>
          <w:color w:val="auto"/>
          <w:sz w:val="24"/>
          <w:highlight w:val="none"/>
        </w:rPr>
        <w:t>会议过程中，供应商代表、</w:t>
      </w:r>
      <w:r>
        <w:rPr>
          <w:rFonts w:ascii="宋体" w:hAnsi="宋体"/>
          <w:color w:val="auto"/>
          <w:sz w:val="24"/>
          <w:highlight w:val="none"/>
        </w:rPr>
        <w:t>公证员/律师</w:t>
      </w:r>
      <w:r>
        <w:rPr>
          <w:rFonts w:hint="eastAsia" w:ascii="宋体" w:hAnsi="宋体"/>
          <w:color w:val="auto"/>
          <w:sz w:val="24"/>
          <w:highlight w:val="none"/>
        </w:rPr>
        <w:t>（如有）共同对首次响应文件的</w:t>
      </w:r>
      <w:r>
        <w:rPr>
          <w:rFonts w:hint="eastAsia" w:ascii="宋体" w:hAnsi="宋体"/>
          <w:color w:val="auto"/>
          <w:sz w:val="24"/>
          <w:highlight w:val="none"/>
          <w:lang w:val="en-US" w:eastAsia="zh-CN"/>
        </w:rPr>
        <w:t>密封</w:t>
      </w:r>
      <w:r>
        <w:rPr>
          <w:rFonts w:hint="eastAsia" w:ascii="宋体" w:hAnsi="宋体"/>
          <w:color w:val="auto"/>
          <w:sz w:val="24"/>
          <w:highlight w:val="none"/>
        </w:rPr>
        <w:t>情况进行检查并签字确认，现场宣布检查结果。</w:t>
      </w:r>
    </w:p>
    <w:p w14:paraId="2F1E1068">
      <w:pPr>
        <w:pStyle w:val="30"/>
        <w:spacing w:after="0" w:line="560" w:lineRule="exact"/>
        <w:ind w:firstLine="571" w:firstLineChars="238"/>
        <w:rPr>
          <w:rFonts w:ascii="宋体" w:hAnsi="宋体" w:cs="宋体"/>
          <w:color w:val="auto"/>
          <w:sz w:val="24"/>
          <w:highlight w:val="none"/>
        </w:rPr>
      </w:pPr>
      <w:r>
        <w:rPr>
          <w:rFonts w:ascii="宋体" w:hAnsi="宋体" w:cs="宋体"/>
          <w:color w:val="auto"/>
          <w:sz w:val="24"/>
          <w:highlight w:val="none"/>
        </w:rPr>
        <w:t>20.3</w:t>
      </w:r>
      <w:r>
        <w:rPr>
          <w:rFonts w:hint="eastAsia" w:ascii="宋体" w:hAnsi="宋体" w:cs="宋体"/>
          <w:color w:val="auto"/>
          <w:sz w:val="24"/>
          <w:highlight w:val="none"/>
        </w:rPr>
        <w:t>首次响应文件的</w:t>
      </w:r>
      <w:r>
        <w:rPr>
          <w:rFonts w:hint="eastAsia" w:ascii="宋体" w:hAnsi="宋体" w:cs="宋体"/>
          <w:color w:val="auto"/>
          <w:sz w:val="24"/>
          <w:highlight w:val="none"/>
          <w:lang w:val="en-US" w:eastAsia="zh-CN"/>
        </w:rPr>
        <w:t>密封</w:t>
      </w:r>
      <w:r>
        <w:rPr>
          <w:rFonts w:hint="eastAsia" w:ascii="宋体" w:hAnsi="宋体" w:cs="宋体"/>
          <w:color w:val="auto"/>
          <w:sz w:val="24"/>
          <w:highlight w:val="none"/>
        </w:rPr>
        <w:t>情况经检查确认无误后，采购代理机构工作人员将</w:t>
      </w:r>
      <w:r>
        <w:rPr>
          <w:rFonts w:hint="eastAsia" w:ascii="宋体" w:hAnsi="宋体" w:cs="宋体"/>
          <w:color w:val="auto"/>
          <w:sz w:val="24"/>
          <w:highlight w:val="none"/>
          <w:lang w:val="en-US" w:eastAsia="zh-CN"/>
        </w:rPr>
        <w:t>解密</w:t>
      </w:r>
      <w:r>
        <w:rPr>
          <w:rFonts w:hint="eastAsia" w:ascii="宋体" w:hAnsi="宋体" w:cs="宋体"/>
          <w:color w:val="auto"/>
          <w:sz w:val="24"/>
          <w:highlight w:val="none"/>
        </w:rPr>
        <w:t>首次响应文件。</w:t>
      </w:r>
    </w:p>
    <w:p w14:paraId="18F1075C">
      <w:pPr>
        <w:pStyle w:val="30"/>
        <w:spacing w:after="0" w:line="560" w:lineRule="exact"/>
        <w:ind w:firstLine="571" w:firstLineChars="238"/>
        <w:rPr>
          <w:rFonts w:ascii="宋体" w:hAnsi="宋体" w:cs="宋体"/>
          <w:color w:val="auto"/>
          <w:sz w:val="24"/>
          <w:highlight w:val="none"/>
        </w:rPr>
      </w:pPr>
      <w:r>
        <w:rPr>
          <w:rFonts w:hint="eastAsia" w:ascii="宋体" w:hAnsi="宋体" w:cs="宋体"/>
          <w:color w:val="auto"/>
          <w:sz w:val="24"/>
          <w:highlight w:val="none"/>
        </w:rPr>
        <w:t>20.4按本章“供应商须知前附表”的规定，如本项目首轮报价公开，唱价员将宣读首轮报价一览表的内容，供应商授权代表对公开唱价记录现场签字确认；如本项目首轮报价不公开，主持人宣布递交首次响应文件的供应商名单后，首次响应文件将直接送至</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小组审阅。</w:t>
      </w:r>
    </w:p>
    <w:p w14:paraId="24E5248A">
      <w:pPr>
        <w:pStyle w:val="4"/>
        <w:spacing w:before="0" w:after="0" w:line="500" w:lineRule="exact"/>
        <w:ind w:firstLine="504" w:firstLineChars="209"/>
        <w:rPr>
          <w:rFonts w:ascii="宋体" w:hAnsi="宋体"/>
          <w:color w:val="auto"/>
          <w:sz w:val="24"/>
          <w:szCs w:val="24"/>
          <w:highlight w:val="none"/>
        </w:rPr>
      </w:pPr>
      <w:bookmarkStart w:id="43" w:name="_Toc346306754"/>
      <w:bookmarkStart w:id="44" w:name="_Toc346372901"/>
      <w:bookmarkStart w:id="45" w:name="_Toc352332875"/>
      <w:r>
        <w:rPr>
          <w:rFonts w:ascii="宋体" w:hAnsi="宋体"/>
          <w:color w:val="auto"/>
          <w:sz w:val="24"/>
          <w:szCs w:val="24"/>
          <w:highlight w:val="none"/>
        </w:rPr>
        <w:t xml:space="preserve">21.  </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w:t>
      </w:r>
      <w:bookmarkEnd w:id="43"/>
      <w:bookmarkEnd w:id="44"/>
      <w:bookmarkEnd w:id="45"/>
    </w:p>
    <w:p w14:paraId="0E8452F7">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采购人</w:t>
      </w:r>
      <w:r>
        <w:rPr>
          <w:rFonts w:ascii="宋体" w:hAnsi="宋体"/>
          <w:color w:val="auto"/>
          <w:sz w:val="24"/>
          <w:highlight w:val="none"/>
        </w:rPr>
        <w:t>根据有关法律法规和本采购文件的规定，结合</w:t>
      </w:r>
      <w:r>
        <w:rPr>
          <w:rFonts w:hint="eastAsia" w:ascii="宋体" w:hAnsi="宋体"/>
          <w:color w:val="auto"/>
          <w:sz w:val="24"/>
          <w:highlight w:val="none"/>
        </w:rPr>
        <w:t>采购</w:t>
      </w:r>
      <w:r>
        <w:rPr>
          <w:rFonts w:ascii="宋体" w:hAnsi="宋体"/>
          <w:color w:val="auto"/>
          <w:sz w:val="24"/>
          <w:highlight w:val="none"/>
        </w:rPr>
        <w:t>项目的特点组建</w:t>
      </w:r>
      <w:r>
        <w:rPr>
          <w:rFonts w:hint="eastAsia" w:ascii="宋体" w:hAnsi="宋体"/>
          <w:color w:val="auto"/>
          <w:sz w:val="24"/>
          <w:highlight w:val="none"/>
          <w:lang w:eastAsia="zh-CN"/>
        </w:rPr>
        <w:t>谈判</w:t>
      </w:r>
      <w:r>
        <w:rPr>
          <w:rFonts w:ascii="宋体" w:hAnsi="宋体"/>
          <w:color w:val="auto"/>
          <w:sz w:val="24"/>
          <w:highlight w:val="none"/>
        </w:rPr>
        <w:t>小组</w:t>
      </w:r>
      <w:r>
        <w:rPr>
          <w:rFonts w:hint="eastAsia" w:ascii="宋体" w:hAnsi="宋体"/>
          <w:color w:val="auto"/>
          <w:sz w:val="24"/>
          <w:highlight w:val="none"/>
        </w:rPr>
        <w:t>。</w:t>
      </w:r>
      <w:r>
        <w:rPr>
          <w:rFonts w:hint="eastAsia" w:ascii="宋体" w:hAnsi="宋体"/>
          <w:color w:val="auto"/>
          <w:sz w:val="24"/>
          <w:highlight w:val="none"/>
          <w:lang w:eastAsia="zh-CN"/>
        </w:rPr>
        <w:t>谈判</w:t>
      </w:r>
      <w:r>
        <w:rPr>
          <w:rFonts w:hint="eastAsia" w:ascii="宋体" w:hAnsi="宋体"/>
          <w:color w:val="auto"/>
          <w:sz w:val="24"/>
          <w:highlight w:val="none"/>
        </w:rPr>
        <w:t>小组负责</w:t>
      </w:r>
      <w:r>
        <w:rPr>
          <w:rFonts w:ascii="宋体" w:hAnsi="宋体"/>
          <w:color w:val="auto"/>
          <w:sz w:val="24"/>
          <w:highlight w:val="none"/>
        </w:rPr>
        <w:t>对响应文件进行评估和比较。</w:t>
      </w:r>
      <w:r>
        <w:rPr>
          <w:rFonts w:hint="eastAsia" w:ascii="宋体" w:hAnsi="宋体"/>
          <w:color w:val="auto"/>
          <w:sz w:val="24"/>
          <w:highlight w:val="none"/>
          <w:lang w:eastAsia="zh-CN"/>
        </w:rPr>
        <w:t>谈判</w:t>
      </w:r>
      <w:r>
        <w:rPr>
          <w:rFonts w:ascii="宋体" w:hAnsi="宋体"/>
          <w:color w:val="auto"/>
          <w:sz w:val="24"/>
          <w:highlight w:val="none"/>
        </w:rPr>
        <w:t>小组由</w:t>
      </w:r>
      <w:r>
        <w:rPr>
          <w:rFonts w:hint="eastAsia" w:ascii="宋体" w:hAnsi="宋体"/>
          <w:color w:val="auto"/>
          <w:sz w:val="24"/>
          <w:highlight w:val="none"/>
        </w:rPr>
        <w:t>三</w:t>
      </w:r>
      <w:r>
        <w:rPr>
          <w:rFonts w:ascii="宋体" w:hAnsi="宋体"/>
          <w:color w:val="auto"/>
          <w:sz w:val="24"/>
          <w:highlight w:val="none"/>
        </w:rPr>
        <w:t>人</w:t>
      </w:r>
      <w:r>
        <w:rPr>
          <w:rFonts w:hint="eastAsia" w:ascii="宋体" w:hAnsi="宋体"/>
          <w:color w:val="auto"/>
          <w:sz w:val="24"/>
          <w:highlight w:val="none"/>
        </w:rPr>
        <w:t>或</w:t>
      </w:r>
      <w:r>
        <w:rPr>
          <w:rFonts w:ascii="宋体" w:hAnsi="宋体"/>
          <w:color w:val="auto"/>
          <w:sz w:val="24"/>
          <w:highlight w:val="none"/>
        </w:rPr>
        <w:t>以上单数组成，其中</w:t>
      </w:r>
      <w:r>
        <w:rPr>
          <w:rFonts w:hint="eastAsia" w:ascii="宋体" w:hAnsi="宋体"/>
          <w:color w:val="auto"/>
          <w:sz w:val="24"/>
          <w:highlight w:val="none"/>
        </w:rPr>
        <w:t>评审</w:t>
      </w:r>
      <w:r>
        <w:rPr>
          <w:rFonts w:ascii="宋体" w:hAnsi="宋体"/>
          <w:color w:val="auto"/>
          <w:sz w:val="24"/>
          <w:highlight w:val="none"/>
        </w:rPr>
        <w:t>专家不少于三分之二。</w:t>
      </w:r>
      <w:r>
        <w:rPr>
          <w:rFonts w:hint="eastAsia" w:ascii="宋体" w:hAnsi="宋体"/>
          <w:color w:val="auto"/>
          <w:sz w:val="24"/>
          <w:highlight w:val="none"/>
          <w:lang w:eastAsia="zh-CN"/>
        </w:rPr>
        <w:t>谈判</w:t>
      </w:r>
      <w:r>
        <w:rPr>
          <w:rFonts w:hint="eastAsia" w:ascii="宋体" w:hAnsi="宋体"/>
          <w:color w:val="auto"/>
          <w:sz w:val="24"/>
          <w:highlight w:val="none"/>
        </w:rPr>
        <w:t>小组的组成见供应商须知前附表。</w:t>
      </w:r>
    </w:p>
    <w:p w14:paraId="073701DB">
      <w:pPr>
        <w:pStyle w:val="4"/>
        <w:spacing w:before="0" w:after="0" w:line="500" w:lineRule="exact"/>
        <w:ind w:firstLine="504" w:firstLineChars="209"/>
        <w:rPr>
          <w:rFonts w:ascii="宋体" w:hAnsi="宋体"/>
          <w:color w:val="auto"/>
          <w:sz w:val="24"/>
          <w:szCs w:val="24"/>
          <w:highlight w:val="none"/>
        </w:rPr>
      </w:pPr>
      <w:bookmarkStart w:id="46" w:name="_Toc346306755"/>
      <w:bookmarkStart w:id="47" w:name="_Toc352332876"/>
      <w:bookmarkStart w:id="48" w:name="_Toc346372902"/>
      <w:r>
        <w:rPr>
          <w:rFonts w:ascii="宋体" w:hAnsi="宋体"/>
          <w:color w:val="auto"/>
          <w:sz w:val="24"/>
          <w:szCs w:val="24"/>
          <w:highlight w:val="none"/>
        </w:rPr>
        <w:t xml:space="preserve">22.  </w:t>
      </w:r>
      <w:r>
        <w:rPr>
          <w:rFonts w:hint="eastAsia" w:ascii="宋体" w:hAnsi="宋体"/>
          <w:color w:val="auto"/>
          <w:sz w:val="24"/>
          <w:szCs w:val="24"/>
          <w:highlight w:val="none"/>
        </w:rPr>
        <w:t>评审原则</w:t>
      </w:r>
      <w:bookmarkEnd w:id="46"/>
      <w:bookmarkEnd w:id="47"/>
      <w:bookmarkEnd w:id="48"/>
    </w:p>
    <w:p w14:paraId="27D58FFE">
      <w:pPr>
        <w:pStyle w:val="30"/>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“客观、公正、审慎”为本次评审的基本原则，评审小组将按照这一原则公正、平等地对待各供应商，同时在评审过程中遵守以下原则：</w:t>
      </w:r>
    </w:p>
    <w:p w14:paraId="33F5E093">
      <w:pPr>
        <w:pStyle w:val="30"/>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21.1 客观性原则；评审小组将严格按照采购文件的规定，对响应文件的评审仅依据响应文件本身，而不依据响应文件以外的任何因素。</w:t>
      </w:r>
    </w:p>
    <w:p w14:paraId="231EF8EF">
      <w:pPr>
        <w:pStyle w:val="30"/>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21.2 公正性原则；评审小组依据采购文件规定的评审程序、评审方法和评审标准按统一方法、同一标准进行独立评审，并对响应文件的各项指标进行综合分析和比较，而不以单项指标的优劣进行评审。</w:t>
      </w:r>
    </w:p>
    <w:p w14:paraId="7619BDEC">
      <w:pPr>
        <w:pStyle w:val="30"/>
        <w:spacing w:after="0" w:line="560" w:lineRule="exact"/>
        <w:ind w:firstLine="487" w:firstLineChars="203"/>
        <w:rPr>
          <w:rFonts w:ascii="宋体" w:hAnsi="宋体" w:cs="宋体"/>
          <w:color w:val="auto"/>
          <w:sz w:val="24"/>
          <w:highlight w:val="none"/>
        </w:rPr>
      </w:pPr>
      <w:r>
        <w:rPr>
          <w:rFonts w:hint="eastAsia" w:ascii="宋体" w:hAnsi="宋体" w:cs="宋体"/>
          <w:color w:val="auto"/>
          <w:sz w:val="24"/>
          <w:highlight w:val="none"/>
        </w:rPr>
        <w:t>21.3 审慎性原则：评审小组独立对响应文件进行审阅，依据</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文件规定的评审标准审慎评审 。评审小组的评审不受外界任何因素的干扰和影响，评审小组成员对出具的评审意见承担个人责任。</w:t>
      </w:r>
    </w:p>
    <w:p w14:paraId="2AFAB97E">
      <w:pPr>
        <w:pStyle w:val="4"/>
        <w:spacing w:before="0" w:after="0" w:line="500" w:lineRule="exact"/>
        <w:ind w:firstLine="504" w:firstLineChars="209"/>
        <w:rPr>
          <w:rFonts w:ascii="宋体" w:hAnsi="宋体"/>
          <w:color w:val="auto"/>
          <w:sz w:val="24"/>
          <w:szCs w:val="24"/>
          <w:highlight w:val="none"/>
        </w:rPr>
      </w:pPr>
      <w:bookmarkStart w:id="49" w:name="_Toc346372903"/>
      <w:bookmarkStart w:id="50" w:name="_Toc352332877"/>
      <w:bookmarkStart w:id="51" w:name="_Toc346306756"/>
      <w:r>
        <w:rPr>
          <w:rFonts w:ascii="宋体" w:hAnsi="宋体"/>
          <w:color w:val="auto"/>
          <w:sz w:val="24"/>
          <w:szCs w:val="24"/>
          <w:highlight w:val="none"/>
        </w:rPr>
        <w:t xml:space="preserve">23.  </w:t>
      </w:r>
      <w:r>
        <w:rPr>
          <w:rFonts w:hint="eastAsia" w:ascii="宋体" w:hAnsi="宋体"/>
          <w:color w:val="auto"/>
          <w:sz w:val="24"/>
          <w:szCs w:val="24"/>
          <w:highlight w:val="none"/>
        </w:rPr>
        <w:t>评审方法</w:t>
      </w:r>
      <w:bookmarkEnd w:id="49"/>
      <w:bookmarkEnd w:id="50"/>
      <w:bookmarkEnd w:id="51"/>
    </w:p>
    <w:p w14:paraId="46162A1D">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本项目评审方法见供应商须知前附表。</w:t>
      </w:r>
    </w:p>
    <w:p w14:paraId="36E8FDB1">
      <w:pPr>
        <w:pStyle w:val="4"/>
        <w:spacing w:before="0" w:after="0" w:line="500" w:lineRule="exact"/>
        <w:ind w:firstLine="504" w:firstLineChars="209"/>
        <w:rPr>
          <w:rFonts w:ascii="宋体" w:hAnsi="宋体"/>
          <w:color w:val="auto"/>
          <w:sz w:val="24"/>
          <w:szCs w:val="24"/>
          <w:highlight w:val="none"/>
        </w:rPr>
      </w:pPr>
      <w:bookmarkStart w:id="52" w:name="_Toc352332878"/>
      <w:bookmarkStart w:id="53" w:name="_Toc346306757"/>
      <w:bookmarkStart w:id="54" w:name="_Toc346372904"/>
      <w:r>
        <w:rPr>
          <w:rFonts w:ascii="宋体" w:hAnsi="宋体"/>
          <w:color w:val="auto"/>
          <w:sz w:val="24"/>
          <w:szCs w:val="24"/>
          <w:highlight w:val="none"/>
        </w:rPr>
        <w:t xml:space="preserve">24.  </w:t>
      </w:r>
      <w:r>
        <w:rPr>
          <w:rFonts w:hint="eastAsia" w:ascii="宋体" w:hAnsi="宋体"/>
          <w:color w:val="auto"/>
          <w:sz w:val="24"/>
          <w:szCs w:val="24"/>
          <w:highlight w:val="none"/>
        </w:rPr>
        <w:t>初步评审</w:t>
      </w:r>
      <w:bookmarkEnd w:id="52"/>
      <w:bookmarkEnd w:id="53"/>
      <w:bookmarkEnd w:id="54"/>
    </w:p>
    <w:p w14:paraId="679E97DB">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24.1 初步评审是对响应文件的资格和符合性进行审查。</w:t>
      </w:r>
    </w:p>
    <w:p w14:paraId="25A9B1E1">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24.2 在评审活动开始前，采购人及采购代理机构宣布政府采购评审工作纪律。</w:t>
      </w:r>
    </w:p>
    <w:p w14:paraId="76CC2898">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 xml:space="preserve">24.3 </w:t>
      </w:r>
      <w:r>
        <w:rPr>
          <w:rFonts w:hint="eastAsia" w:ascii="宋体" w:hAnsi="宋体"/>
          <w:color w:val="auto"/>
          <w:sz w:val="24"/>
          <w:highlight w:val="none"/>
          <w:lang w:eastAsia="zh-CN"/>
        </w:rPr>
        <w:t>谈判</w:t>
      </w:r>
      <w:r>
        <w:rPr>
          <w:rFonts w:hint="eastAsia" w:ascii="宋体" w:hAnsi="宋体"/>
          <w:color w:val="auto"/>
          <w:sz w:val="24"/>
          <w:highlight w:val="none"/>
        </w:rPr>
        <w:t>会议仪式后，</w:t>
      </w:r>
      <w:r>
        <w:rPr>
          <w:rFonts w:hint="eastAsia" w:ascii="宋体" w:hAnsi="宋体"/>
          <w:color w:val="auto"/>
          <w:sz w:val="24"/>
          <w:highlight w:val="none"/>
          <w:lang w:eastAsia="zh-CN"/>
        </w:rPr>
        <w:t>谈判</w:t>
      </w:r>
      <w:r>
        <w:rPr>
          <w:rFonts w:hint="eastAsia" w:ascii="宋体" w:hAnsi="宋体"/>
          <w:color w:val="auto"/>
          <w:sz w:val="24"/>
          <w:highlight w:val="none"/>
        </w:rPr>
        <w:t>小组将依法对供应商的资格进行审查以确定供应商是否具备报价资格。</w:t>
      </w:r>
    </w:p>
    <w:p w14:paraId="7954B761">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资格审查未通过的供应商，不得进入下一步评审。</w:t>
      </w:r>
    </w:p>
    <w:p w14:paraId="5DA1285D">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资格审查后，合格供应商不足3家的，不得进行下一步的评审。</w:t>
      </w:r>
    </w:p>
    <w:p w14:paraId="089583AC">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24.4</w:t>
      </w:r>
      <w:r>
        <w:rPr>
          <w:rFonts w:hint="eastAsia" w:ascii="宋体" w:hAnsi="宋体"/>
          <w:color w:val="auto"/>
          <w:sz w:val="24"/>
          <w:highlight w:val="none"/>
          <w:lang w:eastAsia="zh-CN"/>
        </w:rPr>
        <w:t>谈判</w:t>
      </w:r>
      <w:r>
        <w:rPr>
          <w:rFonts w:hint="eastAsia" w:ascii="宋体" w:hAnsi="宋体"/>
          <w:color w:val="auto"/>
          <w:sz w:val="24"/>
          <w:highlight w:val="none"/>
        </w:rPr>
        <w:t>小组应当对符合资格条件要求的供应商的响应文件进行符合性审查，以确定其是否满足采购文件的实质性要求而没有重大偏离。</w:t>
      </w:r>
    </w:p>
    <w:p w14:paraId="04D0B783">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★24.5 如出现下列情形之一的，视为对采购文件没有做出实质性响应，按照无效报价处理。</w:t>
      </w:r>
    </w:p>
    <w:p w14:paraId="52D9AEC6">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1）未按采购文件规定要求签署、盖章的；</w:t>
      </w:r>
    </w:p>
    <w:p w14:paraId="6FB46B83">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）未按规定交纳</w:t>
      </w:r>
      <w:r>
        <w:rPr>
          <w:rFonts w:hint="eastAsia" w:ascii="宋体" w:hAnsi="宋体"/>
          <w:b/>
          <w:color w:val="auto"/>
          <w:sz w:val="24"/>
          <w:highlight w:val="none"/>
          <w:lang w:eastAsia="zh-CN"/>
        </w:rPr>
        <w:t>谈判</w:t>
      </w:r>
      <w:r>
        <w:rPr>
          <w:rFonts w:hint="eastAsia" w:ascii="宋体" w:hAnsi="宋体" w:eastAsia="宋体" w:cs="宋体"/>
          <w:b/>
          <w:color w:val="auto"/>
          <w:sz w:val="24"/>
          <w:highlight w:val="none"/>
        </w:rPr>
        <w:t>保证金的；</w:t>
      </w:r>
    </w:p>
    <w:p w14:paraId="14D246FD">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）采购文件未明确说明允许投报进口产品，而投报了进口产品的；</w:t>
      </w:r>
    </w:p>
    <w:p w14:paraId="5708B795">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）所报产品为政府强制采购节能产品的（《节能产品政府采购品目清单》中以“★”标注的产品品目）而未提供国家节能产品认证证书的；</w:t>
      </w:r>
    </w:p>
    <w:p w14:paraId="1F49FA63">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在首次响应文件中，未响应标注有“★”或“☆”的，在</w:t>
      </w:r>
      <w:r>
        <w:rPr>
          <w:rFonts w:hint="eastAsia" w:ascii="宋体" w:hAnsi="宋体"/>
          <w:b/>
          <w:color w:val="auto"/>
          <w:sz w:val="24"/>
          <w:highlight w:val="none"/>
          <w:lang w:eastAsia="zh-CN"/>
        </w:rPr>
        <w:t>谈判</w:t>
      </w:r>
      <w:r>
        <w:rPr>
          <w:rFonts w:hint="eastAsia" w:ascii="宋体" w:hAnsi="宋体" w:eastAsia="宋体" w:cs="宋体"/>
          <w:b/>
          <w:bCs/>
          <w:color w:val="auto"/>
          <w:sz w:val="24"/>
          <w:highlight w:val="none"/>
        </w:rPr>
        <w:t>过程中不会实质性变动的条款</w:t>
      </w:r>
      <w:r>
        <w:rPr>
          <w:rFonts w:hint="eastAsia" w:ascii="宋体" w:hAnsi="宋体" w:eastAsia="宋体" w:cs="宋体"/>
          <w:b/>
          <w:color w:val="auto"/>
          <w:sz w:val="24"/>
          <w:highlight w:val="none"/>
        </w:rPr>
        <w:t>；</w:t>
      </w:r>
    </w:p>
    <w:p w14:paraId="33FE8698">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）首轮报价、再次报价、最后报价中的任一轮报价超过采购预算或最高限价的；</w:t>
      </w:r>
    </w:p>
    <w:p w14:paraId="45021C85">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）以他人名义报价或者在响应文件中提供虚假材料的；</w:t>
      </w:r>
    </w:p>
    <w:p w14:paraId="359F2F66">
      <w:pPr>
        <w:pStyle w:val="30"/>
        <w:pageBreakBefore w:val="0"/>
        <w:wordWrap w:val="0"/>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法律法规和采购文件规定的其他情形。</w:t>
      </w:r>
    </w:p>
    <w:p w14:paraId="72BC8C16">
      <w:pPr>
        <w:spacing w:after="120" w:line="560" w:lineRule="exact"/>
        <w:ind w:firstLine="600" w:firstLineChars="250"/>
        <w:rPr>
          <w:rFonts w:ascii="宋体" w:hAnsi="宋体"/>
          <w:color w:val="auto"/>
          <w:kern w:val="0"/>
          <w:sz w:val="24"/>
          <w:highlight w:val="none"/>
        </w:rPr>
      </w:pPr>
      <w:r>
        <w:rPr>
          <w:rFonts w:hint="eastAsia" w:ascii="宋体" w:hAnsi="宋体"/>
          <w:color w:val="auto"/>
          <w:kern w:val="0"/>
          <w:sz w:val="24"/>
          <w:highlight w:val="none"/>
        </w:rPr>
        <w:t>24.6对于响应文件中含义不明确、同类问题表述不一致或者有明显文字和计算错误的内容，</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小组应当以书面形式要求供应商作出必要的澄清、说明或者补正。 供应商的澄清、说明或者补正应当采用书面形式，并加盖公章，或者由法定代表人或其委托代理人签字。供应商的澄清、说明或者补正不得超出响应文件的范围或者改变响应文件的实质性内容。</w:t>
      </w:r>
    </w:p>
    <w:p w14:paraId="3E2D69A9">
      <w:pPr>
        <w:spacing w:line="560" w:lineRule="exact"/>
        <w:ind w:firstLine="602" w:firstLineChars="250"/>
        <w:rPr>
          <w:rFonts w:ascii="宋体" w:hAnsi="宋体" w:cs="宋体"/>
          <w:color w:val="auto"/>
          <w:kern w:val="0"/>
          <w:sz w:val="24"/>
          <w:highlight w:val="none"/>
        </w:rPr>
      </w:pPr>
      <w:r>
        <w:rPr>
          <w:rFonts w:hint="eastAsia" w:ascii="宋体" w:hAnsi="宋体" w:cs="宋体"/>
          <w:b/>
          <w:color w:val="auto"/>
          <w:kern w:val="0"/>
          <w:sz w:val="24"/>
          <w:highlight w:val="none"/>
        </w:rPr>
        <w:t>24.7 被</w:t>
      </w:r>
      <w:r>
        <w:rPr>
          <w:rFonts w:hint="eastAsia" w:ascii="宋体" w:hAnsi="宋体" w:cs="宋体"/>
          <w:b/>
          <w:color w:val="auto"/>
          <w:kern w:val="0"/>
          <w:sz w:val="24"/>
          <w:highlight w:val="none"/>
          <w:lang w:eastAsia="zh-CN"/>
        </w:rPr>
        <w:t>谈判</w:t>
      </w:r>
      <w:r>
        <w:rPr>
          <w:rFonts w:hint="eastAsia" w:ascii="宋体" w:hAnsi="宋体" w:cs="宋体"/>
          <w:b/>
          <w:color w:val="auto"/>
          <w:kern w:val="0"/>
          <w:sz w:val="24"/>
          <w:highlight w:val="none"/>
        </w:rPr>
        <w:t>小组确定为非实质性响应的响应文件，为无效报价文件，供应商不能通过修正或撤销响应文件中的不符之处而使其报价成为实质性响应的报价</w:t>
      </w:r>
      <w:r>
        <w:rPr>
          <w:rFonts w:hint="eastAsia" w:ascii="宋体" w:hAnsi="宋体" w:cs="宋体"/>
          <w:color w:val="auto"/>
          <w:kern w:val="0"/>
          <w:sz w:val="24"/>
          <w:highlight w:val="none"/>
        </w:rPr>
        <w:t>。</w:t>
      </w:r>
    </w:p>
    <w:p w14:paraId="50BE7EEF">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★24.8 </w:t>
      </w:r>
      <w:r>
        <w:rPr>
          <w:rFonts w:hint="eastAsia" w:ascii="宋体" w:hAnsi="宋体" w:cs="宋体"/>
          <w:b/>
          <w:bCs/>
          <w:color w:val="auto"/>
          <w:kern w:val="0"/>
          <w:sz w:val="24"/>
          <w:highlight w:val="none"/>
          <w:lang w:eastAsia="zh-CN"/>
        </w:rPr>
        <w:t>谈判</w:t>
      </w:r>
      <w:r>
        <w:rPr>
          <w:rFonts w:hint="eastAsia" w:ascii="宋体" w:hAnsi="宋体" w:cs="宋体"/>
          <w:b/>
          <w:bCs/>
          <w:color w:val="auto"/>
          <w:kern w:val="0"/>
          <w:sz w:val="24"/>
          <w:highlight w:val="none"/>
        </w:rPr>
        <w:t>小组对各供应商的报价进行评审，对超出项目预算的首轮报价、再次报价、最后报价，均按无效报价处理。</w:t>
      </w:r>
    </w:p>
    <w:p w14:paraId="4733A469">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★24.9供应商应当遵循公平竞争的原则，不得恶意串通，不得妨碍其他供应商的竞争行为，不得损害采购人或者其他供应商的合法权益。</w:t>
      </w:r>
    </w:p>
    <w:p w14:paraId="03DB7123">
      <w:pPr>
        <w:spacing w:line="560" w:lineRule="exact"/>
        <w:ind w:firstLine="600" w:firstLineChars="250"/>
        <w:rPr>
          <w:rFonts w:ascii="宋体" w:hAnsi="宋体" w:cs="宋体"/>
          <w:bCs/>
          <w:color w:val="auto"/>
          <w:kern w:val="0"/>
          <w:sz w:val="24"/>
          <w:highlight w:val="none"/>
        </w:rPr>
      </w:pPr>
      <w:r>
        <w:rPr>
          <w:rFonts w:hint="eastAsia" w:ascii="宋体" w:hAnsi="宋体" w:cs="宋体"/>
          <w:bCs/>
          <w:color w:val="auto"/>
          <w:kern w:val="0"/>
          <w:sz w:val="24"/>
          <w:highlight w:val="none"/>
        </w:rPr>
        <w:t>在评审过程中发现供应商有上述情形的，</w:t>
      </w:r>
      <w:r>
        <w:rPr>
          <w:rFonts w:hint="eastAsia" w:ascii="宋体" w:hAnsi="宋体" w:cs="宋体"/>
          <w:bCs/>
          <w:color w:val="auto"/>
          <w:kern w:val="0"/>
          <w:sz w:val="24"/>
          <w:highlight w:val="none"/>
          <w:lang w:eastAsia="zh-CN"/>
        </w:rPr>
        <w:t>谈判</w:t>
      </w:r>
      <w:r>
        <w:rPr>
          <w:rFonts w:hint="eastAsia" w:ascii="宋体" w:hAnsi="宋体" w:cs="宋体"/>
          <w:bCs/>
          <w:color w:val="auto"/>
          <w:kern w:val="0"/>
          <w:sz w:val="24"/>
          <w:highlight w:val="none"/>
        </w:rPr>
        <w:t>小组应当认定其报价无效，并书面报告本级财政部门。</w:t>
      </w:r>
    </w:p>
    <w:p w14:paraId="35B201FE">
      <w:pPr>
        <w:spacing w:line="560" w:lineRule="exact"/>
        <w:ind w:firstLine="602" w:firstLineChars="250"/>
        <w:rPr>
          <w:rFonts w:ascii="宋体" w:hAnsi="宋体" w:cs="宋体"/>
          <w:b/>
          <w:bCs/>
          <w:color w:val="auto"/>
          <w:kern w:val="0"/>
          <w:sz w:val="24"/>
          <w:highlight w:val="none"/>
        </w:rPr>
      </w:pPr>
      <w:r>
        <w:rPr>
          <w:rFonts w:hint="eastAsia" w:ascii="宋体" w:hAnsi="宋体" w:cs="宋体"/>
          <w:b/>
          <w:bCs/>
          <w:color w:val="auto"/>
          <w:kern w:val="0"/>
          <w:sz w:val="24"/>
          <w:highlight w:val="none"/>
        </w:rPr>
        <w:t>★24.10</w:t>
      </w:r>
      <w:r>
        <w:rPr>
          <w:rFonts w:hint="eastAsia" w:ascii="宋体" w:hAnsi="宋体" w:cs="宋体"/>
          <w:b/>
          <w:bCs/>
          <w:color w:val="auto"/>
          <w:kern w:val="0"/>
          <w:sz w:val="24"/>
          <w:highlight w:val="none"/>
          <w:lang w:eastAsia="zh-CN"/>
        </w:rPr>
        <w:t>谈判</w:t>
      </w:r>
      <w:r>
        <w:rPr>
          <w:rFonts w:hint="eastAsia" w:ascii="宋体" w:hAnsi="宋体" w:cs="宋体"/>
          <w:b/>
          <w:bCs/>
          <w:color w:val="auto"/>
          <w:kern w:val="0"/>
          <w:sz w:val="24"/>
          <w:highlight w:val="none"/>
        </w:rPr>
        <w:t>小组发现供应商有属于串通报价、被视为串通报价、以他人名义报价、通过受让或者租借等方式获取资格资质证书、弄虚作假等情形的，各相关供应商的报价均无效。</w:t>
      </w:r>
    </w:p>
    <w:p w14:paraId="48CB7DFC">
      <w:pPr>
        <w:spacing w:line="560" w:lineRule="exact"/>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 xml:space="preserve">24.11 </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小组通过上述评审，确定通过初步评审的合格供应商名单，只有通过初步评审的供应商，才有资格参与进一步的</w:t>
      </w:r>
      <w:r>
        <w:rPr>
          <w:rFonts w:hint="eastAsia" w:ascii="宋体" w:hAnsi="宋体" w:cs="宋体"/>
          <w:color w:val="auto"/>
          <w:kern w:val="0"/>
          <w:sz w:val="24"/>
          <w:highlight w:val="none"/>
          <w:lang w:eastAsia="zh-CN"/>
        </w:rPr>
        <w:t>谈判</w:t>
      </w:r>
      <w:r>
        <w:rPr>
          <w:rFonts w:hint="eastAsia" w:ascii="宋体" w:hAnsi="宋体" w:cs="宋体"/>
          <w:color w:val="auto"/>
          <w:kern w:val="0"/>
          <w:sz w:val="24"/>
          <w:highlight w:val="none"/>
        </w:rPr>
        <w:t>和谈判且具有再次报价的机会。</w:t>
      </w:r>
    </w:p>
    <w:p w14:paraId="6A97297A">
      <w:pPr>
        <w:spacing w:line="560" w:lineRule="exact"/>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经初步评审后，合格供应商不足3家的，不继续评审。</w:t>
      </w:r>
      <w:r>
        <w:rPr>
          <w:rFonts w:hint="eastAsia" w:ascii="宋体" w:hAnsi="宋体"/>
          <w:color w:val="auto"/>
          <w:sz w:val="24"/>
          <w:highlight w:val="none"/>
        </w:rPr>
        <w:t>但符合</w:t>
      </w:r>
      <w:r>
        <w:rPr>
          <w:rFonts w:hint="eastAsia" w:ascii="宋体" w:hAnsi="宋体"/>
          <w:color w:val="auto"/>
          <w:kern w:val="0"/>
          <w:sz w:val="24"/>
          <w:highlight w:val="none"/>
        </w:rPr>
        <w:t>《政府采购非招标采购方式管理办法》第二十七条第二款规定的情形除外</w:t>
      </w:r>
      <w:r>
        <w:rPr>
          <w:rFonts w:hint="eastAsia" w:ascii="宋体" w:hAnsi="宋体"/>
          <w:color w:val="auto"/>
          <w:sz w:val="24"/>
          <w:highlight w:val="none"/>
        </w:rPr>
        <w:t>。</w:t>
      </w:r>
    </w:p>
    <w:p w14:paraId="5EBA6B20">
      <w:pPr>
        <w:pStyle w:val="4"/>
        <w:spacing w:before="0" w:after="0" w:line="500" w:lineRule="exact"/>
        <w:ind w:firstLine="504" w:firstLineChars="20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25.</w:t>
      </w:r>
      <w:r>
        <w:rPr>
          <w:rFonts w:hint="eastAsia" w:ascii="宋体" w:hAnsi="宋体"/>
          <w:color w:val="auto"/>
          <w:sz w:val="24"/>
          <w:szCs w:val="24"/>
          <w:highlight w:val="none"/>
          <w:lang w:eastAsia="zh-CN"/>
        </w:rPr>
        <w:t>谈判</w:t>
      </w:r>
    </w:p>
    <w:p w14:paraId="189824AA">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25.1  </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小组所有成员集中与通过初步评审的各单一供应商分别进行</w:t>
      </w:r>
      <w:r>
        <w:rPr>
          <w:rFonts w:hint="eastAsia" w:ascii="宋体" w:hAnsi="宋体" w:cs="宋体"/>
          <w:color w:val="auto"/>
          <w:sz w:val="24"/>
          <w:highlight w:val="none"/>
          <w:lang w:eastAsia="zh-CN"/>
        </w:rPr>
        <w:t>谈判</w:t>
      </w:r>
      <w:r>
        <w:rPr>
          <w:rFonts w:hint="eastAsia" w:ascii="宋体" w:hAnsi="宋体" w:cs="宋体"/>
          <w:color w:val="auto"/>
          <w:sz w:val="24"/>
          <w:highlight w:val="none"/>
        </w:rPr>
        <w:t>，并给予所有合格供应商平等的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机会。</w:t>
      </w:r>
    </w:p>
    <w:p w14:paraId="57F9BC7B">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25.2在</w:t>
      </w:r>
      <w:r>
        <w:rPr>
          <w:rFonts w:hint="eastAsia" w:ascii="宋体" w:hAnsi="宋体" w:cs="宋体"/>
          <w:color w:val="auto"/>
          <w:sz w:val="24"/>
          <w:highlight w:val="none"/>
          <w:lang w:eastAsia="zh-CN"/>
        </w:rPr>
        <w:t>谈判</w:t>
      </w:r>
      <w:r>
        <w:rPr>
          <w:rFonts w:hint="eastAsia" w:ascii="宋体" w:hAnsi="宋体" w:cs="宋体"/>
          <w:color w:val="auto"/>
          <w:sz w:val="24"/>
          <w:highlight w:val="none"/>
        </w:rPr>
        <w:t>过程中，</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小组可以根据</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文件和</w:t>
      </w:r>
      <w:r>
        <w:rPr>
          <w:rFonts w:hint="eastAsia" w:ascii="宋体" w:hAnsi="宋体" w:cs="宋体"/>
          <w:color w:val="auto"/>
          <w:sz w:val="24"/>
          <w:highlight w:val="none"/>
          <w:lang w:eastAsia="zh-CN"/>
        </w:rPr>
        <w:t>谈判</w:t>
      </w:r>
      <w:r>
        <w:rPr>
          <w:rFonts w:hint="eastAsia" w:ascii="宋体" w:hAnsi="宋体" w:cs="宋体"/>
          <w:color w:val="auto"/>
          <w:sz w:val="24"/>
          <w:highlight w:val="none"/>
        </w:rPr>
        <w:t>情况实质性变动采购需求中的技术、服务要求以及合同草案条款，但不得变动</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文件中的其他内容。实质性变动的内容，须经采购人代表确认。</w:t>
      </w:r>
    </w:p>
    <w:p w14:paraId="18BCCA15">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25.3对</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文件作出的实质性变动是</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文件的有效组成部分，</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小组应当及时以书面形式同时通知所有参加</w:t>
      </w:r>
      <w:r>
        <w:rPr>
          <w:rFonts w:hint="eastAsia" w:ascii="宋体" w:hAnsi="宋体" w:cs="宋体"/>
          <w:color w:val="auto"/>
          <w:sz w:val="24"/>
          <w:highlight w:val="none"/>
          <w:lang w:eastAsia="zh-CN"/>
        </w:rPr>
        <w:t>谈判</w:t>
      </w:r>
      <w:r>
        <w:rPr>
          <w:rFonts w:hint="eastAsia" w:ascii="宋体" w:hAnsi="宋体" w:cs="宋体"/>
          <w:color w:val="auto"/>
          <w:sz w:val="24"/>
          <w:highlight w:val="none"/>
        </w:rPr>
        <w:t>的供应商。</w:t>
      </w:r>
    </w:p>
    <w:p w14:paraId="655378E2">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25.4供应商应当按照</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文件的变动情况和</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小组的要求重新提交响应文件，并由其法定代表人或授权代表签字。</w:t>
      </w:r>
    </w:p>
    <w:p w14:paraId="671F8F82">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25.5 </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项目有再次报价的机会。本</w:t>
      </w:r>
      <w:r>
        <w:rPr>
          <w:rFonts w:hint="eastAsia" w:ascii="宋体" w:hAnsi="宋体" w:cs="宋体"/>
          <w:color w:val="auto"/>
          <w:sz w:val="24"/>
          <w:highlight w:val="none"/>
          <w:lang w:eastAsia="zh-CN"/>
        </w:rPr>
        <w:t>谈判</w:t>
      </w:r>
      <w:r>
        <w:rPr>
          <w:rFonts w:hint="eastAsia" w:ascii="宋体" w:hAnsi="宋体" w:cs="宋体"/>
          <w:color w:val="auto"/>
          <w:sz w:val="24"/>
          <w:highlight w:val="none"/>
        </w:rPr>
        <w:t>文件能够详细列明采购标的的技术、服务要求的，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结束后，</w:t>
      </w:r>
      <w:r>
        <w:rPr>
          <w:rFonts w:hint="eastAsia" w:ascii="宋体" w:hAnsi="宋体" w:cs="宋体"/>
          <w:color w:val="auto"/>
          <w:sz w:val="24"/>
          <w:highlight w:val="none"/>
          <w:lang w:eastAsia="zh-CN"/>
        </w:rPr>
        <w:t>谈判</w:t>
      </w:r>
      <w:r>
        <w:rPr>
          <w:rFonts w:hint="eastAsia" w:ascii="宋体" w:hAnsi="宋体" w:cs="宋体"/>
          <w:color w:val="auto"/>
          <w:sz w:val="24"/>
          <w:highlight w:val="none"/>
        </w:rPr>
        <w:t>小组应当要求所有实质性响应的供应商在规定时间内提交最后报价；</w:t>
      </w:r>
      <w:r>
        <w:rPr>
          <w:rFonts w:hint="eastAsia" w:ascii="宋体" w:hAnsi="宋体" w:cs="宋体"/>
          <w:color w:val="auto"/>
          <w:sz w:val="24"/>
          <w:highlight w:val="none"/>
          <w:lang w:eastAsia="zh-CN"/>
        </w:rPr>
        <w:t>谈判</w:t>
      </w:r>
      <w:r>
        <w:rPr>
          <w:rFonts w:ascii="宋体" w:hAnsi="宋体" w:cs="宋体"/>
          <w:color w:val="auto"/>
          <w:sz w:val="24"/>
          <w:highlight w:val="none"/>
        </w:rPr>
        <w:t>文件不能详细列明采购标的的技术、服务要求，需经</w:t>
      </w:r>
      <w:r>
        <w:rPr>
          <w:rFonts w:hint="eastAsia" w:ascii="宋体" w:hAnsi="宋体" w:cs="宋体"/>
          <w:color w:val="auto"/>
          <w:sz w:val="24"/>
          <w:highlight w:val="none"/>
          <w:lang w:eastAsia="zh-CN"/>
        </w:rPr>
        <w:t>谈判</w:t>
      </w:r>
      <w:r>
        <w:rPr>
          <w:rFonts w:ascii="宋体" w:hAnsi="宋体" w:cs="宋体"/>
          <w:color w:val="auto"/>
          <w:sz w:val="24"/>
          <w:highlight w:val="none"/>
        </w:rPr>
        <w:t>由供应商提供最终设计方案或解决方案的，</w:t>
      </w:r>
      <w:r>
        <w:rPr>
          <w:rFonts w:hint="eastAsia" w:ascii="宋体" w:hAnsi="宋体" w:cs="宋体"/>
          <w:color w:val="auto"/>
          <w:sz w:val="24"/>
          <w:highlight w:val="none"/>
          <w:lang w:eastAsia="zh-CN"/>
        </w:rPr>
        <w:t>谈判</w:t>
      </w:r>
      <w:r>
        <w:rPr>
          <w:rFonts w:ascii="宋体" w:hAnsi="宋体" w:cs="宋体"/>
          <w:color w:val="auto"/>
          <w:sz w:val="24"/>
          <w:highlight w:val="none"/>
        </w:rPr>
        <w:t>结束后，</w:t>
      </w:r>
      <w:r>
        <w:rPr>
          <w:rFonts w:hint="eastAsia" w:ascii="宋体" w:hAnsi="宋体" w:cs="宋体"/>
          <w:color w:val="auto"/>
          <w:sz w:val="24"/>
          <w:highlight w:val="none"/>
          <w:lang w:eastAsia="zh-CN"/>
        </w:rPr>
        <w:t>谈判</w:t>
      </w:r>
      <w:r>
        <w:rPr>
          <w:rFonts w:ascii="宋体" w:hAnsi="宋体" w:cs="宋体"/>
          <w:color w:val="auto"/>
          <w:sz w:val="24"/>
          <w:highlight w:val="none"/>
        </w:rPr>
        <w:t>小组应当按照少数服从多数的原则投票推荐3家以上供应商的设计方案或者解决方案，并要求其在规定时间内提交最后报价。</w:t>
      </w:r>
    </w:p>
    <w:p w14:paraId="50B3B916">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25.6 </w:t>
      </w:r>
      <w:r>
        <w:rPr>
          <w:rFonts w:ascii="宋体" w:hAnsi="宋体" w:cs="宋体"/>
          <w:color w:val="auto"/>
          <w:sz w:val="24"/>
          <w:highlight w:val="none"/>
        </w:rPr>
        <w:t>最后报价是供应商响应文件的有效组成部分</w:t>
      </w:r>
      <w:r>
        <w:rPr>
          <w:rFonts w:hint="eastAsia" w:ascii="宋体" w:hAnsi="宋体" w:cs="宋体"/>
          <w:color w:val="auto"/>
          <w:sz w:val="24"/>
          <w:highlight w:val="none"/>
        </w:rPr>
        <w:t>，最后报价应由供应商法定代表人或其授权代表签字确认</w:t>
      </w:r>
      <w:r>
        <w:rPr>
          <w:rFonts w:ascii="宋体" w:hAnsi="宋体" w:cs="宋体"/>
          <w:color w:val="auto"/>
          <w:sz w:val="24"/>
          <w:highlight w:val="none"/>
        </w:rPr>
        <w:t>。</w:t>
      </w:r>
    </w:p>
    <w:p w14:paraId="4B714AA5">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25.7节能环保产品的价格按最后总报价比首次响应文件报价（第一轮总报价</w:t>
      </w:r>
      <w:r>
        <w:rPr>
          <w:rFonts w:ascii="宋体" w:hAnsi="宋体" w:cs="宋体"/>
          <w:color w:val="auto"/>
          <w:sz w:val="24"/>
          <w:highlight w:val="none"/>
        </w:rPr>
        <w:t>）</w:t>
      </w:r>
      <w:r>
        <w:rPr>
          <w:rFonts w:hint="eastAsia" w:ascii="宋体" w:hAnsi="宋体" w:cs="宋体"/>
          <w:color w:val="auto"/>
          <w:sz w:val="24"/>
          <w:highlight w:val="none"/>
        </w:rPr>
        <w:t>浮动的比例进行同比例的浮动调整。</w:t>
      </w:r>
    </w:p>
    <w:p w14:paraId="4F6A8086">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宋体" w:hAnsi="宋体" w:cs="宋体"/>
          <w:color w:val="auto"/>
          <w:sz w:val="24"/>
          <w:highlight w:val="none"/>
        </w:rPr>
        <w:t>8已提交响应文件的供应商，在提交最后报价之前，可以根据</w:t>
      </w:r>
      <w:r>
        <w:rPr>
          <w:rFonts w:hint="eastAsia" w:ascii="宋体" w:hAnsi="宋体" w:cs="宋体"/>
          <w:color w:val="auto"/>
          <w:sz w:val="24"/>
          <w:highlight w:val="none"/>
          <w:lang w:eastAsia="zh-CN"/>
        </w:rPr>
        <w:t>谈判</w:t>
      </w:r>
      <w:r>
        <w:rPr>
          <w:rFonts w:hint="eastAsia" w:ascii="宋体" w:hAnsi="宋体" w:cs="宋体"/>
          <w:color w:val="auto"/>
          <w:sz w:val="24"/>
          <w:highlight w:val="none"/>
        </w:rPr>
        <w:t>情况退出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应以书面方式提交，并由供应商的法定代表人或其授权代表签字确认。退出</w:t>
      </w:r>
      <w:r>
        <w:rPr>
          <w:rFonts w:hint="eastAsia" w:ascii="宋体" w:hAnsi="宋体" w:cs="宋体"/>
          <w:color w:val="auto"/>
          <w:sz w:val="24"/>
          <w:highlight w:val="none"/>
          <w:lang w:eastAsia="zh-CN"/>
        </w:rPr>
        <w:t>谈判</w:t>
      </w:r>
      <w:r>
        <w:rPr>
          <w:rFonts w:hint="eastAsia" w:ascii="宋体" w:hAnsi="宋体" w:cs="宋体"/>
          <w:color w:val="auto"/>
          <w:sz w:val="24"/>
          <w:highlight w:val="none"/>
        </w:rPr>
        <w:t>的供应商的</w:t>
      </w:r>
      <w:r>
        <w:rPr>
          <w:rFonts w:hint="eastAsia" w:ascii="宋体" w:hAnsi="宋体" w:cs="宋体"/>
          <w:color w:val="auto"/>
          <w:sz w:val="24"/>
          <w:highlight w:val="none"/>
          <w:lang w:eastAsia="zh-CN"/>
        </w:rPr>
        <w:t>谈判</w:t>
      </w:r>
      <w:r>
        <w:rPr>
          <w:rFonts w:hint="eastAsia" w:ascii="宋体" w:hAnsi="宋体" w:cs="宋体"/>
          <w:color w:val="auto"/>
          <w:sz w:val="24"/>
          <w:highlight w:val="none"/>
        </w:rPr>
        <w:t>保证金予以退还。</w:t>
      </w:r>
    </w:p>
    <w:p w14:paraId="5E8B34C2">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26.  综合评审</w:t>
      </w:r>
    </w:p>
    <w:p w14:paraId="07B36328">
      <w:pPr>
        <w:pStyle w:val="30"/>
        <w:spacing w:line="560" w:lineRule="exact"/>
        <w:ind w:firstLine="600" w:firstLineChars="250"/>
        <w:rPr>
          <w:rFonts w:hint="eastAsia" w:ascii="宋体" w:hAnsi="宋体" w:eastAsia="宋体"/>
          <w:color w:val="auto"/>
          <w:sz w:val="24"/>
          <w:highlight w:val="none"/>
          <w:lang w:eastAsia="zh-CN"/>
        </w:rPr>
      </w:pPr>
      <w:r>
        <w:rPr>
          <w:rFonts w:hint="eastAsia" w:ascii="宋体" w:hAnsi="宋体"/>
          <w:color w:val="auto"/>
          <w:sz w:val="24"/>
          <w:highlight w:val="none"/>
        </w:rPr>
        <w:t>26.</w:t>
      </w:r>
      <w:r>
        <w:rPr>
          <w:rFonts w:ascii="宋体" w:hAnsi="宋体"/>
          <w:color w:val="auto"/>
          <w:sz w:val="24"/>
          <w:highlight w:val="none"/>
        </w:rPr>
        <w:t>1</w:t>
      </w:r>
      <w:r>
        <w:rPr>
          <w:rFonts w:hint="eastAsia" w:ascii="宋体" w:hAnsi="宋体"/>
          <w:color w:val="auto"/>
          <w:sz w:val="24"/>
          <w:highlight w:val="none"/>
        </w:rPr>
        <w:t xml:space="preserve"> 在最后报价提交后，谈判小组将对已提交最后报价的响应文件进行详细评审。谈判小组从质量和服务均能满足采购文件实质性响应要求的供应商中，提出评审报告</w:t>
      </w:r>
      <w:r>
        <w:rPr>
          <w:rFonts w:hint="eastAsia" w:ascii="宋体" w:hAnsi="宋体"/>
          <w:color w:val="auto"/>
          <w:sz w:val="24"/>
          <w:highlight w:val="none"/>
          <w:lang w:eastAsia="zh-CN"/>
        </w:rPr>
        <w:t>，</w:t>
      </w:r>
      <w:r>
        <w:rPr>
          <w:rFonts w:hint="eastAsia" w:ascii="宋体" w:hAnsi="宋体"/>
          <w:color w:val="auto"/>
          <w:sz w:val="24"/>
          <w:highlight w:val="none"/>
        </w:rPr>
        <w:t>按照最后报价由低到高的顺序推荐成交候选供应商。</w:t>
      </w:r>
      <w:r>
        <w:rPr>
          <w:rFonts w:hint="eastAsia" w:ascii="宋体" w:hAnsi="宋体"/>
          <w:color w:val="auto"/>
          <w:sz w:val="24"/>
          <w:highlight w:val="none"/>
          <w:lang w:eastAsia="zh-CN"/>
        </w:rPr>
        <w:t>最后报价相同的，由谈判小组按照少数服从多数的原则投票确定最后报价相同的成交候选供应商顺序。</w:t>
      </w:r>
    </w:p>
    <w:p w14:paraId="1454A72A">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27.  报价不一致时的修正和处理</w:t>
      </w:r>
    </w:p>
    <w:p w14:paraId="0F924043">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 xml:space="preserve">响应文件报价出现前后不一致的，按照下列规定修正： </w:t>
      </w:r>
    </w:p>
    <w:p w14:paraId="615CB700">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（1）响应文件中首轮报价一览表（报价表）内容与响应文件中相应内容不一致的，以首轮报价一览表（报价表）为准；</w:t>
      </w:r>
    </w:p>
    <w:p w14:paraId="10F556AA">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（2）大写金额和小写金额不一致的，以大写金额为准；</w:t>
      </w:r>
    </w:p>
    <w:p w14:paraId="4095E454">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（3）单价金额小数点或者百分比有明显错位的，以首轮报价一览表的总价为准，并修改单价；</w:t>
      </w:r>
    </w:p>
    <w:p w14:paraId="0A118B8C">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 xml:space="preserve">（4）总价金额与按单价汇总金额不一致的，以单价金额计算结果为准。 </w:t>
      </w:r>
    </w:p>
    <w:p w14:paraId="5367D59D">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★（5）同时出现两种以上不一致的，按照前款规定的顺序修正。修正后的报价经供应商确认后产生约束力，供应商不确认的，其报价无效。</w:t>
      </w:r>
    </w:p>
    <w:p w14:paraId="3D8EF938">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28.  响应文件的澄清</w:t>
      </w:r>
    </w:p>
    <w:p w14:paraId="1EA49B94">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28.1为有助于对响应文件进行审查、评估和比较，</w:t>
      </w:r>
      <w:r>
        <w:rPr>
          <w:rFonts w:hint="eastAsia" w:ascii="宋体" w:hAnsi="宋体"/>
          <w:color w:val="auto"/>
          <w:sz w:val="24"/>
          <w:highlight w:val="none"/>
          <w:lang w:eastAsia="zh-CN"/>
        </w:rPr>
        <w:t>谈判</w:t>
      </w:r>
      <w:r>
        <w:rPr>
          <w:rFonts w:hint="eastAsia" w:ascii="宋体" w:hAnsi="宋体"/>
          <w:color w:val="auto"/>
          <w:sz w:val="24"/>
          <w:highlight w:val="none"/>
        </w:rPr>
        <w:t>小组有权向供应商询问。供应商有义务以书面形式对其响应文件中含义不明确、同类问题表述不一致或有明显文字和计算错误的内容进行澄清和说明，但澄清和说明的内容不得超出响应文件的范围或改变响应文件的实质性内容。供应商澄清和说明的内容构成响应文件的组成部分；拒不进行澄清、说明或补正的，</w:t>
      </w:r>
      <w:r>
        <w:rPr>
          <w:rFonts w:hint="eastAsia" w:ascii="宋体" w:hAnsi="宋体"/>
          <w:color w:val="auto"/>
          <w:sz w:val="24"/>
          <w:highlight w:val="none"/>
          <w:lang w:eastAsia="zh-CN"/>
        </w:rPr>
        <w:t>谈判</w:t>
      </w:r>
      <w:r>
        <w:rPr>
          <w:rFonts w:hint="eastAsia" w:ascii="宋体" w:hAnsi="宋体"/>
          <w:color w:val="auto"/>
          <w:sz w:val="24"/>
          <w:highlight w:val="none"/>
        </w:rPr>
        <w:t>小组可以视为供应商未实质性响应报价。</w:t>
      </w:r>
    </w:p>
    <w:p w14:paraId="38D518FA">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28.2</w:t>
      </w:r>
      <w:r>
        <w:rPr>
          <w:rFonts w:hint="eastAsia" w:ascii="宋体" w:hAnsi="宋体"/>
          <w:color w:val="auto"/>
          <w:sz w:val="24"/>
          <w:highlight w:val="none"/>
          <w:lang w:eastAsia="zh-CN"/>
        </w:rPr>
        <w:t>谈判</w:t>
      </w:r>
      <w:r>
        <w:rPr>
          <w:rFonts w:hint="eastAsia" w:ascii="宋体" w:hAnsi="宋体"/>
          <w:color w:val="auto"/>
          <w:sz w:val="24"/>
          <w:highlight w:val="none"/>
        </w:rPr>
        <w:t>小组不接受供应商主动提出的澄清，采购人也不接受供应商主动承诺给予采购人赠品、回扣或者与采购无关的其他商品、服务。</w:t>
      </w:r>
    </w:p>
    <w:p w14:paraId="3CCCF3AF">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w:t>
      </w:r>
      <w:r>
        <w:rPr>
          <w:rFonts w:hint="eastAsia" w:ascii="宋体" w:hAnsi="宋体"/>
          <w:color w:val="auto"/>
          <w:sz w:val="24"/>
          <w:szCs w:val="24"/>
          <w:highlight w:val="none"/>
        </w:rPr>
        <w:t>政府采购优惠政策</w:t>
      </w:r>
    </w:p>
    <w:p w14:paraId="4DC36CB9">
      <w:pPr>
        <w:tabs>
          <w:tab w:val="left" w:pos="955"/>
        </w:tabs>
        <w:spacing w:line="560" w:lineRule="exact"/>
        <w:ind w:left="1144" w:leftChars="273" w:hanging="571" w:hangingChars="238"/>
        <w:rPr>
          <w:rFonts w:ascii="宋体" w:hAnsi="宋体"/>
          <w:snapToGrid w:val="0"/>
          <w:color w:val="auto"/>
          <w:kern w:val="0"/>
          <w:sz w:val="24"/>
          <w:szCs w:val="20"/>
          <w:highlight w:val="none"/>
        </w:rPr>
      </w:pPr>
      <w:r>
        <w:rPr>
          <w:rFonts w:ascii="宋体" w:hAnsi="宋体"/>
          <w:snapToGrid w:val="0"/>
          <w:color w:val="auto"/>
          <w:kern w:val="0"/>
          <w:sz w:val="24"/>
          <w:szCs w:val="20"/>
          <w:highlight w:val="none"/>
        </w:rPr>
        <w:t xml:space="preserve">29.1 </w:t>
      </w:r>
      <w:r>
        <w:rPr>
          <w:rFonts w:hint="eastAsia" w:ascii="宋体" w:hAnsi="宋体"/>
          <w:snapToGrid w:val="0"/>
          <w:color w:val="auto"/>
          <w:kern w:val="0"/>
          <w:sz w:val="24"/>
          <w:szCs w:val="20"/>
          <w:highlight w:val="none"/>
        </w:rPr>
        <w:t>中小企业优惠办法</w:t>
      </w:r>
    </w:p>
    <w:p w14:paraId="789AB1D9">
      <w:pPr>
        <w:spacing w:line="560" w:lineRule="exact"/>
        <w:ind w:firstLine="571" w:firstLineChars="238"/>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.1.1根据《财政部工业和信息化部关于印发&lt;政府采购促进中小企业发展管理办法&gt;的通知》(财库〔2020〕46号)文件</w:t>
      </w:r>
      <w:r>
        <w:rPr>
          <w:rFonts w:hint="eastAsia" w:ascii="宋体" w:hAnsi="宋体" w:cs="宋体"/>
          <w:snapToGrid w:val="0"/>
          <w:color w:val="auto"/>
          <w:kern w:val="0"/>
          <w:sz w:val="24"/>
          <w:szCs w:val="20"/>
          <w:highlight w:val="none"/>
          <w:lang w:val="en-US" w:eastAsia="zh-CN"/>
        </w:rPr>
        <w:t>以及财库[2022]19号文件</w:t>
      </w:r>
      <w:r>
        <w:rPr>
          <w:rFonts w:hint="eastAsia" w:ascii="宋体" w:hAnsi="宋体" w:cs="宋体"/>
          <w:snapToGrid w:val="0"/>
          <w:color w:val="auto"/>
          <w:kern w:val="0"/>
          <w:sz w:val="24"/>
          <w:szCs w:val="20"/>
          <w:highlight w:val="none"/>
        </w:rPr>
        <w:t>的规定，对符合本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napToGrid w:val="0"/>
          <w:color w:val="auto"/>
          <w:kern w:val="0"/>
          <w:sz w:val="24"/>
          <w:szCs w:val="20"/>
          <w:highlight w:val="none"/>
          <w:lang w:val="en-US" w:eastAsia="zh-CN"/>
        </w:rPr>
        <w:t>4</w:t>
      </w:r>
      <w:r>
        <w:rPr>
          <w:rFonts w:hint="eastAsia" w:ascii="宋体" w:hAnsi="宋体" w:cs="宋体"/>
          <w:snapToGrid w:val="0"/>
          <w:color w:val="auto"/>
          <w:kern w:val="0"/>
          <w:sz w:val="24"/>
          <w:szCs w:val="20"/>
          <w:highlight w:val="none"/>
        </w:rPr>
        <w:t>0%以上的，采购人、采购代理机构应当对联合体或者大中型企业的报价给予</w:t>
      </w:r>
      <w:r>
        <w:rPr>
          <w:rFonts w:hint="eastAsia" w:ascii="宋体" w:hAnsi="宋体" w:cs="宋体"/>
          <w:snapToGrid w:val="0"/>
          <w:color w:val="auto"/>
          <w:kern w:val="0"/>
          <w:sz w:val="24"/>
          <w:szCs w:val="20"/>
          <w:highlight w:val="none"/>
          <w:lang w:val="en-US" w:eastAsia="zh-CN"/>
        </w:rPr>
        <w:t>4</w:t>
      </w:r>
      <w:r>
        <w:rPr>
          <w:rFonts w:hint="eastAsia" w:ascii="宋体" w:hAnsi="宋体" w:cs="宋体"/>
          <w:snapToGrid w:val="0"/>
          <w:color w:val="auto"/>
          <w:kern w:val="0"/>
          <w:sz w:val="24"/>
          <w:szCs w:val="20"/>
          <w:highlight w:val="none"/>
        </w:rPr>
        <w:t>%的扣除，用扣除后的价格参加评审。</w:t>
      </w:r>
    </w:p>
    <w:p w14:paraId="7AED0616">
      <w:pPr>
        <w:adjustRightInd w:val="0"/>
        <w:snapToGrid w:val="0"/>
        <w:spacing w:before="120" w:beforeLines="50" w:line="360" w:lineRule="auto"/>
        <w:ind w:firstLine="480" w:firstLineChars="200"/>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14:paraId="47D184DF">
      <w:pPr>
        <w:adjustRightInd w:val="0"/>
        <w:snapToGrid w:val="0"/>
        <w:spacing w:before="120" w:beforeLines="50" w:line="360" w:lineRule="auto"/>
        <w:ind w:firstLine="480" w:firstLineChars="200"/>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2</w:t>
      </w:r>
      <w:r>
        <w:rPr>
          <w:rFonts w:ascii="宋体" w:hAnsi="宋体" w:cs="宋体"/>
          <w:snapToGrid w:val="0"/>
          <w:color w:val="auto"/>
          <w:kern w:val="0"/>
          <w:sz w:val="24"/>
          <w:szCs w:val="20"/>
          <w:highlight w:val="none"/>
        </w:rPr>
        <w:t>9</w:t>
      </w:r>
      <w:r>
        <w:rPr>
          <w:rFonts w:hint="eastAsia" w:ascii="宋体" w:hAnsi="宋体" w:cs="宋体"/>
          <w:snapToGrid w:val="0"/>
          <w:color w:val="auto"/>
          <w:kern w:val="0"/>
          <w:sz w:val="24"/>
          <w:szCs w:val="20"/>
          <w:highlight w:val="none"/>
        </w:rPr>
        <w:t>.1.3供应商提供的货物、工程或者服务符合下列情形，享受上述小微企业价格扣除的优惠政策：</w:t>
      </w:r>
    </w:p>
    <w:p w14:paraId="3EAA840E">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（一）在货物采购项目中，货物由小微企业制造，即货物由小微企业生产且使用该小微企业商号或者注册商标；</w:t>
      </w:r>
    </w:p>
    <w:p w14:paraId="1AA3B5D0">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（二）在工程采购项目中，工程由小微企业承建，即工程施工单位为小微企业；</w:t>
      </w:r>
    </w:p>
    <w:p w14:paraId="22541C0A">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（三）在服务采购项目中，服务由小微企业承接，即提供服务的人员为小微企业依照《中华人民共和国劳动合同法》订立劳动合同的从业人员。</w:t>
      </w:r>
    </w:p>
    <w:p w14:paraId="3FA4A1F1">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1.4依据《财政部工业和信息化部关于印发&lt;政府采购促进中小企业发展管理办法&gt;的通知》(财库〔2020〕46号)规定，中型、小型和微型企业投标的须提供《中小企业声明函》（格式见附件）并对声明函的真实性负责；</w:t>
      </w:r>
      <w:r>
        <w:rPr>
          <w:rFonts w:hint="eastAsia" w:ascii="宋体" w:hAnsi="宋体" w:cs="仿宋"/>
          <w:snapToGrid w:val="0"/>
          <w:color w:val="auto"/>
          <w:kern w:val="0"/>
          <w:sz w:val="24"/>
          <w:highlight w:val="none"/>
        </w:rPr>
        <w:t>如果联合体各方均为小型、微型企业的，联合体视同为小型、微型企业，但联合体各方均应按</w:t>
      </w:r>
      <w:r>
        <w:rPr>
          <w:rFonts w:hint="eastAsia" w:ascii="宋体" w:hAnsi="宋体" w:cs="仿宋"/>
          <w:snapToGrid w:val="0"/>
          <w:color w:val="auto"/>
          <w:kern w:val="0"/>
          <w:sz w:val="24"/>
          <w:highlight w:val="none"/>
          <w:lang w:eastAsia="zh-CN"/>
        </w:rPr>
        <w:t>竞争性谈判</w:t>
      </w:r>
      <w:r>
        <w:rPr>
          <w:rFonts w:hint="eastAsia" w:ascii="宋体" w:hAnsi="宋体" w:cs="仿宋"/>
          <w:snapToGrid w:val="0"/>
          <w:color w:val="auto"/>
          <w:kern w:val="0"/>
          <w:sz w:val="24"/>
          <w:highlight w:val="none"/>
        </w:rPr>
        <w:t>文件要求提供</w:t>
      </w:r>
      <w:r>
        <w:rPr>
          <w:rFonts w:hint="eastAsia" w:ascii="宋体" w:hAnsi="宋体" w:cs="宋体"/>
          <w:snapToGrid w:val="0"/>
          <w:color w:val="auto"/>
          <w:kern w:val="0"/>
          <w:sz w:val="24"/>
          <w:highlight w:val="none"/>
        </w:rPr>
        <w:t>《中小企业声明函》</w:t>
      </w:r>
      <w:r>
        <w:rPr>
          <w:rFonts w:hint="eastAsia" w:ascii="宋体" w:hAnsi="宋体" w:cs="仿宋"/>
          <w:snapToGrid w:val="0"/>
          <w:color w:val="auto"/>
          <w:kern w:val="0"/>
          <w:sz w:val="24"/>
          <w:highlight w:val="none"/>
        </w:rPr>
        <w:t>。</w:t>
      </w:r>
    </w:p>
    <w:p w14:paraId="305B7C82">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.1.5在货物采购项目中，供应商提供的货物既有小微企业制造货物，也有大中型企业制造的，不享受本办法规定的小微企业价格优惠政策。</w:t>
      </w:r>
    </w:p>
    <w:p w14:paraId="6BD6F1C0">
      <w:pPr>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9</w:t>
      </w:r>
      <w:r>
        <w:rPr>
          <w:rFonts w:hint="eastAsia" w:ascii="宋体" w:hAnsi="宋体" w:cs="宋体"/>
          <w:snapToGrid w:val="0"/>
          <w:color w:val="auto"/>
          <w:kern w:val="0"/>
          <w:sz w:val="24"/>
          <w:highlight w:val="none"/>
        </w:rPr>
        <w:t>.1.6以联合体形式参加政府采购活动，联合体各方均为中小企业的，联合体视同中小企业。其中，联合体各方均为小微企业的，联合体视同小微企业。</w:t>
      </w:r>
      <w:r>
        <w:rPr>
          <w:color w:val="auto"/>
          <w:sz w:val="25"/>
          <w:szCs w:val="25"/>
          <w:highlight w:val="none"/>
        </w:rPr>
        <w:t>组成联合体或者接受分包的小微企业与联合体内其他企业、分包企业之间存在直接控股、管理关系的，不享受价格扣除优惠政策</w:t>
      </w:r>
      <w:r>
        <w:rPr>
          <w:rFonts w:hint="eastAsia"/>
          <w:color w:val="auto"/>
          <w:sz w:val="25"/>
          <w:szCs w:val="25"/>
          <w:highlight w:val="none"/>
        </w:rPr>
        <w:t>。</w:t>
      </w:r>
    </w:p>
    <w:p w14:paraId="7DD6BA0E">
      <w:pPr>
        <w:pStyle w:val="30"/>
        <w:spacing w:after="0" w:line="560" w:lineRule="exact"/>
        <w:ind w:firstLine="571" w:firstLineChars="238"/>
        <w:rPr>
          <w:rFonts w:ascii="宋体" w:hAnsi="宋体" w:cs="宋体"/>
          <w:color w:val="auto"/>
          <w:sz w:val="24"/>
          <w:highlight w:val="none"/>
        </w:rPr>
      </w:pPr>
      <w:r>
        <w:rPr>
          <w:rFonts w:hint="eastAsia" w:ascii="宋体" w:hAnsi="宋体" w:cs="宋体"/>
          <w:snapToGrid w:val="0"/>
          <w:color w:val="auto"/>
          <w:sz w:val="24"/>
          <w:highlight w:val="none"/>
        </w:rPr>
        <w:t>2</w:t>
      </w:r>
      <w:r>
        <w:rPr>
          <w:rFonts w:ascii="宋体" w:hAnsi="宋体" w:cs="宋体"/>
          <w:snapToGrid w:val="0"/>
          <w:color w:val="auto"/>
          <w:sz w:val="24"/>
          <w:highlight w:val="none"/>
        </w:rPr>
        <w:t>9</w:t>
      </w:r>
      <w:r>
        <w:rPr>
          <w:rFonts w:hint="eastAsia" w:ascii="宋体" w:hAnsi="宋体" w:cs="宋体"/>
          <w:snapToGrid w:val="0"/>
          <w:color w:val="auto"/>
          <w:sz w:val="24"/>
          <w:highlight w:val="none"/>
        </w:rPr>
        <w:t>.1.7成交供应商享受本办法规定的中小企业扶持政策的，采购人、采购代理机构应当随成交结果公开成交供应商的《中小企业声明函》。供应商</w:t>
      </w:r>
      <w:r>
        <w:rPr>
          <w:color w:val="auto"/>
          <w:kern w:val="2"/>
          <w:sz w:val="25"/>
          <w:szCs w:val="25"/>
          <w:highlight w:val="none"/>
        </w:rPr>
        <w:t>提供声明函内容不实的，属于提供虚假材料谋取成交，依照《中华人民共和国政府采购法》等国家有关规定追究相应责任</w:t>
      </w:r>
      <w:r>
        <w:rPr>
          <w:rFonts w:hint="eastAsia"/>
          <w:color w:val="auto"/>
          <w:kern w:val="2"/>
          <w:sz w:val="25"/>
          <w:szCs w:val="25"/>
          <w:highlight w:val="none"/>
        </w:rPr>
        <w:t>。</w:t>
      </w:r>
      <w:r>
        <w:rPr>
          <w:rFonts w:hint="eastAsia" w:ascii="宋体" w:hAnsi="宋体" w:cs="宋体"/>
          <w:color w:val="auto"/>
          <w:sz w:val="24"/>
          <w:highlight w:val="none"/>
        </w:rPr>
        <w:t xml:space="preserve"> </w:t>
      </w:r>
    </w:p>
    <w:p w14:paraId="10D8C128">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29.2 政府采购支持监狱企业发展的政策</w:t>
      </w:r>
    </w:p>
    <w:p w14:paraId="4EDE523F">
      <w:pPr>
        <w:autoSpaceDE w:val="0"/>
        <w:autoSpaceDN w:val="0"/>
        <w:adjustRightInd w:val="0"/>
        <w:snapToGrid w:val="0"/>
        <w:spacing w:line="560" w:lineRule="exact"/>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根据《财政部司法部&lt;关于政府采购支持监狱企业发展有关问题的通知》（》(财库〔2014〕68号）文件规定，对监狱企业生产的产品价格或提供服务的价格给予6%的价格扣除，用扣除后的价格参与评审；监狱企业属于小型、微型企业的，不重复享受政策。</w:t>
      </w:r>
    </w:p>
    <w:p w14:paraId="2E6D3B74">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2）参加政府采购活动的监狱企业应当在响应文件中提供监狱企业证明复印件，否则不予认定。监狱企业证明须由省级以上监狱管理局、戒毒管理局（含新疆生产建设兵团）出具。</w:t>
      </w:r>
    </w:p>
    <w:p w14:paraId="18BC16A6">
      <w:pPr>
        <w:pStyle w:val="30"/>
        <w:spacing w:line="560" w:lineRule="exact"/>
        <w:ind w:firstLine="600" w:firstLineChars="250"/>
        <w:rPr>
          <w:rFonts w:ascii="宋体" w:hAnsi="宋体"/>
          <w:color w:val="auto"/>
          <w:sz w:val="24"/>
          <w:szCs w:val="22"/>
          <w:highlight w:val="none"/>
        </w:rPr>
      </w:pPr>
      <w:r>
        <w:rPr>
          <w:rFonts w:hint="eastAsia" w:ascii="宋体" w:hAnsi="宋体" w:cs="宋体"/>
          <w:color w:val="auto"/>
          <w:sz w:val="24"/>
          <w:highlight w:val="none"/>
        </w:rPr>
        <w:t xml:space="preserve">29.3 </w:t>
      </w:r>
      <w:r>
        <w:rPr>
          <w:rFonts w:hint="eastAsia" w:ascii="宋体" w:hAnsi="宋体"/>
          <w:color w:val="auto"/>
          <w:kern w:val="2"/>
          <w:sz w:val="24"/>
          <w:szCs w:val="22"/>
          <w:highlight w:val="none"/>
        </w:rPr>
        <w:t>促进残疾人就业政府采购政策</w:t>
      </w:r>
    </w:p>
    <w:p w14:paraId="76BDB924">
      <w:pPr>
        <w:pStyle w:val="30"/>
        <w:spacing w:after="0" w:line="560" w:lineRule="exact"/>
        <w:ind w:firstLine="571" w:firstLineChars="238"/>
        <w:rPr>
          <w:rFonts w:ascii="宋体" w:hAnsi="宋体" w:cs="宋体"/>
          <w:color w:val="auto"/>
          <w:sz w:val="24"/>
          <w:highlight w:val="none"/>
        </w:rPr>
      </w:pPr>
      <w:r>
        <w:rPr>
          <w:rFonts w:hint="eastAsia" w:ascii="宋体" w:hAnsi="宋体"/>
          <w:color w:val="auto"/>
          <w:sz w:val="24"/>
          <w:highlight w:val="none"/>
        </w:rPr>
        <w:t>1） 依据《三部门联合发布关于促进残疾人就业政府采购政策的通知》(财库〔2017〕141号)文件规定，残疾人福利性单位视同小型、微型企业，</w:t>
      </w:r>
      <w:r>
        <w:rPr>
          <w:rFonts w:hint="eastAsia" w:ascii="宋体" w:hAnsi="宋体" w:cs="宋体"/>
          <w:color w:val="auto"/>
          <w:sz w:val="24"/>
          <w:highlight w:val="none"/>
        </w:rPr>
        <w:t>对</w:t>
      </w:r>
      <w:r>
        <w:rPr>
          <w:rFonts w:hint="eastAsia" w:ascii="宋体" w:hAnsi="宋体"/>
          <w:color w:val="auto"/>
          <w:sz w:val="24"/>
          <w:highlight w:val="none"/>
        </w:rPr>
        <w:t>残疾人福利性单位</w:t>
      </w:r>
      <w:r>
        <w:rPr>
          <w:rFonts w:hint="eastAsia" w:ascii="宋体" w:hAnsi="宋体" w:cs="宋体"/>
          <w:color w:val="auto"/>
          <w:sz w:val="24"/>
          <w:highlight w:val="none"/>
        </w:rPr>
        <w:t>的报价给予6%的扣除，用扣除后的</w:t>
      </w:r>
      <w:r>
        <w:rPr>
          <w:rFonts w:ascii="宋体" w:hAnsi="宋体" w:cs="宋体"/>
          <w:color w:val="auto"/>
          <w:sz w:val="24"/>
          <w:highlight w:val="none"/>
        </w:rPr>
        <w:t>评审</w:t>
      </w:r>
      <w:r>
        <w:rPr>
          <w:rFonts w:hint="eastAsia" w:ascii="宋体" w:hAnsi="宋体" w:cs="宋体"/>
          <w:color w:val="auto"/>
          <w:sz w:val="24"/>
          <w:highlight w:val="none"/>
        </w:rPr>
        <w:t>价格参与评审</w:t>
      </w:r>
      <w:r>
        <w:rPr>
          <w:rFonts w:ascii="宋体" w:hAnsi="宋体" w:cs="宋体"/>
          <w:color w:val="auto"/>
          <w:sz w:val="24"/>
          <w:highlight w:val="none"/>
        </w:rPr>
        <w:t>；</w:t>
      </w:r>
      <w:r>
        <w:rPr>
          <w:rFonts w:hint="eastAsia" w:ascii="宋体" w:hAnsi="宋体"/>
          <w:color w:val="auto"/>
          <w:sz w:val="24"/>
          <w:highlight w:val="none"/>
        </w:rPr>
        <w:t>残疾人福利性单位</w:t>
      </w:r>
      <w:r>
        <w:rPr>
          <w:rFonts w:hint="eastAsia" w:ascii="宋体" w:hAnsi="宋体" w:cs="宋体"/>
          <w:color w:val="auto"/>
          <w:sz w:val="24"/>
          <w:highlight w:val="none"/>
        </w:rPr>
        <w:t>属于小型、微型企业的，不重复享受优惠政策。</w:t>
      </w:r>
    </w:p>
    <w:p w14:paraId="6F9AF555">
      <w:pPr>
        <w:pStyle w:val="30"/>
        <w:spacing w:after="0" w:line="560" w:lineRule="exact"/>
        <w:ind w:firstLine="571" w:firstLineChars="238"/>
        <w:rPr>
          <w:rFonts w:ascii="宋体" w:hAnsi="宋体"/>
          <w:color w:val="auto"/>
          <w:sz w:val="24"/>
          <w:highlight w:val="none"/>
        </w:rPr>
      </w:pPr>
      <w:r>
        <w:rPr>
          <w:rFonts w:ascii="宋体" w:hAnsi="宋体" w:cs="宋体"/>
          <w:color w:val="auto"/>
          <w:sz w:val="24"/>
          <w:highlight w:val="none"/>
        </w:rPr>
        <w:t xml:space="preserve">2) </w:t>
      </w:r>
      <w:r>
        <w:rPr>
          <w:rFonts w:hint="eastAsia" w:ascii="宋体" w:hAnsi="宋体"/>
          <w:color w:val="auto"/>
          <w:sz w:val="24"/>
          <w:highlight w:val="none"/>
        </w:rPr>
        <w:t>残疾人福利性单位</w:t>
      </w:r>
      <w:r>
        <w:rPr>
          <w:rFonts w:ascii="宋体" w:hAnsi="宋体" w:cs="宋体"/>
          <w:color w:val="auto"/>
          <w:sz w:val="24"/>
          <w:highlight w:val="none"/>
        </w:rPr>
        <w:t>评审价格</w:t>
      </w:r>
      <w:r>
        <w:rPr>
          <w:rFonts w:hint="eastAsia" w:ascii="宋体" w:hAnsi="宋体" w:cs="宋体"/>
          <w:color w:val="auto"/>
          <w:sz w:val="24"/>
          <w:highlight w:val="none"/>
        </w:rPr>
        <w:t>的计算</w:t>
      </w:r>
      <w:r>
        <w:rPr>
          <w:rFonts w:ascii="宋体" w:hAnsi="宋体" w:cs="宋体"/>
          <w:color w:val="auto"/>
          <w:sz w:val="24"/>
          <w:highlight w:val="none"/>
        </w:rPr>
        <w:t>：</w:t>
      </w:r>
      <w:r>
        <w:rPr>
          <w:rFonts w:hint="eastAsia" w:ascii="宋体" w:hAnsi="宋体"/>
          <w:color w:val="auto"/>
          <w:sz w:val="24"/>
          <w:highlight w:val="none"/>
        </w:rPr>
        <w:t>残疾人福利性单位</w:t>
      </w:r>
      <w:r>
        <w:rPr>
          <w:rFonts w:ascii="宋体" w:hAnsi="宋体" w:cs="宋体"/>
          <w:color w:val="auto"/>
          <w:sz w:val="24"/>
          <w:highlight w:val="none"/>
        </w:rPr>
        <w:t>的评审价格=</w:t>
      </w:r>
      <w:r>
        <w:rPr>
          <w:rFonts w:hint="eastAsia" w:ascii="宋体" w:hAnsi="宋体" w:cs="宋体"/>
          <w:color w:val="auto"/>
          <w:sz w:val="24"/>
          <w:highlight w:val="none"/>
        </w:rPr>
        <w:t>报价</w:t>
      </w:r>
      <w:r>
        <w:rPr>
          <w:rFonts w:ascii="宋体" w:hAnsi="宋体" w:cs="宋体"/>
          <w:color w:val="auto"/>
          <w:sz w:val="24"/>
          <w:highlight w:val="none"/>
        </w:rPr>
        <w:t>×</w:t>
      </w:r>
      <w:r>
        <w:rPr>
          <w:rFonts w:hint="eastAsia" w:ascii="宋体" w:hAnsi="宋体" w:cs="宋体"/>
          <w:color w:val="auto"/>
          <w:sz w:val="24"/>
          <w:highlight w:val="none"/>
        </w:rPr>
        <w:t>（1</w:t>
      </w:r>
      <w:r>
        <w:rPr>
          <w:rFonts w:ascii="宋体" w:hAnsi="宋体" w:cs="宋体"/>
          <w:color w:val="auto"/>
          <w:sz w:val="24"/>
          <w:highlight w:val="none"/>
        </w:rPr>
        <w:t>—扣除比例</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olor w:val="auto"/>
          <w:sz w:val="24"/>
          <w:highlight w:val="none"/>
        </w:rPr>
        <w:t>供应商属于享受政府采购支持政策的“残疾人福利性单位”的，</w:t>
      </w:r>
      <w:r>
        <w:rPr>
          <w:rFonts w:hint="eastAsia" w:ascii="宋体" w:hAnsi="宋体"/>
          <w:bCs/>
          <w:color w:val="auto"/>
          <w:sz w:val="24"/>
          <w:highlight w:val="none"/>
        </w:rPr>
        <w:t>只需</w:t>
      </w:r>
      <w:r>
        <w:rPr>
          <w:rFonts w:hint="eastAsia" w:ascii="宋体" w:hAnsi="宋体"/>
          <w:color w:val="auto"/>
          <w:sz w:val="24"/>
          <w:highlight w:val="none"/>
        </w:rPr>
        <w:t>提供《残疾人福利性单位声明函》，并对声明的真实性负责。成交供应商为残疾人福利性单位的，采购代理机构将随成交结果同时公告其《残疾人福利性单位声明函》。</w:t>
      </w:r>
    </w:p>
    <w:p w14:paraId="617F89B9">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3）享受政府采购支持政策的残疾人福利性单位应当同时满足以下条件：</w:t>
      </w:r>
    </w:p>
    <w:p w14:paraId="0CF27426">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1"/>
      </w:r>
      <w:r>
        <w:rPr>
          <w:rFonts w:hint="eastAsia" w:ascii="宋体" w:hAnsi="宋体" w:cs="宋体"/>
          <w:color w:val="auto"/>
          <w:kern w:val="0"/>
          <w:sz w:val="24"/>
          <w:highlight w:val="none"/>
        </w:rPr>
        <w:t>安置的残疾人占本单位在职职工人数的比例不低于25%（含25%），并且安置的残疾人人数不少于10人（含10人）；</w:t>
      </w:r>
    </w:p>
    <w:p w14:paraId="573646C7">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2"/>
      </w:r>
      <w:r>
        <w:rPr>
          <w:rFonts w:hint="eastAsia" w:ascii="宋体" w:hAnsi="宋体" w:cs="宋体"/>
          <w:color w:val="auto"/>
          <w:kern w:val="0"/>
          <w:sz w:val="24"/>
          <w:highlight w:val="none"/>
        </w:rPr>
        <w:t>依法与安置的每位残疾人签订了一年以上（含一年）的劳动合同或服务协议；</w:t>
      </w:r>
    </w:p>
    <w:p w14:paraId="2E83A651">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sym w:font="Wingdings" w:char="F083"/>
      </w:r>
      <w:r>
        <w:rPr>
          <w:rFonts w:hint="eastAsia" w:ascii="宋体" w:hAnsi="宋体" w:cs="宋体"/>
          <w:color w:val="auto"/>
          <w:kern w:val="0"/>
          <w:sz w:val="24"/>
          <w:highlight w:val="none"/>
        </w:rPr>
        <w:t>为安置的每位残疾人按月足额缴纳了基本养老保险、基本医疗保险、失业保险、工伤保险和生育保险等社会保险费；</w:t>
      </w:r>
    </w:p>
    <w:p w14:paraId="6E0D142B">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④通过银行等金融机构向安置的每位残疾人，按月支付了不低于单位所在区县适用的经省级人民政府批准的月最低工资标准的工资；</w:t>
      </w:r>
    </w:p>
    <w:p w14:paraId="07518994">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⑤提供本单位制造的货物、承担的工程或者服务（以下简称产品），或者提供其他残疾人福利性单位制造的货物（不包括使用非残疾人福利性单位注册商标的货物）。</w:t>
      </w:r>
    </w:p>
    <w:p w14:paraId="789F531B">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753972">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9</w:t>
      </w:r>
      <w:r>
        <w:rPr>
          <w:rFonts w:ascii="宋体" w:hAnsi="宋体" w:cs="宋体"/>
          <w:color w:val="auto"/>
          <w:kern w:val="0"/>
          <w:sz w:val="24"/>
          <w:highlight w:val="none"/>
        </w:rPr>
        <w:t>.4</w:t>
      </w:r>
      <w:r>
        <w:rPr>
          <w:rFonts w:hint="eastAsia" w:ascii="宋体" w:hAnsi="宋体" w:cs="宋体"/>
          <w:color w:val="auto"/>
          <w:kern w:val="0"/>
          <w:sz w:val="24"/>
          <w:highlight w:val="none"/>
        </w:rPr>
        <w:t xml:space="preserve"> 环保节能产品执行政府采购优惠政策</w:t>
      </w:r>
    </w:p>
    <w:p w14:paraId="264B81D5">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29.4.1 所投产品为环保节能产品的，应在响应文件中附</w:t>
      </w:r>
      <w:r>
        <w:rPr>
          <w:rFonts w:hint="eastAsia" w:ascii="宋体" w:hAnsi="宋体" w:cs="宋体"/>
          <w:b/>
          <w:color w:val="auto"/>
          <w:kern w:val="0"/>
          <w:sz w:val="24"/>
          <w:highlight w:val="none"/>
        </w:rPr>
        <w:t>国家节能产品认证证书或中国环境标志产品认证证书。</w:t>
      </w:r>
    </w:p>
    <w:p w14:paraId="30064BBE">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hint="eastAsia" w:ascii="宋体" w:hAnsi="宋体" w:cs="宋体"/>
          <w:b/>
          <w:color w:val="auto"/>
          <w:kern w:val="0"/>
          <w:sz w:val="24"/>
          <w:highlight w:val="none"/>
        </w:rPr>
        <w:t>在响应文件中附国家节能产品认证证书或中国环境标志产品认证证书，并在报价表中注明)</w:t>
      </w:r>
      <w:r>
        <w:rPr>
          <w:rFonts w:hint="eastAsia" w:ascii="宋体" w:hAnsi="宋体" w:cs="宋体"/>
          <w:color w:val="auto"/>
          <w:kern w:val="0"/>
          <w:sz w:val="24"/>
          <w:highlight w:val="none"/>
        </w:rPr>
        <w:t>，否则可能会导致所投报的节能环保产品因无法认定而不享受政府采购优惠政策。其中，</w:t>
      </w:r>
      <w:r>
        <w:rPr>
          <w:rFonts w:hint="eastAsia" w:ascii="宋体" w:hAnsi="宋体" w:cs="宋体"/>
          <w:b/>
          <w:color w:val="auto"/>
          <w:kern w:val="0"/>
          <w:sz w:val="24"/>
          <w:highlight w:val="none"/>
        </w:rPr>
        <w:t>★所报产品为政府强制采购产品的（《节能产品政府采购品目清单》中以“★”标注的产品品目）而未提供国家节能产品认证证书的，按无效报价处理</w:t>
      </w:r>
      <w:r>
        <w:rPr>
          <w:rFonts w:hint="eastAsia" w:ascii="宋体" w:hAnsi="宋体" w:cs="宋体"/>
          <w:color w:val="auto"/>
          <w:kern w:val="0"/>
          <w:sz w:val="24"/>
          <w:highlight w:val="none"/>
        </w:rPr>
        <w:t>。</w:t>
      </w:r>
    </w:p>
    <w:p w14:paraId="2AC4B322">
      <w:pPr>
        <w:autoSpaceDE w:val="0"/>
        <w:autoSpaceDN w:val="0"/>
        <w:adjustRightInd w:val="0"/>
        <w:snapToGrid w:val="0"/>
        <w:spacing w:line="560" w:lineRule="exact"/>
        <w:ind w:firstLine="600" w:firstLineChars="250"/>
        <w:jc w:val="left"/>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9</w:t>
      </w:r>
      <w:r>
        <w:rPr>
          <w:rFonts w:ascii="宋体" w:hAnsi="宋体" w:cs="宋体"/>
          <w:color w:val="auto"/>
          <w:kern w:val="0"/>
          <w:sz w:val="24"/>
          <w:highlight w:val="none"/>
        </w:rPr>
        <w:t>.4.</w:t>
      </w: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节能环保产品优惠办法</w:t>
      </w:r>
    </w:p>
    <w:p w14:paraId="5E59D374">
      <w:pPr>
        <w:pStyle w:val="30"/>
        <w:spacing w:line="560" w:lineRule="exact"/>
        <w:ind w:firstLine="573" w:firstLineChars="238"/>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同等条件下优先考虑节能环保产品</w:t>
      </w:r>
      <w:r>
        <w:rPr>
          <w:rFonts w:hint="eastAsia" w:ascii="宋体" w:hAnsi="宋体" w:cs="宋体"/>
          <w:b/>
          <w:bCs/>
          <w:color w:val="auto"/>
          <w:sz w:val="24"/>
          <w:highlight w:val="none"/>
          <w:lang w:eastAsia="zh-CN"/>
        </w:rPr>
        <w:t xml:space="preserve">。 </w:t>
      </w:r>
    </w:p>
    <w:p w14:paraId="559B44FE">
      <w:pPr>
        <w:pStyle w:val="30"/>
        <w:spacing w:after="0" w:line="560" w:lineRule="exact"/>
        <w:ind w:firstLine="571" w:firstLineChars="238"/>
        <w:rPr>
          <w:rFonts w:ascii="宋体" w:hAnsi="宋体" w:cs="宋体"/>
          <w:color w:val="auto"/>
          <w:sz w:val="24"/>
          <w:highlight w:val="none"/>
        </w:rPr>
      </w:pPr>
      <w:r>
        <w:rPr>
          <w:rFonts w:hint="eastAsia" w:ascii="宋体" w:hAnsi="宋体" w:cs="宋体"/>
          <w:color w:val="auto"/>
          <w:sz w:val="24"/>
          <w:highlight w:val="none"/>
        </w:rPr>
        <w:t>29.5执行政府采购政策对报价</w:t>
      </w:r>
      <w:r>
        <w:rPr>
          <w:rFonts w:hint="eastAsia" w:ascii="宋体" w:hAnsi="宋体" w:cs="宋体"/>
          <w:b w:val="0"/>
          <w:bCs w:val="0"/>
          <w:color w:val="auto"/>
          <w:sz w:val="24"/>
          <w:highlight w:val="none"/>
        </w:rPr>
        <w:t>进</w:t>
      </w:r>
      <w:r>
        <w:rPr>
          <w:rFonts w:hint="eastAsia" w:ascii="宋体" w:hAnsi="宋体" w:cs="宋体"/>
          <w:color w:val="auto"/>
          <w:sz w:val="24"/>
          <w:highlight w:val="none"/>
        </w:rPr>
        <w:t>行扣除后的评审价格仅用于评审过程评审价的</w:t>
      </w:r>
      <w:r>
        <w:rPr>
          <w:rFonts w:hint="eastAsia" w:ascii="宋体" w:hAnsi="宋体" w:cs="宋体"/>
          <w:color w:val="auto"/>
          <w:sz w:val="24"/>
          <w:highlight w:val="none"/>
          <w:lang w:eastAsia="zh-CN"/>
        </w:rPr>
        <w:t>计算和</w:t>
      </w:r>
      <w:r>
        <w:rPr>
          <w:rFonts w:hint="eastAsia" w:ascii="宋体" w:hAnsi="宋体" w:cs="宋体"/>
          <w:color w:val="auto"/>
          <w:sz w:val="24"/>
          <w:highlight w:val="none"/>
        </w:rPr>
        <w:t>比较，不作为最终的成交价格。</w:t>
      </w:r>
    </w:p>
    <w:p w14:paraId="3F8DD8B4">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30.  采购项目终止的情形</w:t>
      </w:r>
    </w:p>
    <w:p w14:paraId="1496ECD2">
      <w:pPr>
        <w:pStyle w:val="30"/>
        <w:spacing w:after="0" w:line="560" w:lineRule="exact"/>
        <w:ind w:firstLine="602" w:firstLineChars="250"/>
        <w:rPr>
          <w:rFonts w:ascii="宋体" w:hAnsi="宋体"/>
          <w:b/>
          <w:color w:val="auto"/>
          <w:sz w:val="24"/>
          <w:highlight w:val="none"/>
        </w:rPr>
      </w:pPr>
      <w:r>
        <w:rPr>
          <w:rFonts w:hint="eastAsia" w:ascii="宋体" w:hAnsi="宋体"/>
          <w:b/>
          <w:color w:val="auto"/>
          <w:sz w:val="24"/>
          <w:highlight w:val="none"/>
        </w:rPr>
        <w:t>有下列情形之一，本项目将予以终止：</w:t>
      </w:r>
    </w:p>
    <w:p w14:paraId="64611457">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1）至递交首次响应文件截止时间止，递交首次响应文件的供应商不足3家的；</w:t>
      </w:r>
    </w:p>
    <w:p w14:paraId="37BC7013">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2）经评审，对采购文件作出实质性响应的供应商不足3家的，或者提交最后报价的供应商不足3家的；但符合</w:t>
      </w:r>
      <w:r>
        <w:rPr>
          <w:rFonts w:hint="eastAsia" w:ascii="宋体" w:hAnsi="宋体"/>
          <w:color w:val="auto"/>
          <w:kern w:val="0"/>
          <w:sz w:val="24"/>
          <w:highlight w:val="none"/>
        </w:rPr>
        <w:t>《政府采购非招标采购方式管理办法》第二十七条第二款规定的情形除外</w:t>
      </w:r>
      <w:r>
        <w:rPr>
          <w:rFonts w:hint="eastAsia" w:ascii="宋体" w:hAnsi="宋体"/>
          <w:color w:val="auto"/>
          <w:sz w:val="24"/>
          <w:highlight w:val="none"/>
        </w:rPr>
        <w:t>；</w:t>
      </w:r>
    </w:p>
    <w:p w14:paraId="6104282A">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3）出现影响采购公正的违法违规行为的；</w:t>
      </w:r>
    </w:p>
    <w:p w14:paraId="074B9983">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4）因情况变化，不再符合规定的竞争性谈判采购方式适用情形的；</w:t>
      </w:r>
    </w:p>
    <w:p w14:paraId="4191A7AD">
      <w:pPr>
        <w:pStyle w:val="30"/>
        <w:spacing w:after="0" w:line="560" w:lineRule="exact"/>
        <w:ind w:firstLine="600" w:firstLineChars="250"/>
        <w:rPr>
          <w:rFonts w:ascii="宋体" w:hAnsi="宋体"/>
          <w:b/>
          <w:color w:val="auto"/>
          <w:sz w:val="24"/>
          <w:highlight w:val="none"/>
        </w:rPr>
      </w:pPr>
      <w:r>
        <w:rPr>
          <w:rFonts w:hint="eastAsia" w:ascii="宋体" w:hAnsi="宋体"/>
          <w:color w:val="auto"/>
          <w:sz w:val="24"/>
          <w:highlight w:val="none"/>
        </w:rPr>
        <w:t>5）法律、法规及采购文件规定的其他情况。</w:t>
      </w:r>
    </w:p>
    <w:p w14:paraId="6752C91D">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★31.串通报价</w:t>
      </w:r>
    </w:p>
    <w:p w14:paraId="73C4A025">
      <w:pPr>
        <w:pStyle w:val="30"/>
        <w:spacing w:after="0" w:line="560" w:lineRule="exact"/>
        <w:ind w:firstLine="600" w:firstLineChars="250"/>
        <w:rPr>
          <w:rFonts w:ascii="宋体" w:hAnsi="宋体"/>
          <w:color w:val="auto"/>
          <w:sz w:val="24"/>
          <w:highlight w:val="none"/>
        </w:rPr>
      </w:pPr>
      <w:r>
        <w:rPr>
          <w:rFonts w:hint="eastAsia" w:ascii="宋体" w:hAnsi="宋体"/>
          <w:color w:val="auto"/>
          <w:sz w:val="24"/>
          <w:highlight w:val="none"/>
        </w:rPr>
        <w:t>31.1供应商出现《中华人民共和国政府采购法实施条例》等规定的串通报价或影响政府采购的违法行为，其报价无效，采购人或</w:t>
      </w:r>
      <w:r>
        <w:rPr>
          <w:rFonts w:hint="eastAsia" w:ascii="宋体" w:hAnsi="宋体"/>
          <w:color w:val="auto"/>
          <w:sz w:val="24"/>
          <w:highlight w:val="none"/>
          <w:lang w:eastAsia="zh-CN"/>
        </w:rPr>
        <w:t>谈判</w:t>
      </w:r>
      <w:r>
        <w:rPr>
          <w:rFonts w:hint="eastAsia" w:ascii="宋体" w:hAnsi="宋体"/>
          <w:color w:val="auto"/>
          <w:sz w:val="24"/>
          <w:highlight w:val="none"/>
        </w:rPr>
        <w:t>小组将书面报告本级财政部门，给采购人、采购代理机构造成损失的，采购人、采购代理机构有索赔的权利，供应商应予以赔偿。</w:t>
      </w:r>
    </w:p>
    <w:p w14:paraId="24BDC449">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32.  成交公告</w:t>
      </w:r>
    </w:p>
    <w:p w14:paraId="14644FFE">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32.1 采购人确定成交供应商后，采购代理机构将在发布</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公告的同一媒体发布成交公告。</w:t>
      </w:r>
    </w:p>
    <w:p w14:paraId="0FFA6D2B">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32.2 成交公告内容应当包括采购人和采购代理机构的名称、地址、联系方式，项目名称和项目编号，成交供应商名称、地址和成交金额，主要成交标的的名称、规格型号、数量、单价、服务要求以及评审专家名单。</w:t>
      </w:r>
    </w:p>
    <w:p w14:paraId="565ED447">
      <w:pPr>
        <w:pStyle w:val="3"/>
        <w:widowControl/>
        <w:spacing w:before="120" w:after="120" w:line="360" w:lineRule="exact"/>
        <w:ind w:firstLine="516" w:firstLineChars="214"/>
        <w:rPr>
          <w:rFonts w:ascii="宋体" w:hAnsi="宋体" w:eastAsia="宋体" w:cs="宋体"/>
          <w:color w:val="auto"/>
          <w:sz w:val="24"/>
          <w:szCs w:val="24"/>
          <w:highlight w:val="none"/>
        </w:rPr>
      </w:pPr>
      <w:bookmarkStart w:id="55" w:name="_Toc508784352"/>
      <w:bookmarkStart w:id="56" w:name="_Toc5942"/>
      <w:bookmarkStart w:id="57" w:name="_Toc510973922"/>
      <w:r>
        <w:rPr>
          <w:rFonts w:hint="eastAsia" w:ascii="宋体" w:hAnsi="宋体" w:eastAsia="宋体" w:cs="宋体"/>
          <w:color w:val="auto"/>
          <w:sz w:val="24"/>
          <w:szCs w:val="24"/>
          <w:highlight w:val="none"/>
        </w:rPr>
        <w:t>六、询问和质疑</w:t>
      </w:r>
      <w:bookmarkEnd w:id="55"/>
      <w:bookmarkEnd w:id="56"/>
      <w:bookmarkEnd w:id="57"/>
    </w:p>
    <w:p w14:paraId="684A38AE">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33. 询问和质疑</w:t>
      </w:r>
    </w:p>
    <w:p w14:paraId="0BAB9FEA">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33.1 供应商认为本采购文件的条款，或采购需求中的技术、服务要求，或政府采购合同草案条款内容表述不明确的，可以按本项目</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公告中载明的联系人、联系方式以电话或书面（电子邮件等）方式与采购代理机构项目负责人联系。采购人或采购代理机构将在收到询问后3个工作日内做出答复。</w:t>
      </w:r>
    </w:p>
    <w:p w14:paraId="3D7970AA">
      <w:pPr>
        <w:pStyle w:val="30"/>
        <w:spacing w:after="0" w:line="56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33.2 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14:paraId="360AE521">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供应商应知其权益受到损害之日，是指：</w:t>
      </w:r>
    </w:p>
    <w:p w14:paraId="6F006210">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（1）对可以质疑的采购文件提出质疑的，为收到采购文件之日或者采购文件公告期限届满之日；</w:t>
      </w:r>
    </w:p>
    <w:p w14:paraId="6F484FA8">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774A2D08">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14:paraId="5A98B281">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33.3 采购人或采购代理机构应当在收到供应商的书面质疑后七个工作日内作出答复，并以书面形式通知质疑供应商和其他有关供应商，但答复的内容不得涉及商业秘密。</w:t>
      </w:r>
    </w:p>
    <w:p w14:paraId="5BBB7549">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33.4 采购人或采购代理机构接收质疑函的联系人、联系电话和通讯地址等信息详见本采购文件“</w:t>
      </w:r>
      <w:r>
        <w:rPr>
          <w:rFonts w:hint="eastAsia" w:ascii="宋体" w:hAnsi="宋体" w:cs="宋体"/>
          <w:color w:val="auto"/>
          <w:sz w:val="24"/>
          <w:highlight w:val="none"/>
          <w:lang w:eastAsia="zh-CN"/>
        </w:rPr>
        <w:t>竞争性谈判</w:t>
      </w:r>
      <w:r>
        <w:rPr>
          <w:rFonts w:hint="eastAsia" w:ascii="宋体" w:hAnsi="宋体" w:cs="宋体"/>
          <w:color w:val="auto"/>
          <w:sz w:val="24"/>
          <w:highlight w:val="none"/>
        </w:rPr>
        <w:t>公告”中的联系方式相关内容、“供应商须知附表”中载明的采购人、采购代理机构联系方式和联系人。</w:t>
      </w:r>
    </w:p>
    <w:p w14:paraId="5E7E529F">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.5 </w:t>
      </w:r>
      <w:r>
        <w:rPr>
          <w:rFonts w:hint="eastAsia" w:ascii="宋体" w:hAnsi="宋体" w:cs="宋体"/>
          <w:color w:val="auto"/>
          <w:sz w:val="24"/>
          <w:highlight w:val="none"/>
        </w:rPr>
        <w:t>依据《政府采购质疑和投诉办法》（财政部令第</w:t>
      </w:r>
      <w:r>
        <w:rPr>
          <w:rFonts w:ascii="宋体" w:hAnsi="宋体" w:cs="宋体"/>
          <w:color w:val="auto"/>
          <w:sz w:val="24"/>
          <w:highlight w:val="none"/>
        </w:rPr>
        <w:t>94号），</w:t>
      </w:r>
      <w:r>
        <w:rPr>
          <w:rFonts w:hint="eastAsia" w:ascii="宋体" w:hAnsi="宋体" w:cs="宋体"/>
          <w:color w:val="auto"/>
          <w:sz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cs="宋体"/>
          <w:color w:val="auto"/>
          <w:sz w:val="24"/>
          <w:highlight w:val="none"/>
        </w:rPr>
        <w:t xml:space="preserve"> </w:t>
      </w:r>
    </w:p>
    <w:p w14:paraId="172428AC">
      <w:pPr>
        <w:pStyle w:val="30"/>
        <w:spacing w:after="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代理人提出质疑和投诉，应当提交供应商签署的授权委托书。</w:t>
      </w:r>
      <w:r>
        <w:rPr>
          <w:rFonts w:ascii="宋体" w:hAnsi="宋体" w:cs="宋体"/>
          <w:color w:val="auto"/>
          <w:sz w:val="24"/>
          <w:highlight w:val="none"/>
        </w:rPr>
        <w:t xml:space="preserve"> </w:t>
      </w:r>
    </w:p>
    <w:p w14:paraId="29E350DF">
      <w:pPr>
        <w:pStyle w:val="30"/>
        <w:spacing w:after="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以联合体形式参加政府采购活动的，其投诉应当由组成联合体的所有供应商共同提出。</w:t>
      </w:r>
    </w:p>
    <w:p w14:paraId="4A83373F">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.6 提出质疑的</w:t>
      </w:r>
      <w:r>
        <w:rPr>
          <w:rFonts w:hint="eastAsia" w:ascii="宋体" w:hAnsi="宋体" w:cs="宋体"/>
          <w:color w:val="auto"/>
          <w:sz w:val="24"/>
          <w:highlight w:val="none"/>
        </w:rPr>
        <w:t>供应商应当是参与所质疑项目采购活动的供应商。</w:t>
      </w:r>
    </w:p>
    <w:p w14:paraId="40C6CA7C">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.7 潜在</w:t>
      </w:r>
      <w:r>
        <w:rPr>
          <w:rFonts w:hint="eastAsia" w:ascii="宋体" w:hAnsi="宋体" w:cs="宋体"/>
          <w:color w:val="auto"/>
          <w:sz w:val="24"/>
          <w:highlight w:val="none"/>
        </w:rPr>
        <w:t>供应商已依法获取其可质疑的采购文件的，可以对该文件提出质疑。对采购文件提出质疑的，应当在获取采购文件或者采购文件公告期限届满之日起</w:t>
      </w:r>
      <w:r>
        <w:rPr>
          <w:rFonts w:ascii="宋体" w:hAnsi="宋体" w:cs="宋体"/>
          <w:color w:val="auto"/>
          <w:sz w:val="24"/>
          <w:highlight w:val="none"/>
        </w:rPr>
        <w:t>7个工作日内提出。。</w:t>
      </w:r>
    </w:p>
    <w:p w14:paraId="43D87AF3">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.8 </w:t>
      </w:r>
      <w:r>
        <w:rPr>
          <w:rFonts w:hint="eastAsia" w:ascii="宋体" w:hAnsi="宋体" w:cs="宋体"/>
          <w:color w:val="auto"/>
          <w:sz w:val="24"/>
          <w:highlight w:val="none"/>
        </w:rPr>
        <w:t>供应商提出质疑应当提交质疑函和必要的证明材料。质疑函应当包括下列内容：</w:t>
      </w:r>
      <w:r>
        <w:rPr>
          <w:rFonts w:ascii="宋体" w:hAnsi="宋体" w:cs="宋体"/>
          <w:color w:val="auto"/>
          <w:sz w:val="24"/>
          <w:highlight w:val="none"/>
        </w:rPr>
        <w:t xml:space="preserve"> </w:t>
      </w:r>
    </w:p>
    <w:p w14:paraId="1A191CBE">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）供应商的姓名或者名称、地址、邮编、联系人及联系电话；</w:t>
      </w:r>
      <w:r>
        <w:rPr>
          <w:rFonts w:ascii="宋体" w:hAnsi="宋体" w:cs="宋体"/>
          <w:color w:val="auto"/>
          <w:sz w:val="24"/>
          <w:highlight w:val="none"/>
        </w:rPr>
        <w:t xml:space="preserve"> </w:t>
      </w:r>
    </w:p>
    <w:p w14:paraId="7577C189">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）质疑项目的名称、编号；</w:t>
      </w:r>
      <w:r>
        <w:rPr>
          <w:rFonts w:ascii="宋体" w:hAnsi="宋体" w:cs="宋体"/>
          <w:color w:val="auto"/>
          <w:sz w:val="24"/>
          <w:highlight w:val="none"/>
        </w:rPr>
        <w:t xml:space="preserve"> </w:t>
      </w:r>
    </w:p>
    <w:p w14:paraId="3944A363">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）具体、明确的质疑事项和与质疑事项相关的请求；</w:t>
      </w:r>
      <w:r>
        <w:rPr>
          <w:rFonts w:ascii="宋体" w:hAnsi="宋体" w:cs="宋体"/>
          <w:color w:val="auto"/>
          <w:sz w:val="24"/>
          <w:highlight w:val="none"/>
        </w:rPr>
        <w:t xml:space="preserve"> </w:t>
      </w:r>
    </w:p>
    <w:p w14:paraId="4FD35A09">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）事实依据；</w:t>
      </w:r>
      <w:r>
        <w:rPr>
          <w:rFonts w:ascii="宋体" w:hAnsi="宋体" w:cs="宋体"/>
          <w:color w:val="auto"/>
          <w:sz w:val="24"/>
          <w:highlight w:val="none"/>
        </w:rPr>
        <w:t xml:space="preserve"> </w:t>
      </w:r>
    </w:p>
    <w:p w14:paraId="518F01E4">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）必要的法律依据；</w:t>
      </w:r>
      <w:r>
        <w:rPr>
          <w:rFonts w:ascii="宋体" w:hAnsi="宋体" w:cs="宋体"/>
          <w:color w:val="auto"/>
          <w:sz w:val="24"/>
          <w:highlight w:val="none"/>
        </w:rPr>
        <w:t xml:space="preserve"> </w:t>
      </w:r>
    </w:p>
    <w:p w14:paraId="208ACE58">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）提出质疑的日期。</w:t>
      </w:r>
      <w:r>
        <w:rPr>
          <w:rFonts w:ascii="宋体" w:hAnsi="宋体" w:cs="宋体"/>
          <w:color w:val="auto"/>
          <w:sz w:val="24"/>
          <w:highlight w:val="none"/>
        </w:rPr>
        <w:t xml:space="preserve"> </w:t>
      </w:r>
    </w:p>
    <w:p w14:paraId="16C95AC0">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14:paraId="5A84AF56">
      <w:pPr>
        <w:pStyle w:val="30"/>
        <w:spacing w:after="0" w:line="560" w:lineRule="exact"/>
        <w:ind w:firstLine="600" w:firstLineChars="25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3</w:t>
      </w:r>
      <w:r>
        <w:rPr>
          <w:rFonts w:ascii="宋体" w:hAnsi="宋体" w:cs="宋体"/>
          <w:color w:val="auto"/>
          <w:sz w:val="24"/>
          <w:highlight w:val="none"/>
        </w:rPr>
        <w:t xml:space="preserve">.9 </w:t>
      </w:r>
      <w:r>
        <w:rPr>
          <w:rFonts w:hint="eastAsia" w:ascii="宋体" w:hAnsi="宋体" w:cs="宋体"/>
          <w:color w:val="auto"/>
          <w:sz w:val="24"/>
          <w:highlight w:val="none"/>
        </w:rPr>
        <w:t>采购人、采购代理机构认为供应商质疑不成立，或者成立但未对成交、成交结果构成影响的，继续开展采购活动；认为供应商质疑成立且影响或者可能影响成交、成交结果的，按照下列情况处理：</w:t>
      </w:r>
      <w:r>
        <w:rPr>
          <w:rFonts w:ascii="宋体" w:hAnsi="宋体" w:cs="宋体"/>
          <w:color w:val="auto"/>
          <w:sz w:val="24"/>
          <w:highlight w:val="none"/>
        </w:rPr>
        <w:t xml:space="preserve"> </w:t>
      </w:r>
    </w:p>
    <w:p w14:paraId="0996106F">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）对采购文件提出的质疑，依法通过澄清或者修改可以继续开展采购活动的，澄清或者修改采购文件后继续开展采购活动；否则应当修改采购文件后重新开展采购活动。</w:t>
      </w:r>
      <w:r>
        <w:rPr>
          <w:rFonts w:ascii="宋体" w:hAnsi="宋体" w:cs="宋体"/>
          <w:color w:val="auto"/>
          <w:sz w:val="24"/>
          <w:highlight w:val="none"/>
        </w:rPr>
        <w:t xml:space="preserve"> </w:t>
      </w:r>
    </w:p>
    <w:p w14:paraId="25234E61">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2）对采购过程、成交或者成交结果提出的质疑，合格供应商符合法定数量时，可以从合格的成交候选供应商中另行确定成交候选供应商的，应当依法另行确定成交候选供应商；否则应当重新开展采购活动。</w:t>
      </w:r>
    </w:p>
    <w:p w14:paraId="0DDD4895">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33.10 质疑供应商对采购人、采购代理机构的答复不满意或者采购人、采购代理机构未在规定的时间内作出答复的，可以在答复期满后十五个工作日内向同级政府采购监督管理部门投诉。</w:t>
      </w:r>
    </w:p>
    <w:p w14:paraId="3CA5C381">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1F560FC0">
      <w:pPr>
        <w:pStyle w:val="3"/>
        <w:spacing w:before="120" w:after="120" w:line="360" w:lineRule="exact"/>
        <w:ind w:firstLine="516" w:firstLineChars="214"/>
        <w:rPr>
          <w:rFonts w:ascii="宋体" w:hAnsi="宋体" w:eastAsia="宋体"/>
          <w:color w:val="auto"/>
          <w:sz w:val="24"/>
          <w:szCs w:val="24"/>
          <w:highlight w:val="none"/>
        </w:rPr>
      </w:pPr>
      <w:bookmarkStart w:id="58" w:name="_Toc12855"/>
      <w:bookmarkStart w:id="59" w:name="_Toc508784353"/>
      <w:bookmarkStart w:id="60" w:name="_Toc510973923"/>
      <w:r>
        <w:rPr>
          <w:rFonts w:hint="eastAsia" w:ascii="宋体" w:hAnsi="宋体" w:eastAsia="宋体" w:cs="宋体"/>
          <w:color w:val="auto"/>
          <w:sz w:val="24"/>
          <w:szCs w:val="24"/>
          <w:highlight w:val="none"/>
        </w:rPr>
        <w:t>七、授予合同</w:t>
      </w:r>
      <w:bookmarkEnd w:id="58"/>
      <w:bookmarkEnd w:id="59"/>
      <w:bookmarkEnd w:id="60"/>
    </w:p>
    <w:p w14:paraId="274FA6B1">
      <w:pPr>
        <w:pStyle w:val="4"/>
        <w:spacing w:before="0" w:after="0" w:line="500" w:lineRule="exact"/>
        <w:ind w:firstLine="504" w:firstLineChars="209"/>
        <w:rPr>
          <w:rFonts w:ascii="宋体" w:hAnsi="宋体"/>
          <w:color w:val="auto"/>
          <w:sz w:val="24"/>
          <w:szCs w:val="24"/>
          <w:highlight w:val="none"/>
        </w:rPr>
      </w:pPr>
      <w:bookmarkStart w:id="61" w:name="_Toc352332884"/>
      <w:bookmarkStart w:id="62" w:name="_Toc346372910"/>
      <w:bookmarkStart w:id="63" w:name="_Toc346306763"/>
      <w:r>
        <w:rPr>
          <w:rFonts w:ascii="宋体" w:hAnsi="宋体"/>
          <w:color w:val="auto"/>
          <w:sz w:val="24"/>
          <w:szCs w:val="24"/>
          <w:highlight w:val="none"/>
        </w:rPr>
        <w:t>3</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成交通知书</w:t>
      </w:r>
      <w:bookmarkEnd w:id="61"/>
      <w:bookmarkEnd w:id="62"/>
      <w:bookmarkEnd w:id="63"/>
    </w:p>
    <w:p w14:paraId="52D82C96">
      <w:pPr>
        <w:pStyle w:val="30"/>
        <w:spacing w:after="0" w:line="560" w:lineRule="exact"/>
        <w:ind w:firstLine="600" w:firstLineChars="250"/>
        <w:rPr>
          <w:rFonts w:ascii="宋体" w:hAnsi="宋体" w:cs="宋体"/>
          <w:color w:val="auto"/>
          <w:sz w:val="24"/>
          <w:highlight w:val="none"/>
        </w:rPr>
      </w:pPr>
      <w:bookmarkStart w:id="64" w:name="_Toc346372911"/>
      <w:bookmarkStart w:id="65" w:name="_Toc346306764"/>
      <w:bookmarkStart w:id="66" w:name="_Toc352332885"/>
      <w:r>
        <w:rPr>
          <w:rFonts w:hint="eastAsia" w:ascii="宋体" w:hAnsi="宋体" w:cs="宋体"/>
          <w:color w:val="auto"/>
          <w:sz w:val="24"/>
          <w:highlight w:val="none"/>
        </w:rPr>
        <w:t>34.1在发布成交结果的同时，采购人或采购代理机构向成交供应商签发《成交通知书》。</w:t>
      </w:r>
    </w:p>
    <w:p w14:paraId="71BDA54F">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34.2 成交通知书是合同的一个组成部分。</w:t>
      </w:r>
    </w:p>
    <w:p w14:paraId="48057EB9">
      <w:pPr>
        <w:pStyle w:val="4"/>
        <w:spacing w:before="0" w:after="0" w:line="500" w:lineRule="exact"/>
        <w:ind w:firstLine="504" w:firstLineChars="209"/>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签订合同</w:t>
      </w:r>
      <w:bookmarkEnd w:id="64"/>
      <w:bookmarkEnd w:id="65"/>
      <w:bookmarkEnd w:id="66"/>
    </w:p>
    <w:p w14:paraId="6630355D">
      <w:pPr>
        <w:pStyle w:val="30"/>
        <w:spacing w:line="560" w:lineRule="exact"/>
        <w:ind w:firstLine="480" w:firstLineChars="200"/>
        <w:rPr>
          <w:rFonts w:hint="eastAsia" w:ascii="宋体" w:hAnsi="宋体" w:cs="宋体"/>
          <w:color w:val="auto"/>
          <w:sz w:val="24"/>
          <w:highlight w:val="none"/>
        </w:rPr>
      </w:pPr>
      <w:bookmarkStart w:id="67" w:name="_Toc475090309"/>
      <w:r>
        <w:rPr>
          <w:rFonts w:hint="eastAsia" w:ascii="宋体" w:hAnsi="宋体" w:cs="宋体"/>
          <w:color w:val="auto"/>
          <w:sz w:val="24"/>
          <w:highlight w:val="none"/>
        </w:rPr>
        <w:t>35.1成交通知书发出之日起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日内，双方按照采购文件确定的事项签订合同。</w:t>
      </w:r>
      <w:bookmarkEnd w:id="67"/>
      <w:bookmarkStart w:id="68" w:name="_Toc475090310"/>
    </w:p>
    <w:p w14:paraId="1CDBDB15">
      <w:pPr>
        <w:pStyle w:val="3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采购文件、成交供应商的响应文件以及评审过程中的有关澄清、承诺文件均为合同的组成部分。</w:t>
      </w:r>
      <w:bookmarkEnd w:id="68"/>
    </w:p>
    <w:p w14:paraId="46373916">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35.3成交供应商拒绝与采购人签订合同的，采购人可以依法确定排名紧随其后的成交候选供应商为成交供应商，也可以重新开展政府采购活动。</w:t>
      </w:r>
    </w:p>
    <w:p w14:paraId="06165083">
      <w:pPr>
        <w:pStyle w:val="69"/>
        <w:widowControl w:val="0"/>
        <w:tabs>
          <w:tab w:val="left" w:pos="955"/>
        </w:tabs>
        <w:spacing w:before="0" w:beforeAutospacing="0" w:after="0" w:afterAutospacing="0" w:line="560" w:lineRule="exact"/>
        <w:ind w:left="1146" w:leftChars="273" w:hanging="573" w:hangingChars="238"/>
        <w:jc w:val="both"/>
        <w:rPr>
          <w:b/>
          <w:color w:val="auto"/>
          <w:highlight w:val="none"/>
        </w:rPr>
      </w:pPr>
      <w:r>
        <w:rPr>
          <w:rFonts w:hint="eastAsia"/>
          <w:b/>
          <w:color w:val="auto"/>
          <w:highlight w:val="none"/>
        </w:rPr>
        <w:t>八、合同公告</w:t>
      </w:r>
    </w:p>
    <w:p w14:paraId="7F846BAB">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36.  合同公告</w:t>
      </w:r>
    </w:p>
    <w:p w14:paraId="553C8719">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36.1自政府采购合同签订之日起2个工作日内，采购人应当将政府采购合同在省级以上人民政府财政部门指定的媒体上公告，但政府采购合同中涉及国家秘密、商业秘密的内容除外。</w:t>
      </w:r>
    </w:p>
    <w:p w14:paraId="51C6B7F2">
      <w:pPr>
        <w:pStyle w:val="3"/>
        <w:widowControl/>
        <w:spacing w:before="120" w:after="120" w:line="360" w:lineRule="exact"/>
        <w:ind w:firstLine="516" w:firstLineChars="214"/>
        <w:rPr>
          <w:rFonts w:ascii="宋体" w:hAnsi="宋体" w:eastAsia="宋体" w:cs="宋体"/>
          <w:color w:val="auto"/>
          <w:sz w:val="24"/>
          <w:szCs w:val="24"/>
          <w:highlight w:val="none"/>
        </w:rPr>
      </w:pPr>
      <w:bookmarkStart w:id="69" w:name="_Toc510973924"/>
      <w:bookmarkStart w:id="70" w:name="_Toc28203"/>
      <w:r>
        <w:rPr>
          <w:rFonts w:hint="eastAsia" w:ascii="宋体" w:hAnsi="宋体" w:eastAsia="宋体" w:cs="宋体"/>
          <w:color w:val="auto"/>
          <w:sz w:val="24"/>
          <w:szCs w:val="24"/>
          <w:highlight w:val="none"/>
        </w:rPr>
        <w:t>八、履约担保</w:t>
      </w:r>
      <w:bookmarkEnd w:id="69"/>
      <w:bookmarkEnd w:id="70"/>
    </w:p>
    <w:p w14:paraId="5FE18A24">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37.  履约担保</w:t>
      </w:r>
    </w:p>
    <w:p w14:paraId="2C2321F1">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37.1本项目成交供应商应按采购人要求提交履约担保，除非采购文件“供应商须知前附表”明确说明不要求成交供应商提交履约担保。履约担保的形式和担保金额见采购文件“供应商须知前附表”。</w:t>
      </w:r>
    </w:p>
    <w:p w14:paraId="5E0CF0DA">
      <w:pPr>
        <w:pStyle w:val="3"/>
        <w:spacing w:before="120" w:after="120" w:line="360" w:lineRule="exact"/>
        <w:ind w:firstLine="516" w:firstLineChars="214"/>
        <w:rPr>
          <w:rFonts w:ascii="宋体" w:hAnsi="宋体" w:eastAsia="宋体" w:cs="宋体"/>
          <w:color w:val="auto"/>
          <w:sz w:val="24"/>
          <w:szCs w:val="24"/>
          <w:highlight w:val="none"/>
        </w:rPr>
      </w:pPr>
      <w:bookmarkStart w:id="71" w:name="_Toc2134"/>
      <w:bookmarkStart w:id="72" w:name="_Toc508784354"/>
      <w:bookmarkStart w:id="73" w:name="_Toc510973925"/>
      <w:bookmarkStart w:id="74" w:name="_Toc21839"/>
      <w:r>
        <w:rPr>
          <w:rFonts w:hint="eastAsia" w:ascii="宋体" w:hAnsi="宋体" w:eastAsia="宋体" w:cs="宋体"/>
          <w:color w:val="auto"/>
          <w:sz w:val="24"/>
          <w:szCs w:val="24"/>
          <w:highlight w:val="none"/>
        </w:rPr>
        <w:t>九、成交服务费、公证费/律师见证费</w:t>
      </w:r>
      <w:bookmarkEnd w:id="71"/>
      <w:bookmarkEnd w:id="72"/>
      <w:bookmarkEnd w:id="73"/>
      <w:bookmarkEnd w:id="74"/>
    </w:p>
    <w:p w14:paraId="5F828D7D">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38.成交服务费、公证费/律师见证费</w:t>
      </w:r>
    </w:p>
    <w:p w14:paraId="135AE48A">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38.1本项目成交服务费的计算标准详见供应商须知前附表。</w:t>
      </w:r>
    </w:p>
    <w:p w14:paraId="1624F3C8">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38.2 本项目公证费/律师见证费（如有）具体收费标准见供应商须知前附表。</w:t>
      </w:r>
    </w:p>
    <w:p w14:paraId="5DEBD11C">
      <w:pPr>
        <w:pStyle w:val="3"/>
        <w:spacing w:before="120" w:after="120" w:line="360" w:lineRule="exact"/>
        <w:ind w:firstLine="516" w:firstLineChars="214"/>
        <w:rPr>
          <w:rFonts w:ascii="宋体" w:hAnsi="宋体" w:eastAsia="宋体"/>
          <w:color w:val="auto"/>
          <w:sz w:val="24"/>
          <w:szCs w:val="24"/>
          <w:highlight w:val="none"/>
        </w:rPr>
      </w:pPr>
      <w:bookmarkStart w:id="75" w:name="_Toc510973926"/>
      <w:bookmarkStart w:id="76" w:name="_Toc508784355"/>
      <w:bookmarkStart w:id="77" w:name="_Toc12529"/>
      <w:r>
        <w:rPr>
          <w:rFonts w:hint="eastAsia" w:ascii="宋体" w:hAnsi="宋体" w:eastAsia="宋体" w:cs="宋体"/>
          <w:color w:val="auto"/>
          <w:sz w:val="24"/>
          <w:szCs w:val="24"/>
          <w:highlight w:val="none"/>
        </w:rPr>
        <w:t>十、解释权</w:t>
      </w:r>
      <w:bookmarkEnd w:id="75"/>
      <w:bookmarkEnd w:id="76"/>
      <w:bookmarkEnd w:id="77"/>
    </w:p>
    <w:p w14:paraId="1C8C20B4">
      <w:pPr>
        <w:pStyle w:val="4"/>
        <w:spacing w:before="0" w:after="0" w:line="500" w:lineRule="exact"/>
        <w:ind w:firstLine="504" w:firstLineChars="209"/>
        <w:rPr>
          <w:rFonts w:ascii="宋体" w:hAnsi="宋体"/>
          <w:color w:val="auto"/>
          <w:sz w:val="24"/>
          <w:szCs w:val="24"/>
          <w:highlight w:val="none"/>
        </w:rPr>
      </w:pPr>
      <w:r>
        <w:rPr>
          <w:rFonts w:hint="eastAsia" w:ascii="宋体" w:hAnsi="宋体"/>
          <w:color w:val="auto"/>
          <w:sz w:val="24"/>
          <w:szCs w:val="24"/>
          <w:highlight w:val="none"/>
        </w:rPr>
        <w:t>39. 解释权</w:t>
      </w:r>
    </w:p>
    <w:p w14:paraId="0326738B">
      <w:pPr>
        <w:pStyle w:val="30"/>
        <w:spacing w:after="0" w:line="56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39.本采购文件的最终解释权归代理机构，当对一个问题有多种解释时以代理机构的书面解释为准。采购文件未做明示，而又有相关法律、法规规定的，代理机构对此所做解释以相关的法律、法规规定为依据。</w:t>
      </w:r>
    </w:p>
    <w:p w14:paraId="16F60043">
      <w:pPr>
        <w:pStyle w:val="3"/>
        <w:spacing w:before="120" w:after="120" w:line="360" w:lineRule="exact"/>
        <w:ind w:firstLine="516" w:firstLineChars="214"/>
        <w:rPr>
          <w:rFonts w:ascii="宋体" w:hAnsi="宋体" w:eastAsia="宋体" w:cs="宋体"/>
          <w:color w:val="auto"/>
          <w:sz w:val="24"/>
          <w:szCs w:val="24"/>
          <w:highlight w:val="none"/>
        </w:rPr>
      </w:pPr>
      <w:bookmarkStart w:id="78" w:name="_Toc28218"/>
      <w:r>
        <w:rPr>
          <w:rFonts w:hint="eastAsia" w:ascii="宋体" w:hAnsi="宋体" w:eastAsia="宋体" w:cs="宋体"/>
          <w:color w:val="auto"/>
          <w:sz w:val="24"/>
          <w:szCs w:val="24"/>
          <w:highlight w:val="none"/>
        </w:rPr>
        <w:t>十一、其他</w:t>
      </w:r>
      <w:bookmarkEnd w:id="78"/>
    </w:p>
    <w:p w14:paraId="396F6707">
      <w:pPr>
        <w:pStyle w:val="30"/>
        <w:spacing w:after="0" w:line="560" w:lineRule="exact"/>
        <w:ind w:firstLine="600" w:firstLineChars="250"/>
        <w:rPr>
          <w:rFonts w:ascii="宋体" w:hAnsi="宋体"/>
          <w:color w:val="auto"/>
          <w:sz w:val="24"/>
          <w:highlight w:val="none"/>
        </w:rPr>
      </w:pPr>
      <w:r>
        <w:rPr>
          <w:rFonts w:hint="eastAsia" w:ascii="宋体" w:hAnsi="宋体" w:cs="宋体"/>
          <w:color w:val="auto"/>
          <w:sz w:val="24"/>
          <w:highlight w:val="none"/>
        </w:rPr>
        <w:t>其他补充内容，详见供应商须知前附表。</w:t>
      </w:r>
    </w:p>
    <w:p w14:paraId="2E1494CC">
      <w:pPr>
        <w:pStyle w:val="11"/>
        <w:tabs>
          <w:tab w:val="left" w:pos="1146"/>
        </w:tabs>
        <w:spacing w:line="560" w:lineRule="exact"/>
        <w:ind w:left="571" w:leftChars="272" w:firstLine="2" w:firstLineChars="0"/>
        <w:jc w:val="center"/>
        <w:rPr>
          <w:rFonts w:ascii="宋体" w:hAnsi="宋体"/>
          <w:color w:val="auto"/>
          <w:sz w:val="24"/>
          <w:highlight w:val="none"/>
        </w:rPr>
      </w:pPr>
    </w:p>
    <w:p w14:paraId="2608139A">
      <w:pPr>
        <w:ind w:right="2" w:firstLine="480"/>
        <w:jc w:val="center"/>
        <w:rPr>
          <w:rFonts w:ascii="宋体" w:hAnsi="宋体"/>
          <w:b/>
          <w:bCs/>
          <w:color w:val="auto"/>
          <w:sz w:val="32"/>
          <w:szCs w:val="44"/>
          <w:highlight w:val="none"/>
        </w:rPr>
      </w:pPr>
      <w:r>
        <w:rPr>
          <w:rFonts w:ascii="宋体" w:hAnsi="宋体"/>
          <w:color w:val="auto"/>
          <w:kern w:val="2"/>
          <w:sz w:val="32"/>
          <w:highlight w:val="none"/>
        </w:rPr>
        <w:br w:type="page"/>
      </w:r>
    </w:p>
    <w:p w14:paraId="3D3B357C">
      <w:pPr>
        <w:pStyle w:val="2"/>
        <w:spacing w:before="120" w:after="120" w:line="240" w:lineRule="auto"/>
        <w:jc w:val="center"/>
        <w:rPr>
          <w:rFonts w:ascii="宋体" w:hAnsi="宋体"/>
          <w:color w:val="auto"/>
          <w:kern w:val="2"/>
          <w:sz w:val="32"/>
          <w:highlight w:val="none"/>
        </w:rPr>
      </w:pPr>
      <w:bookmarkStart w:id="79" w:name="_Toc31679"/>
      <w:r>
        <w:rPr>
          <w:rFonts w:hint="eastAsia" w:ascii="宋体" w:hAnsi="宋体"/>
          <w:color w:val="auto"/>
          <w:kern w:val="2"/>
          <w:sz w:val="32"/>
          <w:highlight w:val="none"/>
        </w:rPr>
        <w:t>第</w:t>
      </w:r>
      <w:r>
        <w:rPr>
          <w:rFonts w:hint="eastAsia" w:ascii="宋体" w:hAnsi="宋体"/>
          <w:color w:val="auto"/>
          <w:kern w:val="2"/>
          <w:sz w:val="32"/>
          <w:highlight w:val="none"/>
          <w:lang w:eastAsia="zh-CN"/>
        </w:rPr>
        <w:t>三</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采购内容及项目要求</w:t>
      </w:r>
      <w:bookmarkEnd w:id="79"/>
    </w:p>
    <w:p w14:paraId="036C3937">
      <w:pPr>
        <w:pStyle w:val="30"/>
        <w:keepNext w:val="0"/>
        <w:keepLines w:val="0"/>
        <w:pageBreakBefore w:val="0"/>
        <w:widowControl w:val="0"/>
        <w:tabs>
          <w:tab w:val="left" w:pos="573"/>
        </w:tabs>
        <w:kinsoku/>
        <w:wordWrap/>
        <w:overflowPunct/>
        <w:topLinePunct w:val="0"/>
        <w:autoSpaceDE/>
        <w:autoSpaceDN/>
        <w:bidi w:val="0"/>
        <w:adjustRightInd/>
        <w:snapToGrid/>
        <w:spacing w:after="0" w:line="500" w:lineRule="exact"/>
        <w:ind w:right="284"/>
        <w:textAlignment w:val="auto"/>
        <w:rPr>
          <w:rFonts w:hint="eastAsia" w:ascii="宋体" w:hAnsi="宋体" w:eastAsia="宋体" w:cs="宋体"/>
          <w:b/>
          <w:bCs/>
          <w:snapToGrid w:val="0"/>
          <w:color w:val="auto"/>
          <w:sz w:val="24"/>
          <w:szCs w:val="24"/>
          <w:highlight w:val="none"/>
        </w:rPr>
      </w:pPr>
      <w:bookmarkStart w:id="80" w:name="_Toc480463552"/>
      <w:bookmarkStart w:id="81" w:name="_Toc416941689"/>
      <w:bookmarkStart w:id="82" w:name="_Toc511592075"/>
      <w:bookmarkStart w:id="83" w:name="_Toc447737484"/>
      <w:bookmarkStart w:id="84" w:name="_Toc259000638"/>
      <w:r>
        <w:rPr>
          <w:rFonts w:hint="eastAsia" w:ascii="宋体" w:hAnsi="宋体" w:eastAsia="宋体" w:cs="宋体"/>
          <w:b/>
          <w:bCs/>
          <w:snapToGrid w:val="0"/>
          <w:color w:val="auto"/>
          <w:sz w:val="24"/>
          <w:szCs w:val="24"/>
          <w:highlight w:val="none"/>
        </w:rPr>
        <w:t>一、说明</w:t>
      </w:r>
      <w:bookmarkEnd w:id="80"/>
      <w:bookmarkEnd w:id="81"/>
      <w:bookmarkEnd w:id="82"/>
      <w:bookmarkEnd w:id="83"/>
    </w:p>
    <w:p w14:paraId="5A180B16">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本项目为山东大学第二医院消防器材供应采购供货及售后服务，拟用于满足医院日常消防器材供应、科室及临床的使用需求。各种消防器材需新增、更换时，接到采购人电话后应及时响应，并把消防器材送达指定地点，货到后经双方对货物、数量进行验收并签字认可。</w:t>
      </w:r>
    </w:p>
    <w:p w14:paraId="5F43603D">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说明：</w:t>
      </w:r>
    </w:p>
    <w:p w14:paraId="009D4DEF">
      <w:pPr>
        <w:keepNext w:val="0"/>
        <w:keepLines w:val="0"/>
        <w:pageBreakBefore w:val="0"/>
        <w:widowControl w:val="0"/>
        <w:kinsoku/>
        <w:wordWrap/>
        <w:overflowPunct/>
        <w:topLinePunct w:val="0"/>
        <w:autoSpaceDE/>
        <w:autoSpaceDN/>
        <w:bidi w:val="0"/>
        <w:adjustRightInd/>
        <w:snapToGrid/>
        <w:spacing w:line="360" w:lineRule="auto"/>
        <w:ind w:left="0" w:right="0" w:firstLine="518" w:firstLineChars="200"/>
        <w:textAlignment w:val="auto"/>
        <w:rPr>
          <w:rFonts w:hint="eastAsia" w:ascii="宋体" w:hAnsi="宋体" w:eastAsia="宋体" w:cs="宋体"/>
          <w:b/>
          <w:bCs/>
          <w:spacing w:val="9"/>
          <w:sz w:val="24"/>
          <w:szCs w:val="24"/>
          <w:highlight w:val="none"/>
          <w:lang w:val="en-US" w:eastAsia="zh-CN"/>
        </w:rPr>
      </w:pPr>
      <w:r>
        <w:rPr>
          <w:rFonts w:hint="eastAsia" w:ascii="宋体" w:hAnsi="宋体" w:eastAsia="宋体" w:cs="宋体"/>
          <w:b/>
          <w:bCs/>
          <w:spacing w:val="9"/>
          <w:sz w:val="24"/>
          <w:szCs w:val="24"/>
          <w:highlight w:val="none"/>
          <w:lang w:val="en-US" w:eastAsia="zh-CN"/>
        </w:rPr>
        <w:t>★1、供应商不得对所投包内容分解后进行响应。</w:t>
      </w:r>
    </w:p>
    <w:p w14:paraId="6C4FB982">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2、供应商所报价格应该包括项目设备及其配件/耗材，并能提供长期稳定的配件/耗材供应服务。供应商应按照生产厂家的出厂标准供货，供应商所提供的货物均应为质量完全符合国家或行业标准的全新产品，并以此标准进行验收；供应商在交货时必须提供该设备的合格证。</w:t>
      </w:r>
    </w:p>
    <w:p w14:paraId="6725F582">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3、</w:t>
      </w:r>
      <w:r>
        <w:rPr>
          <w:rFonts w:hint="eastAsia" w:ascii="宋体" w:hAnsi="宋体" w:eastAsia="宋体" w:cs="宋体"/>
          <w:spacing w:val="9"/>
          <w:sz w:val="24"/>
          <w:szCs w:val="24"/>
          <w:highlight w:val="none"/>
        </w:rPr>
        <w:t>供应商技术部分应充分体现本案技术要求、实现目标</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实用性、配套</w:t>
      </w:r>
      <w:r>
        <w:rPr>
          <w:rFonts w:hint="eastAsia" w:ascii="宋体" w:hAnsi="宋体" w:eastAsia="宋体" w:cs="宋体"/>
          <w:spacing w:val="9"/>
          <w:sz w:val="24"/>
          <w:szCs w:val="24"/>
          <w:highlight w:val="none"/>
          <w:lang w:val="en-US" w:eastAsia="zh-CN"/>
        </w:rPr>
        <w:t>设备</w:t>
      </w:r>
      <w:r>
        <w:rPr>
          <w:rFonts w:hint="eastAsia" w:ascii="宋体" w:hAnsi="宋体" w:eastAsia="宋体" w:cs="宋体"/>
          <w:spacing w:val="9"/>
          <w:sz w:val="24"/>
          <w:szCs w:val="24"/>
          <w:highlight w:val="none"/>
        </w:rPr>
        <w:t>的完整性和未来的可扩展性</w:t>
      </w:r>
      <w:r>
        <w:rPr>
          <w:rFonts w:hint="eastAsia" w:ascii="宋体" w:hAnsi="宋体" w:eastAsia="宋体" w:cs="宋体"/>
          <w:spacing w:val="9"/>
          <w:sz w:val="24"/>
          <w:szCs w:val="24"/>
          <w:highlight w:val="none"/>
          <w:lang w:val="en-US" w:eastAsia="zh-CN"/>
        </w:rPr>
        <w:t>。</w:t>
      </w:r>
    </w:p>
    <w:p w14:paraId="4287D0F1">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rPr>
      </w:pPr>
      <w:r>
        <w:rPr>
          <w:rFonts w:hint="eastAsia" w:ascii="宋体" w:hAnsi="宋体" w:cs="宋体"/>
          <w:spacing w:val="9"/>
          <w:sz w:val="24"/>
          <w:szCs w:val="24"/>
          <w:highlight w:val="none"/>
          <w:lang w:val="en-US" w:eastAsia="zh-CN"/>
        </w:rPr>
        <w:t>4</w:t>
      </w:r>
      <w:r>
        <w:rPr>
          <w:rFonts w:hint="eastAsia" w:ascii="宋体" w:hAnsi="宋体" w:eastAsia="宋体" w:cs="宋体"/>
          <w:spacing w:val="9"/>
          <w:sz w:val="24"/>
          <w:szCs w:val="24"/>
          <w:highlight w:val="none"/>
        </w:rPr>
        <w:t>、供应商必须仔细阅读本</w:t>
      </w:r>
      <w:r>
        <w:rPr>
          <w:rFonts w:hint="eastAsia" w:ascii="宋体" w:hAnsi="宋体" w:eastAsia="宋体" w:cs="宋体"/>
          <w:spacing w:val="9"/>
          <w:sz w:val="24"/>
          <w:szCs w:val="24"/>
          <w:highlight w:val="none"/>
          <w:lang w:val="en-US" w:eastAsia="zh-CN"/>
        </w:rPr>
        <w:t>谈判</w:t>
      </w:r>
      <w:r>
        <w:rPr>
          <w:rFonts w:hint="eastAsia" w:ascii="宋体" w:hAnsi="宋体" w:eastAsia="宋体" w:cs="宋体"/>
          <w:spacing w:val="9"/>
          <w:sz w:val="24"/>
          <w:szCs w:val="24"/>
          <w:highlight w:val="none"/>
        </w:rPr>
        <w:t>文件的全部条文。对于</w:t>
      </w:r>
      <w:r>
        <w:rPr>
          <w:rFonts w:hint="eastAsia" w:ascii="宋体" w:hAnsi="宋体" w:eastAsia="宋体" w:cs="宋体"/>
          <w:spacing w:val="9"/>
          <w:sz w:val="24"/>
          <w:szCs w:val="24"/>
          <w:highlight w:val="none"/>
          <w:lang w:val="en-US" w:eastAsia="zh-CN"/>
        </w:rPr>
        <w:t>谈判</w:t>
      </w:r>
      <w:r>
        <w:rPr>
          <w:rFonts w:hint="eastAsia" w:ascii="宋体" w:hAnsi="宋体" w:eastAsia="宋体" w:cs="宋体"/>
          <w:spacing w:val="9"/>
          <w:sz w:val="24"/>
          <w:szCs w:val="24"/>
          <w:highlight w:val="none"/>
        </w:rPr>
        <w:t>文件中存在的任何含糊、遗漏、相互矛盾之处，或是对于采购范围的界定和采购内容的要求不清楚，认为存在歧视、限制的情况，供应商应按照规定向</w:t>
      </w:r>
      <w:r>
        <w:rPr>
          <w:rFonts w:hint="eastAsia" w:ascii="宋体" w:hAnsi="宋体" w:eastAsia="宋体" w:cs="宋体"/>
          <w:spacing w:val="9"/>
          <w:sz w:val="24"/>
          <w:szCs w:val="24"/>
          <w:highlight w:val="none"/>
          <w:lang w:val="en-US" w:eastAsia="zh-CN"/>
        </w:rPr>
        <w:t>采购人及代理机构</w:t>
      </w:r>
      <w:r>
        <w:rPr>
          <w:rFonts w:hint="eastAsia" w:ascii="宋体" w:hAnsi="宋体" w:eastAsia="宋体" w:cs="宋体"/>
          <w:spacing w:val="9"/>
          <w:sz w:val="24"/>
          <w:szCs w:val="24"/>
          <w:highlight w:val="none"/>
        </w:rPr>
        <w:t>寻求书面澄清。</w:t>
      </w:r>
    </w:p>
    <w:p w14:paraId="4494D034">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spacing w:val="9"/>
          <w:sz w:val="24"/>
          <w:szCs w:val="24"/>
          <w:highlight w:val="none"/>
        </w:rPr>
      </w:pPr>
      <w:r>
        <w:rPr>
          <w:rFonts w:hint="eastAsia" w:ascii="宋体" w:hAnsi="宋体" w:cs="宋体"/>
          <w:spacing w:val="9"/>
          <w:sz w:val="24"/>
          <w:szCs w:val="24"/>
          <w:highlight w:val="none"/>
          <w:lang w:val="en-US" w:eastAsia="zh-CN"/>
        </w:rPr>
        <w:t>5</w:t>
      </w:r>
      <w:r>
        <w:rPr>
          <w:rFonts w:hint="eastAsia" w:ascii="宋体" w:hAnsi="宋体" w:eastAsia="宋体" w:cs="宋体"/>
          <w:spacing w:val="9"/>
          <w:sz w:val="24"/>
          <w:szCs w:val="24"/>
          <w:highlight w:val="none"/>
        </w:rPr>
        <w:t>、当</w:t>
      </w:r>
      <w:r>
        <w:rPr>
          <w:rFonts w:hint="eastAsia" w:ascii="宋体" w:hAnsi="宋体" w:eastAsia="宋体" w:cs="宋体"/>
          <w:spacing w:val="9"/>
          <w:sz w:val="24"/>
          <w:szCs w:val="24"/>
          <w:highlight w:val="none"/>
          <w:lang w:val="en-US" w:eastAsia="zh-CN"/>
        </w:rPr>
        <w:t>谈判</w:t>
      </w:r>
      <w:r>
        <w:rPr>
          <w:rFonts w:hint="eastAsia" w:ascii="宋体" w:hAnsi="宋体" w:eastAsia="宋体" w:cs="宋体"/>
          <w:spacing w:val="9"/>
          <w:sz w:val="24"/>
          <w:szCs w:val="24"/>
          <w:highlight w:val="none"/>
        </w:rPr>
        <w:t>文件中的技术要求以及货物备品备件的互换性标准与国家标准或者行业标准等不一致时，应以国家标准或者行业标准等为准。</w:t>
      </w:r>
    </w:p>
    <w:p w14:paraId="03234026">
      <w:pPr>
        <w:rPr>
          <w:rFonts w:hint="eastAsia"/>
          <w:highlight w:val="none"/>
        </w:rPr>
      </w:pPr>
    </w:p>
    <w:p w14:paraId="08761C76">
      <w:pPr>
        <w:pStyle w:val="30"/>
        <w:tabs>
          <w:tab w:val="left" w:pos="573"/>
        </w:tabs>
        <w:spacing w:after="0" w:line="360" w:lineRule="auto"/>
        <w:ind w:right="284"/>
        <w:rPr>
          <w:rFonts w:hint="eastAsia" w:ascii="宋体" w:hAnsi="宋体" w:eastAsia="宋体" w:cs="Times New Roman"/>
          <w:b/>
          <w:bCs/>
          <w:snapToGrid w:val="0"/>
          <w:color w:val="auto"/>
          <w:sz w:val="24"/>
          <w:highlight w:val="none"/>
          <w:lang w:val="en-US" w:eastAsia="zh-CN"/>
        </w:rPr>
      </w:pPr>
      <w:r>
        <w:rPr>
          <w:rFonts w:hint="eastAsia" w:ascii="宋体" w:hAnsi="宋体" w:eastAsia="宋体" w:cs="Times New Roman"/>
          <w:b/>
          <w:bCs/>
          <w:snapToGrid w:val="0"/>
          <w:color w:val="auto"/>
          <w:sz w:val="24"/>
          <w:highlight w:val="none"/>
          <w:lang w:val="en-US" w:eastAsia="zh-CN"/>
        </w:rPr>
        <w:t>二、医院需求清单</w:t>
      </w:r>
    </w:p>
    <w:p w14:paraId="11A7FC9D">
      <w:pPr>
        <w:pStyle w:val="30"/>
        <w:tabs>
          <w:tab w:val="left" w:pos="573"/>
        </w:tabs>
        <w:spacing w:after="0" w:line="360" w:lineRule="auto"/>
        <w:ind w:right="284" w:firstLine="361" w:firstLineChars="150"/>
        <w:rPr>
          <w:rFonts w:hint="default" w:ascii="宋体" w:hAnsi="宋体" w:eastAsia="宋体" w:cs="宋体"/>
          <w:b/>
          <w:bCs w:val="0"/>
          <w:snapToGrid w:val="0"/>
          <w:color w:val="auto"/>
          <w:sz w:val="24"/>
          <w:szCs w:val="24"/>
          <w:highlight w:val="none"/>
          <w:lang w:val="en-US" w:eastAsia="zh-CN"/>
        </w:rPr>
      </w:pPr>
      <w:r>
        <w:rPr>
          <w:rFonts w:hint="eastAsia" w:ascii="宋体" w:hAnsi="宋体" w:cs="宋体"/>
          <w:b/>
          <w:bCs w:val="0"/>
          <w:snapToGrid w:val="0"/>
          <w:color w:val="auto"/>
          <w:sz w:val="24"/>
          <w:szCs w:val="24"/>
          <w:highlight w:val="none"/>
          <w:lang w:val="en-US" w:eastAsia="zh-CN"/>
        </w:rPr>
        <w:t>核心产品：防毒面具</w:t>
      </w:r>
    </w:p>
    <w:tbl>
      <w:tblPr>
        <w:tblStyle w:val="7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2225"/>
        <w:gridCol w:w="2108"/>
        <w:gridCol w:w="776"/>
        <w:gridCol w:w="787"/>
        <w:gridCol w:w="886"/>
        <w:gridCol w:w="1858"/>
      </w:tblGrid>
      <w:tr w14:paraId="4837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3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5608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3F74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E10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6F17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2BEC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预计数量</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631F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单价最高限价</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AD62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备注（凡注明品牌产品必须响应）</w:t>
            </w:r>
          </w:p>
        </w:tc>
      </w:tr>
      <w:tr w14:paraId="1CDB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28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F8E2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BDFF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53D5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A8D8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6151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4797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充填</w:t>
            </w:r>
            <w:r>
              <w:rPr>
                <w:rFonts w:hint="eastAsia" w:ascii="宋体" w:hAnsi="宋体" w:eastAsia="宋体" w:cs="宋体"/>
                <w:i w:val="0"/>
                <w:iCs w:val="0"/>
                <w:color w:val="auto"/>
                <w:kern w:val="0"/>
                <w:sz w:val="21"/>
                <w:szCs w:val="21"/>
                <w:highlight w:val="none"/>
                <w:u w:val="none"/>
                <w:lang w:val="en-US" w:eastAsia="zh-CN" w:bidi="ar"/>
              </w:rPr>
              <w:t>干粉</w:t>
            </w:r>
          </w:p>
        </w:tc>
      </w:tr>
      <w:tr w14:paraId="69AA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53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B23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车载干粉灭火器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D4F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54F1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FBC3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43D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D1E7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充填</w:t>
            </w:r>
            <w:r>
              <w:rPr>
                <w:rFonts w:hint="eastAsia" w:ascii="宋体" w:hAnsi="宋体" w:eastAsia="宋体" w:cs="宋体"/>
                <w:i w:val="0"/>
                <w:iCs w:val="0"/>
                <w:color w:val="auto"/>
                <w:kern w:val="0"/>
                <w:sz w:val="21"/>
                <w:szCs w:val="21"/>
                <w:highlight w:val="none"/>
                <w:u w:val="none"/>
                <w:lang w:val="en-US" w:eastAsia="zh-CN" w:bidi="ar"/>
              </w:rPr>
              <w:t>干粉</w:t>
            </w:r>
          </w:p>
        </w:tc>
      </w:tr>
      <w:tr w14:paraId="2110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A3F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3B5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二氧化碳灭火器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9CDA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D64F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ADD9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F3D8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7BAF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充填</w:t>
            </w:r>
            <w:r>
              <w:rPr>
                <w:rFonts w:hint="eastAsia" w:ascii="宋体" w:hAnsi="宋体" w:eastAsia="宋体" w:cs="宋体"/>
                <w:i w:val="0"/>
                <w:iCs w:val="0"/>
                <w:color w:val="auto"/>
                <w:kern w:val="0"/>
                <w:sz w:val="21"/>
                <w:szCs w:val="21"/>
                <w:highlight w:val="none"/>
                <w:u w:val="none"/>
                <w:lang w:val="en-US" w:eastAsia="zh-CN" w:bidi="ar"/>
              </w:rPr>
              <w:t>二氧化碳</w:t>
            </w:r>
          </w:p>
        </w:tc>
      </w:tr>
      <w:tr w14:paraId="7660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5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E83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防毒面具</w:t>
            </w:r>
          </w:p>
          <w:p w14:paraId="1D5CA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【核心产品】</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B879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过滤式消防自救呼吸器</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510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55F2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2366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B68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火灾逃生面具呼吸器</w:t>
            </w:r>
          </w:p>
        </w:tc>
      </w:tr>
      <w:tr w14:paraId="60ED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7B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6F74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消防服</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7290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根据医院需求    （以男士均码为主）</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B8DB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9041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E8C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BF3E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阻燃隔热复合材料</w:t>
            </w:r>
          </w:p>
        </w:tc>
      </w:tr>
      <w:tr w14:paraId="0ED0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71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5A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安全出口标志灯</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A0BE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220V、24V</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9835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E107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EE96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A41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应急时间大于等于90min；铝制</w:t>
            </w:r>
          </w:p>
        </w:tc>
      </w:tr>
      <w:tr w14:paraId="4924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87C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5C6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4C66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220V双头</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0B0D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B6C3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9E3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6D93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应急时间大于等于90min</w:t>
            </w:r>
          </w:p>
        </w:tc>
      </w:tr>
      <w:tr w14:paraId="4B89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69F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1291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烟感探测器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40EA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JTY-GD-GX</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E340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622C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52D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3FFF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178E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945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3BA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火灾显示盘</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7C3F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ZF-101</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245F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65B9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486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4DA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6733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C61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442D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手动报警按钮</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0C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J-SAM-GST22B</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367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4AA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B52B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8E41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51D9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85F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BF8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7137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HX-240B</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4A4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DBA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7EBA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85D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4C11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029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6E36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274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ACEF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F67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057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C2F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干粉</w:t>
            </w:r>
          </w:p>
        </w:tc>
      </w:tr>
      <w:tr w14:paraId="4AEC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A7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4EE8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8C16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FB3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A95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0E9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7C9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干粉</w:t>
            </w:r>
          </w:p>
        </w:tc>
      </w:tr>
      <w:tr w14:paraId="1B23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DD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071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维修二氧化碳灭火器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64BC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F51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CE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AE0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2B33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二氧化碳</w:t>
            </w:r>
          </w:p>
        </w:tc>
      </w:tr>
      <w:tr w14:paraId="250E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EA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3607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灭火器箱</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ADEB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4公斤</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98B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987C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4467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BCC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玻璃；铁质</w:t>
            </w:r>
          </w:p>
        </w:tc>
      </w:tr>
      <w:tr w14:paraId="1BB5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A4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7EDA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灭火器、消火栓消防标志牌</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840E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30CM*40CM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ED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FDF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08A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9EFF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PP背胶贴纸</w:t>
            </w:r>
          </w:p>
        </w:tc>
      </w:tr>
      <w:tr w14:paraId="31F6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99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AF2C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消防水带</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9C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DN65-25M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9BEF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191A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A1C6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A7A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衬里聚氨酯</w:t>
            </w:r>
          </w:p>
        </w:tc>
      </w:tr>
      <w:tr w14:paraId="7F39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61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7790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消防接口</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6010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5EAE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442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26D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346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压铸铝接头</w:t>
            </w:r>
          </w:p>
        </w:tc>
      </w:tr>
      <w:tr w14:paraId="637B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4A1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FA47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消防水枪</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0DDE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C760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208A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8CE8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373C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压铸铝接头</w:t>
            </w:r>
          </w:p>
        </w:tc>
      </w:tr>
      <w:tr w14:paraId="0D9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D5D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6472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室内消火栓</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FF6E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03D5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967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1D2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5E6D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减压栓</w:t>
            </w:r>
          </w:p>
        </w:tc>
      </w:tr>
      <w:tr w14:paraId="1A15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4B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DB13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消火栓箱门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8DAE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1800*720*240</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CCFA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075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8081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C984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w:t>
            </w:r>
          </w:p>
        </w:tc>
      </w:tr>
      <w:tr w14:paraId="2C3A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76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B128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消火栓箱</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418E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1800*720*240</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84E6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02E7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FEE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DADA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含水带、接口、枪、软盘；铁质</w:t>
            </w:r>
          </w:p>
        </w:tc>
      </w:tr>
      <w:tr w14:paraId="1314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CC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D3CA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室外消火栓</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551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SS-100/65-1.6</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37E6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A3FE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00FF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A9E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地上式</w:t>
            </w:r>
          </w:p>
        </w:tc>
      </w:tr>
      <w:tr w14:paraId="35EF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CCD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3275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消火栓软盘</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0EE7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DB06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0905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CE3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00" w:type="pct"/>
            <w:tcBorders>
              <w:top w:val="single" w:color="auto" w:sz="4" w:space="0"/>
              <w:left w:val="single" w:color="auto" w:sz="4" w:space="0"/>
              <w:bottom w:val="single" w:color="auto" w:sz="4" w:space="0"/>
              <w:right w:val="single" w:color="auto" w:sz="4" w:space="0"/>
            </w:tcBorders>
            <w:noWrap/>
            <w:vAlign w:val="center"/>
          </w:tcPr>
          <w:p w14:paraId="5B817802">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iCs w:val="0"/>
                <w:color w:val="auto"/>
                <w:sz w:val="21"/>
                <w:szCs w:val="21"/>
                <w:highlight w:val="none"/>
                <w:u w:val="none"/>
              </w:rPr>
            </w:pPr>
          </w:p>
        </w:tc>
      </w:tr>
      <w:tr w14:paraId="6850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753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4B27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室外消火栓防撞护栏</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BAE5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实地制作</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E8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F7A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20A8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FF60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025D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29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737E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防火门标识牌</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C2E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20CM*30CM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421B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6568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44F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FB27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PP背胶贴</w:t>
            </w:r>
          </w:p>
        </w:tc>
      </w:tr>
      <w:tr w14:paraId="018B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CCB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97CE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室外消火栓标识牌</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BF95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30CM*40CM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E5A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CA7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F1D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2EA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亚克力板</w:t>
            </w:r>
          </w:p>
        </w:tc>
      </w:tr>
      <w:tr w14:paraId="1E56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29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1B3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安全疏散示意图</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1FD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50CM*60CM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BB4A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396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6BF9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B81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PVC板</w:t>
            </w:r>
          </w:p>
        </w:tc>
      </w:tr>
      <w:tr w14:paraId="6524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79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29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5815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手动报警按钮标识</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C09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10CM*10CM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AB03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59D0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46E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6B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PVC背胶贴</w:t>
            </w:r>
          </w:p>
        </w:tc>
      </w:tr>
      <w:tr w14:paraId="1900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53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F78B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声光报警标识</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93DF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10CM*10CM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909F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08B1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3ADA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37AA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PVC背胶贴</w:t>
            </w:r>
          </w:p>
        </w:tc>
      </w:tr>
      <w:tr w14:paraId="2E24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BF4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B215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荧光墙贴疏散指示牌</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DB40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13.5CM*31.5CM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F25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F435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6D2E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ACD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PVC背胶贴</w:t>
            </w:r>
          </w:p>
        </w:tc>
      </w:tr>
      <w:tr w14:paraId="06D4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70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8CC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防毒面具箱</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40E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10只装</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2B99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DFEE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B8A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2D2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w:t>
            </w:r>
          </w:p>
        </w:tc>
      </w:tr>
      <w:tr w14:paraId="4F38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8D7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9D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消防斧</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00D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810mm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FA8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A3D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B514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5ED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779B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A62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B93F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消防锤</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FAC0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876C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464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2E46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96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3DB0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74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5AEC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撬棍</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A788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1000mm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EEB5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D744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BD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9B94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高碳钢</w:t>
            </w:r>
          </w:p>
        </w:tc>
      </w:tr>
      <w:tr w14:paraId="0F73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12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BA15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室外消火栓扳手</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CCF5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B4D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6474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EFDA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D91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铸铁</w:t>
            </w:r>
          </w:p>
        </w:tc>
      </w:tr>
      <w:tr w14:paraId="4669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BE2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06E6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灭火毯</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A255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1m*1m</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0EEE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224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50BB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05C7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玻璃纤维,软装</w:t>
            </w:r>
          </w:p>
        </w:tc>
      </w:tr>
      <w:tr w14:paraId="5DDC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12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97C5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气体启动按钮</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9766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GST-LD-8318</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CBC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E38E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B1B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950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5C72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D4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39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20EE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喷淋头</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C8C3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68摄氏度</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6EED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82D4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DF4E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3EB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r>
      <w:tr w14:paraId="0EE2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7FE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365D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水位显示器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72B6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横式数字表</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D03F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C66E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E041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7311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测量水深5M</w:t>
            </w:r>
          </w:p>
        </w:tc>
      </w:tr>
      <w:tr w14:paraId="2412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E9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1CC0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消防报警主机</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D410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GST5000</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FB81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109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2A0D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1E1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r>
              <w:rPr>
                <w:rFonts w:hint="eastAsia" w:ascii="宋体" w:hAnsi="宋体" w:cs="宋体"/>
                <w:i w:val="0"/>
                <w:iCs w:val="0"/>
                <w:color w:val="auto"/>
                <w:kern w:val="0"/>
                <w:sz w:val="21"/>
                <w:szCs w:val="21"/>
                <w:highlight w:val="none"/>
                <w:u w:val="none"/>
                <w:lang w:val="en-US" w:eastAsia="zh-CN" w:bidi="ar"/>
              </w:rPr>
              <w:t>，主机系统点位为1600</w:t>
            </w:r>
          </w:p>
        </w:tc>
      </w:tr>
      <w:tr w14:paraId="41C1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F79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964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消防主机电池</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ED7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12V5A</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6EA6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A5C4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9C39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B84F8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电池不与5000主机配套使用</w:t>
            </w:r>
          </w:p>
        </w:tc>
      </w:tr>
      <w:tr w14:paraId="7044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5C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ED5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消防主机电池</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4D4A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12V7A</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97FE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93F8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275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BD028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14:paraId="5283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04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69F7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消防卷帘门控制面板</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FBEE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lang w:eastAsia="zh-CN"/>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BDAF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04B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A23A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8A3B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与院区现有品牌相匹配</w:t>
            </w:r>
            <w:r>
              <w:rPr>
                <w:rFonts w:hint="eastAsia" w:ascii="宋体" w:hAnsi="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u w:val="none"/>
                <w:lang w:val="en-US" w:eastAsia="zh-CN"/>
              </w:rPr>
              <w:t>安麟</w:t>
            </w:r>
            <w:r>
              <w:rPr>
                <w:rFonts w:hint="eastAsia" w:ascii="宋体" w:hAnsi="宋体" w:cs="宋体"/>
                <w:i w:val="0"/>
                <w:iCs w:val="0"/>
                <w:color w:val="auto"/>
                <w:sz w:val="21"/>
                <w:szCs w:val="21"/>
                <w:highlight w:val="none"/>
                <w:u w:val="none"/>
                <w:lang w:val="en-US" w:eastAsia="zh-CN"/>
              </w:rPr>
              <w:t>FJK-SF-KB2013）</w:t>
            </w:r>
          </w:p>
        </w:tc>
      </w:tr>
      <w:tr w14:paraId="5872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EEA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4821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编码器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E8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GST-BMQ-2</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2ED6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E5A3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1853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378</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DFF6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3E50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D34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9E74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输入输出模块</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85CF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GST-LD-8301</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C19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68E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6146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7B5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6946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C4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E229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输入模块</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0927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GST-LD-8300B</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796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3159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9C95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D3E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55D9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A4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A79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广播模块</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69C1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GST-LD-8305A</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BFD8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2E7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07E2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F71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3025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5B1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49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0019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广播喇叭</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E61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HY6251</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5AA6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A7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C8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DE65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2978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12B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BC26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湿式报警阀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8C75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DBBC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6B91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DF69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C3BB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r>
      <w:tr w14:paraId="298F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E12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13D2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预作用阀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6724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C63E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4EAA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F90E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B1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r>
      <w:tr w14:paraId="1BF1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47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25E6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5A21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Y100 0-1.6MPa</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644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7CD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1FBD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4590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r>
      <w:tr w14:paraId="6C1C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BD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EC52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DM100闸阀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3919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lang w:val="en-US" w:eastAsia="zh-CN"/>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FEC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14D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4340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9CB6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39BA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28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353B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DN80闸阀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51C8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C23F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298F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C59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7A25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17AD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0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72E2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DN65闸阀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5902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6AEF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F5A2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DDF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177A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6AE2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0D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FBF2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DN50闸阀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5100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FC0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A8BF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1AFE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BDE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6BB4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82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989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DN150闸阀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149D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56B0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9A6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DB2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E31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1B40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F6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09EB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DN150管卡</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A8F57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2F6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276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7EC5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9A1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4543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03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59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8B35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DN100管卡</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212A7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D268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7B4B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007C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5CEE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6D61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C3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7741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DN65管卡</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E4BE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2D6B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2F9B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836A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C40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p>
        </w:tc>
      </w:tr>
      <w:tr w14:paraId="574F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93A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ADC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气体灭火报警灯</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6DAC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GST-LD-83017</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F72D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F909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BDF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EA1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与院区现有主机型号相匹配(海湾GST-QKP01/04)</w:t>
            </w:r>
          </w:p>
        </w:tc>
      </w:tr>
      <w:tr w14:paraId="131A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324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3C48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水力警铃</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5DC36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88EF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CF3F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08B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0F12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w:t>
            </w:r>
          </w:p>
        </w:tc>
      </w:tr>
      <w:tr w14:paraId="5EC0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97A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63</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AE9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消火栓按钮</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C5E3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J-SAM-GST9123B</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B4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7504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513A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E4FD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7AF9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16C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64</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7F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14638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F24F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CC6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C9F0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853B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r>
              <w:rPr>
                <w:rFonts w:hint="eastAsia" w:ascii="宋体" w:hAnsi="宋体" w:cs="宋体"/>
                <w:i w:val="0"/>
                <w:iCs w:val="0"/>
                <w:color w:val="auto"/>
                <w:kern w:val="0"/>
                <w:sz w:val="21"/>
                <w:szCs w:val="21"/>
                <w:highlight w:val="none"/>
                <w:u w:val="none"/>
                <w:lang w:val="en-US" w:eastAsia="zh-CN" w:bidi="ar"/>
              </w:rPr>
              <w:t>，尺寸宽54.3厘米，高109.3厘米</w:t>
            </w:r>
          </w:p>
        </w:tc>
      </w:tr>
      <w:tr w14:paraId="7FD3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B55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65</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4F3E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防火阀</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019F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180摄氏度</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B3F1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B24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577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BC5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w:t>
            </w:r>
            <w:r>
              <w:rPr>
                <w:rFonts w:hint="eastAsia" w:ascii="宋体" w:hAnsi="宋体" w:cs="宋体"/>
                <w:i w:val="0"/>
                <w:iCs w:val="0"/>
                <w:color w:val="auto"/>
                <w:kern w:val="0"/>
                <w:sz w:val="21"/>
                <w:szCs w:val="21"/>
                <w:highlight w:val="none"/>
                <w:u w:val="none"/>
                <w:lang w:val="en-US" w:eastAsia="zh-CN" w:bidi="ar"/>
              </w:rPr>
              <w:t>，尺寸长105.7厘米，宽30.6厘米，高106.7厘米</w:t>
            </w:r>
          </w:p>
        </w:tc>
      </w:tr>
      <w:tr w14:paraId="5500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B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66</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1A2F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消防电话分机</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4AB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TS-GSTN602</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7E31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1C4A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0E3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92D3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5032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3A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67</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9DE2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消防电话模块</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12F0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GST-LD-8304</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7EEA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A0E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A962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E225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0C37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6F1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68</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00A4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消防信号线缆</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AB6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2.5mm²</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4037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37B8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0BEF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B497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阻燃、耐火</w:t>
            </w:r>
          </w:p>
        </w:tc>
      </w:tr>
      <w:tr w14:paraId="0E5E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178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69</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8AB5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气体灭火控制器/火灾报警控制器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26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GST-QKP04H/带CAN联网</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78E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445D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DCDD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E8FA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r w14:paraId="32BD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B7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70</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749E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电源主板</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7825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QKP01</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FA90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35CA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9A0C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6B4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与院区现有主机型号相匹配(海湾GST-QKP01/04)</w:t>
            </w:r>
          </w:p>
        </w:tc>
      </w:tr>
      <w:tr w14:paraId="6BDE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FAD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71</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E060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紧急启停按钮</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613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GST-LD-8318</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1A75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A30A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634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F7E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与院区现有主机型号相匹配(海湾GST-QKP01/04)</w:t>
            </w:r>
          </w:p>
        </w:tc>
      </w:tr>
      <w:tr w14:paraId="338A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830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72</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19D5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广播控制器</w:t>
            </w:r>
          </w:p>
        </w:tc>
        <w:tc>
          <w:tcPr>
            <w:tcW w:w="11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6E63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GST-200A</w:t>
            </w:r>
          </w:p>
        </w:tc>
        <w:tc>
          <w:tcPr>
            <w:tcW w:w="4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96DC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C52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6575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4000</w:t>
            </w:r>
          </w:p>
        </w:tc>
        <w:tc>
          <w:tcPr>
            <w:tcW w:w="100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DE47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与院区现有主机型号相匹配（海湾JB-QG-GST-5000)</w:t>
            </w:r>
          </w:p>
        </w:tc>
      </w:tr>
    </w:tbl>
    <w:p w14:paraId="4450B6D8">
      <w:pPr>
        <w:pStyle w:val="30"/>
        <w:tabs>
          <w:tab w:val="left" w:pos="573"/>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说明：</w:t>
      </w:r>
    </w:p>
    <w:p w14:paraId="1C82B1D7">
      <w:pPr>
        <w:pStyle w:val="30"/>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1、采购需求清单中每项产品的预计数量为仅做为报价参考数据，采购人不保证以上货物的供货量，实际供货量应按采购人下达的供货清单为准。</w:t>
      </w:r>
    </w:p>
    <w:p w14:paraId="16C7728B">
      <w:pPr>
        <w:pStyle w:val="30"/>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★2、需求清单所列出的配置及技术、性能要求为采购人正常使用必需的配置和要求，各供应商在响应时所报方案，必须满足上述要求。</w:t>
      </w:r>
    </w:p>
    <w:p w14:paraId="72185B3B">
      <w:pPr>
        <w:pStyle w:val="30"/>
        <w:tabs>
          <w:tab w:val="left" w:pos="573"/>
          <w:tab w:val="right" w:pos="8711"/>
        </w:tabs>
        <w:spacing w:after="0" w:line="360" w:lineRule="auto"/>
        <w:ind w:right="284" w:firstLine="361" w:firstLineChars="150"/>
        <w:rPr>
          <w:rFonts w:hint="default"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★3、“医院需求清单”中1-11项</w:t>
      </w:r>
      <w:r>
        <w:rPr>
          <w:rFonts w:hint="eastAsia" w:ascii="宋体" w:hAnsi="宋体" w:cs="Times New Roman"/>
          <w:b/>
          <w:bCs w:val="0"/>
          <w:snapToGrid w:val="0"/>
          <w:color w:val="auto"/>
          <w:sz w:val="24"/>
          <w:highlight w:val="none"/>
          <w:lang w:val="en-US" w:eastAsia="zh-CN"/>
        </w:rPr>
        <w:t>须</w:t>
      </w:r>
      <w:r>
        <w:rPr>
          <w:rFonts w:hint="eastAsia" w:ascii="宋体" w:hAnsi="宋体" w:eastAsia="宋体" w:cs="Times New Roman"/>
          <w:b/>
          <w:bCs w:val="0"/>
          <w:snapToGrid w:val="0"/>
          <w:color w:val="auto"/>
          <w:sz w:val="24"/>
          <w:highlight w:val="none"/>
          <w:lang w:val="en-US" w:eastAsia="zh-CN"/>
        </w:rPr>
        <w:t>提供所投产品相关检测报告</w:t>
      </w:r>
      <w:r>
        <w:rPr>
          <w:rFonts w:hint="eastAsia" w:ascii="宋体" w:hAnsi="宋体" w:cs="Times New Roman"/>
          <w:b/>
          <w:bCs w:val="0"/>
          <w:snapToGrid w:val="0"/>
          <w:color w:val="auto"/>
          <w:sz w:val="24"/>
          <w:highlight w:val="none"/>
          <w:lang w:val="en-US" w:eastAsia="zh-CN"/>
        </w:rPr>
        <w:t>。</w:t>
      </w:r>
    </w:p>
    <w:p w14:paraId="3BFD4F69">
      <w:pPr>
        <w:pStyle w:val="30"/>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w:t>
      </w:r>
      <w:r>
        <w:rPr>
          <w:rFonts w:hint="eastAsia" w:ascii="宋体" w:hAnsi="宋体" w:cs="Times New Roman"/>
          <w:b/>
          <w:bCs w:val="0"/>
          <w:snapToGrid w:val="0"/>
          <w:color w:val="auto"/>
          <w:sz w:val="24"/>
          <w:highlight w:val="none"/>
          <w:lang w:val="en-US" w:eastAsia="zh-CN"/>
        </w:rPr>
        <w:t>4</w:t>
      </w:r>
      <w:r>
        <w:rPr>
          <w:rFonts w:hint="eastAsia" w:ascii="宋体" w:hAnsi="宋体" w:eastAsia="宋体" w:cs="Times New Roman"/>
          <w:b/>
          <w:bCs w:val="0"/>
          <w:snapToGrid w:val="0"/>
          <w:color w:val="auto"/>
          <w:sz w:val="24"/>
          <w:highlight w:val="none"/>
          <w:lang w:val="en-US" w:eastAsia="zh-CN"/>
        </w:rPr>
        <w:t>、谈判报价超过预算或单项报价超单价最高限价的，按无效报价处理。</w:t>
      </w:r>
    </w:p>
    <w:p w14:paraId="0737ED07">
      <w:pPr>
        <w:pStyle w:val="30"/>
        <w:tabs>
          <w:tab w:val="left" w:pos="573"/>
        </w:tabs>
        <w:spacing w:after="0" w:line="360" w:lineRule="auto"/>
        <w:ind w:right="284"/>
        <w:rPr>
          <w:rFonts w:hint="eastAsia" w:ascii="宋体" w:hAnsi="宋体"/>
          <w:b/>
          <w:snapToGrid w:val="0"/>
          <w:color w:val="auto"/>
          <w:sz w:val="24"/>
          <w:highlight w:val="none"/>
        </w:rPr>
      </w:pPr>
      <w:r>
        <w:rPr>
          <w:rFonts w:hint="eastAsia" w:ascii="宋体" w:hAnsi="宋体"/>
          <w:b/>
          <w:snapToGrid w:val="0"/>
          <w:color w:val="auto"/>
          <w:sz w:val="24"/>
          <w:highlight w:val="none"/>
          <w:lang w:val="en-US" w:eastAsia="zh-CN"/>
        </w:rPr>
        <w:t>三</w:t>
      </w:r>
      <w:r>
        <w:rPr>
          <w:rFonts w:hint="eastAsia" w:ascii="宋体" w:hAnsi="宋体"/>
          <w:b/>
          <w:snapToGrid w:val="0"/>
          <w:color w:val="auto"/>
          <w:sz w:val="24"/>
          <w:highlight w:val="none"/>
        </w:rPr>
        <w:t>、基本要求</w:t>
      </w:r>
    </w:p>
    <w:tbl>
      <w:tblPr>
        <w:tblStyle w:val="75"/>
        <w:tblW w:w="98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38"/>
        <w:gridCol w:w="1201"/>
        <w:gridCol w:w="8198"/>
      </w:tblGrid>
      <w:tr w14:paraId="22837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1" w:hRule="atLeast"/>
          <w:jc w:val="center"/>
        </w:trPr>
        <w:tc>
          <w:tcPr>
            <w:tcW w:w="438" w:type="dxa"/>
            <w:noWrap w:val="0"/>
            <w:vAlign w:val="center"/>
          </w:tcPr>
          <w:p w14:paraId="1C1BFE03">
            <w:pPr>
              <w:spacing w:line="36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1201" w:type="dxa"/>
            <w:noWrap w:val="0"/>
            <w:vAlign w:val="center"/>
          </w:tcPr>
          <w:p w14:paraId="064C264F">
            <w:pPr>
              <w:spacing w:line="360" w:lineRule="auto"/>
              <w:jc w:val="center"/>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服务要求</w:t>
            </w:r>
          </w:p>
        </w:tc>
        <w:tc>
          <w:tcPr>
            <w:tcW w:w="8198" w:type="dxa"/>
            <w:noWrap w:val="0"/>
            <w:vAlign w:val="center"/>
          </w:tcPr>
          <w:p w14:paraId="74F3B57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产品质量符合国家标准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保证质量，如出现质量问题，免费更换全新同样产品。</w:t>
            </w:r>
          </w:p>
        </w:tc>
      </w:tr>
      <w:tr w14:paraId="2D08E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438" w:type="dxa"/>
            <w:noWrap w:val="0"/>
            <w:vAlign w:val="center"/>
          </w:tcPr>
          <w:p w14:paraId="1D91763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201" w:type="dxa"/>
            <w:noWrap w:val="0"/>
            <w:vAlign w:val="center"/>
          </w:tcPr>
          <w:p w14:paraId="1014A1DA">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质保等要求</w:t>
            </w:r>
          </w:p>
        </w:tc>
        <w:tc>
          <w:tcPr>
            <w:tcW w:w="8198" w:type="dxa"/>
            <w:noWrap w:val="0"/>
            <w:vAlign w:val="center"/>
          </w:tcPr>
          <w:p w14:paraId="25C0D6FA">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w:t>
            </w:r>
          </w:p>
          <w:p w14:paraId="3292AD45">
            <w:pPr>
              <w:numPr>
                <w:ilvl w:val="0"/>
                <w:numId w:val="0"/>
              </w:numPr>
              <w:spacing w:line="360" w:lineRule="auto"/>
              <w:rPr>
                <w:rFonts w:hint="eastAsia" w:ascii="宋体" w:hAnsi="宋体" w:eastAsia="宋体" w:cs="宋体"/>
                <w:b/>
                <w:strike/>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b/>
                <w:color w:val="auto"/>
                <w:sz w:val="24"/>
                <w:highlight w:val="none"/>
                <w:lang w:eastAsia="zh-CN"/>
              </w:rPr>
              <w:t>自验收合格之日起不少于</w:t>
            </w:r>
            <w:r>
              <w:rPr>
                <w:rFonts w:hint="eastAsia" w:ascii="宋体" w:hAnsi="宋体" w:eastAsia="宋体"/>
                <w:b/>
                <w:color w:val="auto"/>
                <w:sz w:val="24"/>
                <w:highlight w:val="none"/>
                <w:lang w:val="en-US" w:eastAsia="zh-CN"/>
              </w:rPr>
              <w:t>2</w:t>
            </w:r>
            <w:r>
              <w:rPr>
                <w:rFonts w:hint="eastAsia" w:ascii="宋体" w:hAnsi="宋体" w:eastAsia="宋体"/>
                <w:b/>
                <w:color w:val="auto"/>
                <w:sz w:val="24"/>
                <w:highlight w:val="none"/>
                <w:lang w:eastAsia="zh-CN"/>
              </w:rPr>
              <w:t>年</w:t>
            </w:r>
            <w:r>
              <w:rPr>
                <w:rFonts w:hint="eastAsia" w:ascii="宋体" w:hAnsi="宋体" w:eastAsia="宋体" w:cs="宋体"/>
                <w:b/>
                <w:color w:val="auto"/>
                <w:sz w:val="24"/>
                <w:szCs w:val="24"/>
                <w:highlight w:val="none"/>
                <w:lang w:val="en-US" w:eastAsia="zh-CN"/>
              </w:rPr>
              <w:t>。</w:t>
            </w:r>
          </w:p>
          <w:p w14:paraId="4A9CC53C">
            <w:pPr>
              <w:spacing w:line="360" w:lineRule="auto"/>
              <w:rPr>
                <w:rStyle w:val="293"/>
                <w:rFonts w:hint="eastAsia" w:ascii="宋体" w:hAnsi="宋体" w:eastAsia="宋体" w:cs="宋体"/>
                <w:bCs/>
                <w:color w:val="auto"/>
                <w:sz w:val="24"/>
                <w:szCs w:val="24"/>
                <w:highlight w:val="none"/>
                <w:lang w:bidi="ar"/>
              </w:rPr>
            </w:pPr>
            <w:r>
              <w:rPr>
                <w:rStyle w:val="293"/>
                <w:rFonts w:hint="eastAsia" w:ascii="宋体" w:hAnsi="宋体" w:eastAsia="宋体" w:cs="宋体"/>
                <w:bCs/>
                <w:color w:val="auto"/>
                <w:sz w:val="24"/>
                <w:szCs w:val="24"/>
                <w:highlight w:val="none"/>
                <w:lang w:bidi="ar"/>
              </w:rPr>
              <w:t>国家主管部门或者行业标准对货物本身有更高要求的，从其规定并在合同中约定，</w:t>
            </w:r>
            <w:r>
              <w:rPr>
                <w:rStyle w:val="293"/>
                <w:rFonts w:hint="eastAsia" w:ascii="宋体" w:hAnsi="宋体" w:eastAsia="宋体" w:cs="宋体"/>
                <w:bCs/>
                <w:color w:val="auto"/>
                <w:sz w:val="24"/>
                <w:szCs w:val="24"/>
                <w:highlight w:val="none"/>
                <w:lang w:eastAsia="zh-CN" w:bidi="ar"/>
              </w:rPr>
              <w:t>供应商</w:t>
            </w:r>
            <w:r>
              <w:rPr>
                <w:rStyle w:val="293"/>
                <w:rFonts w:hint="eastAsia" w:ascii="宋体" w:hAnsi="宋体" w:eastAsia="宋体" w:cs="宋体"/>
                <w:bCs/>
                <w:color w:val="auto"/>
                <w:sz w:val="24"/>
                <w:szCs w:val="24"/>
                <w:highlight w:val="none"/>
                <w:lang w:bidi="ar"/>
              </w:rPr>
              <w:t>也可提报更长的质保期。</w:t>
            </w:r>
          </w:p>
          <w:p w14:paraId="6DB38B2E">
            <w:pPr>
              <w:spacing w:line="360" w:lineRule="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自验收合格之日起，开始进入质保期。在产品质保期内，一旦发生质量问题，供应商需在1小时内响应，并保证在接到通知24小时内到现场进行维修、更换或退货，费用由供应商负责。如供应商在接到通知工作日的24小时内没有答复或处理问题，则视为供应商承认质量问题并承担由此而发生的一切费用。每延误一日，自动延长保修期一周。如3天内无法排除故障则提供备用机（一切费用均由成交供应商承担）。</w:t>
            </w:r>
          </w:p>
          <w:p w14:paraId="0DE6FDEF">
            <w:pPr>
              <w:spacing w:line="360" w:lineRule="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2、验收要求</w:t>
            </w:r>
          </w:p>
          <w:p w14:paraId="24E5DA4E">
            <w:pPr>
              <w:spacing w:line="360" w:lineRule="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设备安装后，采购单位按国家标准及厂方标准进行质量验收。供方应向需方提供详细的验收标准或验收手册。当双方对验收标准有争议时，可委托双方一致认可的国家相关权威检测中心进行检测，费用由责任方承担。</w:t>
            </w:r>
          </w:p>
        </w:tc>
      </w:tr>
    </w:tbl>
    <w:p w14:paraId="1BF351D9">
      <w:pPr>
        <w:pStyle w:val="30"/>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p>
    <w:p w14:paraId="12AC3C8D">
      <w:pPr>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br w:type="page"/>
      </w:r>
    </w:p>
    <w:p w14:paraId="782493E1">
      <w:pPr>
        <w:pStyle w:val="30"/>
        <w:tabs>
          <w:tab w:val="left" w:pos="573"/>
          <w:tab w:val="right" w:pos="8711"/>
        </w:tabs>
        <w:spacing w:after="0" w:line="360" w:lineRule="auto"/>
        <w:ind w:right="284" w:firstLine="361" w:firstLineChars="150"/>
        <w:rPr>
          <w:rFonts w:hint="eastAsia" w:ascii="宋体" w:hAnsi="宋体" w:eastAsia="宋体" w:cs="Times New Roman"/>
          <w:b/>
          <w:bCs w:val="0"/>
          <w:snapToGrid w:val="0"/>
          <w:color w:val="auto"/>
          <w:sz w:val="24"/>
          <w:highlight w:val="none"/>
          <w:lang w:val="en-US" w:eastAsia="zh-CN"/>
        </w:rPr>
      </w:pPr>
      <w:r>
        <w:rPr>
          <w:rFonts w:hint="eastAsia" w:ascii="宋体" w:hAnsi="宋体" w:eastAsia="宋体" w:cs="Times New Roman"/>
          <w:b/>
          <w:bCs w:val="0"/>
          <w:snapToGrid w:val="0"/>
          <w:color w:val="auto"/>
          <w:sz w:val="24"/>
          <w:highlight w:val="none"/>
          <w:lang w:val="en-US" w:eastAsia="zh-CN"/>
        </w:rPr>
        <w:tab/>
      </w:r>
    </w:p>
    <w:p w14:paraId="59DCC04C">
      <w:pPr>
        <w:pStyle w:val="136"/>
        <w:rPr>
          <w:rFonts w:hint="eastAsia"/>
          <w:highlight w:val="none"/>
          <w:lang w:val="en-US" w:eastAsia="zh-CN"/>
        </w:rPr>
      </w:pPr>
    </w:p>
    <w:bookmarkEnd w:id="84"/>
    <w:p w14:paraId="15E7C35D">
      <w:pPr>
        <w:spacing w:before="120" w:after="120" w:line="415" w:lineRule="auto"/>
        <w:jc w:val="center"/>
        <w:outlineLvl w:val="9"/>
        <w:rPr>
          <w:rFonts w:ascii="宋体" w:hAnsi="宋体" w:eastAsia="宋体"/>
          <w:color w:val="auto"/>
          <w:highlight w:val="none"/>
        </w:rPr>
      </w:pPr>
    </w:p>
    <w:p w14:paraId="36D08B39">
      <w:pPr>
        <w:pStyle w:val="2"/>
        <w:spacing w:before="120" w:after="120" w:line="360" w:lineRule="auto"/>
        <w:jc w:val="center"/>
        <w:rPr>
          <w:rFonts w:ascii="宋体" w:hAnsi="宋体"/>
          <w:color w:val="auto"/>
          <w:kern w:val="2"/>
          <w:sz w:val="32"/>
          <w:highlight w:val="none"/>
        </w:rPr>
      </w:pPr>
      <w:bookmarkStart w:id="85" w:name="_Toc772"/>
      <w:r>
        <w:rPr>
          <w:rFonts w:hint="eastAsia" w:ascii="宋体" w:hAnsi="宋体"/>
          <w:color w:val="auto"/>
          <w:kern w:val="2"/>
          <w:sz w:val="32"/>
          <w:highlight w:val="none"/>
        </w:rPr>
        <w:t>第</w:t>
      </w:r>
      <w:r>
        <w:rPr>
          <w:rFonts w:hint="eastAsia" w:ascii="宋体" w:hAnsi="宋体"/>
          <w:color w:val="auto"/>
          <w:kern w:val="2"/>
          <w:sz w:val="32"/>
          <w:highlight w:val="none"/>
          <w:lang w:eastAsia="zh-CN"/>
        </w:rPr>
        <w:t>四</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合同格式</w:t>
      </w:r>
      <w:bookmarkEnd w:id="85"/>
      <w:bookmarkStart w:id="98" w:name="_GoBack"/>
      <w:bookmarkEnd w:id="98"/>
    </w:p>
    <w:p w14:paraId="7477E2C5">
      <w:pPr>
        <w:pStyle w:val="51"/>
        <w:pBdr>
          <w:bottom w:val="none" w:color="auto" w:sz="0" w:space="0"/>
        </w:pBdr>
        <w:tabs>
          <w:tab w:val="right" w:pos="8460"/>
          <w:tab w:val="clear" w:pos="8306"/>
        </w:tabs>
        <w:wordWrap w:val="0"/>
        <w:jc w:val="right"/>
        <w:rPr>
          <w:rFonts w:ascii="宋体" w:hAnsi="宋体"/>
          <w:b/>
          <w:color w:val="auto"/>
          <w:sz w:val="30"/>
          <w:szCs w:val="30"/>
          <w:highlight w:val="none"/>
        </w:rPr>
      </w:pPr>
    </w:p>
    <w:p w14:paraId="0794AAC8">
      <w:pPr>
        <w:jc w:val="center"/>
        <w:rPr>
          <w:rFonts w:ascii="宋体" w:hAnsi="宋体"/>
          <w:color w:val="auto"/>
          <w:sz w:val="44"/>
          <w:highlight w:val="none"/>
        </w:rPr>
      </w:pPr>
    </w:p>
    <w:p w14:paraId="0EEC0481">
      <w:pPr>
        <w:pStyle w:val="51"/>
        <w:pBdr>
          <w:bottom w:val="none" w:color="auto" w:sz="0" w:space="0"/>
        </w:pBdr>
        <w:tabs>
          <w:tab w:val="right" w:pos="8460"/>
          <w:tab w:val="clear" w:pos="8306"/>
        </w:tabs>
        <w:ind w:right="600" w:firstLine="6035" w:firstLineChars="2004"/>
        <w:jc w:val="both"/>
        <w:rPr>
          <w:rFonts w:ascii="宋体" w:hAnsi="宋体"/>
          <w:b/>
          <w:color w:val="auto"/>
          <w:sz w:val="30"/>
          <w:szCs w:val="30"/>
          <w:highlight w:val="none"/>
        </w:rPr>
      </w:pPr>
      <w:r>
        <w:rPr>
          <w:rFonts w:hint="eastAsia" w:ascii="宋体" w:hAnsi="宋体"/>
          <w:b/>
          <w:color w:val="auto"/>
          <w:sz w:val="30"/>
          <w:szCs w:val="30"/>
          <w:highlight w:val="none"/>
        </w:rPr>
        <w:t>合同编号：</w:t>
      </w:r>
    </w:p>
    <w:p w14:paraId="276B7D99">
      <w:pPr>
        <w:jc w:val="center"/>
        <w:rPr>
          <w:rFonts w:ascii="宋体" w:hAnsi="宋体"/>
          <w:color w:val="auto"/>
          <w:sz w:val="44"/>
          <w:highlight w:val="none"/>
        </w:rPr>
      </w:pPr>
    </w:p>
    <w:p w14:paraId="0B800CC3">
      <w:pPr>
        <w:jc w:val="center"/>
        <w:rPr>
          <w:rFonts w:ascii="宋体" w:hAnsi="宋体"/>
          <w:b/>
          <w:color w:val="auto"/>
          <w:sz w:val="72"/>
          <w:highlight w:val="none"/>
        </w:rPr>
      </w:pPr>
      <w:r>
        <w:rPr>
          <w:rFonts w:hint="eastAsia" w:ascii="宋体" w:hAnsi="宋体"/>
          <w:b/>
          <w:color w:val="auto"/>
          <w:sz w:val="72"/>
          <w:highlight w:val="none"/>
        </w:rPr>
        <w:t>政</w:t>
      </w:r>
      <w:r>
        <w:rPr>
          <w:rFonts w:ascii="宋体" w:hAnsi="宋体"/>
          <w:b/>
          <w:color w:val="auto"/>
          <w:sz w:val="72"/>
          <w:highlight w:val="none"/>
        </w:rPr>
        <w:t xml:space="preserve"> </w:t>
      </w:r>
      <w:r>
        <w:rPr>
          <w:rFonts w:hint="eastAsia" w:ascii="宋体" w:hAnsi="宋体"/>
          <w:b/>
          <w:color w:val="auto"/>
          <w:sz w:val="72"/>
          <w:highlight w:val="none"/>
        </w:rPr>
        <w:t>府</w:t>
      </w:r>
      <w:r>
        <w:rPr>
          <w:rFonts w:ascii="宋体" w:hAnsi="宋体"/>
          <w:b/>
          <w:color w:val="auto"/>
          <w:sz w:val="72"/>
          <w:highlight w:val="none"/>
        </w:rPr>
        <w:t xml:space="preserve"> </w:t>
      </w:r>
      <w:r>
        <w:rPr>
          <w:rFonts w:hint="eastAsia" w:ascii="宋体" w:hAnsi="宋体"/>
          <w:b/>
          <w:color w:val="auto"/>
          <w:sz w:val="72"/>
          <w:highlight w:val="none"/>
        </w:rPr>
        <w:t>采</w:t>
      </w:r>
      <w:r>
        <w:rPr>
          <w:rFonts w:ascii="宋体" w:hAnsi="宋体"/>
          <w:b/>
          <w:color w:val="auto"/>
          <w:sz w:val="72"/>
          <w:highlight w:val="none"/>
        </w:rPr>
        <w:t xml:space="preserve"> </w:t>
      </w:r>
      <w:r>
        <w:rPr>
          <w:rFonts w:hint="eastAsia" w:ascii="宋体" w:hAnsi="宋体"/>
          <w:b/>
          <w:color w:val="auto"/>
          <w:sz w:val="72"/>
          <w:highlight w:val="none"/>
        </w:rPr>
        <w:t>购</w:t>
      </w:r>
      <w:r>
        <w:rPr>
          <w:rFonts w:ascii="宋体" w:hAnsi="宋体"/>
          <w:b/>
          <w:color w:val="auto"/>
          <w:sz w:val="72"/>
          <w:highlight w:val="none"/>
        </w:rPr>
        <w:t xml:space="preserve"> </w:t>
      </w:r>
      <w:r>
        <w:rPr>
          <w:rFonts w:hint="eastAsia" w:ascii="宋体" w:hAnsi="宋体"/>
          <w:b/>
          <w:color w:val="auto"/>
          <w:sz w:val="72"/>
          <w:highlight w:val="none"/>
        </w:rPr>
        <w:t>合</w:t>
      </w:r>
      <w:r>
        <w:rPr>
          <w:rFonts w:ascii="宋体" w:hAnsi="宋体"/>
          <w:b/>
          <w:color w:val="auto"/>
          <w:sz w:val="72"/>
          <w:highlight w:val="none"/>
        </w:rPr>
        <w:t xml:space="preserve"> </w:t>
      </w:r>
      <w:r>
        <w:rPr>
          <w:rFonts w:hint="eastAsia" w:ascii="宋体" w:hAnsi="宋体"/>
          <w:b/>
          <w:color w:val="auto"/>
          <w:sz w:val="72"/>
          <w:highlight w:val="none"/>
        </w:rPr>
        <w:t>同</w:t>
      </w:r>
    </w:p>
    <w:p w14:paraId="4A93A85A">
      <w:pPr>
        <w:pStyle w:val="30"/>
        <w:keepNext w:val="0"/>
        <w:keepLines w:val="0"/>
        <w:pageBreakBefore w:val="0"/>
        <w:kinsoku w:val="0"/>
        <w:wordWrap/>
        <w:overflowPunct/>
        <w:topLinePunct/>
        <w:autoSpaceDE w:val="0"/>
        <w:autoSpaceDN w:val="0"/>
        <w:bidi w:val="0"/>
        <w:adjustRightInd w:val="0"/>
        <w:spacing w:before="181"/>
        <w:ind w:left="2" w:right="3"/>
        <w:jc w:val="center"/>
        <w:textAlignment w:val="auto"/>
        <w:rPr>
          <w:rFonts w:hint="eastAsia"/>
          <w:b/>
          <w:color w:val="auto"/>
          <w:highlight w:val="none"/>
        </w:rPr>
      </w:pPr>
    </w:p>
    <w:p w14:paraId="0487BFED">
      <w:pPr>
        <w:pStyle w:val="30"/>
        <w:keepNext w:val="0"/>
        <w:keepLines w:val="0"/>
        <w:pageBreakBefore w:val="0"/>
        <w:kinsoku w:val="0"/>
        <w:wordWrap/>
        <w:overflowPunct/>
        <w:topLinePunct/>
        <w:autoSpaceDE w:val="0"/>
        <w:autoSpaceDN w:val="0"/>
        <w:bidi w:val="0"/>
        <w:adjustRightInd w:val="0"/>
        <w:spacing w:before="181"/>
        <w:ind w:left="2" w:right="3"/>
        <w:jc w:val="center"/>
        <w:textAlignment w:val="auto"/>
        <w:rPr>
          <w:rFonts w:hint="eastAsia"/>
          <w:b/>
          <w:color w:val="auto"/>
          <w:sz w:val="28"/>
          <w:szCs w:val="40"/>
          <w:highlight w:val="none"/>
        </w:rPr>
      </w:pPr>
      <w:r>
        <w:rPr>
          <w:rFonts w:hint="eastAsia"/>
          <w:b/>
          <w:color w:val="auto"/>
          <w:sz w:val="28"/>
          <w:szCs w:val="40"/>
          <w:highlight w:val="none"/>
        </w:rPr>
        <w:t>（此合同供参考）</w:t>
      </w:r>
    </w:p>
    <w:p w14:paraId="400D04D0">
      <w:pPr>
        <w:jc w:val="center"/>
        <w:rPr>
          <w:rFonts w:ascii="宋体" w:hAnsi="宋体"/>
          <w:color w:val="auto"/>
          <w:sz w:val="72"/>
          <w:highlight w:val="none"/>
        </w:rPr>
      </w:pPr>
    </w:p>
    <w:p w14:paraId="2FC45A22">
      <w:pPr>
        <w:widowControl/>
        <w:snapToGrid w:val="0"/>
        <w:spacing w:line="360" w:lineRule="auto"/>
        <w:rPr>
          <w:rFonts w:ascii="宋体" w:hAnsi="宋体" w:cs="宋体"/>
          <w:b/>
          <w:color w:val="auto"/>
          <w:kern w:val="0"/>
          <w:sz w:val="24"/>
          <w:highlight w:val="none"/>
        </w:rPr>
      </w:pPr>
    </w:p>
    <w:p w14:paraId="4DD64211">
      <w:pPr>
        <w:widowControl/>
        <w:snapToGrid w:val="0"/>
        <w:spacing w:line="360" w:lineRule="auto"/>
        <w:rPr>
          <w:rFonts w:ascii="宋体" w:hAnsi="宋体" w:cs="宋体"/>
          <w:b/>
          <w:color w:val="auto"/>
          <w:kern w:val="0"/>
          <w:sz w:val="32"/>
          <w:szCs w:val="32"/>
          <w:highlight w:val="none"/>
        </w:rPr>
      </w:pPr>
    </w:p>
    <w:p w14:paraId="76EFC11B">
      <w:pPr>
        <w:widowControl/>
        <w:snapToGrid w:val="0"/>
        <w:spacing w:line="360" w:lineRule="auto"/>
        <w:ind w:left="2972" w:leftChars="658" w:hanging="1590" w:hangingChars="495"/>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ascii="宋体" w:hAnsi="宋体" w:cs="宋体"/>
          <w:b/>
          <w:color w:val="auto"/>
          <w:kern w:val="0"/>
          <w:sz w:val="32"/>
          <w:szCs w:val="32"/>
          <w:highlight w:val="none"/>
        </w:rPr>
        <w:t>:</w:t>
      </w:r>
      <w:r>
        <w:rPr>
          <w:rFonts w:ascii="宋体" w:hAnsi="宋体"/>
          <w:color w:val="auto"/>
          <w:sz w:val="32"/>
          <w:szCs w:val="32"/>
          <w:highlight w:val="none"/>
          <w:u w:val="single"/>
        </w:rPr>
        <w:t xml:space="preserve">                                 </w:t>
      </w:r>
    </w:p>
    <w:p w14:paraId="0E2235DF">
      <w:pPr>
        <w:widowControl/>
        <w:snapToGrid w:val="0"/>
        <w:spacing w:line="360" w:lineRule="auto"/>
        <w:ind w:left="2972" w:leftChars="658" w:hanging="1590" w:hangingChars="495"/>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ascii="宋体" w:hAnsi="宋体" w:cs="宋体"/>
          <w:b/>
          <w:color w:val="auto"/>
          <w:kern w:val="0"/>
          <w:sz w:val="32"/>
          <w:szCs w:val="32"/>
          <w:highlight w:val="none"/>
        </w:rPr>
        <w:t>:</w:t>
      </w:r>
      <w:r>
        <w:rPr>
          <w:rFonts w:ascii="宋体" w:hAnsi="宋体"/>
          <w:color w:val="auto"/>
          <w:sz w:val="32"/>
          <w:szCs w:val="32"/>
          <w:highlight w:val="none"/>
          <w:u w:val="single"/>
        </w:rPr>
        <w:t xml:space="preserve">                                 </w:t>
      </w:r>
    </w:p>
    <w:p w14:paraId="78145C08">
      <w:pPr>
        <w:widowControl/>
        <w:snapToGrid w:val="0"/>
        <w:spacing w:line="360" w:lineRule="auto"/>
        <w:rPr>
          <w:rFonts w:ascii="宋体" w:hAnsi="宋体" w:cs="宋体"/>
          <w:b/>
          <w:color w:val="auto"/>
          <w:kern w:val="0"/>
          <w:sz w:val="32"/>
          <w:szCs w:val="32"/>
          <w:highlight w:val="none"/>
        </w:rPr>
      </w:pPr>
    </w:p>
    <w:p w14:paraId="0B9561CD">
      <w:pPr>
        <w:widowControl/>
        <w:snapToGrid w:val="0"/>
        <w:spacing w:line="360" w:lineRule="auto"/>
        <w:rPr>
          <w:rFonts w:ascii="宋体" w:hAnsi="宋体" w:cs="宋体"/>
          <w:b/>
          <w:color w:val="auto"/>
          <w:kern w:val="0"/>
          <w:sz w:val="32"/>
          <w:szCs w:val="32"/>
          <w:highlight w:val="none"/>
        </w:rPr>
      </w:pPr>
    </w:p>
    <w:p w14:paraId="40467F22">
      <w:pPr>
        <w:widowControl/>
        <w:snapToGrid w:val="0"/>
        <w:spacing w:line="360" w:lineRule="auto"/>
        <w:rPr>
          <w:rFonts w:ascii="宋体" w:hAnsi="宋体" w:cs="宋体"/>
          <w:b/>
          <w:color w:val="auto"/>
          <w:kern w:val="0"/>
          <w:sz w:val="32"/>
          <w:szCs w:val="32"/>
          <w:highlight w:val="none"/>
        </w:rPr>
      </w:pPr>
    </w:p>
    <w:p w14:paraId="42D021BC">
      <w:pPr>
        <w:widowControl/>
        <w:snapToGrid w:val="0"/>
        <w:spacing w:line="360" w:lineRule="auto"/>
        <w:ind w:firstLine="1285" w:firstLineChars="400"/>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甲</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方</w:t>
      </w:r>
      <w:r>
        <w:rPr>
          <w:rFonts w:ascii="宋体" w:hAnsi="宋体" w:cs="宋体"/>
          <w:b/>
          <w:color w:val="auto"/>
          <w:kern w:val="0"/>
          <w:sz w:val="32"/>
          <w:szCs w:val="32"/>
          <w:highlight w:val="none"/>
        </w:rPr>
        <w:t>:</w:t>
      </w:r>
      <w:r>
        <w:rPr>
          <w:rFonts w:ascii="宋体" w:hAnsi="宋体" w:cs="宋体"/>
          <w:b/>
          <w:color w:val="auto"/>
          <w:kern w:val="0"/>
          <w:sz w:val="32"/>
          <w:szCs w:val="32"/>
          <w:highlight w:val="none"/>
          <w:u w:val="single"/>
        </w:rPr>
        <w:t xml:space="preserve">                 </w:t>
      </w:r>
    </w:p>
    <w:p w14:paraId="64B89711">
      <w:pPr>
        <w:widowControl/>
        <w:snapToGrid w:val="0"/>
        <w:spacing w:line="360" w:lineRule="auto"/>
        <w:ind w:left="420" w:leftChars="200" w:firstLine="855" w:firstLineChars="266"/>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乙</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方</w:t>
      </w:r>
      <w:r>
        <w:rPr>
          <w:rFonts w:ascii="宋体" w:hAnsi="宋体" w:cs="宋体"/>
          <w:b/>
          <w:color w:val="auto"/>
          <w:kern w:val="0"/>
          <w:sz w:val="32"/>
          <w:szCs w:val="32"/>
          <w:highlight w:val="none"/>
        </w:rPr>
        <w:t>:</w:t>
      </w:r>
      <w:r>
        <w:rPr>
          <w:rFonts w:ascii="宋体" w:hAnsi="宋体" w:cs="宋体"/>
          <w:b/>
          <w:color w:val="auto"/>
          <w:kern w:val="0"/>
          <w:sz w:val="32"/>
          <w:szCs w:val="32"/>
          <w:highlight w:val="none"/>
          <w:u w:val="single"/>
        </w:rPr>
        <w:t xml:space="preserve">                 </w:t>
      </w:r>
    </w:p>
    <w:p w14:paraId="5B86E950">
      <w:pPr>
        <w:spacing w:line="360" w:lineRule="auto"/>
        <w:ind w:firstLine="480" w:firstLineChars="200"/>
        <w:jc w:val="center"/>
        <w:rPr>
          <w:rFonts w:ascii="宋体" w:hAnsi="宋体"/>
          <w:color w:val="auto"/>
          <w:sz w:val="24"/>
          <w:highlight w:val="none"/>
          <w:u w:val="single"/>
        </w:rPr>
      </w:pPr>
    </w:p>
    <w:p w14:paraId="5A96352D">
      <w:pPr>
        <w:widowControl/>
        <w:snapToGrid w:val="0"/>
        <w:spacing w:line="360" w:lineRule="auto"/>
        <w:jc w:val="center"/>
        <w:rPr>
          <w:rFonts w:ascii="宋体" w:hAnsi="宋体" w:cs="宋体"/>
          <w:color w:val="auto"/>
          <w:kern w:val="0"/>
          <w:sz w:val="24"/>
          <w:highlight w:val="none"/>
        </w:rPr>
      </w:pPr>
    </w:p>
    <w:p w14:paraId="21FC8D8B">
      <w:pPr>
        <w:widowControl/>
        <w:snapToGrid w:val="0"/>
        <w:spacing w:line="360" w:lineRule="auto"/>
        <w:jc w:val="center"/>
        <w:rPr>
          <w:rFonts w:ascii="宋体" w:hAnsi="宋体" w:cs="宋体"/>
          <w:color w:val="auto"/>
          <w:kern w:val="0"/>
          <w:sz w:val="24"/>
          <w:highlight w:val="none"/>
        </w:rPr>
      </w:pPr>
    </w:p>
    <w:p w14:paraId="3B639FB6">
      <w:pPr>
        <w:widowControl/>
        <w:snapToGrid w:val="0"/>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u w:val="single"/>
        </w:rPr>
        <w:br w:type="page"/>
      </w:r>
    </w:p>
    <w:p w14:paraId="08B82E3A">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sz w:val="24"/>
          <w:highlight w:val="none"/>
          <w:u w:val="single"/>
        </w:rPr>
        <w:t xml:space="preserve">             </w:t>
      </w:r>
      <w:r>
        <w:rPr>
          <w:rFonts w:hint="eastAsia" w:ascii="宋体" w:hAnsi="宋体"/>
          <w:color w:val="auto"/>
          <w:kern w:val="0"/>
          <w:sz w:val="24"/>
          <w:highlight w:val="none"/>
        </w:rPr>
        <w:t>（甲方）所需</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货物名称</w:t>
      </w:r>
      <w:r>
        <w:rPr>
          <w:rFonts w:ascii="宋体" w:hAnsi="宋体"/>
          <w:color w:val="auto"/>
          <w:kern w:val="0"/>
          <w:sz w:val="24"/>
          <w:highlight w:val="none"/>
        </w:rPr>
        <w:t>)</w:t>
      </w:r>
      <w:r>
        <w:rPr>
          <w:rFonts w:hint="eastAsia" w:ascii="宋体" w:hAnsi="宋体"/>
          <w:color w:val="auto"/>
          <w:kern w:val="0"/>
          <w:sz w:val="24"/>
          <w:highlight w:val="none"/>
        </w:rPr>
        <w:t>经</w:t>
      </w:r>
      <w:r>
        <w:rPr>
          <w:rFonts w:hint="eastAsia" w:ascii="宋体" w:hAnsi="宋体"/>
          <w:color w:val="auto"/>
          <w:kern w:val="0"/>
          <w:sz w:val="24"/>
          <w:highlight w:val="none"/>
          <w:u w:val="single"/>
        </w:rPr>
        <w:t>海逸恒安项目管理有限公司</w:t>
      </w:r>
      <w:r>
        <w:rPr>
          <w:rFonts w:hint="eastAsia" w:ascii="宋体" w:hAnsi="宋体"/>
          <w:color w:val="auto"/>
          <w:kern w:val="0"/>
          <w:sz w:val="24"/>
          <w:highlight w:val="none"/>
        </w:rPr>
        <w:t>以</w:t>
      </w:r>
      <w:r>
        <w:rPr>
          <w:rFonts w:ascii="宋体" w:hAnsi="宋体"/>
          <w:color w:val="auto"/>
          <w:kern w:val="0"/>
          <w:sz w:val="24"/>
          <w:highlight w:val="none"/>
          <w:u w:val="single"/>
        </w:rPr>
        <w:t xml:space="preserve">            </w:t>
      </w:r>
      <w:r>
        <w:rPr>
          <w:rFonts w:hint="eastAsia" w:ascii="宋体" w:hAnsi="宋体"/>
          <w:color w:val="auto"/>
          <w:kern w:val="0"/>
          <w:sz w:val="24"/>
          <w:highlight w:val="none"/>
        </w:rPr>
        <w:t>（项目编号）采购文件在国内以竞争性</w:t>
      </w:r>
      <w:r>
        <w:rPr>
          <w:rFonts w:hint="eastAsia" w:ascii="宋体" w:hAnsi="宋体"/>
          <w:color w:val="auto"/>
          <w:kern w:val="0"/>
          <w:sz w:val="24"/>
          <w:highlight w:val="none"/>
          <w:lang w:val="en-US" w:eastAsia="zh-CN"/>
        </w:rPr>
        <w:t>谈判</w:t>
      </w:r>
      <w:r>
        <w:rPr>
          <w:rFonts w:hint="eastAsia" w:ascii="宋体" w:hAnsi="宋体"/>
          <w:color w:val="auto"/>
          <w:kern w:val="0"/>
          <w:sz w:val="24"/>
          <w:highlight w:val="none"/>
        </w:rPr>
        <w:t>方式进行采购。经</w:t>
      </w:r>
      <w:r>
        <w:rPr>
          <w:rFonts w:hint="eastAsia" w:ascii="宋体" w:hAnsi="宋体"/>
          <w:color w:val="auto"/>
          <w:kern w:val="0"/>
          <w:sz w:val="24"/>
          <w:highlight w:val="none"/>
          <w:lang w:val="en-US" w:eastAsia="zh-CN"/>
        </w:rPr>
        <w:t>谈判</w:t>
      </w:r>
      <w:r>
        <w:rPr>
          <w:rFonts w:hint="eastAsia" w:ascii="宋体" w:hAnsi="宋体"/>
          <w:color w:val="auto"/>
          <w:kern w:val="0"/>
          <w:sz w:val="24"/>
          <w:highlight w:val="none"/>
        </w:rPr>
        <w:t>小组推荐，采购人确定</w:t>
      </w:r>
      <w:r>
        <w:rPr>
          <w:rFonts w:ascii="宋体" w:hAnsi="宋体"/>
          <w:color w:val="auto"/>
          <w:kern w:val="0"/>
          <w:sz w:val="24"/>
          <w:highlight w:val="none"/>
          <w:u w:val="single"/>
        </w:rPr>
        <w:t xml:space="preserve">             </w:t>
      </w:r>
      <w:r>
        <w:rPr>
          <w:rFonts w:hint="eastAsia" w:ascii="宋体" w:hAnsi="宋体"/>
          <w:color w:val="auto"/>
          <w:kern w:val="0"/>
          <w:sz w:val="24"/>
          <w:highlight w:val="none"/>
        </w:rPr>
        <w:t>（乙方）为成交供应商。甲、乙双方根据《中华人民共和国政府采购法》、《中华人民共和国民法典》和其他法律、法规的规定，并按照公正、平等、自愿、诚实信用的原则，同意按照以下条款和条件，签署本合同。</w:t>
      </w:r>
    </w:p>
    <w:p w14:paraId="0F70DF5F">
      <w:pPr>
        <w:snapToGrid w:val="0"/>
        <w:spacing w:line="360" w:lineRule="auto"/>
        <w:ind w:firstLine="480"/>
        <w:rPr>
          <w:rFonts w:ascii="宋体" w:hAnsi="宋体"/>
          <w:color w:val="auto"/>
          <w:sz w:val="24"/>
          <w:highlight w:val="none"/>
        </w:rPr>
      </w:pPr>
      <w:r>
        <w:rPr>
          <w:rFonts w:hint="eastAsia" w:ascii="宋体" w:hAnsi="宋体"/>
          <w:bCs/>
          <w:color w:val="auto"/>
          <w:sz w:val="24"/>
          <w:highlight w:val="none"/>
        </w:rPr>
        <w:t>一、合同文件</w:t>
      </w:r>
    </w:p>
    <w:p w14:paraId="38CB555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本合同所附下列文件是构成本合同不可分割的部分：</w:t>
      </w:r>
    </w:p>
    <w:p w14:paraId="1BCA158B">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（一）本项目采购文件</w:t>
      </w:r>
    </w:p>
    <w:p w14:paraId="2DB13511">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（二）成交供应商响应文件</w:t>
      </w:r>
    </w:p>
    <w:p w14:paraId="3E2EA6F5">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（三）合同格式及合同条款</w:t>
      </w:r>
    </w:p>
    <w:p w14:paraId="231CDBB0">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（四）成交供应商在评审过程中做出的有关澄清、说明或者补正文件</w:t>
      </w:r>
    </w:p>
    <w:p w14:paraId="796A21B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（五）成交通知书</w:t>
      </w:r>
    </w:p>
    <w:p w14:paraId="136E10F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（六）本合同附件</w:t>
      </w:r>
    </w:p>
    <w:p w14:paraId="7507355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二、合同的范围和条件</w:t>
      </w:r>
    </w:p>
    <w:p w14:paraId="35F343A9">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本合同的范围和条件应与上述合同文件的规定相一致。</w:t>
      </w:r>
    </w:p>
    <w:p w14:paraId="5A92F58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三、货物、数量及规格</w:t>
      </w:r>
    </w:p>
    <w:p w14:paraId="4F3205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本合同所提供的货物、数量及规格详见合同货物清单（附件一）（同响应文件中报价明细表，下同）。</w:t>
      </w:r>
    </w:p>
    <w:p w14:paraId="1727B52F">
      <w:pPr>
        <w:snapToGrid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四、合同金额</w:t>
      </w:r>
    </w:p>
    <w:p w14:paraId="425BDB6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根据上述合同文件要求，合同金额为人民币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highlight w:val="none"/>
          <w:u w:val="single"/>
        </w:rPr>
        <w:t xml:space="preserve">           </w:t>
      </w:r>
      <w:r>
        <w:rPr>
          <w:rFonts w:hint="eastAsia" w:ascii="宋体" w:hAnsi="宋体"/>
          <w:color w:val="auto"/>
          <w:sz w:val="24"/>
          <w:highlight w:val="none"/>
        </w:rPr>
        <w:t>。（分项价格详见合同货物清单，详见附件一）。</w:t>
      </w:r>
    </w:p>
    <w:p w14:paraId="7C569846">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乙方开户单位：</w:t>
      </w:r>
      <w:r>
        <w:rPr>
          <w:rFonts w:ascii="宋体" w:hAnsi="宋体"/>
          <w:color w:val="auto"/>
          <w:sz w:val="24"/>
          <w:highlight w:val="none"/>
        </w:rPr>
        <w:t xml:space="preserve">          </w:t>
      </w:r>
    </w:p>
    <w:p w14:paraId="034F14D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w:t>
      </w:r>
    </w:p>
    <w:p w14:paraId="73572170">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帐号：</w:t>
      </w:r>
      <w:r>
        <w:rPr>
          <w:rFonts w:ascii="宋体" w:hAnsi="宋体"/>
          <w:color w:val="auto"/>
          <w:sz w:val="24"/>
          <w:highlight w:val="none"/>
        </w:rPr>
        <w:t xml:space="preserve"> </w:t>
      </w:r>
    </w:p>
    <w:p w14:paraId="1C24788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五、付款途径</w:t>
      </w:r>
    </w:p>
    <w:p w14:paraId="52F240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国库集中支付（预算内资金：人民币</w:t>
      </w:r>
      <w:r>
        <w:rPr>
          <w:rFonts w:ascii="宋体" w:hAnsi="宋体"/>
          <w:color w:val="auto"/>
          <w:sz w:val="24"/>
          <w:highlight w:val="none"/>
        </w:rPr>
        <w:t>_______</w:t>
      </w:r>
      <w:r>
        <w:rPr>
          <w:rFonts w:hint="eastAsia" w:ascii="宋体" w:hAnsi="宋体"/>
          <w:color w:val="auto"/>
          <w:sz w:val="24"/>
          <w:highlight w:val="none"/>
        </w:rPr>
        <w:t>元，预算外资金：人民币</w:t>
      </w:r>
      <w:r>
        <w:rPr>
          <w:rFonts w:ascii="宋体" w:hAnsi="宋体"/>
          <w:color w:val="auto"/>
          <w:sz w:val="24"/>
          <w:highlight w:val="none"/>
        </w:rPr>
        <w:t>_______</w:t>
      </w:r>
      <w:r>
        <w:rPr>
          <w:rFonts w:hint="eastAsia" w:ascii="宋体" w:hAnsi="宋体"/>
          <w:color w:val="auto"/>
          <w:sz w:val="24"/>
          <w:highlight w:val="none"/>
        </w:rPr>
        <w:t>元）</w:t>
      </w:r>
    </w:p>
    <w:p w14:paraId="04D89BD5">
      <w:pPr>
        <w:tabs>
          <w:tab w:val="left" w:pos="764"/>
        </w:tabs>
        <w:snapToGrid w:val="0"/>
        <w:spacing w:line="360" w:lineRule="auto"/>
        <w:ind w:left="573"/>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甲方支付（人民币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sz w:val="24"/>
          <w:highlight w:val="none"/>
          <w:u w:val="single"/>
        </w:rPr>
        <w:t xml:space="preserve">          </w:t>
      </w:r>
      <w:r>
        <w:rPr>
          <w:rFonts w:hint="eastAsia" w:ascii="宋体" w:hAnsi="宋体"/>
          <w:color w:val="auto"/>
          <w:sz w:val="24"/>
          <w:highlight w:val="none"/>
        </w:rPr>
        <w:t>）</w:t>
      </w:r>
    </w:p>
    <w:p w14:paraId="0FCF76AA">
      <w:pPr>
        <w:snapToGrid w:val="0"/>
        <w:spacing w:line="360" w:lineRule="auto"/>
        <w:ind w:firstLine="600" w:firstLineChars="2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国库（预算内资金：人民币</w:t>
      </w:r>
      <w:r>
        <w:rPr>
          <w:rFonts w:ascii="宋体" w:hAnsi="宋体"/>
          <w:color w:val="auto"/>
          <w:sz w:val="24"/>
          <w:highlight w:val="none"/>
        </w:rPr>
        <w:t>_______</w:t>
      </w:r>
      <w:r>
        <w:rPr>
          <w:rFonts w:hint="eastAsia" w:ascii="宋体" w:hAnsi="宋体"/>
          <w:color w:val="auto"/>
          <w:sz w:val="24"/>
          <w:highlight w:val="none"/>
        </w:rPr>
        <w:t>元，预算外资金：人民币</w:t>
      </w:r>
      <w:r>
        <w:rPr>
          <w:rFonts w:ascii="宋体" w:hAnsi="宋体"/>
          <w:color w:val="auto"/>
          <w:sz w:val="24"/>
          <w:highlight w:val="none"/>
        </w:rPr>
        <w:t>_______</w:t>
      </w:r>
      <w:r>
        <w:rPr>
          <w:rFonts w:hint="eastAsia" w:ascii="宋体" w:hAnsi="宋体"/>
          <w:color w:val="auto"/>
          <w:sz w:val="24"/>
          <w:highlight w:val="none"/>
        </w:rPr>
        <w:t>元）与甲方（人民币</w:t>
      </w:r>
      <w:r>
        <w:rPr>
          <w:rFonts w:ascii="宋体" w:hAnsi="宋体"/>
          <w:color w:val="auto"/>
          <w:sz w:val="24"/>
          <w:highlight w:val="none"/>
        </w:rPr>
        <w:t>_______</w:t>
      </w:r>
      <w:r>
        <w:rPr>
          <w:rFonts w:hint="eastAsia" w:ascii="宋体" w:hAnsi="宋体"/>
          <w:color w:val="auto"/>
          <w:sz w:val="24"/>
          <w:highlight w:val="none"/>
        </w:rPr>
        <w:t>元）共同支付</w:t>
      </w:r>
    </w:p>
    <w:p w14:paraId="1519D13E">
      <w:pPr>
        <w:tabs>
          <w:tab w:val="left" w:pos="84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属国库集中支付的预算内、外采购资金，甲方应按合同约定的付款期限，通过《山东省政府采购管理系统》及时向财政部门报送资金支付申请，财政部门对支付申请审核无误后，</w:t>
      </w:r>
      <w:r>
        <w:rPr>
          <w:rFonts w:ascii="宋体" w:hAnsi="宋体"/>
          <w:color w:val="auto"/>
          <w:sz w:val="24"/>
          <w:highlight w:val="none"/>
        </w:rPr>
        <w:t>15</w:t>
      </w:r>
      <w:r>
        <w:rPr>
          <w:rFonts w:hint="eastAsia" w:ascii="宋体" w:hAnsi="宋体"/>
          <w:color w:val="auto"/>
          <w:sz w:val="24"/>
          <w:highlight w:val="none"/>
        </w:rPr>
        <w:t>个工作日内将货款直接支付至供应商账户。</w:t>
      </w:r>
    </w:p>
    <w:p w14:paraId="1D3243B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六、付款方式</w:t>
      </w:r>
    </w:p>
    <w:p w14:paraId="3978ACD6">
      <w:pPr>
        <w:pStyle w:val="30"/>
        <w:snapToGrid w:val="0"/>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分期支付方式</w:t>
      </w:r>
    </w:p>
    <w:p w14:paraId="67193D37">
      <w:pPr>
        <w:pStyle w:val="30"/>
        <w:snapToGrid w:val="0"/>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一次性支付方式</w:t>
      </w:r>
      <w:r>
        <w:rPr>
          <w:rFonts w:hint="eastAsia" w:ascii="宋体" w:hAnsi="宋体"/>
          <w:color w:val="auto"/>
          <w:sz w:val="24"/>
          <w:highlight w:val="none"/>
          <w:u w:val="single"/>
        </w:rPr>
        <w:t xml:space="preserve">                     </w:t>
      </w:r>
    </w:p>
    <w:p w14:paraId="74DED88A">
      <w:pPr>
        <w:tabs>
          <w:tab w:val="left" w:pos="840"/>
        </w:tabs>
        <w:snapToGrid w:val="0"/>
        <w:spacing w:line="360" w:lineRule="auto"/>
        <w:ind w:firstLine="1320" w:firstLineChars="550"/>
        <w:rPr>
          <w:rFonts w:ascii="宋体" w:hAnsi="宋体"/>
          <w:color w:val="auto"/>
          <w:sz w:val="24"/>
          <w:highlight w:val="none"/>
        </w:rPr>
      </w:pPr>
      <w:r>
        <w:rPr>
          <w:rFonts w:hint="eastAsia" w:ascii="宋体" w:hAnsi="宋体"/>
          <w:color w:val="auto"/>
          <w:sz w:val="24"/>
          <w:highlight w:val="none"/>
        </w:rPr>
        <w:t>，即人民币</w:t>
      </w:r>
      <w:r>
        <w:rPr>
          <w:rFonts w:ascii="宋体" w:hAnsi="宋体"/>
          <w:color w:val="auto"/>
          <w:sz w:val="24"/>
          <w:highlight w:val="none"/>
          <w:u w:val="single"/>
        </w:rPr>
        <w:t xml:space="preserve">       </w:t>
      </w:r>
      <w:r>
        <w:rPr>
          <w:rFonts w:hint="eastAsia" w:ascii="宋体" w:hAnsi="宋体"/>
          <w:color w:val="auto"/>
          <w:sz w:val="24"/>
          <w:highlight w:val="none"/>
        </w:rPr>
        <w:t>元，大写：</w:t>
      </w:r>
      <w:r>
        <w:rPr>
          <w:rFonts w:ascii="宋体" w:hAnsi="宋体"/>
          <w:color w:val="auto"/>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734E5FA">
      <w:pPr>
        <w:pStyle w:val="30"/>
        <w:snapToGrid w:val="0"/>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其他支付方式</w:t>
      </w:r>
    </w:p>
    <w:p w14:paraId="582407C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七、交货日期、地点</w:t>
      </w:r>
    </w:p>
    <w:p w14:paraId="38A8192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、交货日期：合同生效之日起</w:t>
      </w:r>
      <w:r>
        <w:rPr>
          <w:rFonts w:ascii="宋体" w:hAnsi="宋体"/>
          <w:color w:val="auto"/>
          <w:sz w:val="24"/>
          <w:highlight w:val="none"/>
          <w:u w:val="single"/>
        </w:rPr>
        <w:t xml:space="preserve">    </w:t>
      </w:r>
      <w:r>
        <w:rPr>
          <w:rFonts w:hint="eastAsia" w:ascii="宋体" w:hAnsi="宋体"/>
          <w:color w:val="auto"/>
          <w:sz w:val="24"/>
          <w:highlight w:val="none"/>
        </w:rPr>
        <w:t>日内交货并安装。</w:t>
      </w:r>
    </w:p>
    <w:p w14:paraId="09BB9E7C">
      <w:pPr>
        <w:tabs>
          <w:tab w:val="left" w:pos="955"/>
        </w:tabs>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、交货地点：</w:t>
      </w:r>
      <w:r>
        <w:rPr>
          <w:rFonts w:ascii="宋体" w:hAnsi="宋体"/>
          <w:color w:val="auto"/>
          <w:sz w:val="24"/>
          <w:highlight w:val="none"/>
          <w:u w:val="single"/>
        </w:rPr>
        <w:t xml:space="preserve">   </w:t>
      </w:r>
      <w:r>
        <w:rPr>
          <w:rFonts w:ascii="宋体" w:hAnsi="宋体"/>
          <w:color w:val="auto"/>
          <w:highlight w:val="none"/>
          <w:u w:val="single"/>
        </w:rPr>
        <w:t xml:space="preserve">                            </w:t>
      </w:r>
    </w:p>
    <w:p w14:paraId="756A088C">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八、质量标准和验收</w:t>
      </w:r>
    </w:p>
    <w:p w14:paraId="62238EA6">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1、乙方应保证提供的合同货物是货物生产厂商原造的，全新、未使用过的， 是用一流的工艺和优质材料制造而成的，并完全符合本项目采购文件规定的质量、性能和规格的要求；</w:t>
      </w:r>
    </w:p>
    <w:p w14:paraId="13339B5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2、乙方提供的合同货物应通过货物制造厂商的出厂检验，并提供质量合格证书。</w:t>
      </w:r>
    </w:p>
    <w:p w14:paraId="43CF0EF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3、货物到达指定地点后，甲乙双方联合组织验收，必要时可邀请第三方机构或专业人员协助组织。</w:t>
      </w:r>
    </w:p>
    <w:p w14:paraId="33C11997">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九、履约保证金</w:t>
      </w:r>
    </w:p>
    <w:p w14:paraId="47CC9B28">
      <w:pPr>
        <w:snapToGrid w:val="0"/>
        <w:spacing w:line="360" w:lineRule="auto"/>
        <w:ind w:left="479" w:leftChars="228" w:firstLine="64" w:firstLineChars="27"/>
        <w:rPr>
          <w:rFonts w:hint="eastAsia" w:ascii="宋体" w:hAnsi="宋体"/>
          <w:color w:val="auto"/>
          <w:sz w:val="24"/>
          <w:highlight w:val="none"/>
        </w:rPr>
      </w:pPr>
      <w:r>
        <w:rPr>
          <w:rFonts w:hint="eastAsia" w:ascii="宋体" w:hAnsi="宋体"/>
          <w:color w:val="auto"/>
          <w:sz w:val="24"/>
          <w:highlight w:val="none"/>
        </w:rPr>
        <w:t>乙方在收到《成交通知书》后，应按照采购文件的规定，向甲方提交履约保证金。</w:t>
      </w:r>
    </w:p>
    <w:p w14:paraId="1B851AD2">
      <w:pPr>
        <w:snapToGrid w:val="0"/>
        <w:spacing w:line="360" w:lineRule="auto"/>
        <w:ind w:left="479" w:leftChars="228" w:firstLine="65" w:firstLineChars="27"/>
        <w:rPr>
          <w:rFonts w:ascii="宋体" w:hAnsi="宋体"/>
          <w:b/>
          <w:bCs/>
          <w:color w:val="auto"/>
          <w:sz w:val="24"/>
          <w:highlight w:val="none"/>
        </w:rPr>
      </w:pPr>
      <w:r>
        <w:rPr>
          <w:rFonts w:hint="eastAsia" w:ascii="宋体" w:hAnsi="宋体"/>
          <w:b/>
          <w:bCs/>
          <w:color w:val="auto"/>
          <w:sz w:val="24"/>
          <w:highlight w:val="none"/>
        </w:rPr>
        <w:t>十、违约责任</w:t>
      </w:r>
    </w:p>
    <w:p w14:paraId="291135C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1、合同一方违约，违约方向对方支付违约金，违约金额为    。乙方违约，直接从质保金中扣除；甲方违约，从采购款项中扣除。</w:t>
      </w:r>
    </w:p>
    <w:p w14:paraId="3D43C8C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2、给对方造成的实际损失高于违约金的，对高出违约金的部分应予以赔偿。</w:t>
      </w:r>
    </w:p>
    <w:p w14:paraId="6E6079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3、乙方迟延履行合同、不完全履行合同或提供的服务不符合采购文件的要求，除支付违约金外，仍应实际履行合同或重新提供符合要求的服务。</w:t>
      </w:r>
    </w:p>
    <w:p w14:paraId="2B55817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4、其它未尽事宜，以《中华人民共和国民法典》规定为准。</w:t>
      </w:r>
    </w:p>
    <w:p w14:paraId="2A98FD4E">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十一、争议解决</w:t>
      </w:r>
    </w:p>
    <w:p w14:paraId="400B771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合同双方应通过友好协商解决因解释﹑执行本合同所发生的和本合同有关的一切争议。如果经协商不能达成协议，双方约定采用下列第   种方式解决：</w:t>
      </w:r>
    </w:p>
    <w:p w14:paraId="5E940F5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1、向   仲裁委员会提起仲裁；</w:t>
      </w:r>
    </w:p>
    <w:p w14:paraId="064FF4F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2、向   法院提起诉讼。</w:t>
      </w:r>
    </w:p>
    <w:p w14:paraId="1F6F4121">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十二、合同生效</w:t>
      </w:r>
    </w:p>
    <w:p w14:paraId="50E7CABE">
      <w:pPr>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本合同经甲乙双方签字盖章后生效。</w:t>
      </w:r>
    </w:p>
    <w:p w14:paraId="69068090">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十三、其他</w:t>
      </w:r>
    </w:p>
    <w:p w14:paraId="1A409A2B">
      <w:pPr>
        <w:snapToGrid w:val="0"/>
        <w:spacing w:line="360" w:lineRule="auto"/>
        <w:ind w:firstLine="480"/>
        <w:rPr>
          <w:rFonts w:ascii="宋体" w:hAnsi="宋体"/>
          <w:b/>
          <w:bCs/>
          <w:color w:val="auto"/>
          <w:sz w:val="24"/>
          <w:highlight w:val="none"/>
        </w:rPr>
      </w:pPr>
      <w:r>
        <w:rPr>
          <w:rFonts w:hint="eastAsia" w:ascii="宋体" w:hAnsi="宋体"/>
          <w:snapToGrid w:val="0"/>
          <w:color w:val="auto"/>
          <w:kern w:val="0"/>
          <w:sz w:val="24"/>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14:paraId="7B80E934">
      <w:pPr>
        <w:snapToGri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十四、合同保存</w:t>
      </w:r>
    </w:p>
    <w:p w14:paraId="6122B645">
      <w:pPr>
        <w:snapToGrid w:val="0"/>
        <w:spacing w:line="360" w:lineRule="auto"/>
        <w:ind w:firstLine="480" w:firstLineChars="200"/>
        <w:rPr>
          <w:rFonts w:ascii="宋体" w:hAnsi="宋体"/>
          <w:color w:val="auto"/>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五</w:t>
      </w:r>
      <w:r>
        <w:rPr>
          <w:rFonts w:hint="eastAsia" w:ascii="宋体" w:hAnsi="宋体"/>
          <w:color w:val="auto"/>
          <w:sz w:val="24"/>
          <w:highlight w:val="none"/>
        </w:rPr>
        <w:t>份，甲方</w:t>
      </w:r>
      <w:r>
        <w:rPr>
          <w:rFonts w:hint="eastAsia" w:ascii="宋体" w:hAnsi="宋体"/>
          <w:color w:val="auto"/>
          <w:sz w:val="24"/>
          <w:highlight w:val="none"/>
          <w:u w:val="single"/>
        </w:rPr>
        <w:t>三</w:t>
      </w:r>
      <w:r>
        <w:rPr>
          <w:rFonts w:hint="eastAsia" w:ascii="宋体" w:hAnsi="宋体"/>
          <w:color w:val="auto"/>
          <w:sz w:val="24"/>
          <w:highlight w:val="none"/>
        </w:rPr>
        <w:t>份，乙方</w:t>
      </w:r>
      <w:r>
        <w:rPr>
          <w:rFonts w:hint="eastAsia" w:ascii="宋体" w:hAnsi="宋体"/>
          <w:color w:val="auto"/>
          <w:sz w:val="24"/>
          <w:highlight w:val="none"/>
          <w:u w:val="single"/>
        </w:rPr>
        <w:t>一</w:t>
      </w:r>
      <w:r>
        <w:rPr>
          <w:rFonts w:hint="eastAsia" w:ascii="宋体" w:hAnsi="宋体"/>
          <w:color w:val="auto"/>
          <w:sz w:val="24"/>
          <w:highlight w:val="none"/>
        </w:rPr>
        <w:t>份， 海逸恒安项目管理有限公司</w:t>
      </w:r>
      <w:r>
        <w:rPr>
          <w:rFonts w:hint="eastAsia" w:ascii="宋体" w:hAnsi="宋体"/>
          <w:color w:val="auto"/>
          <w:sz w:val="24"/>
          <w:highlight w:val="none"/>
          <w:u w:val="single"/>
        </w:rPr>
        <w:t>一</w:t>
      </w:r>
      <w:r>
        <w:rPr>
          <w:rFonts w:hint="eastAsia" w:ascii="宋体" w:hAnsi="宋体"/>
          <w:color w:val="auto"/>
          <w:sz w:val="24"/>
          <w:highlight w:val="none"/>
        </w:rPr>
        <w:t>份。</w:t>
      </w:r>
    </w:p>
    <w:p w14:paraId="650C52A7">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甲方</w:t>
      </w:r>
      <w:r>
        <w:rPr>
          <w:rFonts w:hint="eastAsia" w:ascii="宋体" w:hAnsi="宋体"/>
          <w:b/>
          <w:color w:val="auto"/>
          <w:sz w:val="24"/>
          <w:highlight w:val="none"/>
        </w:rPr>
        <w:t>：</w:t>
      </w:r>
      <w:r>
        <w:rPr>
          <w:rFonts w:hint="eastAsia" w:ascii="宋体" w:hAnsi="宋体"/>
          <w:color w:val="auto"/>
          <w:sz w:val="24"/>
          <w:highlight w:val="none"/>
        </w:rPr>
        <w:t xml:space="preserve">                                  乙方：</w:t>
      </w:r>
    </w:p>
    <w:p w14:paraId="33ADAF44">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单位名称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w:t>
      </w:r>
      <w:r>
        <w:rPr>
          <w:rFonts w:hint="eastAsia" w:ascii="宋体" w:hAnsi="宋体"/>
          <w:color w:val="auto"/>
          <w:sz w:val="24"/>
          <w:highlight w:val="none"/>
        </w:rPr>
        <w:t>：                        单位名称</w:t>
      </w:r>
      <w:r>
        <w:rPr>
          <w:rFonts w:ascii="宋体" w:hAnsi="宋体"/>
          <w:color w:val="auto"/>
          <w:sz w:val="24"/>
          <w:highlight w:val="none"/>
        </w:rPr>
        <w:t>(</w:t>
      </w:r>
      <w:r>
        <w:rPr>
          <w:rFonts w:hint="eastAsia" w:ascii="宋体" w:hAnsi="宋体"/>
          <w:color w:val="auto"/>
          <w:sz w:val="24"/>
          <w:highlight w:val="none"/>
        </w:rPr>
        <w:t>公章</w:t>
      </w:r>
      <w:r>
        <w:rPr>
          <w:rFonts w:ascii="宋体" w:hAnsi="宋体"/>
          <w:color w:val="auto"/>
          <w:sz w:val="24"/>
          <w:highlight w:val="none"/>
        </w:rPr>
        <w:t>)</w:t>
      </w:r>
      <w:r>
        <w:rPr>
          <w:rFonts w:hint="eastAsia" w:ascii="宋体" w:hAnsi="宋体"/>
          <w:color w:val="auto"/>
          <w:sz w:val="24"/>
          <w:highlight w:val="none"/>
        </w:rPr>
        <w:t>：</w:t>
      </w:r>
    </w:p>
    <w:p w14:paraId="078AC37A">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地址：                                  地址：</w:t>
      </w:r>
    </w:p>
    <w:p w14:paraId="486F1A9F">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法定代表人或授权代理人：（签字或盖章）  法定代表人或授权代理人：（签字或盖章）</w:t>
      </w:r>
    </w:p>
    <w:p w14:paraId="7F6C1AA3">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签订日期：                              签订日期：</w:t>
      </w:r>
    </w:p>
    <w:p w14:paraId="5EC66F35">
      <w:pPr>
        <w:pStyle w:val="2"/>
        <w:spacing w:before="120" w:after="120" w:line="360" w:lineRule="auto"/>
        <w:jc w:val="center"/>
        <w:rPr>
          <w:rFonts w:ascii="宋体" w:hAnsi="宋体"/>
          <w:color w:val="auto"/>
          <w:kern w:val="2"/>
          <w:sz w:val="32"/>
          <w:highlight w:val="none"/>
        </w:rPr>
      </w:pPr>
      <w:r>
        <w:rPr>
          <w:rFonts w:hint="eastAsia" w:ascii="宋体" w:hAnsi="宋体"/>
          <w:b w:val="0"/>
          <w:color w:val="auto"/>
          <w:sz w:val="72"/>
          <w:highlight w:val="none"/>
        </w:rPr>
        <w:br w:type="page"/>
      </w:r>
      <w:bookmarkStart w:id="86" w:name="_Toc7661"/>
      <w:r>
        <w:rPr>
          <w:rFonts w:hint="eastAsia" w:ascii="宋体" w:hAnsi="宋体"/>
          <w:color w:val="auto"/>
          <w:kern w:val="2"/>
          <w:sz w:val="32"/>
          <w:highlight w:val="none"/>
        </w:rPr>
        <w:t>第</w:t>
      </w:r>
      <w:r>
        <w:rPr>
          <w:rFonts w:hint="eastAsia" w:ascii="宋体" w:hAnsi="宋体"/>
          <w:color w:val="auto"/>
          <w:kern w:val="2"/>
          <w:sz w:val="32"/>
          <w:highlight w:val="none"/>
          <w:lang w:eastAsia="zh-CN"/>
        </w:rPr>
        <w:t>五</w:t>
      </w:r>
      <w:r>
        <w:rPr>
          <w:rFonts w:hint="eastAsia" w:ascii="宋体" w:hAnsi="宋体"/>
          <w:color w:val="auto"/>
          <w:kern w:val="2"/>
          <w:sz w:val="32"/>
          <w:highlight w:val="none"/>
        </w:rPr>
        <w:t>章</w:t>
      </w:r>
      <w:r>
        <w:rPr>
          <w:rFonts w:ascii="宋体" w:hAnsi="宋体"/>
          <w:color w:val="auto"/>
          <w:kern w:val="2"/>
          <w:sz w:val="32"/>
          <w:highlight w:val="none"/>
        </w:rPr>
        <w:t xml:space="preserve">  </w:t>
      </w:r>
      <w:r>
        <w:rPr>
          <w:rFonts w:hint="eastAsia" w:ascii="宋体" w:hAnsi="宋体"/>
          <w:color w:val="auto"/>
          <w:kern w:val="2"/>
          <w:sz w:val="32"/>
          <w:highlight w:val="none"/>
        </w:rPr>
        <w:t>响应文件格式</w:t>
      </w:r>
      <w:bookmarkEnd w:id="86"/>
    </w:p>
    <w:p w14:paraId="1DBD1E97">
      <w:pPr>
        <w:spacing w:line="480" w:lineRule="auto"/>
        <w:jc w:val="center"/>
        <w:rPr>
          <w:rFonts w:ascii="宋体" w:hAnsi="宋体"/>
          <w:color w:val="auto"/>
          <w:sz w:val="30"/>
          <w:szCs w:val="30"/>
          <w:highlight w:val="none"/>
        </w:rPr>
      </w:pPr>
      <w:r>
        <w:rPr>
          <w:rFonts w:hint="eastAsia" w:ascii="宋体" w:hAnsi="宋体"/>
          <w:b/>
          <w:color w:val="auto"/>
          <w:sz w:val="30"/>
          <w:szCs w:val="30"/>
          <w:highlight w:val="none"/>
        </w:rPr>
        <w:t>响应文件封面格式</w:t>
      </w:r>
    </w:p>
    <w:p w14:paraId="7DDBC57D">
      <w:pPr>
        <w:pBdr>
          <w:top w:val="single" w:color="auto" w:sz="4" w:space="1"/>
          <w:left w:val="single" w:color="auto" w:sz="4" w:space="4"/>
          <w:bottom w:val="single" w:color="auto" w:sz="4" w:space="31"/>
          <w:right w:val="single" w:color="auto" w:sz="4" w:space="4"/>
        </w:pBdr>
        <w:spacing w:line="480" w:lineRule="auto"/>
        <w:jc w:val="right"/>
        <w:rPr>
          <w:rFonts w:ascii="宋体" w:hAnsi="宋体"/>
          <w:b/>
          <w:color w:val="auto"/>
          <w:sz w:val="32"/>
          <w:szCs w:val="30"/>
          <w:highlight w:val="none"/>
        </w:rPr>
      </w:pPr>
    </w:p>
    <w:p w14:paraId="160E5E3A">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color w:val="auto"/>
          <w:sz w:val="32"/>
          <w:szCs w:val="30"/>
          <w:highlight w:val="none"/>
        </w:rPr>
      </w:pPr>
      <w:r>
        <w:rPr>
          <w:rFonts w:hint="eastAsia" w:ascii="宋体" w:hAnsi="宋体"/>
          <w:b/>
          <w:color w:val="auto"/>
          <w:sz w:val="32"/>
          <w:szCs w:val="30"/>
          <w:highlight w:val="none"/>
        </w:rPr>
        <w:t xml:space="preserve">（正/副本）    </w:t>
      </w:r>
    </w:p>
    <w:p w14:paraId="398DA56E">
      <w:pPr>
        <w:pBdr>
          <w:top w:val="single" w:color="auto" w:sz="4" w:space="1"/>
          <w:left w:val="single" w:color="auto" w:sz="4" w:space="4"/>
          <w:bottom w:val="single" w:color="auto" w:sz="4" w:space="31"/>
          <w:right w:val="single" w:color="auto" w:sz="4" w:space="4"/>
        </w:pBdr>
        <w:jc w:val="center"/>
        <w:rPr>
          <w:rFonts w:ascii="宋体" w:hAnsi="宋体"/>
          <w:b/>
          <w:color w:val="auto"/>
          <w:sz w:val="28"/>
          <w:szCs w:val="30"/>
          <w:highlight w:val="none"/>
        </w:rPr>
      </w:pPr>
      <w:r>
        <w:rPr>
          <w:rFonts w:hint="eastAsia" w:ascii="宋体" w:hAnsi="宋体"/>
          <w:b/>
          <w:color w:val="auto"/>
          <w:sz w:val="28"/>
          <w:szCs w:val="30"/>
          <w:highlight w:val="none"/>
        </w:rPr>
        <w:t xml:space="preserve">                                         </w:t>
      </w:r>
    </w:p>
    <w:p w14:paraId="5ADDD953">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u w:val="single"/>
        </w:rPr>
      </w:pPr>
      <w:r>
        <w:rPr>
          <w:rFonts w:hint="eastAsia" w:ascii="宋体" w:hAnsi="宋体"/>
          <w:b/>
          <w:color w:val="auto"/>
          <w:sz w:val="28"/>
          <w:szCs w:val="30"/>
          <w:highlight w:val="none"/>
        </w:rPr>
        <w:t>项目编号：</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 xml:space="preserve">__  _              </w:t>
      </w:r>
      <w:r>
        <w:rPr>
          <w:rFonts w:hint="eastAsia" w:ascii="宋体" w:hAnsi="宋体"/>
          <w:b/>
          <w:color w:val="auto"/>
          <w:sz w:val="28"/>
          <w:szCs w:val="30"/>
          <w:highlight w:val="none"/>
        </w:rPr>
        <w:t>__</w:t>
      </w:r>
    </w:p>
    <w:p w14:paraId="74E143FA">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eastAsia="宋体"/>
          <w:b/>
          <w:color w:val="auto"/>
          <w:sz w:val="28"/>
          <w:szCs w:val="30"/>
          <w:highlight w:val="none"/>
          <w:u w:val="single"/>
          <w:lang w:eastAsia="zh-CN"/>
        </w:rPr>
      </w:pPr>
      <w:r>
        <w:rPr>
          <w:rFonts w:hint="eastAsia" w:ascii="宋体" w:hAnsi="宋体"/>
          <w:b/>
          <w:color w:val="auto"/>
          <w:sz w:val="28"/>
          <w:szCs w:val="30"/>
          <w:highlight w:val="none"/>
        </w:rPr>
        <w:t>项目名称：</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 xml:space="preserve">__  _            </w:t>
      </w:r>
      <w:r>
        <w:rPr>
          <w:rFonts w:hint="eastAsia" w:ascii="宋体" w:hAnsi="宋体"/>
          <w:b/>
          <w:color w:val="auto"/>
          <w:sz w:val="28"/>
          <w:szCs w:val="30"/>
          <w:highlight w:val="none"/>
        </w:rPr>
        <w:t>__</w:t>
      </w:r>
    </w:p>
    <w:p w14:paraId="61BCA789">
      <w:pPr>
        <w:pBdr>
          <w:top w:val="single" w:color="auto" w:sz="4" w:space="1"/>
          <w:left w:val="single" w:color="auto" w:sz="4" w:space="4"/>
          <w:bottom w:val="single" w:color="auto" w:sz="4" w:space="31"/>
          <w:right w:val="single" w:color="auto" w:sz="4" w:space="4"/>
        </w:pBdr>
        <w:ind w:firstLine="1713" w:firstLineChars="612"/>
        <w:jc w:val="left"/>
        <w:rPr>
          <w:rFonts w:ascii="宋体" w:hAnsi="宋体"/>
          <w:color w:val="auto"/>
          <w:sz w:val="28"/>
          <w:szCs w:val="30"/>
          <w:highlight w:val="none"/>
          <w:u w:val="single"/>
        </w:rPr>
      </w:pPr>
      <w:r>
        <w:rPr>
          <w:rFonts w:hint="eastAsia" w:ascii="宋体" w:hAnsi="宋体"/>
          <w:color w:val="auto"/>
          <w:sz w:val="28"/>
          <w:szCs w:val="30"/>
          <w:highlight w:val="none"/>
          <w:u w:val="single"/>
        </w:rPr>
        <w:t xml:space="preserve">   </w:t>
      </w:r>
    </w:p>
    <w:p w14:paraId="07D5E0DF">
      <w:pPr>
        <w:pBdr>
          <w:top w:val="single" w:color="auto" w:sz="4" w:space="1"/>
          <w:left w:val="single" w:color="auto" w:sz="4" w:space="4"/>
          <w:bottom w:val="single" w:color="auto" w:sz="4" w:space="31"/>
          <w:right w:val="single" w:color="auto" w:sz="4" w:space="4"/>
        </w:pBdr>
        <w:ind w:firstLine="1701" w:firstLineChars="605"/>
        <w:jc w:val="left"/>
        <w:rPr>
          <w:rFonts w:ascii="宋体" w:hAnsi="宋体"/>
          <w:color w:val="auto"/>
          <w:sz w:val="30"/>
          <w:szCs w:val="30"/>
          <w:highlight w:val="none"/>
          <w:u w:val="single"/>
        </w:rPr>
      </w:pPr>
      <w:r>
        <w:rPr>
          <w:rFonts w:hint="eastAsia" w:ascii="宋体" w:hAnsi="宋体"/>
          <w:b/>
          <w:color w:val="auto"/>
          <w:sz w:val="28"/>
          <w:szCs w:val="30"/>
          <w:highlight w:val="none"/>
        </w:rPr>
        <w:t>包    号：</w:t>
      </w:r>
      <w:r>
        <w:rPr>
          <w:rFonts w:hint="eastAsia" w:ascii="宋体" w:hAnsi="宋体"/>
          <w:b/>
          <w:color w:val="auto"/>
          <w:sz w:val="28"/>
          <w:szCs w:val="30"/>
          <w:highlight w:val="none"/>
          <w:u w:val="single"/>
        </w:rPr>
        <w:t>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__</w:t>
      </w:r>
      <w:r>
        <w:rPr>
          <w:rFonts w:hint="eastAsia" w:ascii="宋体" w:hAnsi="宋体"/>
          <w:b/>
          <w:color w:val="auto"/>
          <w:sz w:val="28"/>
          <w:szCs w:val="30"/>
          <w:highlight w:val="none"/>
        </w:rPr>
        <w:t>__</w:t>
      </w:r>
      <w:r>
        <w:rPr>
          <w:rFonts w:hint="eastAsia" w:ascii="宋体" w:hAnsi="宋体"/>
          <w:b/>
          <w:color w:val="auto"/>
          <w:sz w:val="28"/>
          <w:szCs w:val="30"/>
          <w:highlight w:val="none"/>
          <w:u w:val="single"/>
        </w:rPr>
        <w:t>_</w:t>
      </w:r>
    </w:p>
    <w:p w14:paraId="5C8558A7">
      <w:pPr>
        <w:pBdr>
          <w:top w:val="single" w:color="auto" w:sz="4" w:space="1"/>
          <w:left w:val="single" w:color="auto" w:sz="4" w:space="4"/>
          <w:bottom w:val="single" w:color="auto" w:sz="4" w:space="31"/>
          <w:right w:val="single" w:color="auto" w:sz="4" w:space="4"/>
        </w:pBdr>
        <w:spacing w:line="440" w:lineRule="exact"/>
        <w:jc w:val="center"/>
        <w:rPr>
          <w:rFonts w:ascii="宋体" w:hAnsi="宋体"/>
          <w:color w:val="auto"/>
          <w:sz w:val="36"/>
          <w:szCs w:val="28"/>
          <w:highlight w:val="none"/>
        </w:rPr>
      </w:pPr>
    </w:p>
    <w:p w14:paraId="7182A57F">
      <w:pPr>
        <w:pBdr>
          <w:top w:val="single" w:color="auto" w:sz="4" w:space="1"/>
          <w:left w:val="single" w:color="auto" w:sz="4" w:space="4"/>
          <w:bottom w:val="single" w:color="auto" w:sz="4" w:space="31"/>
          <w:right w:val="single" w:color="auto" w:sz="4" w:space="4"/>
        </w:pBdr>
        <w:spacing w:line="440" w:lineRule="exact"/>
        <w:jc w:val="center"/>
        <w:rPr>
          <w:rFonts w:ascii="宋体" w:hAnsi="宋体"/>
          <w:color w:val="auto"/>
          <w:sz w:val="36"/>
          <w:szCs w:val="28"/>
          <w:highlight w:val="none"/>
        </w:rPr>
      </w:pPr>
    </w:p>
    <w:p w14:paraId="6CE44666">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r>
        <w:rPr>
          <w:rFonts w:hint="eastAsia" w:ascii="宋体" w:hAnsi="宋体"/>
          <w:b/>
          <w:bCs/>
          <w:color w:val="auto"/>
          <w:sz w:val="72"/>
          <w:szCs w:val="52"/>
          <w:highlight w:val="none"/>
        </w:rPr>
        <w:t>响 应</w:t>
      </w:r>
      <w:r>
        <w:rPr>
          <w:rFonts w:ascii="宋体" w:hAnsi="宋体"/>
          <w:b/>
          <w:bCs/>
          <w:color w:val="auto"/>
          <w:sz w:val="72"/>
          <w:szCs w:val="52"/>
          <w:highlight w:val="none"/>
        </w:rPr>
        <w:t xml:space="preserve"> 文 件</w:t>
      </w:r>
    </w:p>
    <w:p w14:paraId="18E7CEE3">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7CD02BAA">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62B5618B">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4F2F2399">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3F50CF84">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4617A3D4">
      <w:pPr>
        <w:pBdr>
          <w:top w:val="single" w:color="auto" w:sz="4" w:space="1"/>
          <w:left w:val="single" w:color="auto" w:sz="4" w:space="4"/>
          <w:bottom w:val="single" w:color="auto" w:sz="4" w:space="31"/>
          <w:right w:val="single" w:color="auto" w:sz="4" w:space="4"/>
        </w:pBd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(盖单位章)</w:t>
      </w:r>
    </w:p>
    <w:p w14:paraId="04B3AAC6">
      <w:pPr>
        <w:pBdr>
          <w:top w:val="single" w:color="auto" w:sz="4" w:space="1"/>
          <w:left w:val="single" w:color="auto" w:sz="4" w:space="4"/>
          <w:bottom w:val="single" w:color="auto" w:sz="4" w:space="31"/>
          <w:right w:val="single" w:color="auto" w:sz="4" w:space="4"/>
        </w:pBdr>
        <w:spacing w:line="360" w:lineRule="auto"/>
        <w:ind w:firstLine="1853" w:firstLineChars="662"/>
        <w:rPr>
          <w:rFonts w:ascii="宋体" w:hAnsi="宋体"/>
          <w:color w:val="auto"/>
          <w:sz w:val="28"/>
          <w:szCs w:val="30"/>
          <w:highlight w:val="none"/>
        </w:rPr>
      </w:pPr>
      <w:r>
        <w:rPr>
          <w:rFonts w:hint="eastAsia" w:ascii="宋体" w:hAnsi="宋体"/>
          <w:color w:val="auto"/>
          <w:sz w:val="28"/>
          <w:szCs w:val="30"/>
          <w:highlight w:val="none"/>
        </w:rPr>
        <w:t>地  址</w:t>
      </w:r>
      <w:r>
        <w:rPr>
          <w:rFonts w:ascii="宋体" w:hAnsi="宋体"/>
          <w:color w:val="auto"/>
          <w:sz w:val="28"/>
          <w:szCs w:val="30"/>
          <w:highlight w:val="none"/>
        </w:rPr>
        <w:t>：</w:t>
      </w:r>
      <w:r>
        <w:rPr>
          <w:rFonts w:hint="eastAsia" w:ascii="宋体" w:hAnsi="宋体"/>
          <w:b/>
          <w:color w:val="auto"/>
          <w:sz w:val="30"/>
          <w:szCs w:val="30"/>
          <w:highlight w:val="none"/>
          <w:u w:val="single"/>
        </w:rPr>
        <w:t>_</w:t>
      </w:r>
      <w:r>
        <w:rPr>
          <w:rFonts w:hint="eastAsia" w:ascii="宋体" w:hAnsi="宋体"/>
          <w:b/>
          <w:color w:val="auto"/>
          <w:sz w:val="30"/>
          <w:szCs w:val="30"/>
          <w:highlight w:val="none"/>
        </w:rPr>
        <w:t>__</w:t>
      </w:r>
      <w:r>
        <w:rPr>
          <w:rFonts w:hint="eastAsia" w:ascii="宋体" w:hAnsi="宋体"/>
          <w:b/>
          <w:color w:val="auto"/>
          <w:sz w:val="30"/>
          <w:szCs w:val="30"/>
          <w:highlight w:val="none"/>
          <w:u w:val="single"/>
        </w:rPr>
        <w:t xml:space="preserve">__  _            </w:t>
      </w:r>
      <w:r>
        <w:rPr>
          <w:rFonts w:hint="eastAsia" w:ascii="宋体" w:hAnsi="宋体"/>
          <w:b/>
          <w:color w:val="auto"/>
          <w:sz w:val="30"/>
          <w:szCs w:val="30"/>
          <w:highlight w:val="none"/>
        </w:rPr>
        <w:t>_</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_</w:t>
      </w:r>
      <w:r>
        <w:rPr>
          <w:rFonts w:ascii="宋体" w:hAnsi="宋体"/>
          <w:color w:val="auto"/>
          <w:sz w:val="28"/>
          <w:szCs w:val="28"/>
          <w:highlight w:val="none"/>
          <w:u w:val="single"/>
        </w:rPr>
        <w:t xml:space="preserve"> </w:t>
      </w:r>
    </w:p>
    <w:p w14:paraId="061DF1D9">
      <w:pPr>
        <w:pBdr>
          <w:top w:val="single" w:color="auto" w:sz="4" w:space="1"/>
          <w:left w:val="single" w:color="auto" w:sz="4" w:space="4"/>
          <w:bottom w:val="single" w:color="auto" w:sz="4" w:space="31"/>
          <w:right w:val="single" w:color="auto" w:sz="4" w:space="4"/>
        </w:pBdr>
        <w:spacing w:line="360" w:lineRule="auto"/>
        <w:ind w:firstLine="1853" w:firstLineChars="662"/>
        <w:rPr>
          <w:rFonts w:ascii="宋体" w:hAnsi="宋体"/>
          <w:color w:val="auto"/>
          <w:sz w:val="28"/>
          <w:szCs w:val="30"/>
          <w:highlight w:val="none"/>
        </w:rPr>
      </w:pPr>
      <w:r>
        <w:rPr>
          <w:rFonts w:hint="eastAsia" w:ascii="宋体" w:hAnsi="宋体"/>
          <w:color w:val="auto"/>
          <w:sz w:val="28"/>
          <w:szCs w:val="30"/>
          <w:highlight w:val="none"/>
        </w:rPr>
        <w:t xml:space="preserve">电  话：_____           </w:t>
      </w:r>
    </w:p>
    <w:p w14:paraId="1BC6E1CE">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ascii="宋体" w:hAnsi="宋体"/>
          <w:color w:val="auto"/>
          <w:sz w:val="28"/>
          <w:szCs w:val="28"/>
          <w:highlight w:val="none"/>
        </w:rPr>
        <w:t>日</w:t>
      </w:r>
    </w:p>
    <w:p w14:paraId="198C4899">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p>
    <w:p w14:paraId="02397E9A">
      <w:pPr>
        <w:pBdr>
          <w:top w:val="single" w:color="auto" w:sz="4" w:space="1"/>
          <w:left w:val="single" w:color="auto" w:sz="4" w:space="4"/>
          <w:bottom w:val="single" w:color="auto" w:sz="4" w:space="31"/>
          <w:right w:val="single" w:color="auto" w:sz="4" w:space="4"/>
        </w:pBdr>
        <w:jc w:val="center"/>
        <w:rPr>
          <w:rFonts w:ascii="宋体" w:hAnsi="宋体"/>
          <w:color w:val="auto"/>
          <w:highlight w:val="none"/>
        </w:rPr>
      </w:pPr>
    </w:p>
    <w:p w14:paraId="7EF8B88D">
      <w:pPr>
        <w:pStyle w:val="4"/>
        <w:spacing w:before="120" w:after="120" w:line="360" w:lineRule="exact"/>
        <w:rPr>
          <w:rFonts w:ascii="宋体" w:hAnsi="宋体"/>
          <w:b w:val="0"/>
          <w:bCs w:val="0"/>
          <w:color w:val="auto"/>
          <w:sz w:val="24"/>
          <w:szCs w:val="21"/>
          <w:highlight w:val="none"/>
        </w:rPr>
      </w:pPr>
      <w:r>
        <w:rPr>
          <w:rFonts w:ascii="宋体" w:hAnsi="宋体"/>
          <w:b w:val="0"/>
          <w:bCs w:val="0"/>
          <w:color w:val="auto"/>
          <w:sz w:val="24"/>
          <w:szCs w:val="24"/>
          <w:highlight w:val="none"/>
        </w:rPr>
        <w:br w:type="page"/>
      </w:r>
      <w:r>
        <w:rPr>
          <w:rFonts w:hint="eastAsia" w:ascii="宋体" w:hAnsi="宋体"/>
          <w:b w:val="0"/>
          <w:bCs w:val="0"/>
          <w:color w:val="auto"/>
          <w:sz w:val="24"/>
          <w:szCs w:val="21"/>
          <w:highlight w:val="none"/>
        </w:rPr>
        <w:t>格式一：报价函</w:t>
      </w:r>
    </w:p>
    <w:p w14:paraId="7B4EE4DF">
      <w:pPr>
        <w:pStyle w:val="30"/>
        <w:spacing w:after="0" w:line="460" w:lineRule="exact"/>
        <w:jc w:val="center"/>
        <w:rPr>
          <w:rFonts w:ascii="宋体" w:hAnsi="宋体"/>
          <w:b/>
          <w:color w:val="auto"/>
          <w:sz w:val="32"/>
          <w:highlight w:val="none"/>
        </w:rPr>
      </w:pPr>
      <w:r>
        <w:rPr>
          <w:rFonts w:hint="eastAsia" w:ascii="宋体" w:hAnsi="宋体"/>
          <w:b/>
          <w:color w:val="auto"/>
          <w:sz w:val="32"/>
          <w:highlight w:val="none"/>
        </w:rPr>
        <w:t>报价函</w:t>
      </w:r>
    </w:p>
    <w:p w14:paraId="71877D87">
      <w:pPr>
        <w:pStyle w:val="30"/>
        <w:spacing w:after="0" w:line="500" w:lineRule="exact"/>
        <w:rPr>
          <w:rFonts w:ascii="宋体" w:hAnsi="宋体"/>
          <w:color w:val="auto"/>
          <w:sz w:val="24"/>
          <w:highlight w:val="none"/>
        </w:rPr>
      </w:pPr>
      <w:r>
        <w:rPr>
          <w:rFonts w:hint="eastAsia" w:ascii="宋体" w:hAnsi="宋体"/>
          <w:color w:val="auto"/>
          <w:sz w:val="24"/>
          <w:highlight w:val="none"/>
        </w:rPr>
        <w:t>海逸恒安项目管理有限公司：</w:t>
      </w:r>
    </w:p>
    <w:p w14:paraId="28A4CEBA">
      <w:pPr>
        <w:pStyle w:val="30"/>
        <w:spacing w:after="0" w:line="500" w:lineRule="exact"/>
        <w:ind w:left="-2" w:firstLine="480"/>
        <w:rPr>
          <w:rFonts w:ascii="宋体" w:hAnsi="宋体"/>
          <w:color w:val="auto"/>
          <w:sz w:val="24"/>
          <w:highlight w:val="none"/>
        </w:rPr>
      </w:pPr>
      <w:r>
        <w:rPr>
          <w:rFonts w:hint="eastAsia" w:ascii="宋体" w:hAnsi="宋体"/>
          <w:color w:val="auto"/>
          <w:sz w:val="24"/>
          <w:highlight w:val="none"/>
        </w:rPr>
        <w:t>经研究，我方决定参加项目编号为HYHA20___-_____的____________________</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（项目名称）项目（包</w:t>
      </w:r>
      <w:r>
        <w:rPr>
          <w:rFonts w:hint="eastAsia" w:ascii="宋体" w:hAnsi="宋体"/>
          <w:color w:val="auto"/>
          <w:sz w:val="24"/>
          <w:highlight w:val="none"/>
          <w:u w:val="single"/>
        </w:rPr>
        <w:t xml:space="preserve">  </w:t>
      </w:r>
      <w:r>
        <w:rPr>
          <w:rFonts w:hint="eastAsia" w:ascii="宋体" w:hAnsi="宋体"/>
          <w:color w:val="auto"/>
          <w:sz w:val="24"/>
          <w:highlight w:val="none"/>
        </w:rPr>
        <w:t>）并报价。为此，我方郑重声明以下几点，并负法律责任：</w:t>
      </w:r>
    </w:p>
    <w:p w14:paraId="43666BCD">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、我方提交的响应文件，正本1份，副本</w:t>
      </w:r>
      <w:r>
        <w:rPr>
          <w:rFonts w:hint="eastAsia" w:ascii="宋体" w:hAnsi="宋体"/>
          <w:color w:val="auto"/>
          <w:sz w:val="24"/>
          <w:highlight w:val="none"/>
          <w:u w:val="single"/>
        </w:rPr>
        <w:t xml:space="preserve">  </w:t>
      </w:r>
      <w:r>
        <w:rPr>
          <w:rFonts w:hint="eastAsia" w:ascii="宋体" w:hAnsi="宋体"/>
          <w:color w:val="auto"/>
          <w:sz w:val="24"/>
          <w:highlight w:val="none"/>
        </w:rPr>
        <w:t>份；电子版</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14:paraId="1BE1D331">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、如果我方的响应文件被接受，我方将履行采购文件中规定的每一项要求，并按我方响应文件中的承诺按期、保质、保量提供货物。</w:t>
      </w:r>
    </w:p>
    <w:p w14:paraId="2E82DA57">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、我方理解，最低报价不是成交的唯一条件，你们有选择成交供应商的权利。</w:t>
      </w:r>
    </w:p>
    <w:p w14:paraId="5CD44051">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、我方愿按《中华人民共和国民法典》履行自己的全部责任。</w:t>
      </w:r>
    </w:p>
    <w:p w14:paraId="071E7678">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、我方同意按采购文件规定交纳</w:t>
      </w:r>
      <w:r>
        <w:rPr>
          <w:rFonts w:hint="eastAsia" w:ascii="宋体" w:hAnsi="宋体"/>
          <w:color w:val="auto"/>
          <w:sz w:val="24"/>
          <w:highlight w:val="none"/>
          <w:lang w:eastAsia="zh-CN"/>
        </w:rPr>
        <w:t>谈判</w:t>
      </w:r>
      <w:r>
        <w:rPr>
          <w:rFonts w:hint="eastAsia" w:ascii="宋体" w:hAnsi="宋体"/>
          <w:color w:val="auto"/>
          <w:sz w:val="24"/>
          <w:highlight w:val="none"/>
        </w:rPr>
        <w:t>保证金，遵守贵机构有关</w:t>
      </w:r>
      <w:r>
        <w:rPr>
          <w:rFonts w:hint="eastAsia" w:ascii="宋体" w:hAnsi="宋体"/>
          <w:color w:val="auto"/>
          <w:sz w:val="24"/>
          <w:highlight w:val="none"/>
          <w:lang w:eastAsia="zh-CN"/>
        </w:rPr>
        <w:t>谈判</w:t>
      </w:r>
      <w:r>
        <w:rPr>
          <w:rFonts w:hint="eastAsia" w:ascii="宋体" w:hAnsi="宋体"/>
          <w:color w:val="auto"/>
          <w:sz w:val="24"/>
          <w:highlight w:val="none"/>
        </w:rPr>
        <w:t>的各项规定。</w:t>
      </w:r>
    </w:p>
    <w:p w14:paraId="42750AB8">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、我方同意本响应文件在采购文件规定的提交首次响应文件截止时间后，在采购文件规定的报价有效期期满前对我方具有约束力，且随时准备接受你方发出的成交通知书。</w:t>
      </w:r>
    </w:p>
    <w:p w14:paraId="1CEF9723">
      <w:pPr>
        <w:pStyle w:val="30"/>
        <w:spacing w:after="0" w:line="500" w:lineRule="exact"/>
        <w:ind w:left="-2" w:firstLine="48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、与本报价有关的一切正式往来通讯请寄：</w:t>
      </w:r>
    </w:p>
    <w:p w14:paraId="44D51B19">
      <w:pPr>
        <w:pStyle w:val="30"/>
        <w:spacing w:after="0" w:line="500" w:lineRule="exact"/>
        <w:ind w:left="571" w:leftChars="272" w:firstLine="382"/>
        <w:rPr>
          <w:rFonts w:ascii="宋体" w:hAnsi="宋体"/>
          <w:color w:val="auto"/>
          <w:sz w:val="24"/>
          <w:highlight w:val="none"/>
        </w:rPr>
      </w:pPr>
    </w:p>
    <w:p w14:paraId="1B5D8A31">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供应商代表姓名、职务（印刷体）：</w:t>
      </w:r>
    </w:p>
    <w:p w14:paraId="5B78F5A7">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供应商单位全称（公章）</w:t>
      </w:r>
    </w:p>
    <w:p w14:paraId="28FBD04D">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开户银行名称：</w:t>
      </w:r>
      <w:r>
        <w:rPr>
          <w:rFonts w:ascii="宋体" w:hAnsi="宋体"/>
          <w:color w:val="auto"/>
          <w:sz w:val="24"/>
          <w:highlight w:val="none"/>
        </w:rPr>
        <w:t xml:space="preserve"> </w:t>
      </w:r>
    </w:p>
    <w:p w14:paraId="05A06F37">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开户银行账号：</w:t>
      </w:r>
      <w:r>
        <w:rPr>
          <w:rFonts w:ascii="宋体" w:hAnsi="宋体"/>
          <w:color w:val="auto"/>
          <w:sz w:val="24"/>
          <w:highlight w:val="none"/>
        </w:rPr>
        <w:t xml:space="preserve"> </w:t>
      </w:r>
    </w:p>
    <w:p w14:paraId="38D2360C">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开户银行地址：</w:t>
      </w:r>
    </w:p>
    <w:p w14:paraId="0DC1A776">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法定代表人或授权代理人签字或盖章：</w:t>
      </w:r>
    </w:p>
    <w:p w14:paraId="5CE3496D">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p>
    <w:p w14:paraId="27E1CC91">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邮政编码：</w:t>
      </w:r>
    </w:p>
    <w:p w14:paraId="190DAE9D">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p>
    <w:p w14:paraId="50BAA2CD">
      <w:pPr>
        <w:pStyle w:val="30"/>
        <w:spacing w:after="0" w:line="500" w:lineRule="exact"/>
        <w:ind w:left="571" w:leftChars="272" w:firstLine="382"/>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p>
    <w:p w14:paraId="3C031E04">
      <w:pPr>
        <w:pStyle w:val="30"/>
        <w:spacing w:after="0" w:line="500" w:lineRule="exact"/>
        <w:ind w:left="6660" w:firstLine="480"/>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F548822">
      <w:pPr>
        <w:pStyle w:val="4"/>
        <w:spacing w:before="120" w:after="120" w:line="560" w:lineRule="exact"/>
        <w:rPr>
          <w:rFonts w:hint="eastAsia" w:ascii="宋体" w:hAnsi="宋体"/>
          <w:b w:val="0"/>
          <w:bCs w:val="0"/>
          <w:color w:val="auto"/>
          <w:sz w:val="24"/>
          <w:szCs w:val="21"/>
          <w:highlight w:val="none"/>
        </w:rPr>
      </w:pPr>
      <w:r>
        <w:rPr>
          <w:rFonts w:ascii="宋体" w:hAnsi="宋体"/>
          <w:color w:val="auto"/>
          <w:sz w:val="24"/>
          <w:highlight w:val="none"/>
        </w:rPr>
        <w:br w:type="page"/>
      </w:r>
      <w:r>
        <w:rPr>
          <w:rFonts w:ascii="宋体" w:hAnsi="宋体"/>
          <w:color w:val="auto"/>
          <w:sz w:val="24"/>
          <w:highlight w:val="none"/>
        </w:rPr>
        <w:br w:type="page"/>
      </w:r>
      <w:r>
        <w:rPr>
          <w:rFonts w:hint="eastAsia" w:ascii="宋体" w:hAnsi="宋体"/>
          <w:b w:val="0"/>
          <w:bCs w:val="0"/>
          <w:color w:val="auto"/>
          <w:sz w:val="24"/>
          <w:szCs w:val="21"/>
          <w:highlight w:val="none"/>
        </w:rPr>
        <w:t>格式二：诚信廉政承诺书</w:t>
      </w:r>
    </w:p>
    <w:p w14:paraId="41ACD8E6">
      <w:pPr>
        <w:pStyle w:val="30"/>
        <w:spacing w:after="0"/>
        <w:rPr>
          <w:rFonts w:ascii="宋体" w:hAnsi="宋体"/>
          <w:color w:val="auto"/>
          <w:highlight w:val="none"/>
        </w:rPr>
      </w:pPr>
    </w:p>
    <w:p w14:paraId="4F341B71">
      <w:pPr>
        <w:spacing w:before="120" w:after="120" w:line="360" w:lineRule="auto"/>
        <w:jc w:val="center"/>
        <w:outlineLvl w:val="9"/>
        <w:rPr>
          <w:rFonts w:hint="eastAsia" w:ascii="宋体" w:hAnsi="宋体" w:eastAsia="宋体" w:cs="宋体"/>
          <w:b/>
          <w:bCs/>
          <w:color w:val="auto"/>
          <w:kern w:val="2"/>
          <w:sz w:val="32"/>
          <w:highlight w:val="none"/>
        </w:rPr>
      </w:pPr>
      <w:bookmarkStart w:id="87" w:name="_Toc30324796"/>
      <w:r>
        <w:rPr>
          <w:rFonts w:hint="eastAsia" w:ascii="宋体" w:hAnsi="宋体" w:eastAsia="宋体" w:cs="宋体"/>
          <w:b/>
          <w:bCs/>
          <w:color w:val="auto"/>
          <w:kern w:val="2"/>
          <w:sz w:val="32"/>
          <w:highlight w:val="none"/>
        </w:rPr>
        <w:t>诚信廉政承诺书</w:t>
      </w:r>
      <w:bookmarkEnd w:id="87"/>
    </w:p>
    <w:p w14:paraId="54093C70">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为充分体现公开、公平、公正、诚信原则，共同维护招投标市场秩序，本单位在参与招投标过程中特作以下承诺： </w:t>
      </w:r>
    </w:p>
    <w:p w14:paraId="49510232">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1．严格遵守国家及山东大学第二医院招标采购管理规定，保证在招投标活动中无任何违规、违纪、违法行为。</w:t>
      </w:r>
    </w:p>
    <w:p w14:paraId="4E15A71B">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2．不以各种名目向采购人、工作人员及其相关人员请客、送礼、赠送有价证券、提供回扣和行贿等。</w:t>
      </w:r>
    </w:p>
    <w:p w14:paraId="1B448C88">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3.在与山东大学第二医院业务往来过程中无山东大学第二医院职工及其直系亲属参与或做出其他影响正常市场竞争秩序的行为。</w:t>
      </w:r>
    </w:p>
    <w:p w14:paraId="3FD2EFCC">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4．不以不正当手段向采购人谋取资格预审及投标的照顾。</w:t>
      </w:r>
    </w:p>
    <w:p w14:paraId="514E3FD8">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5．不以提供不正当利益等方式向标底编制、审查人员打听标底编制情况。</w:t>
      </w:r>
    </w:p>
    <w:p w14:paraId="5195AA67">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6．在确定成交供应商前，不向评审专家打招呼谋求照顾，不与采购人就投标价格、投标方案等实质内容进行谈判。</w:t>
      </w:r>
    </w:p>
    <w:p w14:paraId="528D1D72">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7．不与采购人或采购代理机构或其他供应商串通投标，损害国家利益、社会公共利益或者他人的合法权益。</w:t>
      </w:r>
    </w:p>
    <w:p w14:paraId="5356677A">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8．中标后，不向采购人及工作人员赠送感谢费、好处费等。</w:t>
      </w:r>
    </w:p>
    <w:p w14:paraId="696F5F7B">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9．合同履行过程中不以任何形式及手段进行违规、违纪、违法活动。</w:t>
      </w:r>
    </w:p>
    <w:p w14:paraId="2C5D0854">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10．所提供的一切材料都是真实、有效、合法的。</w:t>
      </w:r>
    </w:p>
    <w:p w14:paraId="291D4376">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11．不在开标后进行虚假恶意投诉。</w:t>
      </w:r>
    </w:p>
    <w:p w14:paraId="65EC4853">
      <w:pPr>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12．主动接受、配合山东大学第二医院招标办公室及纪检监察部门的监督检查。</w:t>
      </w:r>
    </w:p>
    <w:p w14:paraId="0E2DEF3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9E0C977">
      <w:pPr>
        <w:spacing w:line="440" w:lineRule="exact"/>
        <w:rPr>
          <w:rFonts w:hint="eastAsia" w:ascii="宋体" w:hAnsi="宋体" w:eastAsia="宋体" w:cs="宋体"/>
          <w:color w:val="auto"/>
          <w:highlight w:val="none"/>
        </w:rPr>
      </w:pPr>
    </w:p>
    <w:p w14:paraId="49DED87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承诺单位（盖章）：                      法人代表（签字或盖章）：</w:t>
      </w:r>
    </w:p>
    <w:p w14:paraId="378266C5">
      <w:pPr>
        <w:spacing w:line="440" w:lineRule="exact"/>
        <w:rPr>
          <w:rFonts w:hint="eastAsia" w:ascii="宋体" w:hAnsi="宋体" w:eastAsia="宋体" w:cs="宋体"/>
          <w:color w:val="auto"/>
          <w:highlight w:val="none"/>
        </w:rPr>
      </w:pPr>
    </w:p>
    <w:p w14:paraId="1EAAEF65">
      <w:pPr>
        <w:spacing w:line="440" w:lineRule="exact"/>
        <w:ind w:firstLine="6240" w:firstLineChars="26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年    月    日</w:t>
      </w:r>
    </w:p>
    <w:p w14:paraId="2B377157">
      <w:pPr>
        <w:tabs>
          <w:tab w:val="left" w:pos="1337"/>
        </w:tabs>
        <w:adjustRightInd w:val="0"/>
        <w:snapToGrid w:val="0"/>
        <w:spacing w:line="400" w:lineRule="exact"/>
        <w:ind w:right="-65" w:rightChars="-31"/>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（投标企业签章后作为</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文件的一部分）</w:t>
      </w:r>
    </w:p>
    <w:p w14:paraId="4AF1CD65">
      <w:pPr>
        <w:rPr>
          <w:rFonts w:ascii="宋体" w:hAnsi="宋体"/>
          <w:color w:val="auto"/>
          <w:sz w:val="24"/>
          <w:highlight w:val="none"/>
        </w:rPr>
      </w:pPr>
    </w:p>
    <w:p w14:paraId="13F28BF6">
      <w:pPr>
        <w:pStyle w:val="4"/>
        <w:spacing w:before="120" w:after="120" w:line="5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三</w:t>
      </w:r>
      <w:r>
        <w:rPr>
          <w:rFonts w:hint="eastAsia" w:ascii="宋体" w:hAnsi="宋体"/>
          <w:b w:val="0"/>
          <w:bCs w:val="0"/>
          <w:color w:val="auto"/>
          <w:sz w:val="24"/>
          <w:szCs w:val="21"/>
          <w:highlight w:val="none"/>
        </w:rPr>
        <w:t>：授权委托书</w:t>
      </w:r>
    </w:p>
    <w:p w14:paraId="3B6302DC">
      <w:pPr>
        <w:pStyle w:val="30"/>
        <w:spacing w:after="0"/>
        <w:rPr>
          <w:rFonts w:ascii="宋体" w:hAnsi="宋体"/>
          <w:color w:val="auto"/>
          <w:highlight w:val="none"/>
        </w:rPr>
      </w:pPr>
    </w:p>
    <w:p w14:paraId="7D4784B7">
      <w:pPr>
        <w:pStyle w:val="30"/>
        <w:spacing w:after="0" w:line="460" w:lineRule="exact"/>
        <w:jc w:val="center"/>
        <w:rPr>
          <w:rFonts w:ascii="宋体" w:hAnsi="宋体"/>
          <w:b/>
          <w:color w:val="auto"/>
          <w:sz w:val="32"/>
          <w:highlight w:val="none"/>
        </w:rPr>
      </w:pPr>
      <w:r>
        <w:rPr>
          <w:rFonts w:hint="eastAsia" w:ascii="宋体" w:hAnsi="宋体"/>
          <w:b/>
          <w:color w:val="auto"/>
          <w:sz w:val="32"/>
          <w:highlight w:val="none"/>
        </w:rPr>
        <w:t>法定代表人授权委托书</w:t>
      </w:r>
    </w:p>
    <w:p w14:paraId="51DF5F08">
      <w:pPr>
        <w:pStyle w:val="30"/>
        <w:spacing w:after="0" w:line="460" w:lineRule="exact"/>
        <w:jc w:val="center"/>
        <w:rPr>
          <w:rFonts w:ascii="宋体" w:hAnsi="宋体"/>
          <w:b/>
          <w:color w:val="auto"/>
          <w:sz w:val="32"/>
          <w:highlight w:val="none"/>
        </w:rPr>
      </w:pPr>
    </w:p>
    <w:p w14:paraId="372787C8">
      <w:pPr>
        <w:pStyle w:val="30"/>
        <w:spacing w:after="0" w:line="560" w:lineRule="exact"/>
        <w:rPr>
          <w:rFonts w:ascii="宋体" w:hAnsi="宋体"/>
          <w:color w:val="auto"/>
          <w:sz w:val="24"/>
          <w:highlight w:val="none"/>
        </w:rPr>
      </w:pPr>
      <w:r>
        <w:rPr>
          <w:rFonts w:hint="eastAsia" w:ascii="宋体" w:hAnsi="宋体"/>
          <w:color w:val="auto"/>
          <w:sz w:val="24"/>
          <w:highlight w:val="none"/>
        </w:rPr>
        <w:t>海逸恒安项目管理有限公司：</w:t>
      </w:r>
    </w:p>
    <w:p w14:paraId="42537538">
      <w:pPr>
        <w:pStyle w:val="30"/>
        <w:spacing w:after="0" w:line="560" w:lineRule="exact"/>
        <w:rPr>
          <w:rFonts w:ascii="宋体" w:hAnsi="宋体"/>
          <w:color w:val="auto"/>
          <w:sz w:val="24"/>
          <w:highlight w:val="none"/>
        </w:rPr>
      </w:pPr>
    </w:p>
    <w:p w14:paraId="71C98D98">
      <w:pPr>
        <w:pStyle w:val="30"/>
        <w:spacing w:after="0" w:line="560" w:lineRule="exact"/>
        <w:ind w:firstLine="480"/>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（供应商名称）法定代表人</w:t>
      </w:r>
      <w:r>
        <w:rPr>
          <w:rFonts w:ascii="宋体" w:hAnsi="宋体"/>
          <w:color w:val="auto"/>
          <w:sz w:val="24"/>
          <w:highlight w:val="none"/>
          <w:u w:val="single"/>
        </w:rPr>
        <w:t xml:space="preserve">            </w:t>
      </w:r>
      <w:r>
        <w:rPr>
          <w:rFonts w:hint="eastAsia" w:ascii="宋体" w:hAnsi="宋体"/>
          <w:color w:val="auto"/>
          <w:sz w:val="24"/>
          <w:highlight w:val="none"/>
        </w:rPr>
        <w:t>授权</w:t>
      </w:r>
      <w:r>
        <w:rPr>
          <w:rFonts w:ascii="宋体" w:hAnsi="宋体"/>
          <w:color w:val="auto"/>
          <w:sz w:val="24"/>
          <w:highlight w:val="none"/>
          <w:u w:val="single"/>
        </w:rPr>
        <w:t xml:space="preserve">            </w:t>
      </w:r>
      <w:r>
        <w:rPr>
          <w:rFonts w:hint="eastAsia" w:ascii="宋体" w:hAnsi="宋体"/>
          <w:color w:val="auto"/>
          <w:sz w:val="24"/>
          <w:highlight w:val="none"/>
        </w:rPr>
        <w:t>（职务或职称）</w:t>
      </w:r>
      <w:r>
        <w:rPr>
          <w:rFonts w:ascii="宋体" w:hAnsi="宋体"/>
          <w:color w:val="auto"/>
          <w:sz w:val="24"/>
          <w:highlight w:val="none"/>
          <w:u w:val="single"/>
        </w:rPr>
        <w:t xml:space="preserve">                    </w:t>
      </w:r>
      <w:r>
        <w:rPr>
          <w:rFonts w:hint="eastAsia" w:ascii="宋体" w:hAnsi="宋体"/>
          <w:color w:val="auto"/>
          <w:sz w:val="24"/>
          <w:highlight w:val="none"/>
        </w:rPr>
        <w:t>（姓名）为我单位本次报价授权代理人，全权处理此次政府采购项目（项目编号：HYHA20___-_____）</w:t>
      </w:r>
      <w:r>
        <w:rPr>
          <w:rFonts w:hint="eastAsia" w:ascii="宋体" w:hAnsi="宋体"/>
          <w:color w:val="auto"/>
          <w:sz w:val="24"/>
          <w:highlight w:val="none"/>
          <w:lang w:eastAsia="zh-CN"/>
        </w:rPr>
        <w:t>谈判</w:t>
      </w:r>
      <w:r>
        <w:rPr>
          <w:rFonts w:hint="eastAsia" w:ascii="宋体" w:hAnsi="宋体"/>
          <w:color w:val="auto"/>
          <w:sz w:val="24"/>
          <w:highlight w:val="none"/>
        </w:rPr>
        <w:t>活动的一切事宜。</w:t>
      </w:r>
    </w:p>
    <w:p w14:paraId="7EAA69C2">
      <w:pPr>
        <w:pStyle w:val="30"/>
        <w:spacing w:after="0" w:line="560" w:lineRule="exact"/>
        <w:rPr>
          <w:rFonts w:ascii="宋体" w:hAnsi="宋体"/>
          <w:color w:val="auto"/>
          <w:sz w:val="24"/>
          <w:highlight w:val="none"/>
        </w:rPr>
      </w:pPr>
    </w:p>
    <w:p w14:paraId="5BB8CC70">
      <w:pPr>
        <w:pStyle w:val="30"/>
        <w:spacing w:after="0" w:line="560" w:lineRule="exact"/>
        <w:ind w:firstLine="480"/>
        <w:rPr>
          <w:rFonts w:ascii="宋体" w:hAnsi="宋体"/>
          <w:color w:val="auto"/>
          <w:sz w:val="24"/>
          <w:highlight w:val="none"/>
        </w:rPr>
      </w:pPr>
      <w:r>
        <w:rPr>
          <w:rFonts w:hint="eastAsia" w:ascii="宋体" w:hAnsi="宋体"/>
          <w:color w:val="auto"/>
          <w:sz w:val="24"/>
          <w:highlight w:val="none"/>
        </w:rPr>
        <w:t>特此授权。</w:t>
      </w:r>
    </w:p>
    <w:p w14:paraId="3C6ED2D8">
      <w:pPr>
        <w:pStyle w:val="30"/>
        <w:spacing w:after="0" w:line="560" w:lineRule="exact"/>
        <w:rPr>
          <w:rFonts w:ascii="宋体" w:hAnsi="宋体"/>
          <w:color w:val="auto"/>
          <w:sz w:val="24"/>
          <w:highlight w:val="none"/>
        </w:rPr>
      </w:pPr>
    </w:p>
    <w:p w14:paraId="3E535EA7">
      <w:pPr>
        <w:pStyle w:val="30"/>
        <w:spacing w:after="0" w:line="560" w:lineRule="exact"/>
        <w:ind w:left="1260" w:hanging="420"/>
        <w:rPr>
          <w:rFonts w:ascii="宋体" w:hAnsi="宋体"/>
          <w:color w:val="auto"/>
          <w:highlight w:val="none"/>
        </w:rPr>
      </w:pPr>
      <w:r>
        <w:rPr>
          <w:rFonts w:hint="eastAsia" w:ascii="宋体" w:hAnsi="宋体"/>
          <w:color w:val="auto"/>
          <w:highlight w:val="none"/>
        </w:rPr>
        <w:t>（附法定代表人身份证明复印件）           （附授权代理人身份证明复印件）</w:t>
      </w:r>
    </w:p>
    <w:p w14:paraId="65BDD708">
      <w:pPr>
        <w:pStyle w:val="30"/>
        <w:spacing w:after="0" w:line="560" w:lineRule="exact"/>
        <w:ind w:firstLine="4320"/>
        <w:rPr>
          <w:rFonts w:ascii="宋体" w:hAnsi="宋体"/>
          <w:color w:val="auto"/>
          <w:sz w:val="24"/>
          <w:highlight w:val="none"/>
        </w:rPr>
      </w:pPr>
    </w:p>
    <w:p w14:paraId="2624C015">
      <w:pPr>
        <w:pStyle w:val="30"/>
        <w:spacing w:after="0" w:line="560" w:lineRule="exact"/>
        <w:rPr>
          <w:rFonts w:ascii="宋体" w:hAnsi="宋体"/>
          <w:color w:val="auto"/>
          <w:sz w:val="24"/>
          <w:highlight w:val="none"/>
        </w:rPr>
      </w:pPr>
    </w:p>
    <w:p w14:paraId="589D9CB0">
      <w:pPr>
        <w:pStyle w:val="30"/>
        <w:spacing w:after="0" w:line="560" w:lineRule="exact"/>
        <w:rPr>
          <w:rFonts w:ascii="宋体" w:hAnsi="宋体"/>
          <w:color w:val="auto"/>
          <w:sz w:val="24"/>
          <w:highlight w:val="none"/>
        </w:rPr>
      </w:pPr>
    </w:p>
    <w:p w14:paraId="2A287603">
      <w:pPr>
        <w:pStyle w:val="30"/>
        <w:spacing w:after="0" w:line="560" w:lineRule="exact"/>
        <w:rPr>
          <w:rFonts w:ascii="宋体" w:hAnsi="宋体"/>
          <w:color w:val="auto"/>
          <w:sz w:val="24"/>
          <w:highlight w:val="none"/>
        </w:rPr>
      </w:pPr>
      <w:r>
        <w:rPr>
          <w:rFonts w:hint="eastAsia" w:ascii="宋体" w:hAnsi="宋体"/>
          <w:color w:val="auto"/>
          <w:sz w:val="24"/>
          <w:highlight w:val="none"/>
        </w:rPr>
        <w:t>供应商单位全称（公章）：</w:t>
      </w:r>
      <w:r>
        <w:rPr>
          <w:rFonts w:ascii="宋体" w:hAnsi="宋体"/>
          <w:color w:val="auto"/>
          <w:sz w:val="24"/>
          <w:highlight w:val="none"/>
          <w:u w:val="single"/>
        </w:rPr>
        <w:t xml:space="preserve">                 </w:t>
      </w:r>
    </w:p>
    <w:p w14:paraId="370CDC74">
      <w:pPr>
        <w:pStyle w:val="30"/>
        <w:spacing w:after="0" w:line="560" w:lineRule="exact"/>
        <w:rPr>
          <w:rFonts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u w:val="single"/>
        </w:rPr>
        <w:t xml:space="preserve">                  </w:t>
      </w:r>
    </w:p>
    <w:p w14:paraId="0C4625FB">
      <w:pPr>
        <w:pStyle w:val="30"/>
        <w:spacing w:after="0" w:line="560" w:lineRule="exact"/>
        <w:rPr>
          <w:rFonts w:ascii="宋体" w:hAnsi="宋体"/>
          <w:color w:val="auto"/>
          <w:sz w:val="24"/>
          <w:highlight w:val="none"/>
        </w:rPr>
      </w:pPr>
      <w:r>
        <w:rPr>
          <w:rFonts w:hint="eastAsia" w:ascii="宋体" w:hAnsi="宋体"/>
          <w:color w:val="auto"/>
          <w:sz w:val="24"/>
          <w:highlight w:val="none"/>
        </w:rPr>
        <w:t>授权代理人签字：</w:t>
      </w:r>
      <w:r>
        <w:rPr>
          <w:rFonts w:ascii="宋体" w:hAnsi="宋体"/>
          <w:color w:val="auto"/>
          <w:sz w:val="24"/>
          <w:highlight w:val="none"/>
          <w:u w:val="single"/>
        </w:rPr>
        <w:t xml:space="preserve">                  </w:t>
      </w:r>
    </w:p>
    <w:p w14:paraId="71CFFF7C">
      <w:pPr>
        <w:pStyle w:val="30"/>
        <w:spacing w:after="0" w:line="560" w:lineRule="exact"/>
        <w:rPr>
          <w:rFonts w:ascii="宋体" w:hAnsi="宋体"/>
          <w:color w:val="auto"/>
          <w:sz w:val="24"/>
          <w:highlight w:val="none"/>
        </w:rPr>
      </w:pPr>
    </w:p>
    <w:p w14:paraId="7273023E">
      <w:pPr>
        <w:pStyle w:val="30"/>
        <w:spacing w:after="0" w:line="560" w:lineRule="exact"/>
        <w:rPr>
          <w:rFonts w:ascii="宋体" w:hAnsi="宋体"/>
          <w:color w:val="auto"/>
          <w:sz w:val="24"/>
          <w:highlight w:val="none"/>
        </w:rPr>
      </w:pPr>
    </w:p>
    <w:p w14:paraId="68C0F21F">
      <w:pPr>
        <w:pStyle w:val="30"/>
        <w:spacing w:after="0" w:line="560" w:lineRule="exact"/>
        <w:rPr>
          <w:rFonts w:ascii="宋体" w:hAnsi="宋体"/>
          <w:color w:val="auto"/>
          <w:sz w:val="24"/>
          <w:highlight w:val="none"/>
        </w:rPr>
      </w:pPr>
    </w:p>
    <w:p w14:paraId="1B78A32A">
      <w:pPr>
        <w:pStyle w:val="30"/>
        <w:spacing w:after="0" w:line="560" w:lineRule="exact"/>
        <w:ind w:left="5880" w:right="283" w:rightChars="135" w:firstLine="420"/>
        <w:jc w:val="right"/>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2F1B4BBF">
      <w:pPr>
        <w:pStyle w:val="30"/>
        <w:spacing w:after="0" w:line="560" w:lineRule="exact"/>
        <w:rPr>
          <w:rFonts w:ascii="宋体" w:hAnsi="宋体"/>
          <w:color w:val="auto"/>
          <w:highlight w:val="none"/>
        </w:rPr>
        <w:sectPr>
          <w:footerReference r:id="rId7" w:type="default"/>
          <w:pgSz w:w="11907" w:h="16840"/>
          <w:pgMar w:top="1418" w:right="1418" w:bottom="1418" w:left="1418" w:header="851" w:footer="822" w:gutter="0"/>
          <w:pgNumType w:fmt="decimal"/>
          <w:cols w:space="720" w:num="1"/>
          <w:docGrid w:linePitch="290" w:charSpace="-3931"/>
        </w:sectPr>
      </w:pPr>
    </w:p>
    <w:p w14:paraId="67F33258">
      <w:pPr>
        <w:pStyle w:val="4"/>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四</w:t>
      </w:r>
      <w:r>
        <w:rPr>
          <w:rFonts w:hint="eastAsia" w:ascii="宋体" w:hAnsi="宋体"/>
          <w:b w:val="0"/>
          <w:bCs w:val="0"/>
          <w:color w:val="auto"/>
          <w:sz w:val="24"/>
          <w:szCs w:val="21"/>
          <w:highlight w:val="none"/>
        </w:rPr>
        <w:t>：首轮报价一览表</w:t>
      </w:r>
    </w:p>
    <w:p w14:paraId="79C8FB4A">
      <w:pPr>
        <w:widowControl/>
        <w:jc w:val="center"/>
        <w:rPr>
          <w:rFonts w:hint="eastAsia" w:ascii="宋体" w:hAnsi="宋体"/>
          <w:b/>
          <w:color w:val="auto"/>
          <w:sz w:val="32"/>
          <w:highlight w:val="none"/>
        </w:rPr>
      </w:pPr>
      <w:r>
        <w:rPr>
          <w:rFonts w:hint="eastAsia" w:ascii="宋体" w:hAnsi="宋体"/>
          <w:b/>
          <w:color w:val="auto"/>
          <w:sz w:val="32"/>
          <w:highlight w:val="none"/>
        </w:rPr>
        <w:t xml:space="preserve">首轮报价一览表 </w:t>
      </w:r>
    </w:p>
    <w:p w14:paraId="186938E9">
      <w:pPr>
        <w:pStyle w:val="31"/>
        <w:spacing w:line="360" w:lineRule="exact"/>
        <w:ind w:left="0" w:leftChars="0" w:firstLine="0" w:firstLineChars="0"/>
        <w:rPr>
          <w:rFonts w:ascii="宋体" w:hAnsi="宋体"/>
          <w:bCs/>
          <w:color w:val="auto"/>
          <w:sz w:val="24"/>
          <w:highlight w:val="none"/>
        </w:rPr>
      </w:pPr>
    </w:p>
    <w:p w14:paraId="479F2662">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06BF248A">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包号：   </w:t>
      </w:r>
      <w:r>
        <w:rPr>
          <w:rFonts w:ascii="宋体" w:hAnsi="宋体"/>
          <w:bCs/>
          <w:color w:val="auto"/>
          <w:sz w:val="24"/>
          <w:highlight w:val="none"/>
        </w:rPr>
        <w:t xml:space="preserve">     </w:t>
      </w:r>
    </w:p>
    <w:tbl>
      <w:tblPr>
        <w:tblStyle w:val="75"/>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7425"/>
      </w:tblGrid>
      <w:tr w14:paraId="1E49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45" w:type="dxa"/>
            <w:noWrap w:val="0"/>
            <w:vAlign w:val="center"/>
          </w:tcPr>
          <w:p w14:paraId="0950E21D">
            <w:pPr>
              <w:spacing w:line="360" w:lineRule="auto"/>
              <w:jc w:val="center"/>
              <w:rPr>
                <w:rFonts w:ascii="宋体" w:hAnsi="宋体"/>
                <w:b/>
                <w:color w:val="auto"/>
                <w:sz w:val="24"/>
                <w:highlight w:val="none"/>
              </w:rPr>
            </w:pPr>
            <w:r>
              <w:rPr>
                <w:rFonts w:hint="eastAsia" w:ascii="宋体" w:hAnsi="宋体"/>
                <w:b/>
                <w:color w:val="auto"/>
                <w:sz w:val="24"/>
                <w:highlight w:val="none"/>
              </w:rPr>
              <w:t>供应商名称</w:t>
            </w:r>
          </w:p>
        </w:tc>
        <w:tc>
          <w:tcPr>
            <w:tcW w:w="7425" w:type="dxa"/>
            <w:noWrap w:val="0"/>
            <w:vAlign w:val="center"/>
          </w:tcPr>
          <w:p w14:paraId="53453294">
            <w:pPr>
              <w:spacing w:line="360" w:lineRule="auto"/>
              <w:jc w:val="center"/>
              <w:rPr>
                <w:rFonts w:ascii="宋体" w:hAnsi="宋体"/>
                <w:b/>
                <w:color w:val="auto"/>
                <w:sz w:val="24"/>
                <w:highlight w:val="none"/>
              </w:rPr>
            </w:pPr>
          </w:p>
        </w:tc>
      </w:tr>
      <w:tr w14:paraId="31BB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45" w:type="dxa"/>
            <w:noWrap w:val="0"/>
            <w:vAlign w:val="center"/>
          </w:tcPr>
          <w:p w14:paraId="1BDF3261">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总报价</w:t>
            </w:r>
          </w:p>
        </w:tc>
        <w:tc>
          <w:tcPr>
            <w:tcW w:w="7425" w:type="dxa"/>
            <w:noWrap w:val="0"/>
            <w:vAlign w:val="center"/>
          </w:tcPr>
          <w:p w14:paraId="2AAF7D92">
            <w:pPr>
              <w:tabs>
                <w:tab w:val="left" w:pos="1337"/>
              </w:tabs>
              <w:ind w:left="191"/>
              <w:rPr>
                <w:rFonts w:ascii="宋体" w:hAnsi="宋体"/>
                <w:color w:val="auto"/>
                <w:sz w:val="24"/>
                <w:highlight w:val="none"/>
                <w:u w:val="single"/>
              </w:rPr>
            </w:pP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w:t>
            </w:r>
          </w:p>
          <w:p w14:paraId="70477998">
            <w:pPr>
              <w:tabs>
                <w:tab w:val="left" w:pos="1337"/>
              </w:tabs>
              <w:ind w:left="191"/>
              <w:rPr>
                <w:rFonts w:ascii="宋体" w:hAnsi="宋体"/>
                <w:color w:val="auto"/>
                <w:sz w:val="24"/>
                <w:highlight w:val="none"/>
                <w:u w:val="single"/>
              </w:rPr>
            </w:pPr>
          </w:p>
          <w:p w14:paraId="0AC2BDC8">
            <w:pPr>
              <w:tabs>
                <w:tab w:val="left" w:pos="1337"/>
              </w:tabs>
              <w:ind w:left="191"/>
              <w:rPr>
                <w:rFonts w:ascii="宋体" w:hAnsi="宋体"/>
                <w:color w:val="auto"/>
                <w:sz w:val="24"/>
                <w:highlight w:val="none"/>
                <w:u w:val="single"/>
              </w:rPr>
            </w:pPr>
            <w:r>
              <w:rPr>
                <w:rFonts w:hint="eastAsia" w:ascii="宋体" w:hAnsi="宋体"/>
                <w:color w:val="auto"/>
                <w:sz w:val="24"/>
                <w:highlight w:val="none"/>
              </w:rPr>
              <w:t>小写：</w:t>
            </w:r>
            <w:r>
              <w:rPr>
                <w:rFonts w:ascii="宋体" w:hAnsi="宋体"/>
                <w:color w:val="auto"/>
                <w:sz w:val="24"/>
                <w:highlight w:val="none"/>
                <w:u w:val="single"/>
              </w:rPr>
              <w:t xml:space="preserve">                             </w:t>
            </w:r>
            <w:r>
              <w:rPr>
                <w:rFonts w:hint="eastAsia" w:ascii="宋体" w:hAnsi="宋体"/>
                <w:color w:val="auto"/>
                <w:sz w:val="24"/>
                <w:highlight w:val="none"/>
              </w:rPr>
              <w:t>。</w:t>
            </w:r>
          </w:p>
        </w:tc>
      </w:tr>
      <w:tr w14:paraId="52B2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945" w:type="dxa"/>
            <w:noWrap w:val="0"/>
            <w:vAlign w:val="center"/>
          </w:tcPr>
          <w:p w14:paraId="4D2FE389">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lang w:val="en-US" w:eastAsia="zh-CN"/>
              </w:rPr>
              <w:t>核心</w:t>
            </w:r>
            <w:r>
              <w:rPr>
                <w:rFonts w:hint="eastAsia" w:ascii="宋体" w:hAnsi="宋体"/>
                <w:color w:val="auto"/>
                <w:sz w:val="24"/>
                <w:highlight w:val="none"/>
              </w:rPr>
              <w:t>产品的</w:t>
            </w:r>
          </w:p>
          <w:p w14:paraId="64221C6B">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品牌、型号</w:t>
            </w:r>
          </w:p>
        </w:tc>
        <w:tc>
          <w:tcPr>
            <w:tcW w:w="7425" w:type="dxa"/>
            <w:noWrap w:val="0"/>
            <w:vAlign w:val="center"/>
          </w:tcPr>
          <w:p w14:paraId="189E3467">
            <w:pPr>
              <w:tabs>
                <w:tab w:val="left" w:pos="1337"/>
              </w:tabs>
              <w:ind w:left="27" w:leftChars="13"/>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品牌:</w:t>
            </w:r>
          </w:p>
          <w:p w14:paraId="540A2BEF">
            <w:pPr>
              <w:tabs>
                <w:tab w:val="left" w:pos="1337"/>
              </w:tabs>
              <w:ind w:left="27" w:leftChars="13"/>
              <w:jc w:val="left"/>
              <w:rPr>
                <w:color w:val="auto"/>
                <w:highlight w:val="none"/>
              </w:rPr>
            </w:pPr>
            <w:r>
              <w:rPr>
                <w:rFonts w:hint="eastAsia" w:ascii="宋体" w:hAnsi="宋体" w:eastAsia="宋体" w:cs="Times New Roman"/>
                <w:color w:val="auto"/>
                <w:sz w:val="24"/>
                <w:highlight w:val="none"/>
              </w:rPr>
              <w:t>型号:</w:t>
            </w:r>
          </w:p>
        </w:tc>
      </w:tr>
      <w:tr w14:paraId="3B37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945" w:type="dxa"/>
            <w:noWrap w:val="0"/>
            <w:vAlign w:val="center"/>
          </w:tcPr>
          <w:p w14:paraId="642B90C2">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lang w:eastAsia="zh-CN"/>
              </w:rPr>
              <w:t>供货（安装）期</w:t>
            </w:r>
          </w:p>
        </w:tc>
        <w:tc>
          <w:tcPr>
            <w:tcW w:w="7425" w:type="dxa"/>
            <w:noWrap w:val="0"/>
            <w:vAlign w:val="center"/>
          </w:tcPr>
          <w:p w14:paraId="5BE61715">
            <w:pPr>
              <w:tabs>
                <w:tab w:val="left" w:pos="1337"/>
              </w:tabs>
              <w:ind w:left="27" w:leftChars="13"/>
              <w:jc w:val="left"/>
              <w:rPr>
                <w:rFonts w:ascii="宋体" w:hAnsi="宋体"/>
                <w:color w:val="auto"/>
                <w:sz w:val="24"/>
                <w:highlight w:val="none"/>
              </w:rPr>
            </w:pPr>
            <w:r>
              <w:rPr>
                <w:rFonts w:hint="eastAsia" w:ascii="宋体" w:hAnsi="宋体"/>
                <w:color w:val="auto"/>
                <w:sz w:val="24"/>
                <w:highlight w:val="none"/>
              </w:rPr>
              <w:t>医院每周或每月按</w:t>
            </w:r>
            <w:r>
              <w:rPr>
                <w:rFonts w:hint="eastAsia" w:ascii="宋体" w:hAnsi="宋体"/>
                <w:color w:val="auto"/>
                <w:sz w:val="24"/>
                <w:highlight w:val="none"/>
                <w:lang w:val="en-US" w:eastAsia="zh-CN"/>
              </w:rPr>
              <w:t>需求</w:t>
            </w:r>
            <w:r>
              <w:rPr>
                <w:rFonts w:hint="eastAsia" w:ascii="宋体" w:hAnsi="宋体"/>
                <w:color w:val="auto"/>
                <w:sz w:val="24"/>
                <w:highlight w:val="none"/>
              </w:rPr>
              <w:t>制订计划，供应厂商接医院备货通知</w:t>
            </w:r>
            <w:r>
              <w:rPr>
                <w:rFonts w:ascii="宋体" w:hAnsi="宋体"/>
                <w:color w:val="auto"/>
                <w:sz w:val="24"/>
                <w:highlight w:val="none"/>
                <w:u w:val="single"/>
              </w:rPr>
              <w:t xml:space="preserve">     </w:t>
            </w:r>
            <w:r>
              <w:rPr>
                <w:rFonts w:hint="eastAsia" w:ascii="宋体" w:hAnsi="宋体"/>
                <w:color w:val="auto"/>
                <w:sz w:val="24"/>
                <w:highlight w:val="none"/>
              </w:rPr>
              <w:t>日内，送达医院指定位地点</w:t>
            </w:r>
            <w:r>
              <w:rPr>
                <w:rFonts w:hint="eastAsia" w:ascii="宋体" w:hAnsi="宋体"/>
                <w:color w:val="auto"/>
                <w:sz w:val="24"/>
                <w:highlight w:val="none"/>
                <w:lang w:eastAsia="zh-CN"/>
              </w:rPr>
              <w:t>。</w:t>
            </w:r>
          </w:p>
        </w:tc>
      </w:tr>
      <w:tr w14:paraId="44C5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945" w:type="dxa"/>
            <w:noWrap w:val="0"/>
            <w:vAlign w:val="center"/>
          </w:tcPr>
          <w:p w14:paraId="167F8483">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质保期</w:t>
            </w:r>
          </w:p>
        </w:tc>
        <w:tc>
          <w:tcPr>
            <w:tcW w:w="7425" w:type="dxa"/>
            <w:noWrap w:val="0"/>
            <w:vAlign w:val="center"/>
          </w:tcPr>
          <w:p w14:paraId="49E5474C">
            <w:pPr>
              <w:tabs>
                <w:tab w:val="left" w:pos="1337"/>
              </w:tabs>
              <w:rPr>
                <w:rFonts w:ascii="宋体" w:hAnsi="宋体"/>
                <w:color w:val="auto"/>
                <w:sz w:val="24"/>
                <w:highlight w:val="none"/>
              </w:rPr>
            </w:pPr>
            <w:r>
              <w:rPr>
                <w:rFonts w:hint="eastAsia" w:ascii="宋体" w:hAnsi="宋体"/>
                <w:b w:val="0"/>
                <w:bCs/>
                <w:color w:val="auto"/>
                <w:sz w:val="24"/>
                <w:highlight w:val="none"/>
              </w:rPr>
              <w:t>自验收合格之日起</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u w:val="single"/>
                <w:lang w:val="en-US" w:eastAsia="zh-CN"/>
              </w:rPr>
              <w:t xml:space="preserve">    </w:t>
            </w:r>
            <w:r>
              <w:rPr>
                <w:rFonts w:hint="eastAsia" w:ascii="宋体" w:hAnsi="宋体"/>
                <w:b w:val="0"/>
                <w:bCs/>
                <w:color w:val="auto"/>
                <w:sz w:val="24"/>
                <w:highlight w:val="none"/>
              </w:rPr>
              <w:t>年。</w:t>
            </w:r>
          </w:p>
        </w:tc>
      </w:tr>
      <w:tr w14:paraId="421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1945" w:type="dxa"/>
            <w:noWrap w:val="0"/>
            <w:vAlign w:val="center"/>
          </w:tcPr>
          <w:p w14:paraId="4D70B234">
            <w:pPr>
              <w:tabs>
                <w:tab w:val="left" w:pos="1337"/>
              </w:tabs>
              <w:ind w:left="27" w:leftChars="13"/>
              <w:jc w:val="center"/>
              <w:rPr>
                <w:rFonts w:ascii="宋体" w:hAnsi="宋体"/>
                <w:color w:val="auto"/>
                <w:sz w:val="24"/>
                <w:highlight w:val="none"/>
              </w:rPr>
            </w:pPr>
            <w:r>
              <w:rPr>
                <w:rFonts w:hint="eastAsia" w:ascii="宋体" w:hAnsi="宋体"/>
                <w:color w:val="auto"/>
                <w:sz w:val="24"/>
                <w:highlight w:val="none"/>
              </w:rPr>
              <w:t>对采购文件的认同程度声明（是否完全认同）</w:t>
            </w:r>
          </w:p>
        </w:tc>
        <w:tc>
          <w:tcPr>
            <w:tcW w:w="7425" w:type="dxa"/>
            <w:noWrap w:val="0"/>
            <w:vAlign w:val="center"/>
          </w:tcPr>
          <w:p w14:paraId="7A40B899">
            <w:pPr>
              <w:tabs>
                <w:tab w:val="left" w:pos="1337"/>
              </w:tabs>
              <w:ind w:left="191"/>
              <w:jc w:val="center"/>
              <w:rPr>
                <w:rFonts w:ascii="宋体" w:hAnsi="宋体"/>
                <w:color w:val="auto"/>
                <w:sz w:val="24"/>
                <w:highlight w:val="none"/>
              </w:rPr>
            </w:pPr>
          </w:p>
        </w:tc>
      </w:tr>
    </w:tbl>
    <w:p w14:paraId="129E09B4">
      <w:pPr>
        <w:spacing w:line="400" w:lineRule="exact"/>
        <w:rPr>
          <w:rFonts w:ascii="宋体" w:hAnsi="宋体"/>
          <w:b/>
          <w:color w:val="auto"/>
          <w:sz w:val="24"/>
          <w:highlight w:val="none"/>
        </w:rPr>
      </w:pPr>
      <w:r>
        <w:rPr>
          <w:rFonts w:hint="eastAsia" w:ascii="宋体" w:hAnsi="宋体"/>
          <w:b/>
          <w:color w:val="auto"/>
          <w:sz w:val="24"/>
          <w:highlight w:val="none"/>
        </w:rPr>
        <w:t>注：本表除需在响应文件中装订外，还需另外一式三份单独密封，以便于</w:t>
      </w:r>
      <w:r>
        <w:rPr>
          <w:rFonts w:hint="eastAsia" w:ascii="宋体" w:hAnsi="宋体"/>
          <w:b/>
          <w:color w:val="auto"/>
          <w:sz w:val="24"/>
          <w:highlight w:val="none"/>
          <w:lang w:val="en-US" w:eastAsia="zh-CN"/>
        </w:rPr>
        <w:t>信息摘录</w:t>
      </w:r>
      <w:r>
        <w:rPr>
          <w:rFonts w:hint="eastAsia" w:ascii="宋体" w:hAnsi="宋体"/>
          <w:b/>
          <w:color w:val="auto"/>
          <w:sz w:val="24"/>
          <w:highlight w:val="none"/>
        </w:rPr>
        <w:t>。</w:t>
      </w:r>
    </w:p>
    <w:p w14:paraId="277EF414">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64046A1">
      <w:pPr>
        <w:spacing w:line="360" w:lineRule="exact"/>
        <w:ind w:right="187"/>
        <w:rPr>
          <w:rFonts w:ascii="宋体" w:hAnsi="宋体"/>
          <w:bCs/>
          <w:color w:val="auto"/>
          <w:sz w:val="24"/>
          <w:highlight w:val="none"/>
          <w:u w:val="single"/>
        </w:rPr>
      </w:pPr>
    </w:p>
    <w:p w14:paraId="6DAB79F9">
      <w:pPr>
        <w:spacing w:line="360" w:lineRule="exact"/>
        <w:ind w:right="187"/>
        <w:rPr>
          <w:rFonts w:ascii="宋体" w:hAnsi="宋体"/>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16149B5D">
      <w:pPr>
        <w:spacing w:line="400" w:lineRule="exact"/>
        <w:ind w:firstLine="630" w:firstLineChars="300"/>
        <w:rPr>
          <w:rFonts w:ascii="宋体" w:hAnsi="宋体"/>
          <w:color w:val="auto"/>
          <w:highlight w:val="none"/>
        </w:rPr>
      </w:pPr>
      <w:r>
        <w:rPr>
          <w:rFonts w:ascii="宋体" w:hAnsi="宋体"/>
          <w:color w:val="auto"/>
          <w:highlight w:val="none"/>
        </w:rPr>
        <w:t xml:space="preserve">                                   </w:t>
      </w:r>
    </w:p>
    <w:p w14:paraId="300873DF">
      <w:pPr>
        <w:spacing w:line="400" w:lineRule="exact"/>
        <w:ind w:firstLine="720" w:firstLineChars="300"/>
        <w:jc w:val="right"/>
        <w:rPr>
          <w:rFonts w:ascii="宋体" w:hAnsi="宋体"/>
          <w:bCs/>
          <w:color w:val="auto"/>
          <w:sz w:val="24"/>
          <w:highlight w:val="none"/>
        </w:rPr>
      </w:pP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w:t>
      </w:r>
    </w:p>
    <w:p w14:paraId="22392311">
      <w:pPr>
        <w:widowControl/>
        <w:jc w:val="left"/>
        <w:rPr>
          <w:rFonts w:ascii="宋体" w:hAnsi="宋体"/>
          <w:bCs/>
          <w:color w:val="auto"/>
          <w:sz w:val="24"/>
          <w:highlight w:val="none"/>
        </w:rPr>
      </w:pPr>
      <w:r>
        <w:rPr>
          <w:rFonts w:ascii="宋体" w:hAnsi="宋体"/>
          <w:color w:val="auto"/>
          <w:sz w:val="24"/>
          <w:highlight w:val="none"/>
        </w:rPr>
        <w:br w:type="page"/>
      </w:r>
    </w:p>
    <w:p w14:paraId="7D95A08A">
      <w:pPr>
        <w:pStyle w:val="4"/>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五</w:t>
      </w:r>
      <w:r>
        <w:rPr>
          <w:rFonts w:hint="eastAsia" w:ascii="宋体" w:hAnsi="宋体"/>
          <w:b w:val="0"/>
          <w:bCs w:val="0"/>
          <w:color w:val="auto"/>
          <w:sz w:val="24"/>
          <w:szCs w:val="21"/>
          <w:highlight w:val="none"/>
        </w:rPr>
        <w:t>：报价明细表</w:t>
      </w:r>
    </w:p>
    <w:p w14:paraId="6B0119B3">
      <w:pPr>
        <w:pStyle w:val="30"/>
        <w:spacing w:after="0" w:line="460" w:lineRule="exact"/>
        <w:jc w:val="center"/>
        <w:rPr>
          <w:rFonts w:hint="eastAsia" w:ascii="宋体" w:hAnsi="宋体"/>
          <w:b/>
          <w:color w:val="auto"/>
          <w:sz w:val="32"/>
          <w:highlight w:val="none"/>
        </w:rPr>
      </w:pPr>
      <w:r>
        <w:rPr>
          <w:rFonts w:hint="eastAsia" w:ascii="宋体" w:hAnsi="宋体"/>
          <w:b/>
          <w:color w:val="auto"/>
          <w:sz w:val="32"/>
          <w:highlight w:val="none"/>
        </w:rPr>
        <w:t xml:space="preserve">报价明细表 </w:t>
      </w:r>
    </w:p>
    <w:p w14:paraId="412885BE">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 xml:space="preserve">HYHA20___-_____                                      </w:t>
      </w:r>
      <w:r>
        <w:rPr>
          <w:rFonts w:hint="eastAsia" w:ascii="宋体" w:hAnsi="宋体"/>
          <w:bCs/>
          <w:color w:val="auto"/>
          <w:sz w:val="24"/>
          <w:highlight w:val="none"/>
        </w:rPr>
        <w:t>单位：元</w:t>
      </w:r>
    </w:p>
    <w:p w14:paraId="2872FC8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____________________                                 包号：</w:t>
      </w:r>
    </w:p>
    <w:tbl>
      <w:tblPr>
        <w:tblStyle w:val="75"/>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62"/>
        <w:gridCol w:w="646"/>
        <w:gridCol w:w="1038"/>
        <w:gridCol w:w="1292"/>
        <w:gridCol w:w="1420"/>
        <w:gridCol w:w="715"/>
        <w:gridCol w:w="692"/>
        <w:gridCol w:w="623"/>
        <w:gridCol w:w="774"/>
        <w:gridCol w:w="876"/>
      </w:tblGrid>
      <w:tr w14:paraId="6E5B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73" w:type="dxa"/>
            <w:noWrap w:val="0"/>
            <w:vAlign w:val="center"/>
          </w:tcPr>
          <w:p w14:paraId="61E8F49B">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序号</w:t>
            </w:r>
          </w:p>
        </w:tc>
        <w:tc>
          <w:tcPr>
            <w:tcW w:w="1062" w:type="dxa"/>
            <w:noWrap w:val="0"/>
            <w:vAlign w:val="center"/>
          </w:tcPr>
          <w:p w14:paraId="28ADFC70">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设备名称</w:t>
            </w:r>
          </w:p>
        </w:tc>
        <w:tc>
          <w:tcPr>
            <w:tcW w:w="646" w:type="dxa"/>
            <w:noWrap w:val="0"/>
            <w:vAlign w:val="center"/>
          </w:tcPr>
          <w:p w14:paraId="13FBBFEA">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品牌</w:t>
            </w:r>
          </w:p>
        </w:tc>
        <w:tc>
          <w:tcPr>
            <w:tcW w:w="1038" w:type="dxa"/>
            <w:noWrap w:val="0"/>
            <w:vAlign w:val="center"/>
          </w:tcPr>
          <w:p w14:paraId="34CB0EC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型号</w:t>
            </w:r>
          </w:p>
          <w:p w14:paraId="15BC843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（详细配置）</w:t>
            </w:r>
          </w:p>
        </w:tc>
        <w:tc>
          <w:tcPr>
            <w:tcW w:w="1292" w:type="dxa"/>
            <w:noWrap w:val="0"/>
            <w:vAlign w:val="center"/>
          </w:tcPr>
          <w:p w14:paraId="667F3C54">
            <w:pPr>
              <w:tabs>
                <w:tab w:val="left" w:pos="1337"/>
              </w:tabs>
              <w:adjustRightInd w:val="0"/>
              <w:snapToGrid w:val="0"/>
              <w:jc w:val="center"/>
              <w:rPr>
                <w:rFonts w:hint="eastAsia" w:ascii="宋体" w:hAnsi="宋体"/>
                <w:snapToGrid w:val="0"/>
                <w:color w:val="auto"/>
                <w:kern w:val="0"/>
                <w:sz w:val="18"/>
                <w:szCs w:val="18"/>
                <w:highlight w:val="none"/>
              </w:rPr>
            </w:pPr>
            <w:r>
              <w:rPr>
                <w:rFonts w:hint="eastAsia" w:ascii="宋体" w:hAnsi="宋体"/>
                <w:b/>
                <w:bCs/>
                <w:color w:val="auto"/>
                <w:sz w:val="18"/>
                <w:szCs w:val="18"/>
                <w:highlight w:val="none"/>
              </w:rPr>
              <w:t>制造商商号/商标</w:t>
            </w:r>
          </w:p>
        </w:tc>
        <w:tc>
          <w:tcPr>
            <w:tcW w:w="1420" w:type="dxa"/>
            <w:noWrap w:val="0"/>
            <w:vAlign w:val="center"/>
          </w:tcPr>
          <w:p w14:paraId="5E2E148D">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制造商及产地</w:t>
            </w:r>
          </w:p>
        </w:tc>
        <w:tc>
          <w:tcPr>
            <w:tcW w:w="715" w:type="dxa"/>
            <w:noWrap w:val="0"/>
            <w:vAlign w:val="center"/>
          </w:tcPr>
          <w:p w14:paraId="472D12B6">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单价</w:t>
            </w:r>
            <w:r>
              <w:rPr>
                <w:rFonts w:hint="eastAsia" w:ascii="宋体" w:hAnsi="宋体"/>
                <w:b/>
                <w:bCs/>
                <w:snapToGrid w:val="0"/>
                <w:color w:val="auto"/>
                <w:kern w:val="0"/>
                <w:sz w:val="18"/>
                <w:szCs w:val="18"/>
                <w:highlight w:val="none"/>
              </w:rPr>
              <w:t>(元)</w:t>
            </w:r>
          </w:p>
        </w:tc>
        <w:tc>
          <w:tcPr>
            <w:tcW w:w="692" w:type="dxa"/>
            <w:noWrap w:val="0"/>
            <w:vAlign w:val="center"/>
          </w:tcPr>
          <w:p w14:paraId="614F21E9">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数量</w:t>
            </w:r>
          </w:p>
        </w:tc>
        <w:tc>
          <w:tcPr>
            <w:tcW w:w="623" w:type="dxa"/>
            <w:noWrap w:val="0"/>
            <w:vAlign w:val="center"/>
          </w:tcPr>
          <w:p w14:paraId="0C33540F">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合价</w:t>
            </w:r>
            <w:r>
              <w:rPr>
                <w:rFonts w:hint="eastAsia" w:ascii="宋体" w:hAnsi="宋体"/>
                <w:b/>
                <w:bCs/>
                <w:snapToGrid w:val="0"/>
                <w:color w:val="auto"/>
                <w:kern w:val="0"/>
                <w:sz w:val="18"/>
                <w:szCs w:val="18"/>
                <w:highlight w:val="none"/>
              </w:rPr>
              <w:t>(元)</w:t>
            </w:r>
          </w:p>
        </w:tc>
        <w:tc>
          <w:tcPr>
            <w:tcW w:w="774" w:type="dxa"/>
            <w:noWrap w:val="0"/>
            <w:vAlign w:val="center"/>
          </w:tcPr>
          <w:p w14:paraId="3EAE7540">
            <w:pPr>
              <w:tabs>
                <w:tab w:val="left" w:pos="1337"/>
              </w:tabs>
              <w:adjustRightInd w:val="0"/>
              <w:snapToGrid w:val="0"/>
              <w:jc w:val="center"/>
              <w:rPr>
                <w:rFonts w:ascii="宋体" w:hAnsi="宋体"/>
                <w:snapToGrid w:val="0"/>
                <w:color w:val="auto"/>
                <w:kern w:val="0"/>
                <w:sz w:val="18"/>
                <w:szCs w:val="18"/>
                <w:highlight w:val="none"/>
              </w:rPr>
            </w:pPr>
            <w:r>
              <w:rPr>
                <w:rFonts w:hint="eastAsia" w:ascii="宋体" w:hAnsi="宋体"/>
                <w:snapToGrid w:val="0"/>
                <w:color w:val="auto"/>
                <w:kern w:val="0"/>
                <w:sz w:val="18"/>
                <w:szCs w:val="18"/>
                <w:highlight w:val="none"/>
              </w:rPr>
              <w:t>是否属于小微企业生产</w:t>
            </w:r>
          </w:p>
        </w:tc>
        <w:tc>
          <w:tcPr>
            <w:tcW w:w="876" w:type="dxa"/>
            <w:noWrap w:val="0"/>
            <w:vAlign w:val="center"/>
          </w:tcPr>
          <w:p w14:paraId="68E32115">
            <w:pPr>
              <w:tabs>
                <w:tab w:val="left" w:pos="366"/>
                <w:tab w:val="left" w:pos="1337"/>
              </w:tabs>
              <w:adjustRightInd w:val="0"/>
              <w:snapToGrid w:val="0"/>
              <w:jc w:val="left"/>
              <w:rPr>
                <w:rFonts w:hint="eastAsia" w:ascii="宋体" w:hAnsi="宋体"/>
                <w:b/>
                <w:bCs/>
                <w:color w:val="auto"/>
                <w:sz w:val="18"/>
                <w:szCs w:val="18"/>
                <w:highlight w:val="none"/>
              </w:rPr>
            </w:pPr>
            <w:r>
              <w:rPr>
                <w:rFonts w:hint="eastAsia" w:ascii="宋体" w:hAnsi="宋体"/>
                <w:b/>
                <w:bCs/>
                <w:color w:val="auto"/>
                <w:sz w:val="18"/>
                <w:szCs w:val="18"/>
                <w:highlight w:val="none"/>
              </w:rPr>
              <w:tab/>
            </w:r>
            <w:r>
              <w:rPr>
                <w:rFonts w:hint="eastAsia" w:ascii="宋体" w:hAnsi="宋体"/>
                <w:b/>
                <w:bCs/>
                <w:color w:val="auto"/>
                <w:sz w:val="18"/>
                <w:szCs w:val="18"/>
                <w:highlight w:val="none"/>
              </w:rPr>
              <w:t>备注（环境标志产品、节能产品应标注）</w:t>
            </w:r>
          </w:p>
        </w:tc>
      </w:tr>
      <w:tr w14:paraId="75F9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35B8AC5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07EB4F01">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38F4253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03EA2AEF">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021AAD6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0C16190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5F6765D8">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7FB7EF5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2D910655">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3F4DA952">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0F8CB15F">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2A9E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3E4DFC2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7B3CB04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79F67A37">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29DD602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29FE03E9">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6B81788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153A36D8">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1B807DA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7034179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5D4D7ACB">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79FBC74B">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132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473" w:type="dxa"/>
            <w:noWrap w:val="0"/>
            <w:vAlign w:val="center"/>
          </w:tcPr>
          <w:p w14:paraId="16240D4C">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62" w:type="dxa"/>
            <w:noWrap w:val="0"/>
            <w:vAlign w:val="center"/>
          </w:tcPr>
          <w:p w14:paraId="3AA219AD">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46" w:type="dxa"/>
            <w:noWrap w:val="0"/>
            <w:vAlign w:val="center"/>
          </w:tcPr>
          <w:p w14:paraId="34AE522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038" w:type="dxa"/>
            <w:noWrap w:val="0"/>
            <w:vAlign w:val="center"/>
          </w:tcPr>
          <w:p w14:paraId="01487960">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292" w:type="dxa"/>
            <w:noWrap w:val="0"/>
            <w:vAlign w:val="center"/>
          </w:tcPr>
          <w:p w14:paraId="609C950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1420" w:type="dxa"/>
            <w:noWrap w:val="0"/>
            <w:vAlign w:val="center"/>
          </w:tcPr>
          <w:p w14:paraId="16FEF807">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15" w:type="dxa"/>
            <w:noWrap w:val="0"/>
            <w:vAlign w:val="center"/>
          </w:tcPr>
          <w:p w14:paraId="1A5A35B4">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92" w:type="dxa"/>
            <w:noWrap w:val="0"/>
            <w:vAlign w:val="center"/>
          </w:tcPr>
          <w:p w14:paraId="1E25368A">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623" w:type="dxa"/>
            <w:noWrap w:val="0"/>
            <w:vAlign w:val="center"/>
          </w:tcPr>
          <w:p w14:paraId="35FAD9F3">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74" w:type="dxa"/>
            <w:noWrap w:val="0"/>
            <w:vAlign w:val="center"/>
          </w:tcPr>
          <w:p w14:paraId="16A43A7E">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876" w:type="dxa"/>
            <w:noWrap w:val="0"/>
            <w:vAlign w:val="center"/>
          </w:tcPr>
          <w:p w14:paraId="70A11836">
            <w:pPr>
              <w:tabs>
                <w:tab w:val="left" w:pos="1337"/>
              </w:tabs>
              <w:adjustRightInd w:val="0"/>
              <w:snapToGrid w:val="0"/>
              <w:spacing w:line="360" w:lineRule="auto"/>
              <w:jc w:val="center"/>
              <w:rPr>
                <w:rFonts w:ascii="宋体" w:hAnsi="宋体"/>
                <w:snapToGrid w:val="0"/>
                <w:color w:val="auto"/>
                <w:kern w:val="0"/>
                <w:sz w:val="18"/>
                <w:szCs w:val="18"/>
                <w:highlight w:val="none"/>
              </w:rPr>
            </w:pPr>
          </w:p>
        </w:tc>
      </w:tr>
      <w:tr w14:paraId="7745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81" w:type="dxa"/>
            <w:gridSpan w:val="3"/>
            <w:vMerge w:val="restart"/>
            <w:noWrap w:val="0"/>
            <w:vAlign w:val="center"/>
          </w:tcPr>
          <w:p w14:paraId="6230D55E">
            <w:pPr>
              <w:tabs>
                <w:tab w:val="left" w:pos="1337"/>
              </w:tabs>
              <w:adjustRightInd w:val="0"/>
              <w:snapToGrid w:val="0"/>
              <w:spacing w:line="36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合计</w:t>
            </w:r>
          </w:p>
        </w:tc>
        <w:tc>
          <w:tcPr>
            <w:tcW w:w="7430" w:type="dxa"/>
            <w:gridSpan w:val="8"/>
            <w:noWrap w:val="0"/>
            <w:vAlign w:val="center"/>
          </w:tcPr>
          <w:p w14:paraId="7069AEA3">
            <w:pPr>
              <w:tabs>
                <w:tab w:val="left" w:pos="1337"/>
              </w:tabs>
              <w:adjustRightInd w:val="0"/>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小写：</w:t>
            </w:r>
          </w:p>
        </w:tc>
      </w:tr>
      <w:tr w14:paraId="5D22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continue"/>
            <w:noWrap w:val="0"/>
            <w:vAlign w:val="center"/>
          </w:tcPr>
          <w:p w14:paraId="3E156BBE">
            <w:pPr>
              <w:tabs>
                <w:tab w:val="left" w:pos="1337"/>
              </w:tabs>
              <w:adjustRightInd w:val="0"/>
              <w:snapToGrid w:val="0"/>
              <w:spacing w:line="360" w:lineRule="auto"/>
              <w:jc w:val="center"/>
              <w:rPr>
                <w:rFonts w:ascii="宋体" w:hAnsi="宋体"/>
                <w:snapToGrid w:val="0"/>
                <w:color w:val="auto"/>
                <w:kern w:val="0"/>
                <w:sz w:val="24"/>
                <w:highlight w:val="none"/>
              </w:rPr>
            </w:pPr>
          </w:p>
        </w:tc>
        <w:tc>
          <w:tcPr>
            <w:tcW w:w="7430" w:type="dxa"/>
            <w:gridSpan w:val="8"/>
            <w:noWrap w:val="0"/>
            <w:vAlign w:val="center"/>
          </w:tcPr>
          <w:p w14:paraId="5F7BBC2F">
            <w:pPr>
              <w:tabs>
                <w:tab w:val="left" w:pos="1337"/>
              </w:tabs>
              <w:adjustRightInd w:val="0"/>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大写：</w:t>
            </w:r>
          </w:p>
        </w:tc>
      </w:tr>
      <w:tr w14:paraId="530C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restart"/>
            <w:noWrap w:val="0"/>
            <w:vAlign w:val="center"/>
          </w:tcPr>
          <w:p w14:paraId="3F8A4B81">
            <w:pPr>
              <w:tabs>
                <w:tab w:val="left" w:pos="1337"/>
              </w:tabs>
              <w:adjustRightInd w:val="0"/>
              <w:snapToGrid w:val="0"/>
              <w:spacing w:line="360" w:lineRule="auto"/>
              <w:jc w:val="center"/>
              <w:rPr>
                <w:rFonts w:ascii="宋体" w:hAnsi="宋体"/>
                <w:snapToGrid w:val="0"/>
                <w:color w:val="auto"/>
                <w:kern w:val="0"/>
                <w:sz w:val="18"/>
                <w:szCs w:val="18"/>
                <w:highlight w:val="none"/>
              </w:rPr>
            </w:pPr>
            <w:r>
              <w:rPr>
                <w:rFonts w:hint="eastAsia" w:ascii="宋体" w:hAnsi="宋体"/>
                <w:b/>
                <w:color w:val="auto"/>
                <w:sz w:val="24"/>
                <w:highlight w:val="none"/>
              </w:rPr>
              <w:t>其中</w:t>
            </w:r>
          </w:p>
        </w:tc>
        <w:tc>
          <w:tcPr>
            <w:tcW w:w="7430" w:type="dxa"/>
            <w:gridSpan w:val="8"/>
            <w:noWrap w:val="0"/>
            <w:vAlign w:val="center"/>
          </w:tcPr>
          <w:p w14:paraId="7955A327">
            <w:pPr>
              <w:tabs>
                <w:tab w:val="left" w:pos="1337"/>
              </w:tabs>
              <w:ind w:left="13" w:leftChars="6"/>
              <w:jc w:val="left"/>
              <w:rPr>
                <w:rFonts w:ascii="宋体" w:hAnsi="宋体"/>
                <w:color w:val="auto"/>
                <w:sz w:val="24"/>
                <w:highlight w:val="none"/>
              </w:rPr>
            </w:pPr>
            <w:r>
              <w:rPr>
                <w:rFonts w:hint="eastAsia" w:ascii="宋体" w:hAnsi="宋体"/>
                <w:color w:val="auto"/>
                <w:sz w:val="24"/>
                <w:highlight w:val="none"/>
              </w:rPr>
              <w:t>1）环境标志产品报价合计：</w:t>
            </w:r>
          </w:p>
        </w:tc>
      </w:tr>
      <w:tr w14:paraId="3BC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81" w:type="dxa"/>
            <w:gridSpan w:val="3"/>
            <w:vMerge w:val="continue"/>
            <w:noWrap w:val="0"/>
            <w:vAlign w:val="center"/>
          </w:tcPr>
          <w:p w14:paraId="0CAE4124">
            <w:pPr>
              <w:tabs>
                <w:tab w:val="left" w:pos="1337"/>
              </w:tabs>
              <w:adjustRightInd w:val="0"/>
              <w:snapToGrid w:val="0"/>
              <w:spacing w:line="360" w:lineRule="auto"/>
              <w:jc w:val="center"/>
              <w:rPr>
                <w:rFonts w:ascii="宋体" w:hAnsi="宋体"/>
                <w:snapToGrid w:val="0"/>
                <w:color w:val="auto"/>
                <w:kern w:val="0"/>
                <w:sz w:val="18"/>
                <w:szCs w:val="18"/>
                <w:highlight w:val="none"/>
              </w:rPr>
            </w:pPr>
          </w:p>
        </w:tc>
        <w:tc>
          <w:tcPr>
            <w:tcW w:w="7430" w:type="dxa"/>
            <w:gridSpan w:val="8"/>
            <w:noWrap w:val="0"/>
            <w:vAlign w:val="center"/>
          </w:tcPr>
          <w:p w14:paraId="2DAF20AB">
            <w:pPr>
              <w:tabs>
                <w:tab w:val="left" w:pos="1337"/>
              </w:tabs>
              <w:ind w:left="13" w:leftChars="6"/>
              <w:jc w:val="left"/>
              <w:rPr>
                <w:rFonts w:ascii="宋体" w:hAnsi="宋体"/>
                <w:color w:val="auto"/>
                <w:sz w:val="24"/>
                <w:highlight w:val="none"/>
              </w:rPr>
            </w:pPr>
            <w:r>
              <w:rPr>
                <w:rFonts w:hint="eastAsia" w:ascii="宋体" w:hAnsi="宋体"/>
                <w:color w:val="auto"/>
                <w:sz w:val="24"/>
                <w:highlight w:val="none"/>
              </w:rPr>
              <w:t>2）节能产品报价合计：</w:t>
            </w:r>
          </w:p>
        </w:tc>
      </w:tr>
    </w:tbl>
    <w:p w14:paraId="358DCD0D">
      <w:pPr>
        <w:pStyle w:val="31"/>
        <w:spacing w:line="360" w:lineRule="exact"/>
        <w:ind w:left="0" w:leftChars="0" w:firstLine="0" w:firstLineChars="0"/>
        <w:rPr>
          <w:rFonts w:hint="eastAsia" w:ascii="宋体" w:hAnsi="宋体"/>
          <w:bCs/>
          <w:color w:val="auto"/>
          <w:sz w:val="24"/>
          <w:highlight w:val="none"/>
        </w:rPr>
      </w:pPr>
    </w:p>
    <w:p w14:paraId="5F7E0C85">
      <w:pPr>
        <w:spacing w:line="360" w:lineRule="exact"/>
        <w:ind w:right="187"/>
        <w:rPr>
          <w:rFonts w:ascii="宋体" w:hAnsi="宋体"/>
          <w:b/>
          <w:color w:val="auto"/>
          <w:sz w:val="24"/>
          <w:highlight w:val="none"/>
        </w:rPr>
      </w:pPr>
      <w:r>
        <w:rPr>
          <w:rFonts w:hint="eastAsia" w:ascii="宋体" w:hAnsi="宋体"/>
          <w:b/>
          <w:color w:val="auto"/>
          <w:sz w:val="24"/>
          <w:highlight w:val="none"/>
        </w:rPr>
        <w:t>注：1、若该包内包含多种设备，则需将各设备报价明细按此表要求逐一填报。</w:t>
      </w:r>
    </w:p>
    <w:p w14:paraId="50D9A066">
      <w:pPr>
        <w:spacing w:line="360" w:lineRule="exact"/>
        <w:ind w:right="187"/>
        <w:rPr>
          <w:rFonts w:ascii="宋体" w:hAnsi="宋体"/>
          <w:b/>
          <w:color w:val="auto"/>
          <w:sz w:val="24"/>
          <w:highlight w:val="none"/>
        </w:rPr>
      </w:pPr>
      <w:r>
        <w:rPr>
          <w:rFonts w:hint="eastAsia" w:ascii="宋体" w:hAnsi="宋体"/>
          <w:b/>
          <w:color w:val="auto"/>
          <w:sz w:val="24"/>
          <w:highlight w:val="none"/>
        </w:rPr>
        <w:t>2、上述合计报价必须与首轮报价一览表的总报价一致。</w:t>
      </w:r>
    </w:p>
    <w:p w14:paraId="61D14F29">
      <w:pPr>
        <w:spacing w:line="360" w:lineRule="exact"/>
        <w:ind w:right="187"/>
        <w:rPr>
          <w:rFonts w:ascii="宋体" w:hAnsi="宋体"/>
          <w:color w:val="auto"/>
          <w:sz w:val="24"/>
          <w:highlight w:val="none"/>
        </w:rPr>
      </w:pPr>
      <w:r>
        <w:rPr>
          <w:rFonts w:hint="eastAsia" w:ascii="宋体" w:hAnsi="宋体"/>
          <w:color w:val="auto"/>
          <w:sz w:val="24"/>
          <w:highlight w:val="none"/>
        </w:rPr>
        <w:t>3、所报产品属于</w:t>
      </w:r>
      <w:r>
        <w:rPr>
          <w:rFonts w:hint="eastAsia" w:ascii="宋体" w:hAnsi="宋体" w:cs="宋体"/>
          <w:color w:val="auto"/>
          <w:kern w:val="0"/>
          <w:sz w:val="24"/>
          <w:highlight w:val="none"/>
        </w:rPr>
        <w:t>《环境标志产品政府采购品目清单》（财库〔2019〕18号）、《节能产品政府采购品目清单》（财库〔2019〕19号）</w:t>
      </w:r>
      <w:r>
        <w:rPr>
          <w:rFonts w:hint="eastAsia" w:ascii="宋体" w:hAnsi="宋体"/>
          <w:color w:val="auto"/>
          <w:sz w:val="24"/>
          <w:highlight w:val="none"/>
        </w:rPr>
        <w:t>内的品目，应附《</w:t>
      </w:r>
      <w:r>
        <w:rPr>
          <w:rFonts w:hint="eastAsia" w:ascii="宋体" w:hAnsi="宋体" w:cs="宋体"/>
          <w:b/>
          <w:color w:val="auto"/>
          <w:kern w:val="0"/>
          <w:sz w:val="24"/>
          <w:highlight w:val="none"/>
        </w:rPr>
        <w:t>国家节能产品认证证书》或《中国环境标志产品认证证书》，否则，在评审时不享受政府采购优惠政策。</w:t>
      </w:r>
    </w:p>
    <w:p w14:paraId="26CD2E71">
      <w:pPr>
        <w:spacing w:line="360" w:lineRule="exact"/>
        <w:ind w:right="187"/>
        <w:rPr>
          <w:rFonts w:ascii="宋体" w:hAnsi="宋体"/>
          <w:color w:val="auto"/>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、本表可按相同形式扩展。</w:t>
      </w:r>
    </w:p>
    <w:p w14:paraId="3CCF66FE">
      <w:pPr>
        <w:spacing w:line="360" w:lineRule="exact"/>
        <w:ind w:right="187"/>
        <w:rPr>
          <w:rFonts w:ascii="宋体" w:hAnsi="宋体"/>
          <w:bCs/>
          <w:color w:val="auto"/>
          <w:sz w:val="24"/>
          <w:highlight w:val="none"/>
        </w:rPr>
      </w:pPr>
    </w:p>
    <w:p w14:paraId="18FB8CD6">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73A8C2E5">
      <w:pPr>
        <w:spacing w:line="360" w:lineRule="exact"/>
        <w:ind w:right="187"/>
        <w:rPr>
          <w:rFonts w:ascii="宋体" w:hAnsi="宋体"/>
          <w:bCs/>
          <w:color w:val="auto"/>
          <w:sz w:val="24"/>
          <w:highlight w:val="none"/>
          <w:u w:val="single"/>
        </w:rPr>
      </w:pPr>
    </w:p>
    <w:p w14:paraId="5B97F2B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3C4DBB6E">
      <w:pPr>
        <w:pStyle w:val="31"/>
        <w:spacing w:line="240" w:lineRule="auto"/>
        <w:ind w:left="0" w:leftChars="0" w:firstLine="0" w:firstLineChars="0"/>
        <w:jc w:val="right"/>
        <w:rPr>
          <w:rFonts w:ascii="宋体" w:hAnsi="宋体"/>
          <w:bCs/>
          <w:color w:val="auto"/>
          <w:sz w:val="24"/>
          <w:highlight w:val="none"/>
        </w:rPr>
      </w:pPr>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月</w:t>
      </w:r>
      <w:r>
        <w:rPr>
          <w:rFonts w:ascii="宋体" w:hAnsi="宋体"/>
          <w:bCs/>
          <w:color w:val="auto"/>
          <w:sz w:val="24"/>
          <w:highlight w:val="none"/>
        </w:rPr>
        <w:t xml:space="preserve">  </w:t>
      </w:r>
      <w:r>
        <w:rPr>
          <w:rFonts w:hint="eastAsia" w:ascii="宋体" w:hAnsi="宋体"/>
          <w:bCs/>
          <w:color w:val="auto"/>
          <w:sz w:val="24"/>
          <w:highlight w:val="none"/>
        </w:rPr>
        <w:t>日</w:t>
      </w:r>
    </w:p>
    <w:p w14:paraId="1856F407">
      <w:pPr>
        <w:pStyle w:val="31"/>
        <w:spacing w:line="240" w:lineRule="auto"/>
        <w:ind w:left="0" w:leftChars="0" w:firstLine="0" w:firstLineChars="0"/>
        <w:jc w:val="right"/>
        <w:rPr>
          <w:rFonts w:ascii="宋体" w:hAnsi="宋体"/>
          <w:bCs/>
          <w:color w:val="auto"/>
          <w:sz w:val="24"/>
          <w:highlight w:val="none"/>
        </w:rPr>
      </w:pPr>
    </w:p>
    <w:p w14:paraId="487F43D6">
      <w:pPr>
        <w:pStyle w:val="31"/>
        <w:spacing w:line="240" w:lineRule="auto"/>
        <w:ind w:left="0" w:leftChars="0" w:firstLine="0" w:firstLineChars="0"/>
        <w:jc w:val="right"/>
        <w:rPr>
          <w:rFonts w:ascii="宋体" w:hAnsi="宋体"/>
          <w:bCs/>
          <w:color w:val="auto"/>
          <w:sz w:val="24"/>
          <w:highlight w:val="none"/>
        </w:rPr>
      </w:pPr>
    </w:p>
    <w:p w14:paraId="52A1DD45">
      <w:pPr>
        <w:pStyle w:val="31"/>
        <w:spacing w:line="240" w:lineRule="auto"/>
        <w:ind w:left="0" w:leftChars="0" w:firstLine="0" w:firstLineChars="0"/>
        <w:jc w:val="right"/>
        <w:rPr>
          <w:rFonts w:ascii="宋体" w:hAnsi="宋体"/>
          <w:bCs/>
          <w:color w:val="auto"/>
          <w:sz w:val="24"/>
          <w:highlight w:val="none"/>
        </w:rPr>
        <w:sectPr>
          <w:pgSz w:w="11907" w:h="16840"/>
          <w:pgMar w:top="1418" w:right="1418" w:bottom="1418" w:left="1418" w:header="851" w:footer="851" w:gutter="0"/>
          <w:pgNumType w:fmt="decimal"/>
          <w:cols w:space="720" w:num="1"/>
          <w:docGrid w:linePitch="290" w:charSpace="-3931"/>
        </w:sectPr>
      </w:pPr>
    </w:p>
    <w:p w14:paraId="38A4D303">
      <w:pPr>
        <w:pStyle w:val="4"/>
        <w:spacing w:before="120" w:after="120" w:line="360" w:lineRule="exact"/>
        <w:rPr>
          <w:rFonts w:ascii="宋体" w:hAnsi="宋体"/>
          <w:b w:val="0"/>
          <w:bCs w:val="0"/>
          <w:color w:val="auto"/>
          <w:sz w:val="24"/>
          <w:szCs w:val="21"/>
          <w:highlight w:val="none"/>
        </w:rPr>
      </w:pPr>
      <w:bookmarkStart w:id="88" w:name="_Toc322102942"/>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六</w:t>
      </w:r>
      <w:r>
        <w:rPr>
          <w:rFonts w:hint="eastAsia" w:ascii="宋体" w:hAnsi="宋体"/>
          <w:b w:val="0"/>
          <w:bCs w:val="0"/>
          <w:color w:val="auto"/>
          <w:sz w:val="24"/>
          <w:szCs w:val="21"/>
          <w:highlight w:val="none"/>
        </w:rPr>
        <w:t>：质保期内供应的备品备件、易损件、耗材、专用工具价格表</w:t>
      </w:r>
      <w:bookmarkEnd w:id="88"/>
    </w:p>
    <w:p w14:paraId="32970D1A">
      <w:pPr>
        <w:spacing w:line="460" w:lineRule="exact"/>
        <w:jc w:val="center"/>
        <w:rPr>
          <w:rFonts w:hint="eastAsia" w:ascii="宋体" w:hAnsi="宋体"/>
          <w:b/>
          <w:color w:val="auto"/>
          <w:sz w:val="24"/>
          <w:highlight w:val="none"/>
        </w:rPr>
      </w:pPr>
      <w:r>
        <w:rPr>
          <w:rFonts w:hint="eastAsia" w:ascii="宋体" w:hAnsi="宋体"/>
          <w:b/>
          <w:color w:val="auto"/>
          <w:sz w:val="24"/>
          <w:highlight w:val="none"/>
        </w:rPr>
        <w:t>质保期内供应的备品备件、易损件、耗材、专用工具价格表</w:t>
      </w:r>
      <w:r>
        <w:rPr>
          <w:rFonts w:hint="eastAsia" w:ascii="宋体" w:hAnsi="宋体"/>
          <w:b/>
          <w:color w:val="auto"/>
          <w:sz w:val="28"/>
          <w:szCs w:val="28"/>
          <w:highlight w:val="none"/>
        </w:rPr>
        <w:t xml:space="preserve"> </w:t>
      </w:r>
    </w:p>
    <w:p w14:paraId="31708B50">
      <w:pPr>
        <w:spacing w:line="360" w:lineRule="exact"/>
        <w:ind w:right="187" w:firstLine="240" w:firstLineChars="100"/>
        <w:rPr>
          <w:rFonts w:ascii="宋体" w:hAnsi="宋体"/>
          <w:color w:val="auto"/>
          <w:sz w:val="24"/>
          <w:highlight w:val="none"/>
        </w:rPr>
      </w:pPr>
      <w:r>
        <w:rPr>
          <w:rFonts w:hint="eastAsia" w:ascii="宋体" w:hAnsi="宋体"/>
          <w:color w:val="auto"/>
          <w:sz w:val="24"/>
          <w:highlight w:val="none"/>
        </w:rPr>
        <w:t>项目编号：HYHA20___-_____</w:t>
      </w:r>
    </w:p>
    <w:p w14:paraId="783330F3">
      <w:pPr>
        <w:spacing w:line="360" w:lineRule="exact"/>
        <w:ind w:right="187" w:firstLine="240" w:firstLineChars="100"/>
        <w:rPr>
          <w:rFonts w:ascii="宋体" w:hAnsi="宋体"/>
          <w:bCs/>
          <w:color w:val="auto"/>
          <w:sz w:val="24"/>
          <w:highlight w:val="none"/>
        </w:rPr>
      </w:pPr>
      <w:r>
        <w:rPr>
          <w:rFonts w:hint="eastAsia" w:ascii="宋体" w:hAnsi="宋体"/>
          <w:color w:val="auto"/>
          <w:sz w:val="24"/>
          <w:highlight w:val="none"/>
        </w:rPr>
        <w:t xml:space="preserve">项目名称：____________________                    </w:t>
      </w:r>
      <w:r>
        <w:rPr>
          <w:rFonts w:hint="eastAsia" w:ascii="宋体" w:hAnsi="宋体"/>
          <w:bCs/>
          <w:color w:val="auto"/>
          <w:sz w:val="24"/>
          <w:highlight w:val="none"/>
        </w:rPr>
        <w:t>包号：</w:t>
      </w:r>
    </w:p>
    <w:tbl>
      <w:tblPr>
        <w:tblStyle w:val="75"/>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14:paraId="6A2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noWrap w:val="0"/>
            <w:vAlign w:val="center"/>
          </w:tcPr>
          <w:p w14:paraId="47D21923">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序号</w:t>
            </w:r>
          </w:p>
        </w:tc>
        <w:tc>
          <w:tcPr>
            <w:tcW w:w="1857" w:type="dxa"/>
            <w:tcBorders>
              <w:top w:val="single" w:color="auto" w:sz="12" w:space="0"/>
            </w:tcBorders>
            <w:noWrap w:val="0"/>
            <w:vAlign w:val="center"/>
          </w:tcPr>
          <w:p w14:paraId="3E1E8A3F">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备品备件／易损件</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耗材／专用工具</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名称</w:t>
            </w:r>
          </w:p>
        </w:tc>
        <w:tc>
          <w:tcPr>
            <w:tcW w:w="1006" w:type="dxa"/>
            <w:tcBorders>
              <w:top w:val="single" w:color="auto" w:sz="12" w:space="0"/>
            </w:tcBorders>
            <w:noWrap w:val="0"/>
            <w:vAlign w:val="center"/>
          </w:tcPr>
          <w:p w14:paraId="7C29219B">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生产企业</w:t>
            </w:r>
          </w:p>
        </w:tc>
        <w:tc>
          <w:tcPr>
            <w:tcW w:w="1006" w:type="dxa"/>
            <w:tcBorders>
              <w:top w:val="single" w:color="auto" w:sz="12" w:space="0"/>
            </w:tcBorders>
            <w:noWrap w:val="0"/>
            <w:vAlign w:val="center"/>
          </w:tcPr>
          <w:p w14:paraId="3715C8B6">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型号规格</w:t>
            </w:r>
          </w:p>
        </w:tc>
        <w:tc>
          <w:tcPr>
            <w:tcW w:w="1006" w:type="dxa"/>
            <w:tcBorders>
              <w:top w:val="single" w:color="auto" w:sz="12" w:space="0"/>
            </w:tcBorders>
            <w:noWrap w:val="0"/>
            <w:vAlign w:val="center"/>
          </w:tcPr>
          <w:p w14:paraId="7C555C0A">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数</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量</w:t>
            </w:r>
          </w:p>
        </w:tc>
        <w:tc>
          <w:tcPr>
            <w:tcW w:w="1124" w:type="dxa"/>
            <w:tcBorders>
              <w:top w:val="single" w:color="auto" w:sz="12" w:space="0"/>
            </w:tcBorders>
            <w:noWrap w:val="0"/>
            <w:vAlign w:val="center"/>
          </w:tcPr>
          <w:p w14:paraId="242CA575">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位</w:t>
            </w:r>
          </w:p>
        </w:tc>
        <w:tc>
          <w:tcPr>
            <w:tcW w:w="866" w:type="dxa"/>
            <w:tcBorders>
              <w:top w:val="single" w:color="auto" w:sz="12" w:space="0"/>
            </w:tcBorders>
            <w:noWrap w:val="0"/>
            <w:vAlign w:val="center"/>
          </w:tcPr>
          <w:p w14:paraId="64FFA400">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价</w:t>
            </w:r>
          </w:p>
        </w:tc>
        <w:tc>
          <w:tcPr>
            <w:tcW w:w="1087" w:type="dxa"/>
            <w:tcBorders>
              <w:top w:val="single" w:color="auto" w:sz="12" w:space="0"/>
            </w:tcBorders>
            <w:noWrap w:val="0"/>
            <w:vAlign w:val="center"/>
          </w:tcPr>
          <w:p w14:paraId="1B6D2A55">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总价（元）</w:t>
            </w:r>
          </w:p>
        </w:tc>
        <w:tc>
          <w:tcPr>
            <w:tcW w:w="805" w:type="dxa"/>
            <w:tcBorders>
              <w:top w:val="single" w:color="auto" w:sz="12" w:space="0"/>
              <w:right w:val="single" w:color="auto" w:sz="12" w:space="0"/>
            </w:tcBorders>
            <w:noWrap w:val="0"/>
            <w:vAlign w:val="center"/>
          </w:tcPr>
          <w:p w14:paraId="0A5A8514">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注</w:t>
            </w:r>
          </w:p>
        </w:tc>
      </w:tr>
      <w:tr w14:paraId="77F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6680E791">
            <w:pPr>
              <w:spacing w:line="520" w:lineRule="exact"/>
              <w:rPr>
                <w:rFonts w:ascii="宋体" w:hAnsi="宋体"/>
                <w:color w:val="auto"/>
                <w:sz w:val="24"/>
                <w:highlight w:val="none"/>
              </w:rPr>
            </w:pPr>
          </w:p>
        </w:tc>
        <w:tc>
          <w:tcPr>
            <w:tcW w:w="1857" w:type="dxa"/>
            <w:noWrap w:val="0"/>
            <w:vAlign w:val="top"/>
          </w:tcPr>
          <w:p w14:paraId="3270F9B4">
            <w:pPr>
              <w:spacing w:line="520" w:lineRule="exact"/>
              <w:rPr>
                <w:rFonts w:ascii="宋体" w:hAnsi="宋体"/>
                <w:color w:val="auto"/>
                <w:sz w:val="24"/>
                <w:highlight w:val="none"/>
              </w:rPr>
            </w:pPr>
          </w:p>
        </w:tc>
        <w:tc>
          <w:tcPr>
            <w:tcW w:w="1006" w:type="dxa"/>
            <w:noWrap w:val="0"/>
            <w:vAlign w:val="top"/>
          </w:tcPr>
          <w:p w14:paraId="702D5D8B">
            <w:pPr>
              <w:spacing w:line="520" w:lineRule="exact"/>
              <w:rPr>
                <w:rFonts w:ascii="宋体" w:hAnsi="宋体"/>
                <w:color w:val="auto"/>
                <w:sz w:val="24"/>
                <w:highlight w:val="none"/>
              </w:rPr>
            </w:pPr>
          </w:p>
        </w:tc>
        <w:tc>
          <w:tcPr>
            <w:tcW w:w="1006" w:type="dxa"/>
            <w:noWrap w:val="0"/>
            <w:vAlign w:val="top"/>
          </w:tcPr>
          <w:p w14:paraId="592EF98B">
            <w:pPr>
              <w:spacing w:line="520" w:lineRule="exact"/>
              <w:rPr>
                <w:rFonts w:ascii="宋体" w:hAnsi="宋体"/>
                <w:color w:val="auto"/>
                <w:sz w:val="24"/>
                <w:highlight w:val="none"/>
              </w:rPr>
            </w:pPr>
          </w:p>
        </w:tc>
        <w:tc>
          <w:tcPr>
            <w:tcW w:w="1006" w:type="dxa"/>
            <w:noWrap w:val="0"/>
            <w:vAlign w:val="top"/>
          </w:tcPr>
          <w:p w14:paraId="0A31FC3C">
            <w:pPr>
              <w:spacing w:line="520" w:lineRule="exact"/>
              <w:rPr>
                <w:rFonts w:ascii="宋体" w:hAnsi="宋体"/>
                <w:color w:val="auto"/>
                <w:sz w:val="24"/>
                <w:highlight w:val="none"/>
              </w:rPr>
            </w:pPr>
          </w:p>
        </w:tc>
        <w:tc>
          <w:tcPr>
            <w:tcW w:w="1124" w:type="dxa"/>
            <w:noWrap w:val="0"/>
            <w:vAlign w:val="top"/>
          </w:tcPr>
          <w:p w14:paraId="44F2EE1F">
            <w:pPr>
              <w:spacing w:line="520" w:lineRule="exact"/>
              <w:rPr>
                <w:rFonts w:ascii="宋体" w:hAnsi="宋体"/>
                <w:color w:val="auto"/>
                <w:sz w:val="24"/>
                <w:highlight w:val="none"/>
              </w:rPr>
            </w:pPr>
          </w:p>
        </w:tc>
        <w:tc>
          <w:tcPr>
            <w:tcW w:w="866" w:type="dxa"/>
            <w:noWrap w:val="0"/>
            <w:vAlign w:val="top"/>
          </w:tcPr>
          <w:p w14:paraId="72D9187A">
            <w:pPr>
              <w:spacing w:line="520" w:lineRule="exact"/>
              <w:rPr>
                <w:rFonts w:ascii="宋体" w:hAnsi="宋体"/>
                <w:color w:val="auto"/>
                <w:sz w:val="24"/>
                <w:highlight w:val="none"/>
              </w:rPr>
            </w:pPr>
          </w:p>
        </w:tc>
        <w:tc>
          <w:tcPr>
            <w:tcW w:w="1087" w:type="dxa"/>
            <w:noWrap w:val="0"/>
            <w:vAlign w:val="top"/>
          </w:tcPr>
          <w:p w14:paraId="60067B4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DCF510C">
            <w:pPr>
              <w:spacing w:line="520" w:lineRule="exact"/>
              <w:rPr>
                <w:rFonts w:ascii="宋体" w:hAnsi="宋体"/>
                <w:color w:val="auto"/>
                <w:sz w:val="24"/>
                <w:highlight w:val="none"/>
              </w:rPr>
            </w:pPr>
          </w:p>
        </w:tc>
      </w:tr>
      <w:tr w14:paraId="136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298251DB">
            <w:pPr>
              <w:spacing w:line="520" w:lineRule="exact"/>
              <w:rPr>
                <w:rFonts w:ascii="宋体" w:hAnsi="宋体"/>
                <w:color w:val="auto"/>
                <w:sz w:val="24"/>
                <w:highlight w:val="none"/>
              </w:rPr>
            </w:pPr>
          </w:p>
        </w:tc>
        <w:tc>
          <w:tcPr>
            <w:tcW w:w="1857" w:type="dxa"/>
            <w:noWrap w:val="0"/>
            <w:vAlign w:val="top"/>
          </w:tcPr>
          <w:p w14:paraId="313116B6">
            <w:pPr>
              <w:spacing w:line="520" w:lineRule="exact"/>
              <w:rPr>
                <w:rFonts w:ascii="宋体" w:hAnsi="宋体"/>
                <w:color w:val="auto"/>
                <w:sz w:val="24"/>
                <w:highlight w:val="none"/>
              </w:rPr>
            </w:pPr>
          </w:p>
        </w:tc>
        <w:tc>
          <w:tcPr>
            <w:tcW w:w="1006" w:type="dxa"/>
            <w:noWrap w:val="0"/>
            <w:vAlign w:val="top"/>
          </w:tcPr>
          <w:p w14:paraId="21A41899">
            <w:pPr>
              <w:spacing w:line="520" w:lineRule="exact"/>
              <w:rPr>
                <w:rFonts w:ascii="宋体" w:hAnsi="宋体"/>
                <w:color w:val="auto"/>
                <w:sz w:val="24"/>
                <w:highlight w:val="none"/>
              </w:rPr>
            </w:pPr>
          </w:p>
        </w:tc>
        <w:tc>
          <w:tcPr>
            <w:tcW w:w="1006" w:type="dxa"/>
            <w:noWrap w:val="0"/>
            <w:vAlign w:val="top"/>
          </w:tcPr>
          <w:p w14:paraId="430D3D8B">
            <w:pPr>
              <w:spacing w:line="520" w:lineRule="exact"/>
              <w:rPr>
                <w:rFonts w:ascii="宋体" w:hAnsi="宋体"/>
                <w:color w:val="auto"/>
                <w:sz w:val="24"/>
                <w:highlight w:val="none"/>
              </w:rPr>
            </w:pPr>
          </w:p>
        </w:tc>
        <w:tc>
          <w:tcPr>
            <w:tcW w:w="1006" w:type="dxa"/>
            <w:noWrap w:val="0"/>
            <w:vAlign w:val="top"/>
          </w:tcPr>
          <w:p w14:paraId="3233E134">
            <w:pPr>
              <w:spacing w:line="520" w:lineRule="exact"/>
              <w:rPr>
                <w:rFonts w:ascii="宋体" w:hAnsi="宋体"/>
                <w:color w:val="auto"/>
                <w:sz w:val="24"/>
                <w:highlight w:val="none"/>
              </w:rPr>
            </w:pPr>
          </w:p>
        </w:tc>
        <w:tc>
          <w:tcPr>
            <w:tcW w:w="1124" w:type="dxa"/>
            <w:noWrap w:val="0"/>
            <w:vAlign w:val="top"/>
          </w:tcPr>
          <w:p w14:paraId="0655567B">
            <w:pPr>
              <w:spacing w:line="520" w:lineRule="exact"/>
              <w:rPr>
                <w:rFonts w:ascii="宋体" w:hAnsi="宋体"/>
                <w:color w:val="auto"/>
                <w:sz w:val="24"/>
                <w:highlight w:val="none"/>
              </w:rPr>
            </w:pPr>
          </w:p>
        </w:tc>
        <w:tc>
          <w:tcPr>
            <w:tcW w:w="866" w:type="dxa"/>
            <w:noWrap w:val="0"/>
            <w:vAlign w:val="top"/>
          </w:tcPr>
          <w:p w14:paraId="330DBF72">
            <w:pPr>
              <w:spacing w:line="520" w:lineRule="exact"/>
              <w:rPr>
                <w:rFonts w:ascii="宋体" w:hAnsi="宋体"/>
                <w:color w:val="auto"/>
                <w:sz w:val="24"/>
                <w:highlight w:val="none"/>
              </w:rPr>
            </w:pPr>
          </w:p>
        </w:tc>
        <w:tc>
          <w:tcPr>
            <w:tcW w:w="1087" w:type="dxa"/>
            <w:noWrap w:val="0"/>
            <w:vAlign w:val="top"/>
          </w:tcPr>
          <w:p w14:paraId="59CC9A2E">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C5041DC">
            <w:pPr>
              <w:spacing w:line="520" w:lineRule="exact"/>
              <w:rPr>
                <w:rFonts w:ascii="宋体" w:hAnsi="宋体"/>
                <w:color w:val="auto"/>
                <w:sz w:val="24"/>
                <w:highlight w:val="none"/>
              </w:rPr>
            </w:pPr>
          </w:p>
        </w:tc>
      </w:tr>
      <w:tr w14:paraId="7C74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349B2316">
            <w:pPr>
              <w:spacing w:line="520" w:lineRule="exact"/>
              <w:rPr>
                <w:rFonts w:ascii="宋体" w:hAnsi="宋体"/>
                <w:color w:val="auto"/>
                <w:sz w:val="24"/>
                <w:highlight w:val="none"/>
              </w:rPr>
            </w:pPr>
          </w:p>
        </w:tc>
        <w:tc>
          <w:tcPr>
            <w:tcW w:w="1857" w:type="dxa"/>
            <w:noWrap w:val="0"/>
            <w:vAlign w:val="top"/>
          </w:tcPr>
          <w:p w14:paraId="6379DB3A">
            <w:pPr>
              <w:spacing w:line="520" w:lineRule="exact"/>
              <w:rPr>
                <w:rFonts w:ascii="宋体" w:hAnsi="宋体"/>
                <w:color w:val="auto"/>
                <w:sz w:val="24"/>
                <w:highlight w:val="none"/>
              </w:rPr>
            </w:pPr>
          </w:p>
        </w:tc>
        <w:tc>
          <w:tcPr>
            <w:tcW w:w="1006" w:type="dxa"/>
            <w:noWrap w:val="0"/>
            <w:vAlign w:val="top"/>
          </w:tcPr>
          <w:p w14:paraId="1F6E3A3E">
            <w:pPr>
              <w:spacing w:line="520" w:lineRule="exact"/>
              <w:rPr>
                <w:rFonts w:ascii="宋体" w:hAnsi="宋体"/>
                <w:color w:val="auto"/>
                <w:sz w:val="24"/>
                <w:highlight w:val="none"/>
              </w:rPr>
            </w:pPr>
          </w:p>
        </w:tc>
        <w:tc>
          <w:tcPr>
            <w:tcW w:w="1006" w:type="dxa"/>
            <w:noWrap w:val="0"/>
            <w:vAlign w:val="top"/>
          </w:tcPr>
          <w:p w14:paraId="790629B7">
            <w:pPr>
              <w:spacing w:line="520" w:lineRule="exact"/>
              <w:rPr>
                <w:rFonts w:ascii="宋体" w:hAnsi="宋体"/>
                <w:color w:val="auto"/>
                <w:sz w:val="24"/>
                <w:highlight w:val="none"/>
              </w:rPr>
            </w:pPr>
          </w:p>
        </w:tc>
        <w:tc>
          <w:tcPr>
            <w:tcW w:w="1006" w:type="dxa"/>
            <w:noWrap w:val="0"/>
            <w:vAlign w:val="top"/>
          </w:tcPr>
          <w:p w14:paraId="4147513F">
            <w:pPr>
              <w:spacing w:line="520" w:lineRule="exact"/>
              <w:rPr>
                <w:rFonts w:ascii="宋体" w:hAnsi="宋体"/>
                <w:color w:val="auto"/>
                <w:sz w:val="24"/>
                <w:highlight w:val="none"/>
              </w:rPr>
            </w:pPr>
          </w:p>
        </w:tc>
        <w:tc>
          <w:tcPr>
            <w:tcW w:w="1124" w:type="dxa"/>
            <w:noWrap w:val="0"/>
            <w:vAlign w:val="top"/>
          </w:tcPr>
          <w:p w14:paraId="3E705876">
            <w:pPr>
              <w:spacing w:line="520" w:lineRule="exact"/>
              <w:rPr>
                <w:rFonts w:ascii="宋体" w:hAnsi="宋体"/>
                <w:color w:val="auto"/>
                <w:sz w:val="24"/>
                <w:highlight w:val="none"/>
              </w:rPr>
            </w:pPr>
          </w:p>
        </w:tc>
        <w:tc>
          <w:tcPr>
            <w:tcW w:w="866" w:type="dxa"/>
            <w:noWrap w:val="0"/>
            <w:vAlign w:val="top"/>
          </w:tcPr>
          <w:p w14:paraId="267CA5CB">
            <w:pPr>
              <w:spacing w:line="520" w:lineRule="exact"/>
              <w:rPr>
                <w:rFonts w:ascii="宋体" w:hAnsi="宋体"/>
                <w:color w:val="auto"/>
                <w:sz w:val="24"/>
                <w:highlight w:val="none"/>
              </w:rPr>
            </w:pPr>
          </w:p>
        </w:tc>
        <w:tc>
          <w:tcPr>
            <w:tcW w:w="1087" w:type="dxa"/>
            <w:noWrap w:val="0"/>
            <w:vAlign w:val="top"/>
          </w:tcPr>
          <w:p w14:paraId="4630634C">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601A25BC">
            <w:pPr>
              <w:spacing w:line="520" w:lineRule="exact"/>
              <w:rPr>
                <w:rFonts w:ascii="宋体" w:hAnsi="宋体"/>
                <w:color w:val="auto"/>
                <w:sz w:val="24"/>
                <w:highlight w:val="none"/>
              </w:rPr>
            </w:pPr>
          </w:p>
        </w:tc>
      </w:tr>
      <w:tr w14:paraId="5C89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A1EED79">
            <w:pPr>
              <w:spacing w:line="520" w:lineRule="exact"/>
              <w:rPr>
                <w:rFonts w:ascii="宋体" w:hAnsi="宋体"/>
                <w:color w:val="auto"/>
                <w:sz w:val="24"/>
                <w:highlight w:val="none"/>
              </w:rPr>
            </w:pPr>
          </w:p>
        </w:tc>
        <w:tc>
          <w:tcPr>
            <w:tcW w:w="1857" w:type="dxa"/>
            <w:noWrap w:val="0"/>
            <w:vAlign w:val="top"/>
          </w:tcPr>
          <w:p w14:paraId="02D811ED">
            <w:pPr>
              <w:spacing w:line="520" w:lineRule="exact"/>
              <w:rPr>
                <w:rFonts w:ascii="宋体" w:hAnsi="宋体"/>
                <w:color w:val="auto"/>
                <w:sz w:val="24"/>
                <w:highlight w:val="none"/>
              </w:rPr>
            </w:pPr>
          </w:p>
        </w:tc>
        <w:tc>
          <w:tcPr>
            <w:tcW w:w="1006" w:type="dxa"/>
            <w:noWrap w:val="0"/>
            <w:vAlign w:val="top"/>
          </w:tcPr>
          <w:p w14:paraId="069AF0C6">
            <w:pPr>
              <w:spacing w:line="520" w:lineRule="exact"/>
              <w:rPr>
                <w:rFonts w:ascii="宋体" w:hAnsi="宋体"/>
                <w:color w:val="auto"/>
                <w:sz w:val="24"/>
                <w:highlight w:val="none"/>
              </w:rPr>
            </w:pPr>
          </w:p>
        </w:tc>
        <w:tc>
          <w:tcPr>
            <w:tcW w:w="1006" w:type="dxa"/>
            <w:noWrap w:val="0"/>
            <w:vAlign w:val="top"/>
          </w:tcPr>
          <w:p w14:paraId="4858D5C9">
            <w:pPr>
              <w:spacing w:line="520" w:lineRule="exact"/>
              <w:rPr>
                <w:rFonts w:ascii="宋体" w:hAnsi="宋体"/>
                <w:color w:val="auto"/>
                <w:sz w:val="24"/>
                <w:highlight w:val="none"/>
              </w:rPr>
            </w:pPr>
          </w:p>
        </w:tc>
        <w:tc>
          <w:tcPr>
            <w:tcW w:w="1006" w:type="dxa"/>
            <w:noWrap w:val="0"/>
            <w:vAlign w:val="top"/>
          </w:tcPr>
          <w:p w14:paraId="1363A1AC">
            <w:pPr>
              <w:spacing w:line="520" w:lineRule="exact"/>
              <w:rPr>
                <w:rFonts w:ascii="宋体" w:hAnsi="宋体"/>
                <w:color w:val="auto"/>
                <w:sz w:val="24"/>
                <w:highlight w:val="none"/>
              </w:rPr>
            </w:pPr>
          </w:p>
        </w:tc>
        <w:tc>
          <w:tcPr>
            <w:tcW w:w="1124" w:type="dxa"/>
            <w:noWrap w:val="0"/>
            <w:vAlign w:val="top"/>
          </w:tcPr>
          <w:p w14:paraId="033145E2">
            <w:pPr>
              <w:spacing w:line="520" w:lineRule="exact"/>
              <w:rPr>
                <w:rFonts w:ascii="宋体" w:hAnsi="宋体"/>
                <w:color w:val="auto"/>
                <w:sz w:val="24"/>
                <w:highlight w:val="none"/>
              </w:rPr>
            </w:pPr>
          </w:p>
        </w:tc>
        <w:tc>
          <w:tcPr>
            <w:tcW w:w="866" w:type="dxa"/>
            <w:noWrap w:val="0"/>
            <w:vAlign w:val="top"/>
          </w:tcPr>
          <w:p w14:paraId="539630B8">
            <w:pPr>
              <w:spacing w:line="520" w:lineRule="exact"/>
              <w:rPr>
                <w:rFonts w:ascii="宋体" w:hAnsi="宋体"/>
                <w:color w:val="auto"/>
                <w:sz w:val="24"/>
                <w:highlight w:val="none"/>
              </w:rPr>
            </w:pPr>
          </w:p>
        </w:tc>
        <w:tc>
          <w:tcPr>
            <w:tcW w:w="1087" w:type="dxa"/>
            <w:noWrap w:val="0"/>
            <w:vAlign w:val="top"/>
          </w:tcPr>
          <w:p w14:paraId="2E36B740">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F21B196">
            <w:pPr>
              <w:spacing w:line="520" w:lineRule="exact"/>
              <w:rPr>
                <w:rFonts w:ascii="宋体" w:hAnsi="宋体"/>
                <w:color w:val="auto"/>
                <w:sz w:val="24"/>
                <w:highlight w:val="none"/>
              </w:rPr>
            </w:pPr>
          </w:p>
        </w:tc>
      </w:tr>
      <w:tr w14:paraId="3FA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171F988F">
            <w:pPr>
              <w:spacing w:line="520" w:lineRule="exact"/>
              <w:rPr>
                <w:rFonts w:ascii="宋体" w:hAnsi="宋体"/>
                <w:color w:val="auto"/>
                <w:sz w:val="24"/>
                <w:highlight w:val="none"/>
              </w:rPr>
            </w:pPr>
          </w:p>
        </w:tc>
        <w:tc>
          <w:tcPr>
            <w:tcW w:w="1857" w:type="dxa"/>
            <w:noWrap w:val="0"/>
            <w:vAlign w:val="top"/>
          </w:tcPr>
          <w:p w14:paraId="23D60EB8">
            <w:pPr>
              <w:spacing w:line="520" w:lineRule="exact"/>
              <w:rPr>
                <w:rFonts w:ascii="宋体" w:hAnsi="宋体"/>
                <w:color w:val="auto"/>
                <w:sz w:val="24"/>
                <w:highlight w:val="none"/>
              </w:rPr>
            </w:pPr>
          </w:p>
        </w:tc>
        <w:tc>
          <w:tcPr>
            <w:tcW w:w="1006" w:type="dxa"/>
            <w:noWrap w:val="0"/>
            <w:vAlign w:val="top"/>
          </w:tcPr>
          <w:p w14:paraId="21211949">
            <w:pPr>
              <w:spacing w:line="520" w:lineRule="exact"/>
              <w:rPr>
                <w:rFonts w:ascii="宋体" w:hAnsi="宋体"/>
                <w:color w:val="auto"/>
                <w:sz w:val="24"/>
                <w:highlight w:val="none"/>
              </w:rPr>
            </w:pPr>
          </w:p>
        </w:tc>
        <w:tc>
          <w:tcPr>
            <w:tcW w:w="1006" w:type="dxa"/>
            <w:noWrap w:val="0"/>
            <w:vAlign w:val="top"/>
          </w:tcPr>
          <w:p w14:paraId="339D282A">
            <w:pPr>
              <w:spacing w:line="520" w:lineRule="exact"/>
              <w:rPr>
                <w:rFonts w:ascii="宋体" w:hAnsi="宋体"/>
                <w:color w:val="auto"/>
                <w:sz w:val="24"/>
                <w:highlight w:val="none"/>
              </w:rPr>
            </w:pPr>
          </w:p>
        </w:tc>
        <w:tc>
          <w:tcPr>
            <w:tcW w:w="1006" w:type="dxa"/>
            <w:noWrap w:val="0"/>
            <w:vAlign w:val="top"/>
          </w:tcPr>
          <w:p w14:paraId="67348E53">
            <w:pPr>
              <w:spacing w:line="520" w:lineRule="exact"/>
              <w:rPr>
                <w:rFonts w:ascii="宋体" w:hAnsi="宋体"/>
                <w:color w:val="auto"/>
                <w:sz w:val="24"/>
                <w:highlight w:val="none"/>
              </w:rPr>
            </w:pPr>
          </w:p>
        </w:tc>
        <w:tc>
          <w:tcPr>
            <w:tcW w:w="1124" w:type="dxa"/>
            <w:noWrap w:val="0"/>
            <w:vAlign w:val="top"/>
          </w:tcPr>
          <w:p w14:paraId="2870ED05">
            <w:pPr>
              <w:spacing w:line="520" w:lineRule="exact"/>
              <w:rPr>
                <w:rFonts w:ascii="宋体" w:hAnsi="宋体"/>
                <w:color w:val="auto"/>
                <w:sz w:val="24"/>
                <w:highlight w:val="none"/>
              </w:rPr>
            </w:pPr>
          </w:p>
        </w:tc>
        <w:tc>
          <w:tcPr>
            <w:tcW w:w="866" w:type="dxa"/>
            <w:noWrap w:val="0"/>
            <w:vAlign w:val="top"/>
          </w:tcPr>
          <w:p w14:paraId="1944A3E2">
            <w:pPr>
              <w:spacing w:line="520" w:lineRule="exact"/>
              <w:rPr>
                <w:rFonts w:ascii="宋体" w:hAnsi="宋体"/>
                <w:color w:val="auto"/>
                <w:sz w:val="24"/>
                <w:highlight w:val="none"/>
              </w:rPr>
            </w:pPr>
          </w:p>
        </w:tc>
        <w:tc>
          <w:tcPr>
            <w:tcW w:w="1087" w:type="dxa"/>
            <w:noWrap w:val="0"/>
            <w:vAlign w:val="top"/>
          </w:tcPr>
          <w:p w14:paraId="3F57619A">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7415667">
            <w:pPr>
              <w:spacing w:line="520" w:lineRule="exact"/>
              <w:rPr>
                <w:rFonts w:ascii="宋体" w:hAnsi="宋体"/>
                <w:color w:val="auto"/>
                <w:sz w:val="24"/>
                <w:highlight w:val="none"/>
              </w:rPr>
            </w:pPr>
          </w:p>
        </w:tc>
      </w:tr>
      <w:tr w14:paraId="7F2D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4C04999E">
            <w:pPr>
              <w:spacing w:line="520" w:lineRule="exact"/>
              <w:rPr>
                <w:rFonts w:ascii="宋体" w:hAnsi="宋体"/>
                <w:color w:val="auto"/>
                <w:sz w:val="24"/>
                <w:highlight w:val="none"/>
              </w:rPr>
            </w:pPr>
          </w:p>
        </w:tc>
        <w:tc>
          <w:tcPr>
            <w:tcW w:w="1857" w:type="dxa"/>
            <w:noWrap w:val="0"/>
            <w:vAlign w:val="top"/>
          </w:tcPr>
          <w:p w14:paraId="498AB817">
            <w:pPr>
              <w:spacing w:line="520" w:lineRule="exact"/>
              <w:rPr>
                <w:rFonts w:ascii="宋体" w:hAnsi="宋体"/>
                <w:color w:val="auto"/>
                <w:sz w:val="24"/>
                <w:highlight w:val="none"/>
              </w:rPr>
            </w:pPr>
          </w:p>
        </w:tc>
        <w:tc>
          <w:tcPr>
            <w:tcW w:w="1006" w:type="dxa"/>
            <w:noWrap w:val="0"/>
            <w:vAlign w:val="top"/>
          </w:tcPr>
          <w:p w14:paraId="2D42C901">
            <w:pPr>
              <w:spacing w:line="520" w:lineRule="exact"/>
              <w:rPr>
                <w:rFonts w:ascii="宋体" w:hAnsi="宋体"/>
                <w:color w:val="auto"/>
                <w:sz w:val="24"/>
                <w:highlight w:val="none"/>
              </w:rPr>
            </w:pPr>
          </w:p>
        </w:tc>
        <w:tc>
          <w:tcPr>
            <w:tcW w:w="1006" w:type="dxa"/>
            <w:noWrap w:val="0"/>
            <w:vAlign w:val="top"/>
          </w:tcPr>
          <w:p w14:paraId="3AFCEF49">
            <w:pPr>
              <w:spacing w:line="520" w:lineRule="exact"/>
              <w:rPr>
                <w:rFonts w:ascii="宋体" w:hAnsi="宋体"/>
                <w:color w:val="auto"/>
                <w:sz w:val="24"/>
                <w:highlight w:val="none"/>
              </w:rPr>
            </w:pPr>
          </w:p>
        </w:tc>
        <w:tc>
          <w:tcPr>
            <w:tcW w:w="1006" w:type="dxa"/>
            <w:noWrap w:val="0"/>
            <w:vAlign w:val="top"/>
          </w:tcPr>
          <w:p w14:paraId="3F76ECD8">
            <w:pPr>
              <w:spacing w:line="520" w:lineRule="exact"/>
              <w:rPr>
                <w:rFonts w:ascii="宋体" w:hAnsi="宋体"/>
                <w:color w:val="auto"/>
                <w:sz w:val="24"/>
                <w:highlight w:val="none"/>
              </w:rPr>
            </w:pPr>
          </w:p>
        </w:tc>
        <w:tc>
          <w:tcPr>
            <w:tcW w:w="1124" w:type="dxa"/>
            <w:noWrap w:val="0"/>
            <w:vAlign w:val="top"/>
          </w:tcPr>
          <w:p w14:paraId="30E9EC17">
            <w:pPr>
              <w:spacing w:line="520" w:lineRule="exact"/>
              <w:rPr>
                <w:rFonts w:ascii="宋体" w:hAnsi="宋体"/>
                <w:color w:val="auto"/>
                <w:sz w:val="24"/>
                <w:highlight w:val="none"/>
              </w:rPr>
            </w:pPr>
          </w:p>
        </w:tc>
        <w:tc>
          <w:tcPr>
            <w:tcW w:w="866" w:type="dxa"/>
            <w:noWrap w:val="0"/>
            <w:vAlign w:val="top"/>
          </w:tcPr>
          <w:p w14:paraId="3942DBF0">
            <w:pPr>
              <w:spacing w:line="520" w:lineRule="exact"/>
              <w:rPr>
                <w:rFonts w:ascii="宋体" w:hAnsi="宋体"/>
                <w:color w:val="auto"/>
                <w:sz w:val="24"/>
                <w:highlight w:val="none"/>
              </w:rPr>
            </w:pPr>
          </w:p>
        </w:tc>
        <w:tc>
          <w:tcPr>
            <w:tcW w:w="1087" w:type="dxa"/>
            <w:noWrap w:val="0"/>
            <w:vAlign w:val="top"/>
          </w:tcPr>
          <w:p w14:paraId="1A29CFC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C68F31A">
            <w:pPr>
              <w:spacing w:line="520" w:lineRule="exact"/>
              <w:rPr>
                <w:rFonts w:ascii="宋体" w:hAnsi="宋体"/>
                <w:color w:val="auto"/>
                <w:sz w:val="24"/>
                <w:highlight w:val="none"/>
              </w:rPr>
            </w:pPr>
          </w:p>
        </w:tc>
      </w:tr>
      <w:tr w14:paraId="40F6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E1B4704">
            <w:pPr>
              <w:spacing w:line="520" w:lineRule="exact"/>
              <w:rPr>
                <w:rFonts w:ascii="宋体" w:hAnsi="宋体"/>
                <w:color w:val="auto"/>
                <w:sz w:val="24"/>
                <w:highlight w:val="none"/>
              </w:rPr>
            </w:pPr>
          </w:p>
        </w:tc>
        <w:tc>
          <w:tcPr>
            <w:tcW w:w="1857" w:type="dxa"/>
            <w:noWrap w:val="0"/>
            <w:vAlign w:val="top"/>
          </w:tcPr>
          <w:p w14:paraId="32998BC2">
            <w:pPr>
              <w:spacing w:line="520" w:lineRule="exact"/>
              <w:rPr>
                <w:rFonts w:ascii="宋体" w:hAnsi="宋体"/>
                <w:color w:val="auto"/>
                <w:sz w:val="24"/>
                <w:highlight w:val="none"/>
              </w:rPr>
            </w:pPr>
          </w:p>
        </w:tc>
        <w:tc>
          <w:tcPr>
            <w:tcW w:w="1006" w:type="dxa"/>
            <w:noWrap w:val="0"/>
            <w:vAlign w:val="top"/>
          </w:tcPr>
          <w:p w14:paraId="2D82EFB6">
            <w:pPr>
              <w:spacing w:line="520" w:lineRule="exact"/>
              <w:rPr>
                <w:rFonts w:ascii="宋体" w:hAnsi="宋体"/>
                <w:color w:val="auto"/>
                <w:sz w:val="24"/>
                <w:highlight w:val="none"/>
              </w:rPr>
            </w:pPr>
          </w:p>
        </w:tc>
        <w:tc>
          <w:tcPr>
            <w:tcW w:w="1006" w:type="dxa"/>
            <w:noWrap w:val="0"/>
            <w:vAlign w:val="top"/>
          </w:tcPr>
          <w:p w14:paraId="644DB93E">
            <w:pPr>
              <w:spacing w:line="520" w:lineRule="exact"/>
              <w:rPr>
                <w:rFonts w:ascii="宋体" w:hAnsi="宋体"/>
                <w:color w:val="auto"/>
                <w:sz w:val="24"/>
                <w:highlight w:val="none"/>
              </w:rPr>
            </w:pPr>
          </w:p>
        </w:tc>
        <w:tc>
          <w:tcPr>
            <w:tcW w:w="1006" w:type="dxa"/>
            <w:noWrap w:val="0"/>
            <w:vAlign w:val="top"/>
          </w:tcPr>
          <w:p w14:paraId="5B2CC209">
            <w:pPr>
              <w:spacing w:line="520" w:lineRule="exact"/>
              <w:rPr>
                <w:rFonts w:ascii="宋体" w:hAnsi="宋体"/>
                <w:color w:val="auto"/>
                <w:sz w:val="24"/>
                <w:highlight w:val="none"/>
              </w:rPr>
            </w:pPr>
          </w:p>
        </w:tc>
        <w:tc>
          <w:tcPr>
            <w:tcW w:w="1124" w:type="dxa"/>
            <w:noWrap w:val="0"/>
            <w:vAlign w:val="top"/>
          </w:tcPr>
          <w:p w14:paraId="0310328C">
            <w:pPr>
              <w:spacing w:line="520" w:lineRule="exact"/>
              <w:rPr>
                <w:rFonts w:ascii="宋体" w:hAnsi="宋体"/>
                <w:color w:val="auto"/>
                <w:sz w:val="24"/>
                <w:highlight w:val="none"/>
              </w:rPr>
            </w:pPr>
          </w:p>
        </w:tc>
        <w:tc>
          <w:tcPr>
            <w:tcW w:w="866" w:type="dxa"/>
            <w:noWrap w:val="0"/>
            <w:vAlign w:val="top"/>
          </w:tcPr>
          <w:p w14:paraId="6E737517">
            <w:pPr>
              <w:spacing w:line="520" w:lineRule="exact"/>
              <w:rPr>
                <w:rFonts w:ascii="宋体" w:hAnsi="宋体"/>
                <w:color w:val="auto"/>
                <w:sz w:val="24"/>
                <w:highlight w:val="none"/>
              </w:rPr>
            </w:pPr>
          </w:p>
        </w:tc>
        <w:tc>
          <w:tcPr>
            <w:tcW w:w="1087" w:type="dxa"/>
            <w:noWrap w:val="0"/>
            <w:vAlign w:val="top"/>
          </w:tcPr>
          <w:p w14:paraId="424D7A8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73E210EC">
            <w:pPr>
              <w:spacing w:line="520" w:lineRule="exact"/>
              <w:rPr>
                <w:rFonts w:ascii="宋体" w:hAnsi="宋体"/>
                <w:color w:val="auto"/>
                <w:sz w:val="24"/>
                <w:highlight w:val="none"/>
              </w:rPr>
            </w:pPr>
          </w:p>
        </w:tc>
      </w:tr>
      <w:tr w14:paraId="38D3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5F7775E3">
            <w:pPr>
              <w:spacing w:line="520" w:lineRule="exact"/>
              <w:rPr>
                <w:rFonts w:ascii="宋体" w:hAnsi="宋体"/>
                <w:color w:val="auto"/>
                <w:sz w:val="24"/>
                <w:highlight w:val="none"/>
              </w:rPr>
            </w:pPr>
          </w:p>
        </w:tc>
        <w:tc>
          <w:tcPr>
            <w:tcW w:w="1857" w:type="dxa"/>
            <w:noWrap w:val="0"/>
            <w:vAlign w:val="top"/>
          </w:tcPr>
          <w:p w14:paraId="7C7AA5EB">
            <w:pPr>
              <w:spacing w:line="520" w:lineRule="exact"/>
              <w:rPr>
                <w:rFonts w:ascii="宋体" w:hAnsi="宋体"/>
                <w:color w:val="auto"/>
                <w:sz w:val="24"/>
                <w:highlight w:val="none"/>
              </w:rPr>
            </w:pPr>
          </w:p>
        </w:tc>
        <w:tc>
          <w:tcPr>
            <w:tcW w:w="1006" w:type="dxa"/>
            <w:noWrap w:val="0"/>
            <w:vAlign w:val="top"/>
          </w:tcPr>
          <w:p w14:paraId="6AD0BDBF">
            <w:pPr>
              <w:spacing w:line="520" w:lineRule="exact"/>
              <w:rPr>
                <w:rFonts w:ascii="宋体" w:hAnsi="宋体"/>
                <w:color w:val="auto"/>
                <w:sz w:val="24"/>
                <w:highlight w:val="none"/>
              </w:rPr>
            </w:pPr>
          </w:p>
        </w:tc>
        <w:tc>
          <w:tcPr>
            <w:tcW w:w="1006" w:type="dxa"/>
            <w:noWrap w:val="0"/>
            <w:vAlign w:val="top"/>
          </w:tcPr>
          <w:p w14:paraId="3B8B53B7">
            <w:pPr>
              <w:spacing w:line="520" w:lineRule="exact"/>
              <w:rPr>
                <w:rFonts w:ascii="宋体" w:hAnsi="宋体"/>
                <w:color w:val="auto"/>
                <w:sz w:val="24"/>
                <w:highlight w:val="none"/>
              </w:rPr>
            </w:pPr>
          </w:p>
        </w:tc>
        <w:tc>
          <w:tcPr>
            <w:tcW w:w="1006" w:type="dxa"/>
            <w:noWrap w:val="0"/>
            <w:vAlign w:val="top"/>
          </w:tcPr>
          <w:p w14:paraId="1935E9D9">
            <w:pPr>
              <w:spacing w:line="520" w:lineRule="exact"/>
              <w:rPr>
                <w:rFonts w:ascii="宋体" w:hAnsi="宋体"/>
                <w:color w:val="auto"/>
                <w:sz w:val="24"/>
                <w:highlight w:val="none"/>
              </w:rPr>
            </w:pPr>
          </w:p>
        </w:tc>
        <w:tc>
          <w:tcPr>
            <w:tcW w:w="1124" w:type="dxa"/>
            <w:noWrap w:val="0"/>
            <w:vAlign w:val="top"/>
          </w:tcPr>
          <w:p w14:paraId="775B0E52">
            <w:pPr>
              <w:spacing w:line="520" w:lineRule="exact"/>
              <w:rPr>
                <w:rFonts w:ascii="宋体" w:hAnsi="宋体"/>
                <w:color w:val="auto"/>
                <w:sz w:val="24"/>
                <w:highlight w:val="none"/>
              </w:rPr>
            </w:pPr>
          </w:p>
        </w:tc>
        <w:tc>
          <w:tcPr>
            <w:tcW w:w="866" w:type="dxa"/>
            <w:noWrap w:val="0"/>
            <w:vAlign w:val="top"/>
          </w:tcPr>
          <w:p w14:paraId="31ACDC41">
            <w:pPr>
              <w:spacing w:line="520" w:lineRule="exact"/>
              <w:rPr>
                <w:rFonts w:ascii="宋体" w:hAnsi="宋体"/>
                <w:color w:val="auto"/>
                <w:sz w:val="24"/>
                <w:highlight w:val="none"/>
              </w:rPr>
            </w:pPr>
          </w:p>
        </w:tc>
        <w:tc>
          <w:tcPr>
            <w:tcW w:w="1087" w:type="dxa"/>
            <w:noWrap w:val="0"/>
            <w:vAlign w:val="top"/>
          </w:tcPr>
          <w:p w14:paraId="59829BBF">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E4A6E1B">
            <w:pPr>
              <w:spacing w:line="520" w:lineRule="exact"/>
              <w:rPr>
                <w:rFonts w:ascii="宋体" w:hAnsi="宋体"/>
                <w:color w:val="auto"/>
                <w:sz w:val="24"/>
                <w:highlight w:val="none"/>
              </w:rPr>
            </w:pPr>
          </w:p>
        </w:tc>
      </w:tr>
      <w:tr w14:paraId="121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noWrap w:val="0"/>
            <w:vAlign w:val="top"/>
          </w:tcPr>
          <w:p w14:paraId="4DF4EB8C">
            <w:pPr>
              <w:spacing w:line="520" w:lineRule="exact"/>
              <w:rPr>
                <w:rFonts w:ascii="宋体" w:hAnsi="宋体"/>
                <w:color w:val="auto"/>
                <w:sz w:val="24"/>
                <w:highlight w:val="none"/>
              </w:rPr>
            </w:pPr>
          </w:p>
        </w:tc>
        <w:tc>
          <w:tcPr>
            <w:tcW w:w="1857" w:type="dxa"/>
            <w:tcBorders>
              <w:bottom w:val="single" w:color="auto" w:sz="12" w:space="0"/>
            </w:tcBorders>
            <w:noWrap w:val="0"/>
            <w:vAlign w:val="top"/>
          </w:tcPr>
          <w:p w14:paraId="448A7F38">
            <w:pPr>
              <w:spacing w:line="520" w:lineRule="exact"/>
              <w:jc w:val="center"/>
              <w:rPr>
                <w:rFonts w:ascii="宋体" w:hAnsi="宋体"/>
                <w:color w:val="auto"/>
                <w:sz w:val="24"/>
                <w:highlight w:val="none"/>
              </w:rPr>
            </w:pPr>
            <w:r>
              <w:rPr>
                <w:rFonts w:hint="eastAsia" w:ascii="宋体" w:hAnsi="宋体"/>
                <w:color w:val="auto"/>
                <w:sz w:val="24"/>
                <w:highlight w:val="none"/>
              </w:rPr>
              <w:t>合计</w:t>
            </w:r>
          </w:p>
        </w:tc>
        <w:tc>
          <w:tcPr>
            <w:tcW w:w="6900" w:type="dxa"/>
            <w:gridSpan w:val="7"/>
            <w:tcBorders>
              <w:bottom w:val="single" w:color="auto" w:sz="12" w:space="0"/>
              <w:right w:val="single" w:color="auto" w:sz="12" w:space="0"/>
            </w:tcBorders>
            <w:noWrap w:val="0"/>
            <w:vAlign w:val="top"/>
          </w:tcPr>
          <w:p w14:paraId="523D2030">
            <w:pPr>
              <w:spacing w:line="520" w:lineRule="exact"/>
              <w:rPr>
                <w:rFonts w:ascii="宋体" w:hAnsi="宋体"/>
                <w:color w:val="auto"/>
                <w:sz w:val="24"/>
                <w:highlight w:val="none"/>
              </w:rPr>
            </w:pPr>
            <w:r>
              <w:rPr>
                <w:rFonts w:hint="eastAsia" w:ascii="宋体" w:hAnsi="宋体"/>
                <w:color w:val="auto"/>
                <w:sz w:val="24"/>
                <w:highlight w:val="none"/>
              </w:rPr>
              <w:t>大写：</w:t>
            </w:r>
            <w:r>
              <w:rPr>
                <w:rFonts w:ascii="宋体" w:hAnsi="宋体"/>
                <w:color w:val="auto"/>
                <w:sz w:val="24"/>
                <w:highlight w:val="none"/>
              </w:rPr>
              <w:t xml:space="preserve">                    </w:t>
            </w:r>
            <w:r>
              <w:rPr>
                <w:rFonts w:hint="eastAsia" w:ascii="宋体" w:hAnsi="宋体"/>
                <w:color w:val="auto"/>
                <w:sz w:val="24"/>
                <w:highlight w:val="none"/>
              </w:rPr>
              <w:t>（小写：</w:t>
            </w:r>
            <w:r>
              <w:rPr>
                <w:rFonts w:ascii="宋体" w:hAnsi="宋体"/>
                <w:color w:val="auto"/>
                <w:sz w:val="24"/>
                <w:highlight w:val="none"/>
              </w:rPr>
              <w:t xml:space="preserve">           </w:t>
            </w:r>
            <w:r>
              <w:rPr>
                <w:rFonts w:hint="eastAsia" w:ascii="宋体" w:hAnsi="宋体"/>
                <w:color w:val="auto"/>
                <w:sz w:val="24"/>
                <w:highlight w:val="none"/>
              </w:rPr>
              <w:t>）</w:t>
            </w:r>
          </w:p>
        </w:tc>
      </w:tr>
    </w:tbl>
    <w:p w14:paraId="6867B153">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说明：本表费用应包含在总报价中。</w:t>
      </w:r>
    </w:p>
    <w:p w14:paraId="28DB9AB0">
      <w:pPr>
        <w:spacing w:line="360" w:lineRule="exact"/>
        <w:ind w:firstLine="240" w:firstLineChars="100"/>
        <w:rPr>
          <w:rFonts w:ascii="宋体" w:hAnsi="宋体"/>
          <w:color w:val="auto"/>
          <w:sz w:val="24"/>
          <w:highlight w:val="none"/>
        </w:rPr>
      </w:pPr>
    </w:p>
    <w:p w14:paraId="3DC40B64">
      <w:pPr>
        <w:spacing w:line="360" w:lineRule="exact"/>
        <w:ind w:firstLine="240" w:firstLineChars="100"/>
        <w:rPr>
          <w:rFonts w:ascii="宋体" w:hAnsi="宋体"/>
          <w:color w:val="auto"/>
          <w:sz w:val="24"/>
          <w:highlight w:val="none"/>
        </w:rPr>
      </w:pPr>
    </w:p>
    <w:p w14:paraId="3A8F939C">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DAA6B95">
      <w:pPr>
        <w:spacing w:line="360" w:lineRule="exact"/>
        <w:ind w:right="187"/>
        <w:rPr>
          <w:rFonts w:ascii="宋体" w:hAnsi="宋体"/>
          <w:bCs/>
          <w:color w:val="auto"/>
          <w:sz w:val="24"/>
          <w:highlight w:val="none"/>
          <w:u w:val="single"/>
        </w:rPr>
      </w:pPr>
    </w:p>
    <w:p w14:paraId="78DE8D01">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5B79F8C5">
      <w:pPr>
        <w:pStyle w:val="31"/>
        <w:spacing w:line="240" w:lineRule="auto"/>
        <w:ind w:left="0" w:leftChars="0" w:firstLine="0" w:firstLineChars="0"/>
        <w:jc w:val="right"/>
        <w:rPr>
          <w:rFonts w:ascii="宋体" w:hAnsi="宋体"/>
          <w:color w:val="auto"/>
          <w:highlight w:val="none"/>
        </w:rPr>
        <w:sectPr>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290" w:charSpace="-3931"/>
        </w:sect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p>
    <w:p w14:paraId="51236719">
      <w:pPr>
        <w:pStyle w:val="4"/>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七</w:t>
      </w:r>
      <w:r>
        <w:rPr>
          <w:rFonts w:hint="eastAsia" w:ascii="宋体" w:hAnsi="宋体"/>
          <w:b w:val="0"/>
          <w:bCs w:val="0"/>
          <w:color w:val="auto"/>
          <w:sz w:val="24"/>
          <w:szCs w:val="21"/>
          <w:highlight w:val="none"/>
        </w:rPr>
        <w:t>：质保期满后长期供应的备品备件、易损件、耗材、专用工具价格表</w:t>
      </w:r>
    </w:p>
    <w:p w14:paraId="7F421D55">
      <w:pPr>
        <w:spacing w:line="460" w:lineRule="exact"/>
        <w:jc w:val="center"/>
        <w:rPr>
          <w:rFonts w:ascii="宋体" w:hAnsi="宋体"/>
          <w:b/>
          <w:color w:val="auto"/>
          <w:sz w:val="24"/>
          <w:highlight w:val="none"/>
        </w:rPr>
      </w:pPr>
      <w:r>
        <w:rPr>
          <w:rFonts w:hint="eastAsia" w:ascii="宋体" w:hAnsi="宋体"/>
          <w:b/>
          <w:color w:val="auto"/>
          <w:sz w:val="24"/>
          <w:highlight w:val="none"/>
        </w:rPr>
        <w:t>质保期满后长期供应的备品备件、易损件、耗材、专用工具价格表</w:t>
      </w:r>
    </w:p>
    <w:p w14:paraId="16BC56ED">
      <w:pPr>
        <w:spacing w:line="360" w:lineRule="exact"/>
        <w:ind w:right="187" w:firstLine="240" w:firstLineChars="100"/>
        <w:rPr>
          <w:rFonts w:ascii="宋体" w:hAnsi="宋体"/>
          <w:color w:val="auto"/>
          <w:sz w:val="24"/>
          <w:highlight w:val="none"/>
        </w:rPr>
      </w:pPr>
      <w:r>
        <w:rPr>
          <w:rFonts w:hint="eastAsia" w:ascii="宋体" w:hAnsi="宋体"/>
          <w:color w:val="auto"/>
          <w:sz w:val="24"/>
          <w:highlight w:val="none"/>
        </w:rPr>
        <w:t>项目编号：HYHA20___-_____</w:t>
      </w:r>
    </w:p>
    <w:p w14:paraId="3B3C9836">
      <w:pPr>
        <w:spacing w:line="360" w:lineRule="exact"/>
        <w:ind w:right="187" w:firstLine="240" w:firstLineChars="100"/>
        <w:rPr>
          <w:rFonts w:ascii="宋体" w:hAnsi="宋体"/>
          <w:bCs/>
          <w:color w:val="auto"/>
          <w:sz w:val="24"/>
          <w:highlight w:val="none"/>
        </w:rPr>
      </w:pPr>
      <w:r>
        <w:rPr>
          <w:rFonts w:hint="eastAsia" w:ascii="宋体" w:hAnsi="宋体"/>
          <w:color w:val="auto"/>
          <w:sz w:val="24"/>
          <w:highlight w:val="none"/>
        </w:rPr>
        <w:t xml:space="preserve">项目名称：____________________                    </w:t>
      </w:r>
      <w:r>
        <w:rPr>
          <w:rFonts w:hint="eastAsia" w:ascii="宋体" w:hAnsi="宋体"/>
          <w:bCs/>
          <w:color w:val="auto"/>
          <w:sz w:val="24"/>
          <w:highlight w:val="none"/>
        </w:rPr>
        <w:t>包号：</w:t>
      </w:r>
    </w:p>
    <w:tbl>
      <w:tblPr>
        <w:tblStyle w:val="75"/>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14:paraId="6A11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noWrap w:val="0"/>
            <w:vAlign w:val="center"/>
          </w:tcPr>
          <w:p w14:paraId="2008D5EB">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序号</w:t>
            </w:r>
          </w:p>
        </w:tc>
        <w:tc>
          <w:tcPr>
            <w:tcW w:w="1857" w:type="dxa"/>
            <w:tcBorders>
              <w:top w:val="single" w:color="auto" w:sz="12" w:space="0"/>
            </w:tcBorders>
            <w:noWrap w:val="0"/>
            <w:vAlign w:val="center"/>
          </w:tcPr>
          <w:p w14:paraId="3446FED4">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备品备件／易损件</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耗材／专用工具</w:t>
            </w:r>
            <w:r>
              <w:rPr>
                <w:rFonts w:ascii="宋体" w:hAnsi="宋体"/>
                <w:color w:val="auto"/>
                <w:spacing w:val="-20"/>
                <w:kern w:val="2"/>
                <w:szCs w:val="21"/>
                <w:highlight w:val="none"/>
                <w:lang w:val="en-US" w:eastAsia="zh-CN"/>
              </w:rPr>
              <w:t>/</w:t>
            </w:r>
            <w:r>
              <w:rPr>
                <w:rFonts w:hint="eastAsia" w:ascii="宋体" w:hAnsi="宋体"/>
                <w:color w:val="auto"/>
                <w:spacing w:val="-20"/>
                <w:kern w:val="2"/>
                <w:szCs w:val="21"/>
                <w:highlight w:val="none"/>
                <w:lang w:val="en-US" w:eastAsia="zh-CN"/>
              </w:rPr>
              <w:t>名称</w:t>
            </w:r>
          </w:p>
        </w:tc>
        <w:tc>
          <w:tcPr>
            <w:tcW w:w="1006" w:type="dxa"/>
            <w:tcBorders>
              <w:top w:val="single" w:color="auto" w:sz="12" w:space="0"/>
            </w:tcBorders>
            <w:noWrap w:val="0"/>
            <w:vAlign w:val="center"/>
          </w:tcPr>
          <w:p w14:paraId="3A65DA0D">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生产企业</w:t>
            </w:r>
          </w:p>
        </w:tc>
        <w:tc>
          <w:tcPr>
            <w:tcW w:w="1006" w:type="dxa"/>
            <w:tcBorders>
              <w:top w:val="single" w:color="auto" w:sz="12" w:space="0"/>
            </w:tcBorders>
            <w:noWrap w:val="0"/>
            <w:vAlign w:val="center"/>
          </w:tcPr>
          <w:p w14:paraId="2E60B0A0">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型号规格</w:t>
            </w:r>
          </w:p>
        </w:tc>
        <w:tc>
          <w:tcPr>
            <w:tcW w:w="1006" w:type="dxa"/>
            <w:tcBorders>
              <w:top w:val="single" w:color="auto" w:sz="12" w:space="0"/>
            </w:tcBorders>
            <w:noWrap w:val="0"/>
            <w:vAlign w:val="center"/>
          </w:tcPr>
          <w:p w14:paraId="2EC92500">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数</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量</w:t>
            </w:r>
          </w:p>
        </w:tc>
        <w:tc>
          <w:tcPr>
            <w:tcW w:w="1124" w:type="dxa"/>
            <w:tcBorders>
              <w:top w:val="single" w:color="auto" w:sz="12" w:space="0"/>
            </w:tcBorders>
            <w:noWrap w:val="0"/>
            <w:vAlign w:val="center"/>
          </w:tcPr>
          <w:p w14:paraId="3E2C7F29">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位</w:t>
            </w:r>
          </w:p>
        </w:tc>
        <w:tc>
          <w:tcPr>
            <w:tcW w:w="866" w:type="dxa"/>
            <w:tcBorders>
              <w:top w:val="single" w:color="auto" w:sz="12" w:space="0"/>
            </w:tcBorders>
            <w:noWrap w:val="0"/>
            <w:vAlign w:val="center"/>
          </w:tcPr>
          <w:p w14:paraId="3592E60F">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单</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价</w:t>
            </w:r>
          </w:p>
        </w:tc>
        <w:tc>
          <w:tcPr>
            <w:tcW w:w="1087" w:type="dxa"/>
            <w:tcBorders>
              <w:top w:val="single" w:color="auto" w:sz="12" w:space="0"/>
            </w:tcBorders>
            <w:noWrap w:val="0"/>
            <w:vAlign w:val="center"/>
          </w:tcPr>
          <w:p w14:paraId="3BE7BC24">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总价（元）</w:t>
            </w:r>
          </w:p>
        </w:tc>
        <w:tc>
          <w:tcPr>
            <w:tcW w:w="805" w:type="dxa"/>
            <w:tcBorders>
              <w:top w:val="single" w:color="auto" w:sz="12" w:space="0"/>
              <w:right w:val="single" w:color="auto" w:sz="12" w:space="0"/>
            </w:tcBorders>
            <w:noWrap w:val="0"/>
            <w:vAlign w:val="center"/>
          </w:tcPr>
          <w:p w14:paraId="0EC637C6">
            <w:pPr>
              <w:pStyle w:val="19"/>
              <w:adjustRightInd w:val="0"/>
              <w:snapToGrid w:val="0"/>
              <w:spacing w:line="300" w:lineRule="exact"/>
              <w:ind w:firstLine="0" w:firstLineChars="0"/>
              <w:jc w:val="center"/>
              <w:rPr>
                <w:rFonts w:ascii="宋体" w:hAnsi="宋体"/>
                <w:color w:val="auto"/>
                <w:spacing w:val="-20"/>
                <w:kern w:val="2"/>
                <w:szCs w:val="21"/>
                <w:highlight w:val="none"/>
                <w:lang w:val="en-US" w:eastAsia="zh-CN"/>
              </w:rPr>
            </w:pPr>
            <w:r>
              <w:rPr>
                <w:rFonts w:hint="eastAsia" w:ascii="宋体" w:hAnsi="宋体"/>
                <w:color w:val="auto"/>
                <w:spacing w:val="-20"/>
                <w:kern w:val="2"/>
                <w:szCs w:val="21"/>
                <w:highlight w:val="none"/>
                <w:lang w:val="en-US" w:eastAsia="zh-CN"/>
              </w:rPr>
              <w:t>备</w:t>
            </w:r>
            <w:r>
              <w:rPr>
                <w:rFonts w:ascii="宋体" w:hAnsi="宋体"/>
                <w:color w:val="auto"/>
                <w:spacing w:val="-20"/>
                <w:kern w:val="2"/>
                <w:szCs w:val="21"/>
                <w:highlight w:val="none"/>
                <w:lang w:val="en-US" w:eastAsia="zh-CN"/>
              </w:rPr>
              <w:t xml:space="preserve"> </w:t>
            </w:r>
            <w:r>
              <w:rPr>
                <w:rFonts w:hint="eastAsia" w:ascii="宋体" w:hAnsi="宋体"/>
                <w:color w:val="auto"/>
                <w:spacing w:val="-20"/>
                <w:kern w:val="2"/>
                <w:szCs w:val="21"/>
                <w:highlight w:val="none"/>
                <w:lang w:val="en-US" w:eastAsia="zh-CN"/>
              </w:rPr>
              <w:t>注</w:t>
            </w:r>
          </w:p>
        </w:tc>
      </w:tr>
      <w:tr w14:paraId="637E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408BBF60">
            <w:pPr>
              <w:spacing w:line="520" w:lineRule="exact"/>
              <w:rPr>
                <w:rFonts w:ascii="宋体" w:hAnsi="宋体"/>
                <w:color w:val="auto"/>
                <w:sz w:val="24"/>
                <w:highlight w:val="none"/>
              </w:rPr>
            </w:pPr>
          </w:p>
        </w:tc>
        <w:tc>
          <w:tcPr>
            <w:tcW w:w="1857" w:type="dxa"/>
            <w:noWrap w:val="0"/>
            <w:vAlign w:val="top"/>
          </w:tcPr>
          <w:p w14:paraId="48EE2D91">
            <w:pPr>
              <w:spacing w:line="520" w:lineRule="exact"/>
              <w:rPr>
                <w:rFonts w:ascii="宋体" w:hAnsi="宋体"/>
                <w:color w:val="auto"/>
                <w:sz w:val="24"/>
                <w:highlight w:val="none"/>
              </w:rPr>
            </w:pPr>
          </w:p>
        </w:tc>
        <w:tc>
          <w:tcPr>
            <w:tcW w:w="1006" w:type="dxa"/>
            <w:noWrap w:val="0"/>
            <w:vAlign w:val="top"/>
          </w:tcPr>
          <w:p w14:paraId="5AB05E1F">
            <w:pPr>
              <w:spacing w:line="520" w:lineRule="exact"/>
              <w:rPr>
                <w:rFonts w:ascii="宋体" w:hAnsi="宋体"/>
                <w:color w:val="auto"/>
                <w:sz w:val="24"/>
                <w:highlight w:val="none"/>
              </w:rPr>
            </w:pPr>
          </w:p>
        </w:tc>
        <w:tc>
          <w:tcPr>
            <w:tcW w:w="1006" w:type="dxa"/>
            <w:noWrap w:val="0"/>
            <w:vAlign w:val="top"/>
          </w:tcPr>
          <w:p w14:paraId="0C7383DA">
            <w:pPr>
              <w:spacing w:line="520" w:lineRule="exact"/>
              <w:rPr>
                <w:rFonts w:ascii="宋体" w:hAnsi="宋体"/>
                <w:color w:val="auto"/>
                <w:sz w:val="24"/>
                <w:highlight w:val="none"/>
              </w:rPr>
            </w:pPr>
          </w:p>
        </w:tc>
        <w:tc>
          <w:tcPr>
            <w:tcW w:w="1006" w:type="dxa"/>
            <w:noWrap w:val="0"/>
            <w:vAlign w:val="top"/>
          </w:tcPr>
          <w:p w14:paraId="421BDFEB">
            <w:pPr>
              <w:spacing w:line="520" w:lineRule="exact"/>
              <w:rPr>
                <w:rFonts w:ascii="宋体" w:hAnsi="宋体"/>
                <w:color w:val="auto"/>
                <w:sz w:val="24"/>
                <w:highlight w:val="none"/>
              </w:rPr>
            </w:pPr>
          </w:p>
        </w:tc>
        <w:tc>
          <w:tcPr>
            <w:tcW w:w="1124" w:type="dxa"/>
            <w:noWrap w:val="0"/>
            <w:vAlign w:val="top"/>
          </w:tcPr>
          <w:p w14:paraId="4C96BAFF">
            <w:pPr>
              <w:spacing w:line="520" w:lineRule="exact"/>
              <w:rPr>
                <w:rFonts w:ascii="宋体" w:hAnsi="宋体"/>
                <w:color w:val="auto"/>
                <w:sz w:val="24"/>
                <w:highlight w:val="none"/>
              </w:rPr>
            </w:pPr>
          </w:p>
        </w:tc>
        <w:tc>
          <w:tcPr>
            <w:tcW w:w="866" w:type="dxa"/>
            <w:noWrap w:val="0"/>
            <w:vAlign w:val="top"/>
          </w:tcPr>
          <w:p w14:paraId="4A6A6065">
            <w:pPr>
              <w:spacing w:line="520" w:lineRule="exact"/>
              <w:rPr>
                <w:rFonts w:ascii="宋体" w:hAnsi="宋体"/>
                <w:color w:val="auto"/>
                <w:sz w:val="24"/>
                <w:highlight w:val="none"/>
              </w:rPr>
            </w:pPr>
          </w:p>
        </w:tc>
        <w:tc>
          <w:tcPr>
            <w:tcW w:w="1087" w:type="dxa"/>
            <w:noWrap w:val="0"/>
            <w:vAlign w:val="top"/>
          </w:tcPr>
          <w:p w14:paraId="1A764639">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2690064C">
            <w:pPr>
              <w:spacing w:line="520" w:lineRule="exact"/>
              <w:rPr>
                <w:rFonts w:ascii="宋体" w:hAnsi="宋体"/>
                <w:color w:val="auto"/>
                <w:sz w:val="24"/>
                <w:highlight w:val="none"/>
              </w:rPr>
            </w:pPr>
          </w:p>
        </w:tc>
      </w:tr>
      <w:tr w14:paraId="0494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8244674">
            <w:pPr>
              <w:spacing w:line="520" w:lineRule="exact"/>
              <w:rPr>
                <w:rFonts w:ascii="宋体" w:hAnsi="宋体"/>
                <w:color w:val="auto"/>
                <w:sz w:val="24"/>
                <w:highlight w:val="none"/>
              </w:rPr>
            </w:pPr>
          </w:p>
        </w:tc>
        <w:tc>
          <w:tcPr>
            <w:tcW w:w="1857" w:type="dxa"/>
            <w:noWrap w:val="0"/>
            <w:vAlign w:val="top"/>
          </w:tcPr>
          <w:p w14:paraId="1A6F44B6">
            <w:pPr>
              <w:spacing w:line="520" w:lineRule="exact"/>
              <w:rPr>
                <w:rFonts w:ascii="宋体" w:hAnsi="宋体"/>
                <w:color w:val="auto"/>
                <w:sz w:val="24"/>
                <w:highlight w:val="none"/>
              </w:rPr>
            </w:pPr>
          </w:p>
        </w:tc>
        <w:tc>
          <w:tcPr>
            <w:tcW w:w="1006" w:type="dxa"/>
            <w:noWrap w:val="0"/>
            <w:vAlign w:val="top"/>
          </w:tcPr>
          <w:p w14:paraId="140300E6">
            <w:pPr>
              <w:spacing w:line="520" w:lineRule="exact"/>
              <w:rPr>
                <w:rFonts w:ascii="宋体" w:hAnsi="宋体"/>
                <w:color w:val="auto"/>
                <w:sz w:val="24"/>
                <w:highlight w:val="none"/>
              </w:rPr>
            </w:pPr>
          </w:p>
        </w:tc>
        <w:tc>
          <w:tcPr>
            <w:tcW w:w="1006" w:type="dxa"/>
            <w:noWrap w:val="0"/>
            <w:vAlign w:val="top"/>
          </w:tcPr>
          <w:p w14:paraId="3780FDB7">
            <w:pPr>
              <w:spacing w:line="520" w:lineRule="exact"/>
              <w:rPr>
                <w:rFonts w:ascii="宋体" w:hAnsi="宋体"/>
                <w:color w:val="auto"/>
                <w:sz w:val="24"/>
                <w:highlight w:val="none"/>
              </w:rPr>
            </w:pPr>
          </w:p>
        </w:tc>
        <w:tc>
          <w:tcPr>
            <w:tcW w:w="1006" w:type="dxa"/>
            <w:noWrap w:val="0"/>
            <w:vAlign w:val="top"/>
          </w:tcPr>
          <w:p w14:paraId="34202078">
            <w:pPr>
              <w:spacing w:line="520" w:lineRule="exact"/>
              <w:rPr>
                <w:rFonts w:ascii="宋体" w:hAnsi="宋体"/>
                <w:color w:val="auto"/>
                <w:sz w:val="24"/>
                <w:highlight w:val="none"/>
              </w:rPr>
            </w:pPr>
          </w:p>
        </w:tc>
        <w:tc>
          <w:tcPr>
            <w:tcW w:w="1124" w:type="dxa"/>
            <w:noWrap w:val="0"/>
            <w:vAlign w:val="top"/>
          </w:tcPr>
          <w:p w14:paraId="4BC265D5">
            <w:pPr>
              <w:spacing w:line="520" w:lineRule="exact"/>
              <w:rPr>
                <w:rFonts w:ascii="宋体" w:hAnsi="宋体"/>
                <w:color w:val="auto"/>
                <w:sz w:val="24"/>
                <w:highlight w:val="none"/>
              </w:rPr>
            </w:pPr>
          </w:p>
        </w:tc>
        <w:tc>
          <w:tcPr>
            <w:tcW w:w="866" w:type="dxa"/>
            <w:noWrap w:val="0"/>
            <w:vAlign w:val="top"/>
          </w:tcPr>
          <w:p w14:paraId="60FA4308">
            <w:pPr>
              <w:spacing w:line="520" w:lineRule="exact"/>
              <w:rPr>
                <w:rFonts w:ascii="宋体" w:hAnsi="宋体"/>
                <w:color w:val="auto"/>
                <w:sz w:val="24"/>
                <w:highlight w:val="none"/>
              </w:rPr>
            </w:pPr>
          </w:p>
        </w:tc>
        <w:tc>
          <w:tcPr>
            <w:tcW w:w="1087" w:type="dxa"/>
            <w:noWrap w:val="0"/>
            <w:vAlign w:val="top"/>
          </w:tcPr>
          <w:p w14:paraId="222E9515">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2A312C00">
            <w:pPr>
              <w:spacing w:line="520" w:lineRule="exact"/>
              <w:rPr>
                <w:rFonts w:ascii="宋体" w:hAnsi="宋体"/>
                <w:color w:val="auto"/>
                <w:sz w:val="24"/>
                <w:highlight w:val="none"/>
              </w:rPr>
            </w:pPr>
          </w:p>
        </w:tc>
      </w:tr>
      <w:tr w14:paraId="634A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788B1AC8">
            <w:pPr>
              <w:spacing w:line="520" w:lineRule="exact"/>
              <w:rPr>
                <w:rFonts w:ascii="宋体" w:hAnsi="宋体"/>
                <w:color w:val="auto"/>
                <w:sz w:val="24"/>
                <w:highlight w:val="none"/>
              </w:rPr>
            </w:pPr>
          </w:p>
        </w:tc>
        <w:tc>
          <w:tcPr>
            <w:tcW w:w="1857" w:type="dxa"/>
            <w:noWrap w:val="0"/>
            <w:vAlign w:val="top"/>
          </w:tcPr>
          <w:p w14:paraId="3A1F77B5">
            <w:pPr>
              <w:spacing w:line="520" w:lineRule="exact"/>
              <w:rPr>
                <w:rFonts w:ascii="宋体" w:hAnsi="宋体"/>
                <w:color w:val="auto"/>
                <w:sz w:val="24"/>
                <w:highlight w:val="none"/>
              </w:rPr>
            </w:pPr>
          </w:p>
        </w:tc>
        <w:tc>
          <w:tcPr>
            <w:tcW w:w="1006" w:type="dxa"/>
            <w:noWrap w:val="0"/>
            <w:vAlign w:val="top"/>
          </w:tcPr>
          <w:p w14:paraId="28901A5F">
            <w:pPr>
              <w:spacing w:line="520" w:lineRule="exact"/>
              <w:rPr>
                <w:rFonts w:ascii="宋体" w:hAnsi="宋体"/>
                <w:color w:val="auto"/>
                <w:sz w:val="24"/>
                <w:highlight w:val="none"/>
              </w:rPr>
            </w:pPr>
          </w:p>
        </w:tc>
        <w:tc>
          <w:tcPr>
            <w:tcW w:w="1006" w:type="dxa"/>
            <w:noWrap w:val="0"/>
            <w:vAlign w:val="top"/>
          </w:tcPr>
          <w:p w14:paraId="578620DD">
            <w:pPr>
              <w:spacing w:line="520" w:lineRule="exact"/>
              <w:rPr>
                <w:rFonts w:ascii="宋体" w:hAnsi="宋体"/>
                <w:color w:val="auto"/>
                <w:sz w:val="24"/>
                <w:highlight w:val="none"/>
              </w:rPr>
            </w:pPr>
          </w:p>
        </w:tc>
        <w:tc>
          <w:tcPr>
            <w:tcW w:w="1006" w:type="dxa"/>
            <w:noWrap w:val="0"/>
            <w:vAlign w:val="top"/>
          </w:tcPr>
          <w:p w14:paraId="5796B022">
            <w:pPr>
              <w:spacing w:line="520" w:lineRule="exact"/>
              <w:rPr>
                <w:rFonts w:ascii="宋体" w:hAnsi="宋体"/>
                <w:color w:val="auto"/>
                <w:sz w:val="24"/>
                <w:highlight w:val="none"/>
              </w:rPr>
            </w:pPr>
          </w:p>
        </w:tc>
        <w:tc>
          <w:tcPr>
            <w:tcW w:w="1124" w:type="dxa"/>
            <w:noWrap w:val="0"/>
            <w:vAlign w:val="top"/>
          </w:tcPr>
          <w:p w14:paraId="25A695A1">
            <w:pPr>
              <w:spacing w:line="520" w:lineRule="exact"/>
              <w:rPr>
                <w:rFonts w:ascii="宋体" w:hAnsi="宋体"/>
                <w:color w:val="auto"/>
                <w:sz w:val="24"/>
                <w:highlight w:val="none"/>
              </w:rPr>
            </w:pPr>
          </w:p>
        </w:tc>
        <w:tc>
          <w:tcPr>
            <w:tcW w:w="866" w:type="dxa"/>
            <w:noWrap w:val="0"/>
            <w:vAlign w:val="top"/>
          </w:tcPr>
          <w:p w14:paraId="6F5794AA">
            <w:pPr>
              <w:spacing w:line="520" w:lineRule="exact"/>
              <w:rPr>
                <w:rFonts w:ascii="宋体" w:hAnsi="宋体"/>
                <w:color w:val="auto"/>
                <w:sz w:val="24"/>
                <w:highlight w:val="none"/>
              </w:rPr>
            </w:pPr>
          </w:p>
        </w:tc>
        <w:tc>
          <w:tcPr>
            <w:tcW w:w="1087" w:type="dxa"/>
            <w:noWrap w:val="0"/>
            <w:vAlign w:val="top"/>
          </w:tcPr>
          <w:p w14:paraId="6977B4BA">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314ADB95">
            <w:pPr>
              <w:spacing w:line="520" w:lineRule="exact"/>
              <w:rPr>
                <w:rFonts w:ascii="宋体" w:hAnsi="宋体"/>
                <w:color w:val="auto"/>
                <w:sz w:val="24"/>
                <w:highlight w:val="none"/>
              </w:rPr>
            </w:pPr>
          </w:p>
        </w:tc>
      </w:tr>
      <w:tr w14:paraId="1236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354EDF6">
            <w:pPr>
              <w:spacing w:line="520" w:lineRule="exact"/>
              <w:rPr>
                <w:rFonts w:ascii="宋体" w:hAnsi="宋体"/>
                <w:color w:val="auto"/>
                <w:sz w:val="24"/>
                <w:highlight w:val="none"/>
              </w:rPr>
            </w:pPr>
          </w:p>
        </w:tc>
        <w:tc>
          <w:tcPr>
            <w:tcW w:w="1857" w:type="dxa"/>
            <w:noWrap w:val="0"/>
            <w:vAlign w:val="top"/>
          </w:tcPr>
          <w:p w14:paraId="00B41E75">
            <w:pPr>
              <w:spacing w:line="520" w:lineRule="exact"/>
              <w:rPr>
                <w:rFonts w:ascii="宋体" w:hAnsi="宋体"/>
                <w:color w:val="auto"/>
                <w:sz w:val="24"/>
                <w:highlight w:val="none"/>
              </w:rPr>
            </w:pPr>
          </w:p>
        </w:tc>
        <w:tc>
          <w:tcPr>
            <w:tcW w:w="1006" w:type="dxa"/>
            <w:noWrap w:val="0"/>
            <w:vAlign w:val="top"/>
          </w:tcPr>
          <w:p w14:paraId="636D66CA">
            <w:pPr>
              <w:spacing w:line="520" w:lineRule="exact"/>
              <w:rPr>
                <w:rFonts w:ascii="宋体" w:hAnsi="宋体"/>
                <w:color w:val="auto"/>
                <w:sz w:val="24"/>
                <w:highlight w:val="none"/>
              </w:rPr>
            </w:pPr>
          </w:p>
        </w:tc>
        <w:tc>
          <w:tcPr>
            <w:tcW w:w="1006" w:type="dxa"/>
            <w:noWrap w:val="0"/>
            <w:vAlign w:val="top"/>
          </w:tcPr>
          <w:p w14:paraId="67A9CEE2">
            <w:pPr>
              <w:spacing w:line="520" w:lineRule="exact"/>
              <w:rPr>
                <w:rFonts w:ascii="宋体" w:hAnsi="宋体"/>
                <w:color w:val="auto"/>
                <w:sz w:val="24"/>
                <w:highlight w:val="none"/>
              </w:rPr>
            </w:pPr>
          </w:p>
        </w:tc>
        <w:tc>
          <w:tcPr>
            <w:tcW w:w="1006" w:type="dxa"/>
            <w:noWrap w:val="0"/>
            <w:vAlign w:val="top"/>
          </w:tcPr>
          <w:p w14:paraId="0963BDBB">
            <w:pPr>
              <w:spacing w:line="520" w:lineRule="exact"/>
              <w:rPr>
                <w:rFonts w:ascii="宋体" w:hAnsi="宋体"/>
                <w:color w:val="auto"/>
                <w:sz w:val="24"/>
                <w:highlight w:val="none"/>
              </w:rPr>
            </w:pPr>
          </w:p>
        </w:tc>
        <w:tc>
          <w:tcPr>
            <w:tcW w:w="1124" w:type="dxa"/>
            <w:noWrap w:val="0"/>
            <w:vAlign w:val="top"/>
          </w:tcPr>
          <w:p w14:paraId="1B420A35">
            <w:pPr>
              <w:spacing w:line="520" w:lineRule="exact"/>
              <w:rPr>
                <w:rFonts w:ascii="宋体" w:hAnsi="宋体"/>
                <w:color w:val="auto"/>
                <w:sz w:val="24"/>
                <w:highlight w:val="none"/>
              </w:rPr>
            </w:pPr>
          </w:p>
        </w:tc>
        <w:tc>
          <w:tcPr>
            <w:tcW w:w="866" w:type="dxa"/>
            <w:noWrap w:val="0"/>
            <w:vAlign w:val="top"/>
          </w:tcPr>
          <w:p w14:paraId="3D5042C9">
            <w:pPr>
              <w:spacing w:line="520" w:lineRule="exact"/>
              <w:rPr>
                <w:rFonts w:ascii="宋体" w:hAnsi="宋体"/>
                <w:color w:val="auto"/>
                <w:sz w:val="24"/>
                <w:highlight w:val="none"/>
              </w:rPr>
            </w:pPr>
          </w:p>
        </w:tc>
        <w:tc>
          <w:tcPr>
            <w:tcW w:w="1087" w:type="dxa"/>
            <w:noWrap w:val="0"/>
            <w:vAlign w:val="top"/>
          </w:tcPr>
          <w:p w14:paraId="356B54E7">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FB10984">
            <w:pPr>
              <w:spacing w:line="520" w:lineRule="exact"/>
              <w:rPr>
                <w:rFonts w:ascii="宋体" w:hAnsi="宋体"/>
                <w:color w:val="auto"/>
                <w:sz w:val="24"/>
                <w:highlight w:val="none"/>
              </w:rPr>
            </w:pPr>
          </w:p>
        </w:tc>
      </w:tr>
      <w:tr w14:paraId="16C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3F5BD78B">
            <w:pPr>
              <w:spacing w:line="520" w:lineRule="exact"/>
              <w:rPr>
                <w:rFonts w:ascii="宋体" w:hAnsi="宋体"/>
                <w:color w:val="auto"/>
                <w:sz w:val="24"/>
                <w:highlight w:val="none"/>
              </w:rPr>
            </w:pPr>
          </w:p>
        </w:tc>
        <w:tc>
          <w:tcPr>
            <w:tcW w:w="1857" w:type="dxa"/>
            <w:noWrap w:val="0"/>
            <w:vAlign w:val="top"/>
          </w:tcPr>
          <w:p w14:paraId="3E1572C6">
            <w:pPr>
              <w:spacing w:line="520" w:lineRule="exact"/>
              <w:rPr>
                <w:rFonts w:ascii="宋体" w:hAnsi="宋体"/>
                <w:color w:val="auto"/>
                <w:sz w:val="24"/>
                <w:highlight w:val="none"/>
              </w:rPr>
            </w:pPr>
          </w:p>
        </w:tc>
        <w:tc>
          <w:tcPr>
            <w:tcW w:w="1006" w:type="dxa"/>
            <w:noWrap w:val="0"/>
            <w:vAlign w:val="top"/>
          </w:tcPr>
          <w:p w14:paraId="7E697BC6">
            <w:pPr>
              <w:spacing w:line="520" w:lineRule="exact"/>
              <w:rPr>
                <w:rFonts w:ascii="宋体" w:hAnsi="宋体"/>
                <w:color w:val="auto"/>
                <w:sz w:val="24"/>
                <w:highlight w:val="none"/>
              </w:rPr>
            </w:pPr>
          </w:p>
        </w:tc>
        <w:tc>
          <w:tcPr>
            <w:tcW w:w="1006" w:type="dxa"/>
            <w:noWrap w:val="0"/>
            <w:vAlign w:val="top"/>
          </w:tcPr>
          <w:p w14:paraId="77126DF4">
            <w:pPr>
              <w:spacing w:line="520" w:lineRule="exact"/>
              <w:rPr>
                <w:rFonts w:ascii="宋体" w:hAnsi="宋体"/>
                <w:color w:val="auto"/>
                <w:sz w:val="24"/>
                <w:highlight w:val="none"/>
              </w:rPr>
            </w:pPr>
          </w:p>
        </w:tc>
        <w:tc>
          <w:tcPr>
            <w:tcW w:w="1006" w:type="dxa"/>
            <w:noWrap w:val="0"/>
            <w:vAlign w:val="top"/>
          </w:tcPr>
          <w:p w14:paraId="41B7CE27">
            <w:pPr>
              <w:spacing w:line="520" w:lineRule="exact"/>
              <w:rPr>
                <w:rFonts w:ascii="宋体" w:hAnsi="宋体"/>
                <w:color w:val="auto"/>
                <w:sz w:val="24"/>
                <w:highlight w:val="none"/>
              </w:rPr>
            </w:pPr>
          </w:p>
        </w:tc>
        <w:tc>
          <w:tcPr>
            <w:tcW w:w="1124" w:type="dxa"/>
            <w:noWrap w:val="0"/>
            <w:vAlign w:val="top"/>
          </w:tcPr>
          <w:p w14:paraId="2C8E533A">
            <w:pPr>
              <w:spacing w:line="520" w:lineRule="exact"/>
              <w:rPr>
                <w:rFonts w:ascii="宋体" w:hAnsi="宋体"/>
                <w:color w:val="auto"/>
                <w:sz w:val="24"/>
                <w:highlight w:val="none"/>
              </w:rPr>
            </w:pPr>
          </w:p>
        </w:tc>
        <w:tc>
          <w:tcPr>
            <w:tcW w:w="866" w:type="dxa"/>
            <w:noWrap w:val="0"/>
            <w:vAlign w:val="top"/>
          </w:tcPr>
          <w:p w14:paraId="2AF00C6E">
            <w:pPr>
              <w:spacing w:line="520" w:lineRule="exact"/>
              <w:rPr>
                <w:rFonts w:ascii="宋体" w:hAnsi="宋体"/>
                <w:color w:val="auto"/>
                <w:sz w:val="24"/>
                <w:highlight w:val="none"/>
              </w:rPr>
            </w:pPr>
          </w:p>
        </w:tc>
        <w:tc>
          <w:tcPr>
            <w:tcW w:w="1087" w:type="dxa"/>
            <w:noWrap w:val="0"/>
            <w:vAlign w:val="top"/>
          </w:tcPr>
          <w:p w14:paraId="4A8FF42C">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443DC05E">
            <w:pPr>
              <w:spacing w:line="520" w:lineRule="exact"/>
              <w:rPr>
                <w:rFonts w:ascii="宋体" w:hAnsi="宋体"/>
                <w:color w:val="auto"/>
                <w:sz w:val="24"/>
                <w:highlight w:val="none"/>
              </w:rPr>
            </w:pPr>
          </w:p>
        </w:tc>
      </w:tr>
      <w:tr w14:paraId="6CA3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tcBorders>
            <w:noWrap w:val="0"/>
            <w:vAlign w:val="top"/>
          </w:tcPr>
          <w:p w14:paraId="420F352F">
            <w:pPr>
              <w:spacing w:line="520" w:lineRule="exact"/>
              <w:rPr>
                <w:rFonts w:ascii="宋体" w:hAnsi="宋体"/>
                <w:color w:val="auto"/>
                <w:sz w:val="24"/>
                <w:highlight w:val="none"/>
              </w:rPr>
            </w:pPr>
          </w:p>
        </w:tc>
        <w:tc>
          <w:tcPr>
            <w:tcW w:w="1857" w:type="dxa"/>
            <w:noWrap w:val="0"/>
            <w:vAlign w:val="top"/>
          </w:tcPr>
          <w:p w14:paraId="478D3C25">
            <w:pPr>
              <w:spacing w:line="520" w:lineRule="exact"/>
              <w:rPr>
                <w:rFonts w:ascii="宋体" w:hAnsi="宋体"/>
                <w:color w:val="auto"/>
                <w:sz w:val="24"/>
                <w:highlight w:val="none"/>
              </w:rPr>
            </w:pPr>
          </w:p>
        </w:tc>
        <w:tc>
          <w:tcPr>
            <w:tcW w:w="1006" w:type="dxa"/>
            <w:noWrap w:val="0"/>
            <w:vAlign w:val="top"/>
          </w:tcPr>
          <w:p w14:paraId="6A58D512">
            <w:pPr>
              <w:spacing w:line="520" w:lineRule="exact"/>
              <w:rPr>
                <w:rFonts w:ascii="宋体" w:hAnsi="宋体"/>
                <w:color w:val="auto"/>
                <w:sz w:val="24"/>
                <w:highlight w:val="none"/>
              </w:rPr>
            </w:pPr>
          </w:p>
        </w:tc>
        <w:tc>
          <w:tcPr>
            <w:tcW w:w="1006" w:type="dxa"/>
            <w:noWrap w:val="0"/>
            <w:vAlign w:val="top"/>
          </w:tcPr>
          <w:p w14:paraId="2B6FB142">
            <w:pPr>
              <w:spacing w:line="520" w:lineRule="exact"/>
              <w:rPr>
                <w:rFonts w:ascii="宋体" w:hAnsi="宋体"/>
                <w:color w:val="auto"/>
                <w:sz w:val="24"/>
                <w:highlight w:val="none"/>
              </w:rPr>
            </w:pPr>
          </w:p>
        </w:tc>
        <w:tc>
          <w:tcPr>
            <w:tcW w:w="1006" w:type="dxa"/>
            <w:noWrap w:val="0"/>
            <w:vAlign w:val="top"/>
          </w:tcPr>
          <w:p w14:paraId="067348C1">
            <w:pPr>
              <w:spacing w:line="520" w:lineRule="exact"/>
              <w:rPr>
                <w:rFonts w:ascii="宋体" w:hAnsi="宋体"/>
                <w:color w:val="auto"/>
                <w:sz w:val="24"/>
                <w:highlight w:val="none"/>
              </w:rPr>
            </w:pPr>
          </w:p>
        </w:tc>
        <w:tc>
          <w:tcPr>
            <w:tcW w:w="1124" w:type="dxa"/>
            <w:noWrap w:val="0"/>
            <w:vAlign w:val="top"/>
          </w:tcPr>
          <w:p w14:paraId="525CAEB5">
            <w:pPr>
              <w:spacing w:line="520" w:lineRule="exact"/>
              <w:rPr>
                <w:rFonts w:ascii="宋体" w:hAnsi="宋体"/>
                <w:color w:val="auto"/>
                <w:sz w:val="24"/>
                <w:highlight w:val="none"/>
              </w:rPr>
            </w:pPr>
          </w:p>
        </w:tc>
        <w:tc>
          <w:tcPr>
            <w:tcW w:w="866" w:type="dxa"/>
            <w:noWrap w:val="0"/>
            <w:vAlign w:val="top"/>
          </w:tcPr>
          <w:p w14:paraId="4D5FA1E0">
            <w:pPr>
              <w:spacing w:line="520" w:lineRule="exact"/>
              <w:rPr>
                <w:rFonts w:ascii="宋体" w:hAnsi="宋体"/>
                <w:color w:val="auto"/>
                <w:sz w:val="24"/>
                <w:highlight w:val="none"/>
              </w:rPr>
            </w:pPr>
          </w:p>
        </w:tc>
        <w:tc>
          <w:tcPr>
            <w:tcW w:w="1087" w:type="dxa"/>
            <w:noWrap w:val="0"/>
            <w:vAlign w:val="top"/>
          </w:tcPr>
          <w:p w14:paraId="53A87CF1">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1F3F12C0">
            <w:pPr>
              <w:spacing w:line="520" w:lineRule="exact"/>
              <w:rPr>
                <w:rFonts w:ascii="宋体" w:hAnsi="宋体"/>
                <w:color w:val="auto"/>
                <w:sz w:val="24"/>
                <w:highlight w:val="none"/>
              </w:rPr>
            </w:pPr>
          </w:p>
        </w:tc>
      </w:tr>
      <w:tr w14:paraId="39EF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00AC51DD">
            <w:pPr>
              <w:spacing w:line="520" w:lineRule="exact"/>
              <w:rPr>
                <w:rFonts w:ascii="宋体" w:hAnsi="宋体"/>
                <w:color w:val="auto"/>
                <w:sz w:val="24"/>
                <w:highlight w:val="none"/>
              </w:rPr>
            </w:pPr>
          </w:p>
        </w:tc>
        <w:tc>
          <w:tcPr>
            <w:tcW w:w="1857" w:type="dxa"/>
            <w:noWrap w:val="0"/>
            <w:vAlign w:val="top"/>
          </w:tcPr>
          <w:p w14:paraId="5E470862">
            <w:pPr>
              <w:spacing w:line="520" w:lineRule="exact"/>
              <w:rPr>
                <w:rFonts w:ascii="宋体" w:hAnsi="宋体"/>
                <w:color w:val="auto"/>
                <w:sz w:val="24"/>
                <w:highlight w:val="none"/>
              </w:rPr>
            </w:pPr>
          </w:p>
        </w:tc>
        <w:tc>
          <w:tcPr>
            <w:tcW w:w="1006" w:type="dxa"/>
            <w:noWrap w:val="0"/>
            <w:vAlign w:val="top"/>
          </w:tcPr>
          <w:p w14:paraId="4D95025A">
            <w:pPr>
              <w:spacing w:line="520" w:lineRule="exact"/>
              <w:rPr>
                <w:rFonts w:ascii="宋体" w:hAnsi="宋体"/>
                <w:color w:val="auto"/>
                <w:sz w:val="24"/>
                <w:highlight w:val="none"/>
              </w:rPr>
            </w:pPr>
          </w:p>
        </w:tc>
        <w:tc>
          <w:tcPr>
            <w:tcW w:w="1006" w:type="dxa"/>
            <w:noWrap w:val="0"/>
            <w:vAlign w:val="top"/>
          </w:tcPr>
          <w:p w14:paraId="4935FDFE">
            <w:pPr>
              <w:spacing w:line="520" w:lineRule="exact"/>
              <w:rPr>
                <w:rFonts w:ascii="宋体" w:hAnsi="宋体"/>
                <w:color w:val="auto"/>
                <w:sz w:val="24"/>
                <w:highlight w:val="none"/>
              </w:rPr>
            </w:pPr>
          </w:p>
        </w:tc>
        <w:tc>
          <w:tcPr>
            <w:tcW w:w="1006" w:type="dxa"/>
            <w:noWrap w:val="0"/>
            <w:vAlign w:val="top"/>
          </w:tcPr>
          <w:p w14:paraId="21C7C010">
            <w:pPr>
              <w:spacing w:line="520" w:lineRule="exact"/>
              <w:rPr>
                <w:rFonts w:ascii="宋体" w:hAnsi="宋体"/>
                <w:color w:val="auto"/>
                <w:sz w:val="24"/>
                <w:highlight w:val="none"/>
              </w:rPr>
            </w:pPr>
          </w:p>
        </w:tc>
        <w:tc>
          <w:tcPr>
            <w:tcW w:w="1124" w:type="dxa"/>
            <w:noWrap w:val="0"/>
            <w:vAlign w:val="top"/>
          </w:tcPr>
          <w:p w14:paraId="268BE1A5">
            <w:pPr>
              <w:spacing w:line="520" w:lineRule="exact"/>
              <w:rPr>
                <w:rFonts w:ascii="宋体" w:hAnsi="宋体"/>
                <w:color w:val="auto"/>
                <w:sz w:val="24"/>
                <w:highlight w:val="none"/>
              </w:rPr>
            </w:pPr>
          </w:p>
        </w:tc>
        <w:tc>
          <w:tcPr>
            <w:tcW w:w="866" w:type="dxa"/>
            <w:noWrap w:val="0"/>
            <w:vAlign w:val="top"/>
          </w:tcPr>
          <w:p w14:paraId="0DDFFFA0">
            <w:pPr>
              <w:spacing w:line="520" w:lineRule="exact"/>
              <w:rPr>
                <w:rFonts w:ascii="宋体" w:hAnsi="宋体"/>
                <w:color w:val="auto"/>
                <w:sz w:val="24"/>
                <w:highlight w:val="none"/>
              </w:rPr>
            </w:pPr>
          </w:p>
        </w:tc>
        <w:tc>
          <w:tcPr>
            <w:tcW w:w="1087" w:type="dxa"/>
            <w:noWrap w:val="0"/>
            <w:vAlign w:val="top"/>
          </w:tcPr>
          <w:p w14:paraId="711498CF">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3BD30099">
            <w:pPr>
              <w:spacing w:line="520" w:lineRule="exact"/>
              <w:rPr>
                <w:rFonts w:ascii="宋体" w:hAnsi="宋体"/>
                <w:color w:val="auto"/>
                <w:sz w:val="24"/>
                <w:highlight w:val="none"/>
              </w:rPr>
            </w:pPr>
          </w:p>
        </w:tc>
      </w:tr>
      <w:tr w14:paraId="36E9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6" w:type="dxa"/>
            <w:tcBorders>
              <w:left w:val="single" w:color="auto" w:sz="12" w:space="0"/>
            </w:tcBorders>
            <w:noWrap w:val="0"/>
            <w:vAlign w:val="top"/>
          </w:tcPr>
          <w:p w14:paraId="751B268F">
            <w:pPr>
              <w:spacing w:line="520" w:lineRule="exact"/>
              <w:rPr>
                <w:rFonts w:ascii="宋体" w:hAnsi="宋体"/>
                <w:color w:val="auto"/>
                <w:sz w:val="24"/>
                <w:highlight w:val="none"/>
              </w:rPr>
            </w:pPr>
          </w:p>
        </w:tc>
        <w:tc>
          <w:tcPr>
            <w:tcW w:w="1857" w:type="dxa"/>
            <w:noWrap w:val="0"/>
            <w:vAlign w:val="top"/>
          </w:tcPr>
          <w:p w14:paraId="70AA45C4">
            <w:pPr>
              <w:spacing w:line="520" w:lineRule="exact"/>
              <w:rPr>
                <w:rFonts w:ascii="宋体" w:hAnsi="宋体"/>
                <w:color w:val="auto"/>
                <w:sz w:val="24"/>
                <w:highlight w:val="none"/>
              </w:rPr>
            </w:pPr>
          </w:p>
        </w:tc>
        <w:tc>
          <w:tcPr>
            <w:tcW w:w="1006" w:type="dxa"/>
            <w:noWrap w:val="0"/>
            <w:vAlign w:val="top"/>
          </w:tcPr>
          <w:p w14:paraId="302FC19F">
            <w:pPr>
              <w:spacing w:line="520" w:lineRule="exact"/>
              <w:rPr>
                <w:rFonts w:ascii="宋体" w:hAnsi="宋体"/>
                <w:color w:val="auto"/>
                <w:sz w:val="24"/>
                <w:highlight w:val="none"/>
              </w:rPr>
            </w:pPr>
          </w:p>
        </w:tc>
        <w:tc>
          <w:tcPr>
            <w:tcW w:w="1006" w:type="dxa"/>
            <w:noWrap w:val="0"/>
            <w:vAlign w:val="top"/>
          </w:tcPr>
          <w:p w14:paraId="00E8A24E">
            <w:pPr>
              <w:spacing w:line="520" w:lineRule="exact"/>
              <w:rPr>
                <w:rFonts w:ascii="宋体" w:hAnsi="宋体"/>
                <w:color w:val="auto"/>
                <w:sz w:val="24"/>
                <w:highlight w:val="none"/>
              </w:rPr>
            </w:pPr>
          </w:p>
        </w:tc>
        <w:tc>
          <w:tcPr>
            <w:tcW w:w="1006" w:type="dxa"/>
            <w:noWrap w:val="0"/>
            <w:vAlign w:val="top"/>
          </w:tcPr>
          <w:p w14:paraId="3FDFB4CD">
            <w:pPr>
              <w:spacing w:line="520" w:lineRule="exact"/>
              <w:rPr>
                <w:rFonts w:ascii="宋体" w:hAnsi="宋体"/>
                <w:color w:val="auto"/>
                <w:sz w:val="24"/>
                <w:highlight w:val="none"/>
              </w:rPr>
            </w:pPr>
          </w:p>
        </w:tc>
        <w:tc>
          <w:tcPr>
            <w:tcW w:w="1124" w:type="dxa"/>
            <w:noWrap w:val="0"/>
            <w:vAlign w:val="top"/>
          </w:tcPr>
          <w:p w14:paraId="1DF97709">
            <w:pPr>
              <w:spacing w:line="520" w:lineRule="exact"/>
              <w:rPr>
                <w:rFonts w:ascii="宋体" w:hAnsi="宋体"/>
                <w:color w:val="auto"/>
                <w:sz w:val="24"/>
                <w:highlight w:val="none"/>
              </w:rPr>
            </w:pPr>
          </w:p>
        </w:tc>
        <w:tc>
          <w:tcPr>
            <w:tcW w:w="866" w:type="dxa"/>
            <w:noWrap w:val="0"/>
            <w:vAlign w:val="top"/>
          </w:tcPr>
          <w:p w14:paraId="28B9EC9C">
            <w:pPr>
              <w:spacing w:line="520" w:lineRule="exact"/>
              <w:rPr>
                <w:rFonts w:ascii="宋体" w:hAnsi="宋体"/>
                <w:color w:val="auto"/>
                <w:sz w:val="24"/>
                <w:highlight w:val="none"/>
              </w:rPr>
            </w:pPr>
          </w:p>
        </w:tc>
        <w:tc>
          <w:tcPr>
            <w:tcW w:w="1087" w:type="dxa"/>
            <w:noWrap w:val="0"/>
            <w:vAlign w:val="top"/>
          </w:tcPr>
          <w:p w14:paraId="4A952CD8">
            <w:pPr>
              <w:spacing w:line="520" w:lineRule="exact"/>
              <w:rPr>
                <w:rFonts w:ascii="宋体" w:hAnsi="宋体"/>
                <w:color w:val="auto"/>
                <w:sz w:val="24"/>
                <w:highlight w:val="none"/>
              </w:rPr>
            </w:pPr>
          </w:p>
        </w:tc>
        <w:tc>
          <w:tcPr>
            <w:tcW w:w="805" w:type="dxa"/>
            <w:tcBorders>
              <w:right w:val="single" w:color="auto" w:sz="12" w:space="0"/>
            </w:tcBorders>
            <w:noWrap w:val="0"/>
            <w:vAlign w:val="top"/>
          </w:tcPr>
          <w:p w14:paraId="5B1DE0A8">
            <w:pPr>
              <w:spacing w:line="520" w:lineRule="exact"/>
              <w:rPr>
                <w:rFonts w:ascii="宋体" w:hAnsi="宋体"/>
                <w:color w:val="auto"/>
                <w:sz w:val="24"/>
                <w:highlight w:val="none"/>
              </w:rPr>
            </w:pPr>
          </w:p>
        </w:tc>
      </w:tr>
      <w:tr w14:paraId="6F1E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noWrap w:val="0"/>
            <w:vAlign w:val="top"/>
          </w:tcPr>
          <w:p w14:paraId="791C42D9">
            <w:pPr>
              <w:spacing w:line="520" w:lineRule="exact"/>
              <w:rPr>
                <w:rFonts w:ascii="宋体" w:hAnsi="宋体"/>
                <w:color w:val="auto"/>
                <w:sz w:val="24"/>
                <w:highlight w:val="none"/>
              </w:rPr>
            </w:pPr>
          </w:p>
        </w:tc>
        <w:tc>
          <w:tcPr>
            <w:tcW w:w="1857" w:type="dxa"/>
            <w:tcBorders>
              <w:bottom w:val="single" w:color="auto" w:sz="12" w:space="0"/>
            </w:tcBorders>
            <w:noWrap w:val="0"/>
            <w:vAlign w:val="top"/>
          </w:tcPr>
          <w:p w14:paraId="03FEE3EB">
            <w:pPr>
              <w:spacing w:line="520" w:lineRule="exact"/>
              <w:jc w:val="center"/>
              <w:rPr>
                <w:rFonts w:ascii="宋体" w:hAnsi="宋体"/>
                <w:color w:val="auto"/>
                <w:sz w:val="24"/>
                <w:highlight w:val="none"/>
              </w:rPr>
            </w:pPr>
            <w:r>
              <w:rPr>
                <w:rFonts w:hint="eastAsia" w:ascii="宋体" w:hAnsi="宋体"/>
                <w:color w:val="auto"/>
                <w:sz w:val="24"/>
                <w:highlight w:val="none"/>
              </w:rPr>
              <w:t>合计</w:t>
            </w:r>
          </w:p>
        </w:tc>
        <w:tc>
          <w:tcPr>
            <w:tcW w:w="6900" w:type="dxa"/>
            <w:gridSpan w:val="7"/>
            <w:tcBorders>
              <w:bottom w:val="single" w:color="auto" w:sz="12" w:space="0"/>
              <w:right w:val="single" w:color="auto" w:sz="12" w:space="0"/>
            </w:tcBorders>
            <w:noWrap w:val="0"/>
            <w:vAlign w:val="top"/>
          </w:tcPr>
          <w:p w14:paraId="107A138E">
            <w:pPr>
              <w:spacing w:line="520" w:lineRule="exact"/>
              <w:rPr>
                <w:rFonts w:ascii="宋体" w:hAnsi="宋体"/>
                <w:color w:val="auto"/>
                <w:sz w:val="24"/>
                <w:highlight w:val="none"/>
              </w:rPr>
            </w:pPr>
            <w:r>
              <w:rPr>
                <w:rFonts w:hint="eastAsia" w:ascii="宋体" w:hAnsi="宋体"/>
                <w:color w:val="auto"/>
                <w:sz w:val="24"/>
                <w:highlight w:val="none"/>
              </w:rPr>
              <w:t>大写：</w:t>
            </w:r>
            <w:r>
              <w:rPr>
                <w:rFonts w:ascii="宋体" w:hAnsi="宋体"/>
                <w:color w:val="auto"/>
                <w:sz w:val="24"/>
                <w:highlight w:val="none"/>
              </w:rPr>
              <w:t xml:space="preserve">                    </w:t>
            </w:r>
            <w:r>
              <w:rPr>
                <w:rFonts w:hint="eastAsia" w:ascii="宋体" w:hAnsi="宋体"/>
                <w:color w:val="auto"/>
                <w:sz w:val="24"/>
                <w:highlight w:val="none"/>
              </w:rPr>
              <w:t>（小写：</w:t>
            </w:r>
            <w:r>
              <w:rPr>
                <w:rFonts w:ascii="宋体" w:hAnsi="宋体"/>
                <w:color w:val="auto"/>
                <w:sz w:val="24"/>
                <w:highlight w:val="none"/>
              </w:rPr>
              <w:t xml:space="preserve">           </w:t>
            </w:r>
            <w:r>
              <w:rPr>
                <w:rFonts w:hint="eastAsia" w:ascii="宋体" w:hAnsi="宋体"/>
                <w:color w:val="auto"/>
                <w:sz w:val="24"/>
                <w:highlight w:val="none"/>
              </w:rPr>
              <w:t>）</w:t>
            </w:r>
          </w:p>
        </w:tc>
      </w:tr>
    </w:tbl>
    <w:p w14:paraId="54708017">
      <w:pPr>
        <w:spacing w:line="360" w:lineRule="exact"/>
        <w:ind w:firstLine="240" w:firstLineChars="100"/>
        <w:rPr>
          <w:rFonts w:ascii="宋体" w:hAnsi="宋体"/>
          <w:color w:val="auto"/>
          <w:sz w:val="24"/>
          <w:highlight w:val="none"/>
        </w:rPr>
      </w:pPr>
      <w:r>
        <w:rPr>
          <w:rFonts w:hint="eastAsia" w:ascii="宋体" w:hAnsi="宋体"/>
          <w:color w:val="auto"/>
          <w:sz w:val="24"/>
          <w:highlight w:val="none"/>
        </w:rPr>
        <w:t>说明：本表费用不包含在总报价中。</w:t>
      </w:r>
    </w:p>
    <w:p w14:paraId="2EFBAC3A">
      <w:pPr>
        <w:spacing w:line="360" w:lineRule="exact"/>
        <w:ind w:firstLine="240" w:firstLineChars="100"/>
        <w:rPr>
          <w:rFonts w:ascii="宋体" w:hAnsi="宋体"/>
          <w:color w:val="auto"/>
          <w:sz w:val="24"/>
          <w:highlight w:val="none"/>
        </w:rPr>
      </w:pPr>
    </w:p>
    <w:p w14:paraId="652193BC">
      <w:pPr>
        <w:spacing w:line="360" w:lineRule="exact"/>
        <w:ind w:firstLine="240" w:firstLineChars="100"/>
        <w:rPr>
          <w:rFonts w:ascii="宋体" w:hAnsi="宋体"/>
          <w:color w:val="auto"/>
          <w:sz w:val="24"/>
          <w:highlight w:val="none"/>
        </w:rPr>
      </w:pPr>
    </w:p>
    <w:p w14:paraId="7DEFE902">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27CEA5D">
      <w:pPr>
        <w:spacing w:line="360" w:lineRule="exact"/>
        <w:ind w:right="187"/>
        <w:rPr>
          <w:rFonts w:ascii="宋体" w:hAnsi="宋体"/>
          <w:bCs/>
          <w:color w:val="auto"/>
          <w:sz w:val="24"/>
          <w:highlight w:val="none"/>
          <w:u w:val="single"/>
        </w:rPr>
      </w:pPr>
    </w:p>
    <w:p w14:paraId="42DD6C76">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096C95A7">
      <w:pPr>
        <w:pStyle w:val="31"/>
        <w:spacing w:line="240" w:lineRule="auto"/>
        <w:ind w:left="0" w:leftChars="0" w:firstLine="0" w:firstLineChars="0"/>
        <w:jc w:val="right"/>
        <w:rPr>
          <w:rFonts w:ascii="宋体" w:hAnsi="宋体"/>
          <w:bCs/>
          <w:color w:val="auto"/>
          <w:highlight w:val="none"/>
        </w:rPr>
        <w:sectPr>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290" w:charSpace="-3931"/>
        </w:sect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7321F9FE">
      <w:pPr>
        <w:pStyle w:val="4"/>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b w:val="0"/>
          <w:bCs w:val="0"/>
          <w:color w:val="auto"/>
          <w:sz w:val="24"/>
          <w:szCs w:val="21"/>
          <w:highlight w:val="none"/>
          <w:lang w:val="en-US" w:eastAsia="zh-CN"/>
        </w:rPr>
        <w:t>八</w:t>
      </w:r>
      <w:r>
        <w:rPr>
          <w:rFonts w:ascii="宋体" w:hAnsi="宋体"/>
          <w:b w:val="0"/>
          <w:bCs w:val="0"/>
          <w:color w:val="auto"/>
          <w:sz w:val="24"/>
          <w:szCs w:val="21"/>
          <w:highlight w:val="none"/>
        </w:rPr>
        <w:t xml:space="preserve">: </w:t>
      </w:r>
      <w:r>
        <w:rPr>
          <w:rFonts w:hint="eastAsia" w:ascii="宋体" w:hAnsi="宋体"/>
          <w:b w:val="0"/>
          <w:bCs w:val="0"/>
          <w:color w:val="auto"/>
          <w:sz w:val="24"/>
          <w:szCs w:val="21"/>
          <w:highlight w:val="none"/>
        </w:rPr>
        <w:t>（商务、技术）响应一览表</w:t>
      </w:r>
      <w:r>
        <w:rPr>
          <w:rFonts w:ascii="宋体" w:hAnsi="宋体"/>
          <w:b w:val="0"/>
          <w:bCs w:val="0"/>
          <w:color w:val="auto"/>
          <w:sz w:val="24"/>
          <w:szCs w:val="21"/>
          <w:highlight w:val="none"/>
        </w:rPr>
        <w:t xml:space="preserve"> </w:t>
      </w:r>
    </w:p>
    <w:p w14:paraId="096A5C29">
      <w:pPr>
        <w:pStyle w:val="20"/>
        <w:spacing w:before="0" w:after="0"/>
        <w:rPr>
          <w:rFonts w:ascii="宋体" w:hAnsi="宋体" w:eastAsia="宋体"/>
          <w:color w:val="auto"/>
          <w:highlight w:val="none"/>
        </w:rPr>
      </w:pPr>
    </w:p>
    <w:p w14:paraId="4600C641">
      <w:pPr>
        <w:spacing w:line="460" w:lineRule="exact"/>
        <w:jc w:val="center"/>
        <w:rPr>
          <w:rFonts w:ascii="宋体" w:hAnsi="宋体"/>
          <w:b/>
          <w:color w:val="auto"/>
          <w:sz w:val="24"/>
          <w:highlight w:val="none"/>
        </w:rPr>
      </w:pPr>
      <w:r>
        <w:rPr>
          <w:rFonts w:hint="eastAsia" w:ascii="宋体" w:hAnsi="宋体"/>
          <w:b/>
          <w:color w:val="auto"/>
          <w:sz w:val="24"/>
          <w:highlight w:val="none"/>
        </w:rPr>
        <w:t>商务响应一览表</w:t>
      </w:r>
    </w:p>
    <w:p w14:paraId="155509C8">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01840589">
      <w:pPr>
        <w:pStyle w:val="31"/>
        <w:spacing w:before="120" w:beforeLines="50" w:line="240" w:lineRule="auto"/>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w:t>
      </w:r>
      <w:r>
        <w:rPr>
          <w:rFonts w:ascii="宋体" w:hAnsi="宋体"/>
          <w:b/>
          <w:bCs/>
          <w:color w:val="auto"/>
          <w:sz w:val="24"/>
          <w:highlight w:val="none"/>
        </w:rPr>
        <w:t xml:space="preserve">         </w:t>
      </w:r>
      <w:r>
        <w:rPr>
          <w:rFonts w:ascii="宋体" w:hAnsi="宋体"/>
          <w:bCs/>
          <w:color w:val="auto"/>
          <w:sz w:val="24"/>
          <w:highlight w:val="none"/>
        </w:rPr>
        <w:t xml:space="preserve">  </w:t>
      </w:r>
      <w:r>
        <w:rPr>
          <w:rFonts w:hint="eastAsia" w:ascii="宋体" w:hAnsi="宋体"/>
          <w:bCs/>
          <w:color w:val="auto"/>
          <w:sz w:val="24"/>
          <w:highlight w:val="none"/>
        </w:rPr>
        <w:t>包号：</w:t>
      </w:r>
      <w:r>
        <w:rPr>
          <w:rFonts w:ascii="宋体" w:hAnsi="宋体"/>
          <w:bCs/>
          <w:color w:val="auto"/>
          <w:sz w:val="24"/>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757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0"/>
            <w:vAlign w:val="center"/>
          </w:tcPr>
          <w:p w14:paraId="3FCD1CB7">
            <w:pPr>
              <w:tabs>
                <w:tab w:val="left" w:pos="1337"/>
              </w:tabs>
              <w:jc w:val="center"/>
              <w:rPr>
                <w:rFonts w:ascii="宋体" w:hAnsi="宋体"/>
                <w:bCs/>
                <w:color w:val="auto"/>
                <w:sz w:val="24"/>
                <w:highlight w:val="none"/>
              </w:rPr>
            </w:pPr>
            <w:r>
              <w:rPr>
                <w:rFonts w:hint="eastAsia" w:ascii="宋体" w:hAnsi="宋体"/>
                <w:bCs/>
                <w:color w:val="auto"/>
                <w:sz w:val="24"/>
                <w:highlight w:val="none"/>
              </w:rPr>
              <w:t>序号</w:t>
            </w:r>
          </w:p>
        </w:tc>
        <w:tc>
          <w:tcPr>
            <w:tcW w:w="1469" w:type="dxa"/>
            <w:noWrap w:val="0"/>
            <w:vAlign w:val="center"/>
          </w:tcPr>
          <w:p w14:paraId="468C1D72">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13E383E">
            <w:pPr>
              <w:tabs>
                <w:tab w:val="left" w:pos="1337"/>
              </w:tabs>
              <w:jc w:val="center"/>
              <w:rPr>
                <w:rFonts w:ascii="宋体" w:hAnsi="宋体"/>
                <w:bCs/>
                <w:color w:val="auto"/>
                <w:sz w:val="24"/>
                <w:highlight w:val="none"/>
              </w:rPr>
            </w:pPr>
            <w:r>
              <w:rPr>
                <w:rFonts w:hint="eastAsia" w:ascii="宋体" w:hAnsi="宋体"/>
                <w:bCs/>
                <w:color w:val="auto"/>
                <w:sz w:val="24"/>
                <w:highlight w:val="none"/>
              </w:rPr>
              <w:t>条目号</w:t>
            </w:r>
          </w:p>
        </w:tc>
        <w:tc>
          <w:tcPr>
            <w:tcW w:w="1594" w:type="dxa"/>
            <w:noWrap w:val="0"/>
            <w:vAlign w:val="center"/>
          </w:tcPr>
          <w:p w14:paraId="2F6CABFF">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9EFD95D">
            <w:pPr>
              <w:tabs>
                <w:tab w:val="left" w:pos="1337"/>
              </w:tabs>
              <w:jc w:val="center"/>
              <w:rPr>
                <w:rFonts w:ascii="宋体" w:hAnsi="宋体"/>
                <w:bCs/>
                <w:color w:val="auto"/>
                <w:sz w:val="24"/>
                <w:highlight w:val="none"/>
              </w:rPr>
            </w:pPr>
            <w:r>
              <w:rPr>
                <w:rFonts w:hint="eastAsia" w:ascii="宋体" w:hAnsi="宋体"/>
                <w:bCs/>
                <w:color w:val="auto"/>
                <w:sz w:val="24"/>
                <w:highlight w:val="none"/>
              </w:rPr>
              <w:t>要求</w:t>
            </w:r>
          </w:p>
        </w:tc>
        <w:tc>
          <w:tcPr>
            <w:tcW w:w="1592" w:type="dxa"/>
            <w:noWrap w:val="0"/>
            <w:vAlign w:val="center"/>
          </w:tcPr>
          <w:p w14:paraId="18E7C3A9">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w:t>
            </w:r>
          </w:p>
          <w:p w14:paraId="2E041152">
            <w:pPr>
              <w:tabs>
                <w:tab w:val="left" w:pos="1337"/>
              </w:tabs>
              <w:jc w:val="center"/>
              <w:rPr>
                <w:rFonts w:ascii="宋体" w:hAnsi="宋体"/>
                <w:bCs/>
                <w:color w:val="auto"/>
                <w:sz w:val="24"/>
                <w:highlight w:val="none"/>
              </w:rPr>
            </w:pPr>
            <w:r>
              <w:rPr>
                <w:rFonts w:hint="eastAsia" w:ascii="宋体" w:hAnsi="宋体"/>
                <w:bCs/>
                <w:color w:val="auto"/>
                <w:sz w:val="24"/>
                <w:highlight w:val="none"/>
              </w:rPr>
              <w:t>实际情况</w:t>
            </w:r>
          </w:p>
        </w:tc>
        <w:tc>
          <w:tcPr>
            <w:tcW w:w="1460" w:type="dxa"/>
            <w:noWrap w:val="0"/>
            <w:vAlign w:val="center"/>
          </w:tcPr>
          <w:p w14:paraId="009AC7D7">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响应文件对应的页码</w:t>
            </w:r>
          </w:p>
        </w:tc>
        <w:tc>
          <w:tcPr>
            <w:tcW w:w="1462" w:type="dxa"/>
            <w:noWrap w:val="0"/>
            <w:vAlign w:val="center"/>
          </w:tcPr>
          <w:p w14:paraId="4793C21F">
            <w:pPr>
              <w:tabs>
                <w:tab w:val="left" w:pos="1337"/>
              </w:tabs>
              <w:jc w:val="center"/>
              <w:rPr>
                <w:rFonts w:ascii="宋体" w:hAnsi="宋体"/>
                <w:bCs/>
                <w:color w:val="auto"/>
                <w:sz w:val="24"/>
                <w:highlight w:val="none"/>
              </w:rPr>
            </w:pPr>
            <w:r>
              <w:rPr>
                <w:rFonts w:hint="eastAsia" w:ascii="宋体" w:hAnsi="宋体"/>
                <w:bCs/>
                <w:color w:val="auto"/>
                <w:sz w:val="24"/>
                <w:highlight w:val="none"/>
              </w:rPr>
              <w:t>偏差内容</w:t>
            </w:r>
          </w:p>
        </w:tc>
        <w:tc>
          <w:tcPr>
            <w:tcW w:w="1341" w:type="dxa"/>
            <w:noWrap w:val="0"/>
            <w:vAlign w:val="center"/>
          </w:tcPr>
          <w:p w14:paraId="1407DF8A">
            <w:pPr>
              <w:tabs>
                <w:tab w:val="left" w:pos="1337"/>
              </w:tabs>
              <w:jc w:val="center"/>
              <w:rPr>
                <w:rFonts w:ascii="宋体" w:hAnsi="宋体"/>
                <w:bCs/>
                <w:color w:val="auto"/>
                <w:sz w:val="24"/>
                <w:highlight w:val="none"/>
              </w:rPr>
            </w:pPr>
            <w:r>
              <w:rPr>
                <w:rFonts w:hint="eastAsia" w:ascii="宋体" w:hAnsi="宋体"/>
                <w:bCs/>
                <w:color w:val="auto"/>
                <w:sz w:val="24"/>
                <w:highlight w:val="none"/>
              </w:rPr>
              <w:t>备注</w:t>
            </w:r>
          </w:p>
        </w:tc>
      </w:tr>
      <w:tr w14:paraId="70E6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4940F545">
            <w:pPr>
              <w:tabs>
                <w:tab w:val="left" w:pos="1337"/>
              </w:tabs>
              <w:jc w:val="center"/>
              <w:rPr>
                <w:rFonts w:ascii="宋体" w:hAnsi="宋体"/>
                <w:color w:val="auto"/>
                <w:sz w:val="24"/>
                <w:highlight w:val="none"/>
              </w:rPr>
            </w:pPr>
          </w:p>
        </w:tc>
        <w:tc>
          <w:tcPr>
            <w:tcW w:w="1469" w:type="dxa"/>
            <w:noWrap w:val="0"/>
            <w:vAlign w:val="center"/>
          </w:tcPr>
          <w:p w14:paraId="42879C31">
            <w:pPr>
              <w:tabs>
                <w:tab w:val="left" w:pos="1337"/>
              </w:tabs>
              <w:jc w:val="center"/>
              <w:rPr>
                <w:rFonts w:ascii="宋体" w:hAnsi="宋体"/>
                <w:color w:val="auto"/>
                <w:sz w:val="24"/>
                <w:highlight w:val="none"/>
              </w:rPr>
            </w:pPr>
          </w:p>
        </w:tc>
        <w:tc>
          <w:tcPr>
            <w:tcW w:w="1594" w:type="dxa"/>
            <w:noWrap w:val="0"/>
            <w:vAlign w:val="center"/>
          </w:tcPr>
          <w:p w14:paraId="06415DC2">
            <w:pPr>
              <w:tabs>
                <w:tab w:val="left" w:pos="1337"/>
              </w:tabs>
              <w:jc w:val="center"/>
              <w:rPr>
                <w:rFonts w:ascii="宋体" w:hAnsi="宋体"/>
                <w:color w:val="auto"/>
                <w:sz w:val="24"/>
                <w:highlight w:val="none"/>
              </w:rPr>
            </w:pPr>
          </w:p>
        </w:tc>
        <w:tc>
          <w:tcPr>
            <w:tcW w:w="1592" w:type="dxa"/>
            <w:noWrap w:val="0"/>
            <w:vAlign w:val="center"/>
          </w:tcPr>
          <w:p w14:paraId="2F6F8E47">
            <w:pPr>
              <w:tabs>
                <w:tab w:val="left" w:pos="1337"/>
              </w:tabs>
              <w:jc w:val="center"/>
              <w:rPr>
                <w:rFonts w:ascii="宋体" w:hAnsi="宋体"/>
                <w:color w:val="auto"/>
                <w:sz w:val="24"/>
                <w:highlight w:val="none"/>
              </w:rPr>
            </w:pPr>
          </w:p>
        </w:tc>
        <w:tc>
          <w:tcPr>
            <w:tcW w:w="1460" w:type="dxa"/>
            <w:noWrap w:val="0"/>
            <w:vAlign w:val="center"/>
          </w:tcPr>
          <w:p w14:paraId="3D347CD6">
            <w:pPr>
              <w:tabs>
                <w:tab w:val="left" w:pos="1337"/>
              </w:tabs>
              <w:jc w:val="center"/>
              <w:rPr>
                <w:rFonts w:ascii="宋体" w:hAnsi="宋体"/>
                <w:color w:val="auto"/>
                <w:sz w:val="24"/>
                <w:highlight w:val="none"/>
              </w:rPr>
            </w:pPr>
          </w:p>
        </w:tc>
        <w:tc>
          <w:tcPr>
            <w:tcW w:w="1462" w:type="dxa"/>
            <w:noWrap w:val="0"/>
            <w:vAlign w:val="center"/>
          </w:tcPr>
          <w:p w14:paraId="30053C5D">
            <w:pPr>
              <w:tabs>
                <w:tab w:val="left" w:pos="1337"/>
              </w:tabs>
              <w:jc w:val="center"/>
              <w:rPr>
                <w:rFonts w:ascii="宋体" w:hAnsi="宋体"/>
                <w:color w:val="auto"/>
                <w:sz w:val="24"/>
                <w:highlight w:val="none"/>
              </w:rPr>
            </w:pPr>
          </w:p>
        </w:tc>
        <w:tc>
          <w:tcPr>
            <w:tcW w:w="1341" w:type="dxa"/>
            <w:noWrap w:val="0"/>
            <w:vAlign w:val="center"/>
          </w:tcPr>
          <w:p w14:paraId="2055A93C">
            <w:pPr>
              <w:tabs>
                <w:tab w:val="left" w:pos="1337"/>
              </w:tabs>
              <w:jc w:val="center"/>
              <w:rPr>
                <w:rFonts w:ascii="宋体" w:hAnsi="宋体"/>
                <w:color w:val="auto"/>
                <w:sz w:val="24"/>
                <w:highlight w:val="none"/>
              </w:rPr>
            </w:pPr>
          </w:p>
        </w:tc>
      </w:tr>
      <w:tr w14:paraId="2ABD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4B8147B5">
            <w:pPr>
              <w:tabs>
                <w:tab w:val="left" w:pos="1337"/>
              </w:tabs>
              <w:jc w:val="center"/>
              <w:rPr>
                <w:rFonts w:ascii="宋体" w:hAnsi="宋体"/>
                <w:color w:val="auto"/>
                <w:sz w:val="24"/>
                <w:highlight w:val="none"/>
              </w:rPr>
            </w:pPr>
          </w:p>
        </w:tc>
        <w:tc>
          <w:tcPr>
            <w:tcW w:w="1469" w:type="dxa"/>
            <w:noWrap w:val="0"/>
            <w:vAlign w:val="center"/>
          </w:tcPr>
          <w:p w14:paraId="2233132D">
            <w:pPr>
              <w:tabs>
                <w:tab w:val="left" w:pos="1337"/>
              </w:tabs>
              <w:jc w:val="center"/>
              <w:rPr>
                <w:rFonts w:ascii="宋体" w:hAnsi="宋体"/>
                <w:color w:val="auto"/>
                <w:sz w:val="24"/>
                <w:highlight w:val="none"/>
              </w:rPr>
            </w:pPr>
          </w:p>
        </w:tc>
        <w:tc>
          <w:tcPr>
            <w:tcW w:w="1594" w:type="dxa"/>
            <w:noWrap w:val="0"/>
            <w:vAlign w:val="center"/>
          </w:tcPr>
          <w:p w14:paraId="14042BAF">
            <w:pPr>
              <w:tabs>
                <w:tab w:val="left" w:pos="1337"/>
              </w:tabs>
              <w:jc w:val="center"/>
              <w:rPr>
                <w:rFonts w:ascii="宋体" w:hAnsi="宋体"/>
                <w:color w:val="auto"/>
                <w:sz w:val="24"/>
                <w:highlight w:val="none"/>
              </w:rPr>
            </w:pPr>
          </w:p>
        </w:tc>
        <w:tc>
          <w:tcPr>
            <w:tcW w:w="1592" w:type="dxa"/>
            <w:noWrap w:val="0"/>
            <w:vAlign w:val="center"/>
          </w:tcPr>
          <w:p w14:paraId="6243A72B">
            <w:pPr>
              <w:tabs>
                <w:tab w:val="left" w:pos="1337"/>
              </w:tabs>
              <w:jc w:val="center"/>
              <w:rPr>
                <w:rFonts w:ascii="宋体" w:hAnsi="宋体"/>
                <w:color w:val="auto"/>
                <w:sz w:val="24"/>
                <w:highlight w:val="none"/>
              </w:rPr>
            </w:pPr>
          </w:p>
        </w:tc>
        <w:tc>
          <w:tcPr>
            <w:tcW w:w="1460" w:type="dxa"/>
            <w:noWrap w:val="0"/>
            <w:vAlign w:val="center"/>
          </w:tcPr>
          <w:p w14:paraId="1BB42A74">
            <w:pPr>
              <w:tabs>
                <w:tab w:val="left" w:pos="1337"/>
              </w:tabs>
              <w:jc w:val="center"/>
              <w:rPr>
                <w:rFonts w:ascii="宋体" w:hAnsi="宋体"/>
                <w:color w:val="auto"/>
                <w:sz w:val="24"/>
                <w:highlight w:val="none"/>
              </w:rPr>
            </w:pPr>
          </w:p>
        </w:tc>
        <w:tc>
          <w:tcPr>
            <w:tcW w:w="1462" w:type="dxa"/>
            <w:noWrap w:val="0"/>
            <w:vAlign w:val="center"/>
          </w:tcPr>
          <w:p w14:paraId="393B47A3">
            <w:pPr>
              <w:tabs>
                <w:tab w:val="left" w:pos="1337"/>
              </w:tabs>
              <w:jc w:val="center"/>
              <w:rPr>
                <w:rFonts w:ascii="宋体" w:hAnsi="宋体"/>
                <w:color w:val="auto"/>
                <w:sz w:val="24"/>
                <w:highlight w:val="none"/>
              </w:rPr>
            </w:pPr>
          </w:p>
        </w:tc>
        <w:tc>
          <w:tcPr>
            <w:tcW w:w="1341" w:type="dxa"/>
            <w:noWrap w:val="0"/>
            <w:vAlign w:val="center"/>
          </w:tcPr>
          <w:p w14:paraId="230D1C61">
            <w:pPr>
              <w:tabs>
                <w:tab w:val="left" w:pos="1337"/>
              </w:tabs>
              <w:jc w:val="center"/>
              <w:rPr>
                <w:rFonts w:ascii="宋体" w:hAnsi="宋体"/>
                <w:color w:val="auto"/>
                <w:sz w:val="24"/>
                <w:highlight w:val="none"/>
              </w:rPr>
            </w:pPr>
          </w:p>
        </w:tc>
      </w:tr>
      <w:tr w14:paraId="0B3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314B9F2">
            <w:pPr>
              <w:tabs>
                <w:tab w:val="left" w:pos="1337"/>
              </w:tabs>
              <w:jc w:val="center"/>
              <w:rPr>
                <w:rFonts w:ascii="宋体" w:hAnsi="宋体"/>
                <w:color w:val="auto"/>
                <w:sz w:val="24"/>
                <w:highlight w:val="none"/>
              </w:rPr>
            </w:pPr>
          </w:p>
        </w:tc>
        <w:tc>
          <w:tcPr>
            <w:tcW w:w="1469" w:type="dxa"/>
            <w:noWrap w:val="0"/>
            <w:vAlign w:val="center"/>
          </w:tcPr>
          <w:p w14:paraId="31881C0D">
            <w:pPr>
              <w:tabs>
                <w:tab w:val="left" w:pos="1337"/>
              </w:tabs>
              <w:jc w:val="center"/>
              <w:rPr>
                <w:rFonts w:ascii="宋体" w:hAnsi="宋体"/>
                <w:color w:val="auto"/>
                <w:sz w:val="24"/>
                <w:highlight w:val="none"/>
              </w:rPr>
            </w:pPr>
          </w:p>
        </w:tc>
        <w:tc>
          <w:tcPr>
            <w:tcW w:w="1594" w:type="dxa"/>
            <w:noWrap w:val="0"/>
            <w:vAlign w:val="center"/>
          </w:tcPr>
          <w:p w14:paraId="1AD64548">
            <w:pPr>
              <w:tabs>
                <w:tab w:val="left" w:pos="1337"/>
              </w:tabs>
              <w:jc w:val="center"/>
              <w:rPr>
                <w:rFonts w:ascii="宋体" w:hAnsi="宋体"/>
                <w:color w:val="auto"/>
                <w:sz w:val="24"/>
                <w:highlight w:val="none"/>
              </w:rPr>
            </w:pPr>
          </w:p>
        </w:tc>
        <w:tc>
          <w:tcPr>
            <w:tcW w:w="1592" w:type="dxa"/>
            <w:noWrap w:val="0"/>
            <w:vAlign w:val="center"/>
          </w:tcPr>
          <w:p w14:paraId="3195F92E">
            <w:pPr>
              <w:tabs>
                <w:tab w:val="left" w:pos="1337"/>
              </w:tabs>
              <w:jc w:val="center"/>
              <w:rPr>
                <w:rFonts w:ascii="宋体" w:hAnsi="宋体"/>
                <w:color w:val="auto"/>
                <w:sz w:val="24"/>
                <w:highlight w:val="none"/>
              </w:rPr>
            </w:pPr>
          </w:p>
        </w:tc>
        <w:tc>
          <w:tcPr>
            <w:tcW w:w="1460" w:type="dxa"/>
            <w:noWrap w:val="0"/>
            <w:vAlign w:val="center"/>
          </w:tcPr>
          <w:p w14:paraId="7DEBD0F3">
            <w:pPr>
              <w:tabs>
                <w:tab w:val="left" w:pos="1337"/>
              </w:tabs>
              <w:jc w:val="center"/>
              <w:rPr>
                <w:rFonts w:ascii="宋体" w:hAnsi="宋体"/>
                <w:color w:val="auto"/>
                <w:sz w:val="24"/>
                <w:highlight w:val="none"/>
              </w:rPr>
            </w:pPr>
          </w:p>
        </w:tc>
        <w:tc>
          <w:tcPr>
            <w:tcW w:w="1462" w:type="dxa"/>
            <w:noWrap w:val="0"/>
            <w:vAlign w:val="center"/>
          </w:tcPr>
          <w:p w14:paraId="6B55AC06">
            <w:pPr>
              <w:tabs>
                <w:tab w:val="left" w:pos="1337"/>
              </w:tabs>
              <w:jc w:val="center"/>
              <w:rPr>
                <w:rFonts w:ascii="宋体" w:hAnsi="宋体"/>
                <w:color w:val="auto"/>
                <w:sz w:val="24"/>
                <w:highlight w:val="none"/>
              </w:rPr>
            </w:pPr>
          </w:p>
        </w:tc>
        <w:tc>
          <w:tcPr>
            <w:tcW w:w="1341" w:type="dxa"/>
            <w:noWrap w:val="0"/>
            <w:vAlign w:val="center"/>
          </w:tcPr>
          <w:p w14:paraId="3BB6F790">
            <w:pPr>
              <w:tabs>
                <w:tab w:val="left" w:pos="1337"/>
              </w:tabs>
              <w:jc w:val="center"/>
              <w:rPr>
                <w:rFonts w:ascii="宋体" w:hAnsi="宋体"/>
                <w:color w:val="auto"/>
                <w:sz w:val="24"/>
                <w:highlight w:val="none"/>
              </w:rPr>
            </w:pPr>
          </w:p>
        </w:tc>
      </w:tr>
      <w:tr w14:paraId="7B6A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7DEA631B">
            <w:pPr>
              <w:tabs>
                <w:tab w:val="left" w:pos="1337"/>
              </w:tabs>
              <w:jc w:val="center"/>
              <w:rPr>
                <w:rFonts w:ascii="宋体" w:hAnsi="宋体"/>
                <w:color w:val="auto"/>
                <w:sz w:val="24"/>
                <w:highlight w:val="none"/>
              </w:rPr>
            </w:pPr>
          </w:p>
        </w:tc>
        <w:tc>
          <w:tcPr>
            <w:tcW w:w="1469" w:type="dxa"/>
            <w:noWrap w:val="0"/>
            <w:vAlign w:val="center"/>
          </w:tcPr>
          <w:p w14:paraId="39D8F475">
            <w:pPr>
              <w:tabs>
                <w:tab w:val="left" w:pos="1337"/>
              </w:tabs>
              <w:jc w:val="center"/>
              <w:rPr>
                <w:rFonts w:ascii="宋体" w:hAnsi="宋体"/>
                <w:color w:val="auto"/>
                <w:sz w:val="24"/>
                <w:highlight w:val="none"/>
              </w:rPr>
            </w:pPr>
          </w:p>
        </w:tc>
        <w:tc>
          <w:tcPr>
            <w:tcW w:w="1594" w:type="dxa"/>
            <w:noWrap w:val="0"/>
            <w:vAlign w:val="center"/>
          </w:tcPr>
          <w:p w14:paraId="3DB6E3B4">
            <w:pPr>
              <w:tabs>
                <w:tab w:val="left" w:pos="1337"/>
              </w:tabs>
              <w:jc w:val="center"/>
              <w:rPr>
                <w:rFonts w:ascii="宋体" w:hAnsi="宋体"/>
                <w:color w:val="auto"/>
                <w:sz w:val="24"/>
                <w:highlight w:val="none"/>
              </w:rPr>
            </w:pPr>
          </w:p>
        </w:tc>
        <w:tc>
          <w:tcPr>
            <w:tcW w:w="1592" w:type="dxa"/>
            <w:noWrap w:val="0"/>
            <w:vAlign w:val="center"/>
          </w:tcPr>
          <w:p w14:paraId="071200C1">
            <w:pPr>
              <w:tabs>
                <w:tab w:val="left" w:pos="1337"/>
              </w:tabs>
              <w:jc w:val="center"/>
              <w:rPr>
                <w:rFonts w:ascii="宋体" w:hAnsi="宋体"/>
                <w:color w:val="auto"/>
                <w:sz w:val="24"/>
                <w:highlight w:val="none"/>
              </w:rPr>
            </w:pPr>
          </w:p>
        </w:tc>
        <w:tc>
          <w:tcPr>
            <w:tcW w:w="1460" w:type="dxa"/>
            <w:noWrap w:val="0"/>
            <w:vAlign w:val="center"/>
          </w:tcPr>
          <w:p w14:paraId="767540EA">
            <w:pPr>
              <w:tabs>
                <w:tab w:val="left" w:pos="1337"/>
              </w:tabs>
              <w:jc w:val="center"/>
              <w:rPr>
                <w:rFonts w:ascii="宋体" w:hAnsi="宋体"/>
                <w:color w:val="auto"/>
                <w:sz w:val="24"/>
                <w:highlight w:val="none"/>
              </w:rPr>
            </w:pPr>
          </w:p>
        </w:tc>
        <w:tc>
          <w:tcPr>
            <w:tcW w:w="1462" w:type="dxa"/>
            <w:noWrap w:val="0"/>
            <w:vAlign w:val="center"/>
          </w:tcPr>
          <w:p w14:paraId="3AEB0C3C">
            <w:pPr>
              <w:tabs>
                <w:tab w:val="left" w:pos="1337"/>
              </w:tabs>
              <w:jc w:val="center"/>
              <w:rPr>
                <w:rFonts w:ascii="宋体" w:hAnsi="宋体"/>
                <w:color w:val="auto"/>
                <w:sz w:val="24"/>
                <w:highlight w:val="none"/>
              </w:rPr>
            </w:pPr>
          </w:p>
        </w:tc>
        <w:tc>
          <w:tcPr>
            <w:tcW w:w="1341" w:type="dxa"/>
            <w:noWrap w:val="0"/>
            <w:vAlign w:val="center"/>
          </w:tcPr>
          <w:p w14:paraId="29D45D59">
            <w:pPr>
              <w:tabs>
                <w:tab w:val="left" w:pos="1337"/>
              </w:tabs>
              <w:jc w:val="center"/>
              <w:rPr>
                <w:rFonts w:ascii="宋体" w:hAnsi="宋体"/>
                <w:color w:val="auto"/>
                <w:sz w:val="24"/>
                <w:highlight w:val="none"/>
              </w:rPr>
            </w:pPr>
          </w:p>
        </w:tc>
      </w:tr>
      <w:tr w14:paraId="0A8C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3E6F8E01">
            <w:pPr>
              <w:tabs>
                <w:tab w:val="left" w:pos="1337"/>
              </w:tabs>
              <w:jc w:val="center"/>
              <w:rPr>
                <w:rFonts w:ascii="宋体" w:hAnsi="宋体"/>
                <w:color w:val="auto"/>
                <w:sz w:val="24"/>
                <w:highlight w:val="none"/>
              </w:rPr>
            </w:pPr>
          </w:p>
        </w:tc>
        <w:tc>
          <w:tcPr>
            <w:tcW w:w="1469" w:type="dxa"/>
            <w:noWrap w:val="0"/>
            <w:vAlign w:val="center"/>
          </w:tcPr>
          <w:p w14:paraId="696E15DA">
            <w:pPr>
              <w:tabs>
                <w:tab w:val="left" w:pos="1337"/>
              </w:tabs>
              <w:jc w:val="center"/>
              <w:rPr>
                <w:rFonts w:ascii="宋体" w:hAnsi="宋体"/>
                <w:color w:val="auto"/>
                <w:sz w:val="24"/>
                <w:highlight w:val="none"/>
              </w:rPr>
            </w:pPr>
          </w:p>
        </w:tc>
        <w:tc>
          <w:tcPr>
            <w:tcW w:w="1594" w:type="dxa"/>
            <w:noWrap w:val="0"/>
            <w:vAlign w:val="center"/>
          </w:tcPr>
          <w:p w14:paraId="3E647450">
            <w:pPr>
              <w:tabs>
                <w:tab w:val="left" w:pos="1337"/>
              </w:tabs>
              <w:jc w:val="center"/>
              <w:rPr>
                <w:rFonts w:ascii="宋体" w:hAnsi="宋体"/>
                <w:color w:val="auto"/>
                <w:sz w:val="24"/>
                <w:highlight w:val="none"/>
              </w:rPr>
            </w:pPr>
          </w:p>
        </w:tc>
        <w:tc>
          <w:tcPr>
            <w:tcW w:w="1592" w:type="dxa"/>
            <w:noWrap w:val="0"/>
            <w:vAlign w:val="center"/>
          </w:tcPr>
          <w:p w14:paraId="39A1A086">
            <w:pPr>
              <w:tabs>
                <w:tab w:val="left" w:pos="1337"/>
              </w:tabs>
              <w:jc w:val="center"/>
              <w:rPr>
                <w:rFonts w:ascii="宋体" w:hAnsi="宋体"/>
                <w:color w:val="auto"/>
                <w:sz w:val="24"/>
                <w:highlight w:val="none"/>
              </w:rPr>
            </w:pPr>
          </w:p>
        </w:tc>
        <w:tc>
          <w:tcPr>
            <w:tcW w:w="1460" w:type="dxa"/>
            <w:noWrap w:val="0"/>
            <w:vAlign w:val="center"/>
          </w:tcPr>
          <w:p w14:paraId="7DD28F79">
            <w:pPr>
              <w:tabs>
                <w:tab w:val="left" w:pos="1337"/>
              </w:tabs>
              <w:jc w:val="center"/>
              <w:rPr>
                <w:rFonts w:ascii="宋体" w:hAnsi="宋体"/>
                <w:color w:val="auto"/>
                <w:sz w:val="24"/>
                <w:highlight w:val="none"/>
              </w:rPr>
            </w:pPr>
          </w:p>
        </w:tc>
        <w:tc>
          <w:tcPr>
            <w:tcW w:w="1462" w:type="dxa"/>
            <w:noWrap w:val="0"/>
            <w:vAlign w:val="center"/>
          </w:tcPr>
          <w:p w14:paraId="17C9F11B">
            <w:pPr>
              <w:tabs>
                <w:tab w:val="left" w:pos="1337"/>
              </w:tabs>
              <w:jc w:val="center"/>
              <w:rPr>
                <w:rFonts w:ascii="宋体" w:hAnsi="宋体"/>
                <w:color w:val="auto"/>
                <w:sz w:val="24"/>
                <w:highlight w:val="none"/>
              </w:rPr>
            </w:pPr>
          </w:p>
        </w:tc>
        <w:tc>
          <w:tcPr>
            <w:tcW w:w="1341" w:type="dxa"/>
            <w:noWrap w:val="0"/>
            <w:vAlign w:val="center"/>
          </w:tcPr>
          <w:p w14:paraId="6E2F0B1B">
            <w:pPr>
              <w:tabs>
                <w:tab w:val="left" w:pos="1337"/>
              </w:tabs>
              <w:jc w:val="center"/>
              <w:rPr>
                <w:rFonts w:ascii="宋体" w:hAnsi="宋体"/>
                <w:color w:val="auto"/>
                <w:sz w:val="24"/>
                <w:highlight w:val="none"/>
              </w:rPr>
            </w:pPr>
          </w:p>
        </w:tc>
      </w:tr>
      <w:tr w14:paraId="25B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698D05F">
            <w:pPr>
              <w:tabs>
                <w:tab w:val="left" w:pos="1337"/>
              </w:tabs>
              <w:jc w:val="center"/>
              <w:rPr>
                <w:rFonts w:ascii="宋体" w:hAnsi="宋体"/>
                <w:color w:val="auto"/>
                <w:sz w:val="24"/>
                <w:highlight w:val="none"/>
              </w:rPr>
            </w:pPr>
          </w:p>
        </w:tc>
        <w:tc>
          <w:tcPr>
            <w:tcW w:w="1469" w:type="dxa"/>
            <w:noWrap w:val="0"/>
            <w:vAlign w:val="center"/>
          </w:tcPr>
          <w:p w14:paraId="68400DF0">
            <w:pPr>
              <w:tabs>
                <w:tab w:val="left" w:pos="1337"/>
              </w:tabs>
              <w:jc w:val="center"/>
              <w:rPr>
                <w:rFonts w:ascii="宋体" w:hAnsi="宋体"/>
                <w:color w:val="auto"/>
                <w:sz w:val="24"/>
                <w:highlight w:val="none"/>
              </w:rPr>
            </w:pPr>
          </w:p>
        </w:tc>
        <w:tc>
          <w:tcPr>
            <w:tcW w:w="1594" w:type="dxa"/>
            <w:noWrap w:val="0"/>
            <w:vAlign w:val="center"/>
          </w:tcPr>
          <w:p w14:paraId="17FA34E8">
            <w:pPr>
              <w:tabs>
                <w:tab w:val="left" w:pos="1337"/>
              </w:tabs>
              <w:jc w:val="center"/>
              <w:rPr>
                <w:rFonts w:ascii="宋体" w:hAnsi="宋体"/>
                <w:color w:val="auto"/>
                <w:sz w:val="24"/>
                <w:highlight w:val="none"/>
              </w:rPr>
            </w:pPr>
          </w:p>
        </w:tc>
        <w:tc>
          <w:tcPr>
            <w:tcW w:w="1592" w:type="dxa"/>
            <w:noWrap w:val="0"/>
            <w:vAlign w:val="center"/>
          </w:tcPr>
          <w:p w14:paraId="0F88F370">
            <w:pPr>
              <w:tabs>
                <w:tab w:val="left" w:pos="1337"/>
              </w:tabs>
              <w:jc w:val="center"/>
              <w:rPr>
                <w:rFonts w:ascii="宋体" w:hAnsi="宋体"/>
                <w:color w:val="auto"/>
                <w:sz w:val="24"/>
                <w:highlight w:val="none"/>
              </w:rPr>
            </w:pPr>
          </w:p>
        </w:tc>
        <w:tc>
          <w:tcPr>
            <w:tcW w:w="1460" w:type="dxa"/>
            <w:noWrap w:val="0"/>
            <w:vAlign w:val="center"/>
          </w:tcPr>
          <w:p w14:paraId="02338753">
            <w:pPr>
              <w:tabs>
                <w:tab w:val="left" w:pos="1337"/>
              </w:tabs>
              <w:jc w:val="center"/>
              <w:rPr>
                <w:rFonts w:ascii="宋体" w:hAnsi="宋体"/>
                <w:color w:val="auto"/>
                <w:sz w:val="24"/>
                <w:highlight w:val="none"/>
              </w:rPr>
            </w:pPr>
          </w:p>
        </w:tc>
        <w:tc>
          <w:tcPr>
            <w:tcW w:w="1462" w:type="dxa"/>
            <w:noWrap w:val="0"/>
            <w:vAlign w:val="center"/>
          </w:tcPr>
          <w:p w14:paraId="31A28B2D">
            <w:pPr>
              <w:tabs>
                <w:tab w:val="left" w:pos="1337"/>
              </w:tabs>
              <w:jc w:val="center"/>
              <w:rPr>
                <w:rFonts w:ascii="宋体" w:hAnsi="宋体"/>
                <w:color w:val="auto"/>
                <w:sz w:val="24"/>
                <w:highlight w:val="none"/>
              </w:rPr>
            </w:pPr>
          </w:p>
        </w:tc>
        <w:tc>
          <w:tcPr>
            <w:tcW w:w="1341" w:type="dxa"/>
            <w:noWrap w:val="0"/>
            <w:vAlign w:val="center"/>
          </w:tcPr>
          <w:p w14:paraId="6F0B414E">
            <w:pPr>
              <w:tabs>
                <w:tab w:val="left" w:pos="1337"/>
              </w:tabs>
              <w:jc w:val="center"/>
              <w:rPr>
                <w:rFonts w:ascii="宋体" w:hAnsi="宋体"/>
                <w:color w:val="auto"/>
                <w:sz w:val="24"/>
                <w:highlight w:val="none"/>
              </w:rPr>
            </w:pPr>
          </w:p>
        </w:tc>
      </w:tr>
      <w:tr w14:paraId="0E38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7AB0227E">
            <w:pPr>
              <w:tabs>
                <w:tab w:val="left" w:pos="1337"/>
              </w:tabs>
              <w:jc w:val="center"/>
              <w:rPr>
                <w:rFonts w:ascii="宋体" w:hAnsi="宋体"/>
                <w:color w:val="auto"/>
                <w:sz w:val="24"/>
                <w:highlight w:val="none"/>
              </w:rPr>
            </w:pPr>
          </w:p>
        </w:tc>
        <w:tc>
          <w:tcPr>
            <w:tcW w:w="1469" w:type="dxa"/>
            <w:noWrap w:val="0"/>
            <w:vAlign w:val="center"/>
          </w:tcPr>
          <w:p w14:paraId="7C29A1F3">
            <w:pPr>
              <w:tabs>
                <w:tab w:val="left" w:pos="1337"/>
              </w:tabs>
              <w:jc w:val="center"/>
              <w:rPr>
                <w:rFonts w:ascii="宋体" w:hAnsi="宋体"/>
                <w:color w:val="auto"/>
                <w:sz w:val="24"/>
                <w:highlight w:val="none"/>
              </w:rPr>
            </w:pPr>
          </w:p>
        </w:tc>
        <w:tc>
          <w:tcPr>
            <w:tcW w:w="1594" w:type="dxa"/>
            <w:noWrap w:val="0"/>
            <w:vAlign w:val="center"/>
          </w:tcPr>
          <w:p w14:paraId="2FCEFBA3">
            <w:pPr>
              <w:tabs>
                <w:tab w:val="left" w:pos="1337"/>
              </w:tabs>
              <w:jc w:val="center"/>
              <w:rPr>
                <w:rFonts w:ascii="宋体" w:hAnsi="宋体"/>
                <w:color w:val="auto"/>
                <w:sz w:val="24"/>
                <w:highlight w:val="none"/>
              </w:rPr>
            </w:pPr>
          </w:p>
        </w:tc>
        <w:tc>
          <w:tcPr>
            <w:tcW w:w="1592" w:type="dxa"/>
            <w:noWrap w:val="0"/>
            <w:vAlign w:val="center"/>
          </w:tcPr>
          <w:p w14:paraId="1DB6978C">
            <w:pPr>
              <w:tabs>
                <w:tab w:val="left" w:pos="1337"/>
              </w:tabs>
              <w:jc w:val="center"/>
              <w:rPr>
                <w:rFonts w:ascii="宋体" w:hAnsi="宋体"/>
                <w:color w:val="auto"/>
                <w:sz w:val="24"/>
                <w:highlight w:val="none"/>
              </w:rPr>
            </w:pPr>
          </w:p>
        </w:tc>
        <w:tc>
          <w:tcPr>
            <w:tcW w:w="1460" w:type="dxa"/>
            <w:noWrap w:val="0"/>
            <w:vAlign w:val="center"/>
          </w:tcPr>
          <w:p w14:paraId="36CB827B">
            <w:pPr>
              <w:tabs>
                <w:tab w:val="left" w:pos="1337"/>
              </w:tabs>
              <w:jc w:val="center"/>
              <w:rPr>
                <w:rFonts w:ascii="宋体" w:hAnsi="宋体"/>
                <w:color w:val="auto"/>
                <w:sz w:val="24"/>
                <w:highlight w:val="none"/>
              </w:rPr>
            </w:pPr>
          </w:p>
        </w:tc>
        <w:tc>
          <w:tcPr>
            <w:tcW w:w="1462" w:type="dxa"/>
            <w:noWrap w:val="0"/>
            <w:vAlign w:val="center"/>
          </w:tcPr>
          <w:p w14:paraId="0CECC0A9">
            <w:pPr>
              <w:tabs>
                <w:tab w:val="left" w:pos="1337"/>
              </w:tabs>
              <w:jc w:val="center"/>
              <w:rPr>
                <w:rFonts w:ascii="宋体" w:hAnsi="宋体"/>
                <w:color w:val="auto"/>
                <w:sz w:val="24"/>
                <w:highlight w:val="none"/>
              </w:rPr>
            </w:pPr>
          </w:p>
        </w:tc>
        <w:tc>
          <w:tcPr>
            <w:tcW w:w="1341" w:type="dxa"/>
            <w:noWrap w:val="0"/>
            <w:vAlign w:val="center"/>
          </w:tcPr>
          <w:p w14:paraId="5C34D0EF">
            <w:pPr>
              <w:tabs>
                <w:tab w:val="left" w:pos="1337"/>
              </w:tabs>
              <w:jc w:val="center"/>
              <w:rPr>
                <w:rFonts w:ascii="宋体" w:hAnsi="宋体"/>
                <w:color w:val="auto"/>
                <w:sz w:val="24"/>
                <w:highlight w:val="none"/>
              </w:rPr>
            </w:pPr>
          </w:p>
        </w:tc>
      </w:tr>
    </w:tbl>
    <w:p w14:paraId="6AF823B5">
      <w:pPr>
        <w:spacing w:line="360" w:lineRule="exact"/>
        <w:ind w:firstLine="480" w:firstLineChars="200"/>
        <w:rPr>
          <w:rFonts w:ascii="宋体"/>
          <w:color w:val="auto"/>
          <w:sz w:val="24"/>
          <w:highlight w:val="none"/>
        </w:rPr>
      </w:pPr>
      <w:r>
        <w:rPr>
          <w:rFonts w:hint="eastAsia" w:ascii="宋体" w:hAnsi="宋体"/>
          <w:color w:val="auto"/>
          <w:sz w:val="24"/>
          <w:highlight w:val="none"/>
        </w:rPr>
        <w:t>说明：①请填写采购文件已列明并要求供应商响应的如付款方式、</w:t>
      </w:r>
      <w:r>
        <w:rPr>
          <w:rFonts w:hint="eastAsia" w:ascii="宋体" w:hAnsi="宋体"/>
          <w:color w:val="auto"/>
          <w:sz w:val="24"/>
          <w:highlight w:val="none"/>
          <w:lang w:eastAsia="zh-CN"/>
        </w:rPr>
        <w:t>供货（安装）期</w:t>
      </w:r>
      <w:r>
        <w:rPr>
          <w:rFonts w:hint="eastAsia" w:ascii="宋体" w:hAnsi="宋体"/>
          <w:color w:val="auto"/>
          <w:sz w:val="24"/>
          <w:highlight w:val="none"/>
        </w:rPr>
        <w:t>、质保期</w:t>
      </w:r>
      <w:r>
        <w:rPr>
          <w:rFonts w:hint="eastAsia" w:ascii="宋体" w:hAnsi="宋体"/>
          <w:color w:val="auto"/>
          <w:sz w:val="24"/>
          <w:highlight w:val="none"/>
          <w:lang w:eastAsia="zh-CN"/>
        </w:rPr>
        <w:t>、</w:t>
      </w:r>
      <w:r>
        <w:rPr>
          <w:rFonts w:hint="eastAsia" w:ascii="宋体" w:hAnsi="宋体"/>
          <w:color w:val="auto"/>
          <w:sz w:val="24"/>
          <w:highlight w:val="none"/>
        </w:rPr>
        <w:t>售后服务等商务条款，并逐一作出承诺。</w:t>
      </w:r>
    </w:p>
    <w:p w14:paraId="777B0F53">
      <w:pPr>
        <w:spacing w:line="360" w:lineRule="exact"/>
        <w:ind w:firstLine="480" w:firstLineChars="200"/>
        <w:rPr>
          <w:rFonts w:ascii="宋体" w:hAnsi="宋体"/>
          <w:color w:val="auto"/>
          <w:sz w:val="24"/>
          <w:highlight w:val="none"/>
          <w:u w:val="single"/>
        </w:rPr>
      </w:pPr>
      <w:r>
        <w:rPr>
          <w:rFonts w:hint="eastAsia" w:ascii="宋体" w:hAnsi="宋体"/>
          <w:color w:val="auto"/>
          <w:sz w:val="24"/>
          <w:highlight w:val="none"/>
        </w:rPr>
        <w:t>②请供应商在填写本表时，对应采购文件要求如实填写</w:t>
      </w:r>
      <w:r>
        <w:rPr>
          <w:rFonts w:ascii="宋体"/>
          <w:color w:val="auto"/>
          <w:sz w:val="24"/>
          <w:highlight w:val="none"/>
        </w:rPr>
        <w:t>,</w:t>
      </w:r>
      <w:r>
        <w:rPr>
          <w:rFonts w:hint="eastAsia" w:ascii="宋体"/>
          <w:color w:val="auto"/>
          <w:sz w:val="24"/>
          <w:highlight w:val="none"/>
        </w:rPr>
        <w:t>并必须用具体数字或文字来表述，不能复制采购文件要求或仅填写“（不）偏离”或虚假应标。</w:t>
      </w:r>
      <w:r>
        <w:rPr>
          <w:rFonts w:hint="eastAsia" w:ascii="宋体" w:hAnsi="宋体"/>
          <w:color w:val="auto"/>
          <w:sz w:val="24"/>
          <w:highlight w:val="none"/>
        </w:rPr>
        <w:t>若供应商自行承诺的售后服务承诺与此表不一致的，则</w:t>
      </w:r>
      <w:r>
        <w:rPr>
          <w:rFonts w:hint="eastAsia" w:ascii="宋体" w:hAnsi="宋体"/>
          <w:color w:val="auto"/>
          <w:sz w:val="24"/>
          <w:highlight w:val="none"/>
          <w:lang w:eastAsia="zh-CN"/>
        </w:rPr>
        <w:t>谈判小组</w:t>
      </w:r>
      <w:r>
        <w:rPr>
          <w:rFonts w:hint="eastAsia" w:ascii="宋体" w:hAnsi="宋体"/>
          <w:color w:val="auto"/>
          <w:sz w:val="24"/>
          <w:highlight w:val="none"/>
        </w:rPr>
        <w:t>有权作出不利于供应商的认定。</w:t>
      </w:r>
    </w:p>
    <w:p w14:paraId="3DA4C3EE">
      <w:pPr>
        <w:spacing w:line="360" w:lineRule="exact"/>
        <w:ind w:right="187"/>
        <w:rPr>
          <w:rFonts w:ascii="宋体" w:hAnsi="宋体"/>
          <w:bCs/>
          <w:color w:val="auto"/>
          <w:sz w:val="24"/>
          <w:highlight w:val="none"/>
        </w:rPr>
      </w:pPr>
    </w:p>
    <w:p w14:paraId="1ADCE66D">
      <w:pPr>
        <w:spacing w:line="360" w:lineRule="exact"/>
        <w:ind w:right="187"/>
        <w:rPr>
          <w:rFonts w:ascii="宋体" w:hAnsi="宋体"/>
          <w:bCs/>
          <w:color w:val="auto"/>
          <w:sz w:val="24"/>
          <w:highlight w:val="none"/>
        </w:rPr>
      </w:pPr>
    </w:p>
    <w:p w14:paraId="442D5F00">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6187C245">
      <w:pPr>
        <w:spacing w:line="360" w:lineRule="exact"/>
        <w:ind w:right="187"/>
        <w:rPr>
          <w:rFonts w:ascii="宋体" w:hAnsi="宋体"/>
          <w:bCs/>
          <w:color w:val="auto"/>
          <w:sz w:val="24"/>
          <w:highlight w:val="none"/>
          <w:u w:val="single"/>
        </w:rPr>
      </w:pPr>
    </w:p>
    <w:p w14:paraId="66864D2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22EF9548">
      <w:pPr>
        <w:pStyle w:val="31"/>
        <w:spacing w:line="240" w:lineRule="auto"/>
        <w:ind w:left="0" w:leftChars="0" w:firstLine="0" w:firstLineChars="0"/>
        <w:jc w:val="right"/>
        <w:rPr>
          <w:rFonts w:ascii="宋体" w:hAnsi="宋体"/>
          <w:b/>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4E911E91">
      <w:pPr>
        <w:spacing w:line="460" w:lineRule="exact"/>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技术响应一览表</w:t>
      </w:r>
    </w:p>
    <w:p w14:paraId="3C991F1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5925778D">
      <w:pPr>
        <w:pStyle w:val="31"/>
        <w:spacing w:before="120" w:beforeLines="50" w:line="240" w:lineRule="auto"/>
        <w:ind w:left="0" w:leftChars="0" w:firstLine="0" w:firstLineChars="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 xml:space="preserve">____________________    </w:t>
      </w:r>
      <w:r>
        <w:rPr>
          <w:rFonts w:ascii="宋体" w:hAnsi="宋体"/>
          <w:b/>
          <w:bCs/>
          <w:color w:val="auto"/>
          <w:sz w:val="24"/>
          <w:highlight w:val="none"/>
        </w:rPr>
        <w:t xml:space="preserve">    </w:t>
      </w:r>
      <w:r>
        <w:rPr>
          <w:rFonts w:hint="eastAsia" w:ascii="宋体" w:hAnsi="宋体"/>
          <w:b/>
          <w:bCs/>
          <w:color w:val="auto"/>
          <w:sz w:val="24"/>
          <w:highlight w:val="none"/>
          <w:lang w:val="en-US" w:eastAsia="zh-CN"/>
        </w:rPr>
        <w:t xml:space="preserve">  </w:t>
      </w:r>
      <w:r>
        <w:rPr>
          <w:rFonts w:ascii="宋体" w:hAnsi="宋体"/>
          <w:bCs/>
          <w:color w:val="auto"/>
          <w:sz w:val="24"/>
          <w:highlight w:val="none"/>
        </w:rPr>
        <w:t xml:space="preserve">  </w:t>
      </w:r>
      <w:r>
        <w:rPr>
          <w:rFonts w:hint="eastAsia" w:ascii="宋体" w:hAnsi="宋体"/>
          <w:bCs/>
          <w:color w:val="auto"/>
          <w:sz w:val="24"/>
          <w:highlight w:val="none"/>
        </w:rPr>
        <w:t>包号：</w:t>
      </w:r>
      <w:r>
        <w:rPr>
          <w:rFonts w:ascii="宋体" w:hAnsi="宋体"/>
          <w:bCs/>
          <w:color w:val="auto"/>
          <w:sz w:val="24"/>
          <w:highlight w:val="none"/>
        </w:rPr>
        <w:t xml:space="preserve">     </w:t>
      </w:r>
      <w:r>
        <w:rPr>
          <w:rFonts w:ascii="宋体" w:hAnsi="宋体"/>
          <w:b/>
          <w:bCs/>
          <w:color w:val="auto"/>
          <w:sz w:val="24"/>
          <w:highlight w:val="none"/>
        </w:rPr>
        <w:t xml:space="preserve">     </w:t>
      </w:r>
      <w:r>
        <w:rPr>
          <w:rFonts w:ascii="宋体" w:hAnsi="宋体"/>
          <w:bCs/>
          <w:color w:val="auto"/>
          <w:sz w:val="24"/>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14:paraId="1307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0"/>
            <w:vAlign w:val="center"/>
          </w:tcPr>
          <w:p w14:paraId="0E46716B">
            <w:pPr>
              <w:tabs>
                <w:tab w:val="left" w:pos="1337"/>
              </w:tabs>
              <w:jc w:val="center"/>
              <w:rPr>
                <w:rFonts w:ascii="宋体" w:hAnsi="宋体"/>
                <w:bCs/>
                <w:color w:val="auto"/>
                <w:sz w:val="24"/>
                <w:highlight w:val="none"/>
              </w:rPr>
            </w:pPr>
            <w:r>
              <w:rPr>
                <w:rFonts w:hint="eastAsia" w:ascii="宋体" w:hAnsi="宋体"/>
                <w:bCs/>
                <w:color w:val="auto"/>
                <w:sz w:val="24"/>
                <w:highlight w:val="none"/>
              </w:rPr>
              <w:t>序号</w:t>
            </w:r>
          </w:p>
        </w:tc>
        <w:tc>
          <w:tcPr>
            <w:tcW w:w="1469" w:type="dxa"/>
            <w:noWrap w:val="0"/>
            <w:vAlign w:val="center"/>
          </w:tcPr>
          <w:p w14:paraId="1DD2CB91">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50532D87">
            <w:pPr>
              <w:tabs>
                <w:tab w:val="left" w:pos="1337"/>
              </w:tabs>
              <w:jc w:val="center"/>
              <w:rPr>
                <w:rFonts w:ascii="宋体" w:hAnsi="宋体"/>
                <w:bCs/>
                <w:color w:val="auto"/>
                <w:sz w:val="24"/>
                <w:highlight w:val="none"/>
              </w:rPr>
            </w:pPr>
            <w:r>
              <w:rPr>
                <w:rFonts w:hint="eastAsia" w:ascii="宋体" w:hAnsi="宋体"/>
                <w:bCs/>
                <w:color w:val="auto"/>
                <w:sz w:val="24"/>
                <w:highlight w:val="none"/>
              </w:rPr>
              <w:t>条目号</w:t>
            </w:r>
          </w:p>
        </w:tc>
        <w:tc>
          <w:tcPr>
            <w:tcW w:w="1594" w:type="dxa"/>
            <w:noWrap w:val="0"/>
            <w:vAlign w:val="center"/>
          </w:tcPr>
          <w:p w14:paraId="18F8E667">
            <w:pPr>
              <w:tabs>
                <w:tab w:val="left" w:pos="1337"/>
              </w:tabs>
              <w:jc w:val="center"/>
              <w:rPr>
                <w:rFonts w:ascii="宋体" w:hAnsi="宋体"/>
                <w:bCs/>
                <w:color w:val="auto"/>
                <w:sz w:val="24"/>
                <w:highlight w:val="none"/>
              </w:rPr>
            </w:pPr>
            <w:r>
              <w:rPr>
                <w:rFonts w:hint="eastAsia" w:ascii="宋体" w:hAnsi="宋体"/>
                <w:bCs/>
                <w:color w:val="auto"/>
                <w:sz w:val="24"/>
                <w:highlight w:val="none"/>
              </w:rPr>
              <w:t>采购文件</w:t>
            </w:r>
          </w:p>
          <w:p w14:paraId="2918AB4D">
            <w:pPr>
              <w:tabs>
                <w:tab w:val="left" w:pos="1337"/>
              </w:tabs>
              <w:jc w:val="center"/>
              <w:rPr>
                <w:rFonts w:ascii="宋体" w:hAnsi="宋体"/>
                <w:bCs/>
                <w:color w:val="auto"/>
                <w:sz w:val="24"/>
                <w:highlight w:val="none"/>
              </w:rPr>
            </w:pPr>
            <w:r>
              <w:rPr>
                <w:rFonts w:hint="eastAsia" w:ascii="宋体" w:hAnsi="宋体"/>
                <w:bCs/>
                <w:color w:val="auto"/>
                <w:sz w:val="24"/>
                <w:highlight w:val="none"/>
              </w:rPr>
              <w:t>技术要求</w:t>
            </w:r>
          </w:p>
        </w:tc>
        <w:tc>
          <w:tcPr>
            <w:tcW w:w="1592" w:type="dxa"/>
            <w:noWrap w:val="0"/>
            <w:vAlign w:val="center"/>
          </w:tcPr>
          <w:p w14:paraId="327CB252">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w:t>
            </w:r>
          </w:p>
          <w:p w14:paraId="7C0D2DA1">
            <w:pPr>
              <w:tabs>
                <w:tab w:val="left" w:pos="1337"/>
              </w:tabs>
              <w:jc w:val="center"/>
              <w:rPr>
                <w:rFonts w:ascii="宋体" w:hAnsi="宋体"/>
                <w:bCs/>
                <w:color w:val="auto"/>
                <w:sz w:val="24"/>
                <w:highlight w:val="none"/>
              </w:rPr>
            </w:pPr>
            <w:r>
              <w:rPr>
                <w:rFonts w:hint="eastAsia" w:ascii="宋体" w:hAnsi="宋体"/>
                <w:bCs/>
                <w:color w:val="auto"/>
                <w:sz w:val="24"/>
                <w:highlight w:val="none"/>
              </w:rPr>
              <w:t>实际情况</w:t>
            </w:r>
          </w:p>
        </w:tc>
        <w:tc>
          <w:tcPr>
            <w:tcW w:w="1460" w:type="dxa"/>
            <w:noWrap w:val="0"/>
            <w:vAlign w:val="center"/>
          </w:tcPr>
          <w:p w14:paraId="32C17AC9">
            <w:pPr>
              <w:tabs>
                <w:tab w:val="left" w:pos="1337"/>
              </w:tabs>
              <w:jc w:val="center"/>
              <w:rPr>
                <w:rFonts w:ascii="宋体" w:hAnsi="宋体"/>
                <w:bCs/>
                <w:color w:val="auto"/>
                <w:sz w:val="24"/>
                <w:highlight w:val="none"/>
              </w:rPr>
            </w:pPr>
            <w:r>
              <w:rPr>
                <w:rFonts w:hint="eastAsia" w:ascii="宋体" w:hAnsi="宋体"/>
                <w:bCs/>
                <w:color w:val="auto"/>
                <w:sz w:val="24"/>
                <w:highlight w:val="none"/>
              </w:rPr>
              <w:t>响应文件对应的页码及条目号</w:t>
            </w:r>
          </w:p>
        </w:tc>
        <w:tc>
          <w:tcPr>
            <w:tcW w:w="1462" w:type="dxa"/>
            <w:noWrap w:val="0"/>
            <w:vAlign w:val="center"/>
          </w:tcPr>
          <w:p w14:paraId="3F607D37">
            <w:pPr>
              <w:tabs>
                <w:tab w:val="left" w:pos="1337"/>
              </w:tabs>
              <w:jc w:val="center"/>
              <w:rPr>
                <w:rFonts w:ascii="宋体" w:hAnsi="宋体"/>
                <w:bCs/>
                <w:color w:val="auto"/>
                <w:sz w:val="24"/>
                <w:highlight w:val="none"/>
              </w:rPr>
            </w:pPr>
            <w:r>
              <w:rPr>
                <w:rFonts w:hint="eastAsia" w:ascii="宋体" w:hAnsi="宋体"/>
                <w:bCs/>
                <w:color w:val="auto"/>
                <w:sz w:val="24"/>
                <w:highlight w:val="none"/>
              </w:rPr>
              <w:t>偏差情况</w:t>
            </w:r>
          </w:p>
        </w:tc>
        <w:tc>
          <w:tcPr>
            <w:tcW w:w="1341" w:type="dxa"/>
            <w:noWrap w:val="0"/>
            <w:vAlign w:val="center"/>
          </w:tcPr>
          <w:p w14:paraId="0513005E">
            <w:pPr>
              <w:tabs>
                <w:tab w:val="left" w:pos="1337"/>
              </w:tabs>
              <w:jc w:val="center"/>
              <w:rPr>
                <w:rFonts w:ascii="宋体" w:hAnsi="宋体"/>
                <w:bCs/>
                <w:color w:val="auto"/>
                <w:sz w:val="24"/>
                <w:highlight w:val="none"/>
              </w:rPr>
            </w:pPr>
            <w:r>
              <w:rPr>
                <w:rFonts w:hint="eastAsia" w:ascii="宋体" w:hAnsi="宋体"/>
                <w:bCs/>
                <w:color w:val="auto"/>
                <w:sz w:val="24"/>
                <w:highlight w:val="none"/>
              </w:rPr>
              <w:t>佐证证明材料页码</w:t>
            </w:r>
          </w:p>
        </w:tc>
      </w:tr>
      <w:tr w14:paraId="26BB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311F6A92">
            <w:pPr>
              <w:tabs>
                <w:tab w:val="left" w:pos="1337"/>
              </w:tabs>
              <w:jc w:val="center"/>
              <w:rPr>
                <w:rFonts w:ascii="宋体" w:hAnsi="宋体"/>
                <w:color w:val="auto"/>
                <w:sz w:val="24"/>
                <w:highlight w:val="none"/>
              </w:rPr>
            </w:pPr>
          </w:p>
        </w:tc>
        <w:tc>
          <w:tcPr>
            <w:tcW w:w="1469" w:type="dxa"/>
            <w:noWrap w:val="0"/>
            <w:vAlign w:val="center"/>
          </w:tcPr>
          <w:p w14:paraId="71341AEE">
            <w:pPr>
              <w:tabs>
                <w:tab w:val="left" w:pos="1337"/>
              </w:tabs>
              <w:jc w:val="center"/>
              <w:rPr>
                <w:rFonts w:ascii="宋体" w:hAnsi="宋体"/>
                <w:color w:val="auto"/>
                <w:sz w:val="24"/>
                <w:highlight w:val="none"/>
              </w:rPr>
            </w:pPr>
          </w:p>
        </w:tc>
        <w:tc>
          <w:tcPr>
            <w:tcW w:w="1594" w:type="dxa"/>
            <w:noWrap w:val="0"/>
            <w:vAlign w:val="center"/>
          </w:tcPr>
          <w:p w14:paraId="0895488D">
            <w:pPr>
              <w:tabs>
                <w:tab w:val="left" w:pos="1337"/>
              </w:tabs>
              <w:jc w:val="center"/>
              <w:rPr>
                <w:rFonts w:ascii="宋体" w:hAnsi="宋体"/>
                <w:color w:val="auto"/>
                <w:sz w:val="24"/>
                <w:highlight w:val="none"/>
              </w:rPr>
            </w:pPr>
          </w:p>
        </w:tc>
        <w:tc>
          <w:tcPr>
            <w:tcW w:w="1592" w:type="dxa"/>
            <w:noWrap w:val="0"/>
            <w:vAlign w:val="center"/>
          </w:tcPr>
          <w:p w14:paraId="3BFEAA97">
            <w:pPr>
              <w:tabs>
                <w:tab w:val="left" w:pos="1337"/>
              </w:tabs>
              <w:jc w:val="center"/>
              <w:rPr>
                <w:rFonts w:ascii="宋体" w:hAnsi="宋体"/>
                <w:color w:val="auto"/>
                <w:sz w:val="24"/>
                <w:highlight w:val="none"/>
              </w:rPr>
            </w:pPr>
          </w:p>
        </w:tc>
        <w:tc>
          <w:tcPr>
            <w:tcW w:w="1460" w:type="dxa"/>
            <w:noWrap w:val="0"/>
            <w:vAlign w:val="center"/>
          </w:tcPr>
          <w:p w14:paraId="5D67CA47">
            <w:pPr>
              <w:tabs>
                <w:tab w:val="left" w:pos="1337"/>
              </w:tabs>
              <w:jc w:val="center"/>
              <w:rPr>
                <w:rFonts w:ascii="宋体" w:hAnsi="宋体"/>
                <w:color w:val="auto"/>
                <w:sz w:val="24"/>
                <w:highlight w:val="none"/>
              </w:rPr>
            </w:pPr>
          </w:p>
        </w:tc>
        <w:tc>
          <w:tcPr>
            <w:tcW w:w="1462" w:type="dxa"/>
            <w:noWrap w:val="0"/>
            <w:vAlign w:val="center"/>
          </w:tcPr>
          <w:p w14:paraId="33C6187E">
            <w:pPr>
              <w:tabs>
                <w:tab w:val="left" w:pos="1337"/>
              </w:tabs>
              <w:jc w:val="center"/>
              <w:rPr>
                <w:rFonts w:ascii="宋体" w:hAnsi="宋体"/>
                <w:color w:val="auto"/>
                <w:sz w:val="24"/>
                <w:highlight w:val="none"/>
              </w:rPr>
            </w:pPr>
          </w:p>
        </w:tc>
        <w:tc>
          <w:tcPr>
            <w:tcW w:w="1341" w:type="dxa"/>
            <w:noWrap w:val="0"/>
            <w:vAlign w:val="center"/>
          </w:tcPr>
          <w:p w14:paraId="41C08495">
            <w:pPr>
              <w:tabs>
                <w:tab w:val="left" w:pos="1337"/>
              </w:tabs>
              <w:jc w:val="center"/>
              <w:rPr>
                <w:rFonts w:ascii="宋体" w:hAnsi="宋体"/>
                <w:color w:val="auto"/>
                <w:sz w:val="24"/>
                <w:highlight w:val="none"/>
              </w:rPr>
            </w:pPr>
          </w:p>
        </w:tc>
      </w:tr>
      <w:tr w14:paraId="681F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0"/>
            <w:vAlign w:val="center"/>
          </w:tcPr>
          <w:p w14:paraId="0AB8CCE2">
            <w:pPr>
              <w:tabs>
                <w:tab w:val="left" w:pos="1337"/>
              </w:tabs>
              <w:jc w:val="center"/>
              <w:rPr>
                <w:rFonts w:ascii="宋体" w:hAnsi="宋体"/>
                <w:color w:val="auto"/>
                <w:sz w:val="24"/>
                <w:highlight w:val="none"/>
              </w:rPr>
            </w:pPr>
          </w:p>
        </w:tc>
        <w:tc>
          <w:tcPr>
            <w:tcW w:w="1469" w:type="dxa"/>
            <w:noWrap w:val="0"/>
            <w:vAlign w:val="center"/>
          </w:tcPr>
          <w:p w14:paraId="76294CDC">
            <w:pPr>
              <w:tabs>
                <w:tab w:val="left" w:pos="1337"/>
              </w:tabs>
              <w:jc w:val="center"/>
              <w:rPr>
                <w:rFonts w:ascii="宋体" w:hAnsi="宋体"/>
                <w:color w:val="auto"/>
                <w:sz w:val="24"/>
                <w:highlight w:val="none"/>
              </w:rPr>
            </w:pPr>
          </w:p>
        </w:tc>
        <w:tc>
          <w:tcPr>
            <w:tcW w:w="1594" w:type="dxa"/>
            <w:noWrap w:val="0"/>
            <w:vAlign w:val="center"/>
          </w:tcPr>
          <w:p w14:paraId="05E1791F">
            <w:pPr>
              <w:tabs>
                <w:tab w:val="left" w:pos="1337"/>
              </w:tabs>
              <w:jc w:val="center"/>
              <w:rPr>
                <w:rFonts w:ascii="宋体" w:hAnsi="宋体"/>
                <w:color w:val="auto"/>
                <w:sz w:val="24"/>
                <w:highlight w:val="none"/>
              </w:rPr>
            </w:pPr>
          </w:p>
        </w:tc>
        <w:tc>
          <w:tcPr>
            <w:tcW w:w="1592" w:type="dxa"/>
            <w:noWrap w:val="0"/>
            <w:vAlign w:val="center"/>
          </w:tcPr>
          <w:p w14:paraId="649642EA">
            <w:pPr>
              <w:tabs>
                <w:tab w:val="left" w:pos="1337"/>
              </w:tabs>
              <w:jc w:val="center"/>
              <w:rPr>
                <w:rFonts w:ascii="宋体" w:hAnsi="宋体"/>
                <w:color w:val="auto"/>
                <w:sz w:val="24"/>
                <w:highlight w:val="none"/>
              </w:rPr>
            </w:pPr>
          </w:p>
        </w:tc>
        <w:tc>
          <w:tcPr>
            <w:tcW w:w="1460" w:type="dxa"/>
            <w:noWrap w:val="0"/>
            <w:vAlign w:val="center"/>
          </w:tcPr>
          <w:p w14:paraId="768C7DF5">
            <w:pPr>
              <w:tabs>
                <w:tab w:val="left" w:pos="1337"/>
              </w:tabs>
              <w:jc w:val="center"/>
              <w:rPr>
                <w:rFonts w:ascii="宋体" w:hAnsi="宋体"/>
                <w:color w:val="auto"/>
                <w:sz w:val="24"/>
                <w:highlight w:val="none"/>
              </w:rPr>
            </w:pPr>
          </w:p>
        </w:tc>
        <w:tc>
          <w:tcPr>
            <w:tcW w:w="1462" w:type="dxa"/>
            <w:noWrap w:val="0"/>
            <w:vAlign w:val="center"/>
          </w:tcPr>
          <w:p w14:paraId="6D969A2B">
            <w:pPr>
              <w:tabs>
                <w:tab w:val="left" w:pos="1337"/>
              </w:tabs>
              <w:jc w:val="center"/>
              <w:rPr>
                <w:rFonts w:ascii="宋体" w:hAnsi="宋体"/>
                <w:color w:val="auto"/>
                <w:sz w:val="24"/>
                <w:highlight w:val="none"/>
              </w:rPr>
            </w:pPr>
          </w:p>
        </w:tc>
        <w:tc>
          <w:tcPr>
            <w:tcW w:w="1341" w:type="dxa"/>
            <w:noWrap w:val="0"/>
            <w:vAlign w:val="center"/>
          </w:tcPr>
          <w:p w14:paraId="0DB86ABB">
            <w:pPr>
              <w:tabs>
                <w:tab w:val="left" w:pos="1337"/>
              </w:tabs>
              <w:jc w:val="center"/>
              <w:rPr>
                <w:rFonts w:ascii="宋体" w:hAnsi="宋体"/>
                <w:color w:val="auto"/>
                <w:sz w:val="24"/>
                <w:highlight w:val="none"/>
              </w:rPr>
            </w:pPr>
          </w:p>
        </w:tc>
      </w:tr>
      <w:tr w14:paraId="44B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6530EB30">
            <w:pPr>
              <w:tabs>
                <w:tab w:val="left" w:pos="1337"/>
              </w:tabs>
              <w:jc w:val="center"/>
              <w:rPr>
                <w:rFonts w:ascii="宋体" w:hAnsi="宋体"/>
                <w:color w:val="auto"/>
                <w:sz w:val="24"/>
                <w:highlight w:val="none"/>
              </w:rPr>
            </w:pPr>
          </w:p>
        </w:tc>
        <w:tc>
          <w:tcPr>
            <w:tcW w:w="1469" w:type="dxa"/>
            <w:noWrap w:val="0"/>
            <w:vAlign w:val="center"/>
          </w:tcPr>
          <w:p w14:paraId="60159BC7">
            <w:pPr>
              <w:tabs>
                <w:tab w:val="left" w:pos="1337"/>
              </w:tabs>
              <w:jc w:val="center"/>
              <w:rPr>
                <w:rFonts w:ascii="宋体" w:hAnsi="宋体"/>
                <w:color w:val="auto"/>
                <w:sz w:val="24"/>
                <w:highlight w:val="none"/>
              </w:rPr>
            </w:pPr>
          </w:p>
        </w:tc>
        <w:tc>
          <w:tcPr>
            <w:tcW w:w="1594" w:type="dxa"/>
            <w:noWrap w:val="0"/>
            <w:vAlign w:val="center"/>
          </w:tcPr>
          <w:p w14:paraId="19552ECB">
            <w:pPr>
              <w:tabs>
                <w:tab w:val="left" w:pos="1337"/>
              </w:tabs>
              <w:jc w:val="center"/>
              <w:rPr>
                <w:rFonts w:ascii="宋体" w:hAnsi="宋体"/>
                <w:color w:val="auto"/>
                <w:sz w:val="24"/>
                <w:highlight w:val="none"/>
              </w:rPr>
            </w:pPr>
          </w:p>
        </w:tc>
        <w:tc>
          <w:tcPr>
            <w:tcW w:w="1592" w:type="dxa"/>
            <w:noWrap w:val="0"/>
            <w:vAlign w:val="center"/>
          </w:tcPr>
          <w:p w14:paraId="685C5739">
            <w:pPr>
              <w:tabs>
                <w:tab w:val="left" w:pos="1337"/>
              </w:tabs>
              <w:jc w:val="center"/>
              <w:rPr>
                <w:rFonts w:ascii="宋体" w:hAnsi="宋体"/>
                <w:color w:val="auto"/>
                <w:sz w:val="24"/>
                <w:highlight w:val="none"/>
              </w:rPr>
            </w:pPr>
          </w:p>
        </w:tc>
        <w:tc>
          <w:tcPr>
            <w:tcW w:w="1460" w:type="dxa"/>
            <w:noWrap w:val="0"/>
            <w:vAlign w:val="center"/>
          </w:tcPr>
          <w:p w14:paraId="35A72E2F">
            <w:pPr>
              <w:tabs>
                <w:tab w:val="left" w:pos="1337"/>
              </w:tabs>
              <w:jc w:val="center"/>
              <w:rPr>
                <w:rFonts w:ascii="宋体" w:hAnsi="宋体"/>
                <w:color w:val="auto"/>
                <w:sz w:val="24"/>
                <w:highlight w:val="none"/>
              </w:rPr>
            </w:pPr>
          </w:p>
        </w:tc>
        <w:tc>
          <w:tcPr>
            <w:tcW w:w="1462" w:type="dxa"/>
            <w:noWrap w:val="0"/>
            <w:vAlign w:val="center"/>
          </w:tcPr>
          <w:p w14:paraId="730B0C0C">
            <w:pPr>
              <w:tabs>
                <w:tab w:val="left" w:pos="1337"/>
              </w:tabs>
              <w:jc w:val="center"/>
              <w:rPr>
                <w:rFonts w:ascii="宋体" w:hAnsi="宋体"/>
                <w:color w:val="auto"/>
                <w:sz w:val="24"/>
                <w:highlight w:val="none"/>
              </w:rPr>
            </w:pPr>
          </w:p>
        </w:tc>
        <w:tc>
          <w:tcPr>
            <w:tcW w:w="1341" w:type="dxa"/>
            <w:noWrap w:val="0"/>
            <w:vAlign w:val="center"/>
          </w:tcPr>
          <w:p w14:paraId="026711DC">
            <w:pPr>
              <w:tabs>
                <w:tab w:val="left" w:pos="1337"/>
              </w:tabs>
              <w:jc w:val="center"/>
              <w:rPr>
                <w:rFonts w:ascii="宋体" w:hAnsi="宋体"/>
                <w:color w:val="auto"/>
                <w:sz w:val="24"/>
                <w:highlight w:val="none"/>
              </w:rPr>
            </w:pPr>
          </w:p>
        </w:tc>
      </w:tr>
      <w:tr w14:paraId="2C6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2518D985">
            <w:pPr>
              <w:tabs>
                <w:tab w:val="left" w:pos="1337"/>
              </w:tabs>
              <w:jc w:val="center"/>
              <w:rPr>
                <w:rFonts w:ascii="宋体" w:hAnsi="宋体"/>
                <w:color w:val="auto"/>
                <w:sz w:val="24"/>
                <w:highlight w:val="none"/>
              </w:rPr>
            </w:pPr>
          </w:p>
        </w:tc>
        <w:tc>
          <w:tcPr>
            <w:tcW w:w="1469" w:type="dxa"/>
            <w:noWrap w:val="0"/>
            <w:vAlign w:val="center"/>
          </w:tcPr>
          <w:p w14:paraId="408922A7">
            <w:pPr>
              <w:tabs>
                <w:tab w:val="left" w:pos="1337"/>
              </w:tabs>
              <w:jc w:val="center"/>
              <w:rPr>
                <w:rFonts w:ascii="宋体" w:hAnsi="宋体"/>
                <w:color w:val="auto"/>
                <w:sz w:val="24"/>
                <w:highlight w:val="none"/>
              </w:rPr>
            </w:pPr>
          </w:p>
        </w:tc>
        <w:tc>
          <w:tcPr>
            <w:tcW w:w="1594" w:type="dxa"/>
            <w:noWrap w:val="0"/>
            <w:vAlign w:val="center"/>
          </w:tcPr>
          <w:p w14:paraId="579324E7">
            <w:pPr>
              <w:tabs>
                <w:tab w:val="left" w:pos="1337"/>
              </w:tabs>
              <w:jc w:val="center"/>
              <w:rPr>
                <w:rFonts w:ascii="宋体" w:hAnsi="宋体"/>
                <w:color w:val="auto"/>
                <w:sz w:val="24"/>
                <w:highlight w:val="none"/>
              </w:rPr>
            </w:pPr>
          </w:p>
        </w:tc>
        <w:tc>
          <w:tcPr>
            <w:tcW w:w="1592" w:type="dxa"/>
            <w:noWrap w:val="0"/>
            <w:vAlign w:val="center"/>
          </w:tcPr>
          <w:p w14:paraId="3D6FBE89">
            <w:pPr>
              <w:tabs>
                <w:tab w:val="left" w:pos="1337"/>
              </w:tabs>
              <w:jc w:val="center"/>
              <w:rPr>
                <w:rFonts w:ascii="宋体" w:hAnsi="宋体"/>
                <w:color w:val="auto"/>
                <w:sz w:val="24"/>
                <w:highlight w:val="none"/>
              </w:rPr>
            </w:pPr>
          </w:p>
        </w:tc>
        <w:tc>
          <w:tcPr>
            <w:tcW w:w="1460" w:type="dxa"/>
            <w:noWrap w:val="0"/>
            <w:vAlign w:val="center"/>
          </w:tcPr>
          <w:p w14:paraId="64F48376">
            <w:pPr>
              <w:tabs>
                <w:tab w:val="left" w:pos="1337"/>
              </w:tabs>
              <w:jc w:val="center"/>
              <w:rPr>
                <w:rFonts w:ascii="宋体" w:hAnsi="宋体"/>
                <w:color w:val="auto"/>
                <w:sz w:val="24"/>
                <w:highlight w:val="none"/>
              </w:rPr>
            </w:pPr>
          </w:p>
        </w:tc>
        <w:tc>
          <w:tcPr>
            <w:tcW w:w="1462" w:type="dxa"/>
            <w:noWrap w:val="0"/>
            <w:vAlign w:val="center"/>
          </w:tcPr>
          <w:p w14:paraId="17DD6DBD">
            <w:pPr>
              <w:tabs>
                <w:tab w:val="left" w:pos="1337"/>
              </w:tabs>
              <w:jc w:val="center"/>
              <w:rPr>
                <w:rFonts w:ascii="宋体" w:hAnsi="宋体"/>
                <w:color w:val="auto"/>
                <w:sz w:val="24"/>
                <w:highlight w:val="none"/>
              </w:rPr>
            </w:pPr>
          </w:p>
        </w:tc>
        <w:tc>
          <w:tcPr>
            <w:tcW w:w="1341" w:type="dxa"/>
            <w:noWrap w:val="0"/>
            <w:vAlign w:val="center"/>
          </w:tcPr>
          <w:p w14:paraId="04EC85C0">
            <w:pPr>
              <w:tabs>
                <w:tab w:val="left" w:pos="1337"/>
              </w:tabs>
              <w:jc w:val="center"/>
              <w:rPr>
                <w:rFonts w:ascii="宋体" w:hAnsi="宋体"/>
                <w:color w:val="auto"/>
                <w:sz w:val="24"/>
                <w:highlight w:val="none"/>
              </w:rPr>
            </w:pPr>
          </w:p>
        </w:tc>
      </w:tr>
      <w:tr w14:paraId="065A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4ED665DF">
            <w:pPr>
              <w:tabs>
                <w:tab w:val="left" w:pos="1337"/>
              </w:tabs>
              <w:jc w:val="center"/>
              <w:rPr>
                <w:rFonts w:ascii="宋体" w:hAnsi="宋体"/>
                <w:color w:val="auto"/>
                <w:sz w:val="24"/>
                <w:highlight w:val="none"/>
              </w:rPr>
            </w:pPr>
          </w:p>
        </w:tc>
        <w:tc>
          <w:tcPr>
            <w:tcW w:w="1469" w:type="dxa"/>
            <w:noWrap w:val="0"/>
            <w:vAlign w:val="center"/>
          </w:tcPr>
          <w:p w14:paraId="79E5AD2B">
            <w:pPr>
              <w:tabs>
                <w:tab w:val="left" w:pos="1337"/>
              </w:tabs>
              <w:jc w:val="center"/>
              <w:rPr>
                <w:rFonts w:ascii="宋体" w:hAnsi="宋体"/>
                <w:color w:val="auto"/>
                <w:sz w:val="24"/>
                <w:highlight w:val="none"/>
              </w:rPr>
            </w:pPr>
          </w:p>
        </w:tc>
        <w:tc>
          <w:tcPr>
            <w:tcW w:w="1594" w:type="dxa"/>
            <w:noWrap w:val="0"/>
            <w:vAlign w:val="center"/>
          </w:tcPr>
          <w:p w14:paraId="039BD6B3">
            <w:pPr>
              <w:tabs>
                <w:tab w:val="left" w:pos="1337"/>
              </w:tabs>
              <w:jc w:val="center"/>
              <w:rPr>
                <w:rFonts w:ascii="宋体" w:hAnsi="宋体"/>
                <w:color w:val="auto"/>
                <w:sz w:val="24"/>
                <w:highlight w:val="none"/>
              </w:rPr>
            </w:pPr>
          </w:p>
        </w:tc>
        <w:tc>
          <w:tcPr>
            <w:tcW w:w="1592" w:type="dxa"/>
            <w:noWrap w:val="0"/>
            <w:vAlign w:val="center"/>
          </w:tcPr>
          <w:p w14:paraId="7737CA7A">
            <w:pPr>
              <w:tabs>
                <w:tab w:val="left" w:pos="1337"/>
              </w:tabs>
              <w:jc w:val="center"/>
              <w:rPr>
                <w:rFonts w:ascii="宋体" w:hAnsi="宋体"/>
                <w:color w:val="auto"/>
                <w:sz w:val="24"/>
                <w:highlight w:val="none"/>
              </w:rPr>
            </w:pPr>
          </w:p>
        </w:tc>
        <w:tc>
          <w:tcPr>
            <w:tcW w:w="1460" w:type="dxa"/>
            <w:noWrap w:val="0"/>
            <w:vAlign w:val="center"/>
          </w:tcPr>
          <w:p w14:paraId="6BB74BCB">
            <w:pPr>
              <w:tabs>
                <w:tab w:val="left" w:pos="1337"/>
              </w:tabs>
              <w:jc w:val="center"/>
              <w:rPr>
                <w:rFonts w:ascii="宋体" w:hAnsi="宋体"/>
                <w:color w:val="auto"/>
                <w:sz w:val="24"/>
                <w:highlight w:val="none"/>
              </w:rPr>
            </w:pPr>
          </w:p>
        </w:tc>
        <w:tc>
          <w:tcPr>
            <w:tcW w:w="1462" w:type="dxa"/>
            <w:noWrap w:val="0"/>
            <w:vAlign w:val="center"/>
          </w:tcPr>
          <w:p w14:paraId="27838676">
            <w:pPr>
              <w:tabs>
                <w:tab w:val="left" w:pos="1337"/>
              </w:tabs>
              <w:jc w:val="center"/>
              <w:rPr>
                <w:rFonts w:ascii="宋体" w:hAnsi="宋体"/>
                <w:color w:val="auto"/>
                <w:sz w:val="24"/>
                <w:highlight w:val="none"/>
              </w:rPr>
            </w:pPr>
          </w:p>
        </w:tc>
        <w:tc>
          <w:tcPr>
            <w:tcW w:w="1341" w:type="dxa"/>
            <w:noWrap w:val="0"/>
            <w:vAlign w:val="center"/>
          </w:tcPr>
          <w:p w14:paraId="02848795">
            <w:pPr>
              <w:tabs>
                <w:tab w:val="left" w:pos="1337"/>
              </w:tabs>
              <w:jc w:val="center"/>
              <w:rPr>
                <w:rFonts w:ascii="宋体" w:hAnsi="宋体"/>
                <w:color w:val="auto"/>
                <w:sz w:val="24"/>
                <w:highlight w:val="none"/>
              </w:rPr>
            </w:pPr>
          </w:p>
        </w:tc>
      </w:tr>
      <w:tr w14:paraId="1362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2A8269AC">
            <w:pPr>
              <w:tabs>
                <w:tab w:val="left" w:pos="1337"/>
              </w:tabs>
              <w:jc w:val="center"/>
              <w:rPr>
                <w:rFonts w:ascii="宋体" w:hAnsi="宋体"/>
                <w:color w:val="auto"/>
                <w:sz w:val="24"/>
                <w:highlight w:val="none"/>
              </w:rPr>
            </w:pPr>
          </w:p>
        </w:tc>
        <w:tc>
          <w:tcPr>
            <w:tcW w:w="1469" w:type="dxa"/>
            <w:noWrap w:val="0"/>
            <w:vAlign w:val="center"/>
          </w:tcPr>
          <w:p w14:paraId="733FD383">
            <w:pPr>
              <w:tabs>
                <w:tab w:val="left" w:pos="1337"/>
              </w:tabs>
              <w:jc w:val="center"/>
              <w:rPr>
                <w:rFonts w:ascii="宋体" w:hAnsi="宋体"/>
                <w:color w:val="auto"/>
                <w:sz w:val="24"/>
                <w:highlight w:val="none"/>
              </w:rPr>
            </w:pPr>
          </w:p>
        </w:tc>
        <w:tc>
          <w:tcPr>
            <w:tcW w:w="1594" w:type="dxa"/>
            <w:noWrap w:val="0"/>
            <w:vAlign w:val="center"/>
          </w:tcPr>
          <w:p w14:paraId="3FF32118">
            <w:pPr>
              <w:tabs>
                <w:tab w:val="left" w:pos="1337"/>
              </w:tabs>
              <w:jc w:val="center"/>
              <w:rPr>
                <w:rFonts w:ascii="宋体" w:hAnsi="宋体"/>
                <w:color w:val="auto"/>
                <w:sz w:val="24"/>
                <w:highlight w:val="none"/>
              </w:rPr>
            </w:pPr>
          </w:p>
        </w:tc>
        <w:tc>
          <w:tcPr>
            <w:tcW w:w="1592" w:type="dxa"/>
            <w:noWrap w:val="0"/>
            <w:vAlign w:val="center"/>
          </w:tcPr>
          <w:p w14:paraId="1B98DA1F">
            <w:pPr>
              <w:tabs>
                <w:tab w:val="left" w:pos="1337"/>
              </w:tabs>
              <w:jc w:val="center"/>
              <w:rPr>
                <w:rFonts w:ascii="宋体" w:hAnsi="宋体"/>
                <w:color w:val="auto"/>
                <w:sz w:val="24"/>
                <w:highlight w:val="none"/>
              </w:rPr>
            </w:pPr>
          </w:p>
        </w:tc>
        <w:tc>
          <w:tcPr>
            <w:tcW w:w="1460" w:type="dxa"/>
            <w:noWrap w:val="0"/>
            <w:vAlign w:val="center"/>
          </w:tcPr>
          <w:p w14:paraId="4F0118B2">
            <w:pPr>
              <w:tabs>
                <w:tab w:val="left" w:pos="1337"/>
              </w:tabs>
              <w:jc w:val="center"/>
              <w:rPr>
                <w:rFonts w:ascii="宋体" w:hAnsi="宋体"/>
                <w:color w:val="auto"/>
                <w:sz w:val="24"/>
                <w:highlight w:val="none"/>
              </w:rPr>
            </w:pPr>
          </w:p>
        </w:tc>
        <w:tc>
          <w:tcPr>
            <w:tcW w:w="1462" w:type="dxa"/>
            <w:noWrap w:val="0"/>
            <w:vAlign w:val="center"/>
          </w:tcPr>
          <w:p w14:paraId="15214F6C">
            <w:pPr>
              <w:tabs>
                <w:tab w:val="left" w:pos="1337"/>
              </w:tabs>
              <w:jc w:val="center"/>
              <w:rPr>
                <w:rFonts w:ascii="宋体" w:hAnsi="宋体"/>
                <w:color w:val="auto"/>
                <w:sz w:val="24"/>
                <w:highlight w:val="none"/>
              </w:rPr>
            </w:pPr>
          </w:p>
        </w:tc>
        <w:tc>
          <w:tcPr>
            <w:tcW w:w="1341" w:type="dxa"/>
            <w:noWrap w:val="0"/>
            <w:vAlign w:val="center"/>
          </w:tcPr>
          <w:p w14:paraId="30ED88D6">
            <w:pPr>
              <w:tabs>
                <w:tab w:val="left" w:pos="1337"/>
              </w:tabs>
              <w:jc w:val="center"/>
              <w:rPr>
                <w:rFonts w:ascii="宋体" w:hAnsi="宋体"/>
                <w:color w:val="auto"/>
                <w:sz w:val="24"/>
                <w:highlight w:val="none"/>
              </w:rPr>
            </w:pPr>
          </w:p>
        </w:tc>
      </w:tr>
      <w:tr w14:paraId="229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0"/>
            <w:vAlign w:val="center"/>
          </w:tcPr>
          <w:p w14:paraId="048BC2AA">
            <w:pPr>
              <w:tabs>
                <w:tab w:val="left" w:pos="1337"/>
              </w:tabs>
              <w:jc w:val="center"/>
              <w:rPr>
                <w:rFonts w:ascii="宋体" w:hAnsi="宋体"/>
                <w:color w:val="auto"/>
                <w:sz w:val="24"/>
                <w:highlight w:val="none"/>
              </w:rPr>
            </w:pPr>
          </w:p>
        </w:tc>
        <w:tc>
          <w:tcPr>
            <w:tcW w:w="1469" w:type="dxa"/>
            <w:noWrap w:val="0"/>
            <w:vAlign w:val="center"/>
          </w:tcPr>
          <w:p w14:paraId="17636AC3">
            <w:pPr>
              <w:tabs>
                <w:tab w:val="left" w:pos="1337"/>
              </w:tabs>
              <w:jc w:val="center"/>
              <w:rPr>
                <w:rFonts w:ascii="宋体" w:hAnsi="宋体"/>
                <w:color w:val="auto"/>
                <w:sz w:val="24"/>
                <w:highlight w:val="none"/>
              </w:rPr>
            </w:pPr>
          </w:p>
        </w:tc>
        <w:tc>
          <w:tcPr>
            <w:tcW w:w="1594" w:type="dxa"/>
            <w:noWrap w:val="0"/>
            <w:vAlign w:val="center"/>
          </w:tcPr>
          <w:p w14:paraId="45651B63">
            <w:pPr>
              <w:tabs>
                <w:tab w:val="left" w:pos="1337"/>
              </w:tabs>
              <w:jc w:val="center"/>
              <w:rPr>
                <w:rFonts w:ascii="宋体" w:hAnsi="宋体"/>
                <w:color w:val="auto"/>
                <w:sz w:val="24"/>
                <w:highlight w:val="none"/>
              </w:rPr>
            </w:pPr>
          </w:p>
        </w:tc>
        <w:tc>
          <w:tcPr>
            <w:tcW w:w="1592" w:type="dxa"/>
            <w:noWrap w:val="0"/>
            <w:vAlign w:val="center"/>
          </w:tcPr>
          <w:p w14:paraId="072D3259">
            <w:pPr>
              <w:tabs>
                <w:tab w:val="left" w:pos="1337"/>
              </w:tabs>
              <w:jc w:val="center"/>
              <w:rPr>
                <w:rFonts w:ascii="宋体" w:hAnsi="宋体"/>
                <w:color w:val="auto"/>
                <w:sz w:val="24"/>
                <w:highlight w:val="none"/>
              </w:rPr>
            </w:pPr>
          </w:p>
        </w:tc>
        <w:tc>
          <w:tcPr>
            <w:tcW w:w="1460" w:type="dxa"/>
            <w:noWrap w:val="0"/>
            <w:vAlign w:val="center"/>
          </w:tcPr>
          <w:p w14:paraId="688E292F">
            <w:pPr>
              <w:tabs>
                <w:tab w:val="left" w:pos="1337"/>
              </w:tabs>
              <w:jc w:val="center"/>
              <w:rPr>
                <w:rFonts w:ascii="宋体" w:hAnsi="宋体"/>
                <w:color w:val="auto"/>
                <w:sz w:val="24"/>
                <w:highlight w:val="none"/>
              </w:rPr>
            </w:pPr>
          </w:p>
        </w:tc>
        <w:tc>
          <w:tcPr>
            <w:tcW w:w="1462" w:type="dxa"/>
            <w:noWrap w:val="0"/>
            <w:vAlign w:val="center"/>
          </w:tcPr>
          <w:p w14:paraId="05D50364">
            <w:pPr>
              <w:tabs>
                <w:tab w:val="left" w:pos="1337"/>
              </w:tabs>
              <w:jc w:val="center"/>
              <w:rPr>
                <w:rFonts w:ascii="宋体" w:hAnsi="宋体"/>
                <w:color w:val="auto"/>
                <w:sz w:val="24"/>
                <w:highlight w:val="none"/>
              </w:rPr>
            </w:pPr>
          </w:p>
        </w:tc>
        <w:tc>
          <w:tcPr>
            <w:tcW w:w="1341" w:type="dxa"/>
            <w:noWrap w:val="0"/>
            <w:vAlign w:val="center"/>
          </w:tcPr>
          <w:p w14:paraId="6F4BEFB7">
            <w:pPr>
              <w:tabs>
                <w:tab w:val="left" w:pos="1337"/>
              </w:tabs>
              <w:jc w:val="center"/>
              <w:rPr>
                <w:rFonts w:ascii="宋体" w:hAnsi="宋体"/>
                <w:color w:val="auto"/>
                <w:sz w:val="24"/>
                <w:highlight w:val="none"/>
              </w:rPr>
            </w:pPr>
          </w:p>
        </w:tc>
      </w:tr>
    </w:tbl>
    <w:p w14:paraId="33068996">
      <w:pPr>
        <w:spacing w:line="360" w:lineRule="exact"/>
        <w:ind w:firstLine="480" w:firstLineChars="200"/>
        <w:rPr>
          <w:rFonts w:ascii="宋体"/>
          <w:color w:val="auto"/>
          <w:sz w:val="24"/>
          <w:highlight w:val="none"/>
        </w:rPr>
      </w:pPr>
      <w:r>
        <w:rPr>
          <w:rFonts w:hint="eastAsia" w:ascii="宋体" w:hAnsi="宋体"/>
          <w:color w:val="auto"/>
          <w:sz w:val="24"/>
          <w:highlight w:val="none"/>
        </w:rPr>
        <w:t>说明：①供应商请按采购文件中各包的技术要求逐一填写，供应商不得自行增减或删除、修改任何指标，也不能直接复制粘贴采购文件中的要求，必须填写真实数据，否则</w:t>
      </w:r>
      <w:r>
        <w:rPr>
          <w:rFonts w:hint="eastAsia" w:ascii="宋体" w:hAnsi="宋体"/>
          <w:color w:val="auto"/>
          <w:sz w:val="24"/>
          <w:highlight w:val="none"/>
          <w:lang w:eastAsia="zh-CN"/>
        </w:rPr>
        <w:t>谈判小组</w:t>
      </w:r>
      <w:r>
        <w:rPr>
          <w:rFonts w:hint="eastAsia" w:ascii="宋体" w:hAnsi="宋体"/>
          <w:color w:val="auto"/>
          <w:sz w:val="24"/>
          <w:highlight w:val="none"/>
        </w:rPr>
        <w:t>将作出不利于供应商的认定。</w:t>
      </w:r>
    </w:p>
    <w:p w14:paraId="119EF8C9">
      <w:pPr>
        <w:spacing w:line="360" w:lineRule="exact"/>
        <w:ind w:firstLine="480" w:firstLineChars="200"/>
        <w:rPr>
          <w:rFonts w:ascii="宋体"/>
          <w:color w:val="auto"/>
          <w:sz w:val="24"/>
          <w:highlight w:val="none"/>
        </w:rPr>
      </w:pPr>
      <w:r>
        <w:rPr>
          <w:rFonts w:hint="eastAsia" w:ascii="宋体" w:hAnsi="宋体"/>
          <w:color w:val="auto"/>
          <w:sz w:val="24"/>
          <w:highlight w:val="none"/>
        </w:rPr>
        <w:t>②此表后还须附设备主要技术指标、规格和性能、技术参数值的详细说明，并提供制造商的印刷资料或者检测机构出具的检测报告</w:t>
      </w:r>
      <w:r>
        <w:rPr>
          <w:rFonts w:hint="eastAsia" w:ascii="宋体" w:hAnsi="宋体"/>
          <w:color w:val="auto"/>
          <w:sz w:val="24"/>
          <w:highlight w:val="none"/>
          <w:lang w:val="en-US" w:eastAsia="zh-CN"/>
        </w:rPr>
        <w:t>等</w:t>
      </w:r>
      <w:r>
        <w:rPr>
          <w:rFonts w:hint="eastAsia" w:ascii="宋体" w:hAnsi="宋体"/>
          <w:color w:val="auto"/>
          <w:sz w:val="24"/>
          <w:highlight w:val="none"/>
        </w:rPr>
        <w:t>作为佐证，否则</w:t>
      </w:r>
      <w:r>
        <w:rPr>
          <w:rFonts w:hint="eastAsia" w:ascii="宋体" w:hAnsi="宋体"/>
          <w:color w:val="auto"/>
          <w:sz w:val="24"/>
          <w:highlight w:val="none"/>
          <w:lang w:eastAsia="zh-CN"/>
        </w:rPr>
        <w:t>谈判小组</w:t>
      </w:r>
      <w:r>
        <w:rPr>
          <w:rFonts w:hint="eastAsia" w:ascii="宋体" w:hAnsi="宋体"/>
          <w:color w:val="auto"/>
          <w:sz w:val="24"/>
          <w:highlight w:val="none"/>
        </w:rPr>
        <w:t>将作出不利于供应商的认定。</w:t>
      </w:r>
    </w:p>
    <w:p w14:paraId="5D623BE5">
      <w:pPr>
        <w:spacing w:line="360" w:lineRule="exact"/>
        <w:ind w:right="187"/>
        <w:rPr>
          <w:rFonts w:ascii="宋体" w:hAnsi="宋体"/>
          <w:bCs/>
          <w:color w:val="auto"/>
          <w:sz w:val="24"/>
          <w:highlight w:val="none"/>
          <w:u w:val="single"/>
        </w:rPr>
      </w:pPr>
    </w:p>
    <w:p w14:paraId="4ACA6B09">
      <w:pPr>
        <w:spacing w:line="360" w:lineRule="exact"/>
        <w:ind w:firstLine="480" w:firstLineChars="200"/>
        <w:rPr>
          <w:rFonts w:ascii="宋体" w:hAnsi="宋体"/>
          <w:color w:val="auto"/>
          <w:sz w:val="24"/>
          <w:highlight w:val="none"/>
        </w:rPr>
      </w:pPr>
    </w:p>
    <w:p w14:paraId="1B3508D2">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0A3B1566">
      <w:pPr>
        <w:spacing w:line="360" w:lineRule="exact"/>
        <w:ind w:right="187"/>
        <w:rPr>
          <w:rFonts w:ascii="宋体" w:hAnsi="宋体"/>
          <w:bCs/>
          <w:color w:val="auto"/>
          <w:sz w:val="24"/>
          <w:highlight w:val="none"/>
          <w:u w:val="single"/>
        </w:rPr>
      </w:pPr>
    </w:p>
    <w:p w14:paraId="24BDC158">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094AA679">
      <w:pPr>
        <w:pStyle w:val="31"/>
        <w:spacing w:line="240" w:lineRule="auto"/>
        <w:ind w:left="0" w:leftChars="0" w:firstLine="0" w:firstLineChars="0"/>
        <w:jc w:val="right"/>
        <w:rPr>
          <w:rFonts w:ascii="宋体" w:hAnsi="宋体"/>
          <w:b/>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79656BB9">
      <w:pPr>
        <w:spacing w:line="300" w:lineRule="exact"/>
        <w:ind w:right="187"/>
        <w:rPr>
          <w:rFonts w:ascii="宋体" w:hAnsi="宋体"/>
          <w:b/>
          <w:bCs/>
          <w:color w:val="auto"/>
          <w:sz w:val="24"/>
          <w:szCs w:val="21"/>
          <w:highlight w:val="none"/>
        </w:rPr>
      </w:pPr>
    </w:p>
    <w:p w14:paraId="333A5D27">
      <w:pPr>
        <w:pStyle w:val="31"/>
        <w:spacing w:line="240" w:lineRule="auto"/>
        <w:ind w:left="0" w:leftChars="0" w:firstLine="0" w:firstLineChars="0"/>
        <w:jc w:val="right"/>
        <w:rPr>
          <w:rFonts w:ascii="宋体" w:hAnsi="宋体"/>
          <w:b/>
          <w:color w:val="auto"/>
          <w:highlight w:val="none"/>
        </w:rPr>
      </w:pPr>
    </w:p>
    <w:p w14:paraId="2115A810">
      <w:pPr>
        <w:spacing w:line="300" w:lineRule="exact"/>
        <w:ind w:right="187"/>
        <w:rPr>
          <w:rFonts w:ascii="宋体" w:hAnsi="宋体"/>
          <w:b/>
          <w:bCs/>
          <w:color w:val="auto"/>
          <w:sz w:val="24"/>
          <w:szCs w:val="21"/>
          <w:highlight w:val="none"/>
        </w:rPr>
        <w:sectPr>
          <w:pgSz w:w="11907" w:h="16840"/>
          <w:pgMar w:top="1418" w:right="1418" w:bottom="1418" w:left="1418" w:header="851" w:footer="851" w:gutter="0"/>
          <w:pgNumType w:fmt="decimal"/>
          <w:cols w:space="720" w:num="1"/>
          <w:docGrid w:linePitch="290" w:charSpace="-3931"/>
        </w:sectPr>
      </w:pPr>
    </w:p>
    <w:p w14:paraId="242BCEC6">
      <w:pPr>
        <w:pStyle w:val="4"/>
        <w:spacing w:before="120" w:after="120" w:line="360" w:lineRule="exact"/>
        <w:rPr>
          <w:rFonts w:hint="eastAsia" w:ascii="宋体" w:hAnsi="宋体" w:eastAsia="宋体" w:cs="Times New Roman"/>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九</w:t>
      </w:r>
      <w:r>
        <w:rPr>
          <w:rFonts w:hint="eastAsia" w:ascii="宋体" w:hAnsi="宋体" w:eastAsia="宋体" w:cs="Times New Roman"/>
          <w:b w:val="0"/>
          <w:bCs w:val="0"/>
          <w:color w:val="auto"/>
          <w:sz w:val="24"/>
          <w:szCs w:val="21"/>
          <w:highlight w:val="none"/>
        </w:rPr>
        <w:t>： 近年类似业绩一览表</w:t>
      </w:r>
    </w:p>
    <w:p w14:paraId="39AE8DD1">
      <w:pPr>
        <w:spacing w:line="460" w:lineRule="exact"/>
        <w:jc w:val="center"/>
        <w:rPr>
          <w:rFonts w:hint="eastAsia" w:ascii="宋体" w:hAnsi="宋体"/>
          <w:b/>
          <w:color w:val="auto"/>
          <w:sz w:val="24"/>
          <w:highlight w:val="none"/>
        </w:rPr>
      </w:pPr>
      <w:r>
        <w:rPr>
          <w:rFonts w:hint="eastAsia" w:ascii="宋体" w:hAnsi="宋体"/>
          <w:b/>
          <w:color w:val="auto"/>
          <w:sz w:val="24"/>
          <w:highlight w:val="none"/>
        </w:rPr>
        <w:t xml:space="preserve">近年类似业绩一览表 </w:t>
      </w:r>
    </w:p>
    <w:p w14:paraId="162BA607">
      <w:pPr>
        <w:pStyle w:val="31"/>
        <w:spacing w:line="360" w:lineRule="exact"/>
        <w:ind w:left="0" w:leftChars="0" w:firstLine="0" w:firstLineChars="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
          <w:bCs/>
          <w:color w:val="auto"/>
          <w:sz w:val="24"/>
          <w:highlight w:val="none"/>
        </w:rPr>
        <w:t>：</w:t>
      </w:r>
      <w:r>
        <w:rPr>
          <w:rFonts w:hint="eastAsia" w:ascii="宋体" w:hAnsi="宋体"/>
          <w:color w:val="auto"/>
          <w:sz w:val="24"/>
          <w:highlight w:val="none"/>
        </w:rPr>
        <w:t>HYHA20___-_____</w:t>
      </w:r>
    </w:p>
    <w:p w14:paraId="4713F910">
      <w:pPr>
        <w:pStyle w:val="31"/>
        <w:spacing w:line="240" w:lineRule="auto"/>
        <w:ind w:left="0" w:leftChars="0" w:firstLine="0" w:firstLineChars="0"/>
        <w:rPr>
          <w:rFonts w:ascii="宋体" w:hAnsi="宋体"/>
          <w:b/>
          <w:color w:val="auto"/>
          <w:sz w:val="24"/>
          <w:highlight w:val="none"/>
        </w:rPr>
      </w:pPr>
      <w:r>
        <w:rPr>
          <w:rFonts w:hint="eastAsia" w:ascii="宋体" w:hAnsi="宋体"/>
          <w:bCs/>
          <w:color w:val="auto"/>
          <w:sz w:val="24"/>
          <w:highlight w:val="none"/>
        </w:rPr>
        <w:t>项目名称</w:t>
      </w:r>
      <w:r>
        <w:rPr>
          <w:rFonts w:hint="eastAsia" w:ascii="宋体" w:hAnsi="宋体"/>
          <w:b/>
          <w:bCs/>
          <w:color w:val="auto"/>
          <w:sz w:val="24"/>
          <w:highlight w:val="none"/>
        </w:rPr>
        <w:t>：</w:t>
      </w:r>
      <w:r>
        <w:rPr>
          <w:rFonts w:hint="eastAsia" w:ascii="宋体" w:hAnsi="宋体"/>
          <w:bCs/>
          <w:color w:val="auto"/>
          <w:sz w:val="24"/>
          <w:highlight w:val="none"/>
        </w:rPr>
        <w:t>____________________                       包号：</w:t>
      </w:r>
    </w:p>
    <w:tbl>
      <w:tblPr>
        <w:tblStyle w:val="7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87"/>
        <w:gridCol w:w="1495"/>
        <w:gridCol w:w="1101"/>
        <w:gridCol w:w="1046"/>
        <w:gridCol w:w="1137"/>
        <w:gridCol w:w="1241"/>
      </w:tblGrid>
      <w:tr w14:paraId="5023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0" w:type="dxa"/>
            <w:noWrap w:val="0"/>
            <w:vAlign w:val="center"/>
          </w:tcPr>
          <w:p w14:paraId="4958E7F4">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项目名称</w:t>
            </w:r>
          </w:p>
        </w:tc>
        <w:tc>
          <w:tcPr>
            <w:tcW w:w="1587" w:type="dxa"/>
            <w:noWrap w:val="0"/>
            <w:vAlign w:val="center"/>
          </w:tcPr>
          <w:p w14:paraId="73D0FDE3">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项目单位</w:t>
            </w:r>
          </w:p>
        </w:tc>
        <w:tc>
          <w:tcPr>
            <w:tcW w:w="1495" w:type="dxa"/>
            <w:noWrap w:val="0"/>
            <w:vAlign w:val="center"/>
          </w:tcPr>
          <w:p w14:paraId="7C885C48">
            <w:pPr>
              <w:tabs>
                <w:tab w:val="left" w:pos="720"/>
                <w:tab w:val="left" w:pos="1440"/>
                <w:tab w:val="left" w:pos="1620"/>
              </w:tabs>
              <w:ind w:right="-68"/>
              <w:jc w:val="center"/>
              <w:rPr>
                <w:rFonts w:ascii="宋体" w:hAnsi="宋体"/>
                <w:bCs/>
                <w:color w:val="auto"/>
                <w:sz w:val="24"/>
                <w:highlight w:val="none"/>
              </w:rPr>
            </w:pPr>
            <w:r>
              <w:rPr>
                <w:rFonts w:hint="eastAsia" w:ascii="宋体" w:hAnsi="宋体"/>
                <w:bCs/>
                <w:color w:val="auto"/>
                <w:sz w:val="24"/>
                <w:highlight w:val="none"/>
              </w:rPr>
              <w:t>合同内容</w:t>
            </w:r>
          </w:p>
        </w:tc>
        <w:tc>
          <w:tcPr>
            <w:tcW w:w="1101" w:type="dxa"/>
            <w:noWrap w:val="0"/>
            <w:vAlign w:val="center"/>
          </w:tcPr>
          <w:p w14:paraId="47D85FDA">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合同额</w:t>
            </w:r>
          </w:p>
        </w:tc>
        <w:tc>
          <w:tcPr>
            <w:tcW w:w="1046" w:type="dxa"/>
            <w:noWrap w:val="0"/>
            <w:vAlign w:val="center"/>
          </w:tcPr>
          <w:p w14:paraId="2183AB7F">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完工时间</w:t>
            </w:r>
          </w:p>
        </w:tc>
        <w:tc>
          <w:tcPr>
            <w:tcW w:w="1137" w:type="dxa"/>
            <w:noWrap w:val="0"/>
            <w:vAlign w:val="center"/>
          </w:tcPr>
          <w:p w14:paraId="2923381A">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项目单位联系人</w:t>
            </w:r>
          </w:p>
        </w:tc>
        <w:tc>
          <w:tcPr>
            <w:tcW w:w="1241" w:type="dxa"/>
            <w:noWrap w:val="0"/>
            <w:vAlign w:val="center"/>
          </w:tcPr>
          <w:p w14:paraId="065804C1">
            <w:pPr>
              <w:tabs>
                <w:tab w:val="left" w:pos="720"/>
                <w:tab w:val="left" w:pos="1440"/>
                <w:tab w:val="left" w:pos="1620"/>
              </w:tabs>
              <w:ind w:left="-97" w:leftChars="-46" w:right="-68"/>
              <w:jc w:val="center"/>
              <w:rPr>
                <w:rFonts w:ascii="宋体" w:hAnsi="宋体"/>
                <w:bCs/>
                <w:color w:val="auto"/>
                <w:sz w:val="24"/>
                <w:highlight w:val="none"/>
              </w:rPr>
            </w:pPr>
            <w:r>
              <w:rPr>
                <w:rFonts w:hint="eastAsia" w:ascii="宋体" w:hAnsi="宋体"/>
                <w:bCs/>
                <w:color w:val="auto"/>
                <w:sz w:val="24"/>
                <w:highlight w:val="none"/>
              </w:rPr>
              <w:t>联系电话</w:t>
            </w:r>
          </w:p>
        </w:tc>
      </w:tr>
      <w:tr w14:paraId="1BA9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2899559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2C0176DA">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41BA8141">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353A00AC">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0E6BF3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367A963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2796BBD0">
            <w:pPr>
              <w:tabs>
                <w:tab w:val="left" w:pos="720"/>
                <w:tab w:val="left" w:pos="1440"/>
                <w:tab w:val="left" w:pos="1620"/>
              </w:tabs>
              <w:ind w:right="187"/>
              <w:rPr>
                <w:rFonts w:ascii="宋体" w:hAnsi="宋体"/>
                <w:color w:val="auto"/>
                <w:sz w:val="24"/>
                <w:highlight w:val="none"/>
              </w:rPr>
            </w:pPr>
          </w:p>
        </w:tc>
      </w:tr>
      <w:tr w14:paraId="10AC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2BD0F95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773D8A4">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9C86769">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7784F360">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1E98BAA">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1008801A">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3FDB27B">
            <w:pPr>
              <w:tabs>
                <w:tab w:val="left" w:pos="720"/>
                <w:tab w:val="left" w:pos="1440"/>
                <w:tab w:val="left" w:pos="1620"/>
              </w:tabs>
              <w:ind w:right="187"/>
              <w:rPr>
                <w:rFonts w:ascii="宋体" w:hAnsi="宋体"/>
                <w:color w:val="auto"/>
                <w:sz w:val="24"/>
                <w:highlight w:val="none"/>
              </w:rPr>
            </w:pPr>
          </w:p>
        </w:tc>
      </w:tr>
      <w:tr w14:paraId="54B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79B9650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0B213357">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230F7A5C">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3D73CFC4">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617BEB60">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00809629">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846D1F6">
            <w:pPr>
              <w:tabs>
                <w:tab w:val="left" w:pos="720"/>
                <w:tab w:val="left" w:pos="1440"/>
                <w:tab w:val="left" w:pos="1620"/>
              </w:tabs>
              <w:ind w:right="187"/>
              <w:rPr>
                <w:rFonts w:ascii="宋体" w:hAnsi="宋体"/>
                <w:color w:val="auto"/>
                <w:sz w:val="24"/>
                <w:highlight w:val="none"/>
              </w:rPr>
            </w:pPr>
          </w:p>
        </w:tc>
      </w:tr>
      <w:tr w14:paraId="7E8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4E0F5BF4">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6BE26E8">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C68889F">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47155141">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1443537F">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5A4EB095">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18B299FC">
            <w:pPr>
              <w:tabs>
                <w:tab w:val="left" w:pos="720"/>
                <w:tab w:val="left" w:pos="1440"/>
                <w:tab w:val="left" w:pos="1620"/>
              </w:tabs>
              <w:ind w:right="187"/>
              <w:rPr>
                <w:rFonts w:ascii="宋体" w:hAnsi="宋体"/>
                <w:color w:val="auto"/>
                <w:sz w:val="24"/>
                <w:highlight w:val="none"/>
              </w:rPr>
            </w:pPr>
          </w:p>
        </w:tc>
      </w:tr>
      <w:tr w14:paraId="470D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304226C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CDDD216">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72A41D9C">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6FE26E8A">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4452C36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FA20F44">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9501007">
            <w:pPr>
              <w:tabs>
                <w:tab w:val="left" w:pos="720"/>
                <w:tab w:val="left" w:pos="1440"/>
                <w:tab w:val="left" w:pos="1620"/>
              </w:tabs>
              <w:ind w:right="187"/>
              <w:rPr>
                <w:rFonts w:ascii="宋体" w:hAnsi="宋体"/>
                <w:color w:val="auto"/>
                <w:sz w:val="24"/>
                <w:highlight w:val="none"/>
              </w:rPr>
            </w:pPr>
          </w:p>
        </w:tc>
      </w:tr>
      <w:tr w14:paraId="5533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6B4E33AF">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0E202F33">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53CEDAFD">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105E9D3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484A403">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06C5417">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0B9D1AA3">
            <w:pPr>
              <w:tabs>
                <w:tab w:val="left" w:pos="720"/>
                <w:tab w:val="left" w:pos="1440"/>
                <w:tab w:val="left" w:pos="1620"/>
              </w:tabs>
              <w:ind w:right="187"/>
              <w:rPr>
                <w:rFonts w:ascii="宋体" w:hAnsi="宋体"/>
                <w:color w:val="auto"/>
                <w:sz w:val="24"/>
                <w:highlight w:val="none"/>
              </w:rPr>
            </w:pPr>
          </w:p>
        </w:tc>
      </w:tr>
      <w:tr w14:paraId="0202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047C4D0E">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351E5E21">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399DCC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7F6B0EF7">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65F2AA5F">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319FCFBB">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C81F183">
            <w:pPr>
              <w:tabs>
                <w:tab w:val="left" w:pos="720"/>
                <w:tab w:val="left" w:pos="1440"/>
                <w:tab w:val="left" w:pos="1620"/>
              </w:tabs>
              <w:ind w:right="187"/>
              <w:rPr>
                <w:rFonts w:ascii="宋体" w:hAnsi="宋体"/>
                <w:color w:val="auto"/>
                <w:sz w:val="24"/>
                <w:highlight w:val="none"/>
              </w:rPr>
            </w:pPr>
          </w:p>
        </w:tc>
      </w:tr>
      <w:tr w14:paraId="0F33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681133AB">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858BA42">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10973416">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695A51B0">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3BBA8441">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B5C975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5D738CB8">
            <w:pPr>
              <w:tabs>
                <w:tab w:val="left" w:pos="720"/>
                <w:tab w:val="left" w:pos="1440"/>
                <w:tab w:val="left" w:pos="1620"/>
              </w:tabs>
              <w:ind w:right="187"/>
              <w:rPr>
                <w:rFonts w:ascii="宋体" w:hAnsi="宋体"/>
                <w:color w:val="auto"/>
                <w:sz w:val="24"/>
                <w:highlight w:val="none"/>
              </w:rPr>
            </w:pPr>
          </w:p>
        </w:tc>
      </w:tr>
      <w:tr w14:paraId="3F69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4F92BB86">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237A201">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7C5A1F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50C5F01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2E58ED21">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D983319">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1C526C75">
            <w:pPr>
              <w:tabs>
                <w:tab w:val="left" w:pos="720"/>
                <w:tab w:val="left" w:pos="1440"/>
                <w:tab w:val="left" w:pos="1620"/>
              </w:tabs>
              <w:ind w:right="187"/>
              <w:rPr>
                <w:rFonts w:ascii="宋体" w:hAnsi="宋体"/>
                <w:color w:val="auto"/>
                <w:sz w:val="24"/>
                <w:highlight w:val="none"/>
              </w:rPr>
            </w:pPr>
          </w:p>
        </w:tc>
      </w:tr>
      <w:tr w14:paraId="3136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5A662E37">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67B17DE0">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6FD45F94">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1FF56672">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2E6951E">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F763F67">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497590FC">
            <w:pPr>
              <w:tabs>
                <w:tab w:val="left" w:pos="720"/>
                <w:tab w:val="left" w:pos="1440"/>
                <w:tab w:val="left" w:pos="1620"/>
              </w:tabs>
              <w:ind w:right="187"/>
              <w:rPr>
                <w:rFonts w:ascii="宋体" w:hAnsi="宋体"/>
                <w:color w:val="auto"/>
                <w:sz w:val="24"/>
                <w:highlight w:val="none"/>
              </w:rPr>
            </w:pPr>
          </w:p>
        </w:tc>
      </w:tr>
      <w:tr w14:paraId="29D8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2E041D3D">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59155155">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0B90428B">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52FEA7A6">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3FB1388">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4159A9D3">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6EBF7C93">
            <w:pPr>
              <w:tabs>
                <w:tab w:val="left" w:pos="720"/>
                <w:tab w:val="left" w:pos="1440"/>
                <w:tab w:val="left" w:pos="1620"/>
              </w:tabs>
              <w:ind w:right="187"/>
              <w:rPr>
                <w:rFonts w:ascii="宋体" w:hAnsi="宋体"/>
                <w:color w:val="auto"/>
                <w:sz w:val="24"/>
                <w:highlight w:val="none"/>
              </w:rPr>
            </w:pPr>
          </w:p>
        </w:tc>
      </w:tr>
      <w:tr w14:paraId="419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top"/>
          </w:tcPr>
          <w:p w14:paraId="32219B5E">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19DCB778">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56AE6F42">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27FD0C3B">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798DADCA">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E3DDEA0">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34703A0A">
            <w:pPr>
              <w:tabs>
                <w:tab w:val="left" w:pos="720"/>
                <w:tab w:val="left" w:pos="1440"/>
                <w:tab w:val="left" w:pos="1620"/>
              </w:tabs>
              <w:ind w:right="187"/>
              <w:rPr>
                <w:rFonts w:ascii="宋体" w:hAnsi="宋体"/>
                <w:color w:val="auto"/>
                <w:sz w:val="24"/>
                <w:highlight w:val="none"/>
              </w:rPr>
            </w:pPr>
          </w:p>
        </w:tc>
      </w:tr>
      <w:tr w14:paraId="09C2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val="0"/>
            <w:vAlign w:val="top"/>
          </w:tcPr>
          <w:p w14:paraId="601B0D6A">
            <w:pPr>
              <w:tabs>
                <w:tab w:val="left" w:pos="720"/>
                <w:tab w:val="left" w:pos="1440"/>
                <w:tab w:val="left" w:pos="1620"/>
              </w:tabs>
              <w:ind w:right="187"/>
              <w:rPr>
                <w:rFonts w:ascii="宋体" w:hAnsi="宋体"/>
                <w:color w:val="auto"/>
                <w:sz w:val="24"/>
                <w:highlight w:val="none"/>
              </w:rPr>
            </w:pPr>
          </w:p>
        </w:tc>
        <w:tc>
          <w:tcPr>
            <w:tcW w:w="1587" w:type="dxa"/>
            <w:noWrap w:val="0"/>
            <w:vAlign w:val="top"/>
          </w:tcPr>
          <w:p w14:paraId="4DBADF8B">
            <w:pPr>
              <w:tabs>
                <w:tab w:val="left" w:pos="720"/>
                <w:tab w:val="left" w:pos="1440"/>
                <w:tab w:val="left" w:pos="1620"/>
              </w:tabs>
              <w:ind w:right="187"/>
              <w:rPr>
                <w:rFonts w:ascii="宋体" w:hAnsi="宋体"/>
                <w:color w:val="auto"/>
                <w:sz w:val="24"/>
                <w:highlight w:val="none"/>
              </w:rPr>
            </w:pPr>
          </w:p>
        </w:tc>
        <w:tc>
          <w:tcPr>
            <w:tcW w:w="1495" w:type="dxa"/>
            <w:noWrap w:val="0"/>
            <w:vAlign w:val="top"/>
          </w:tcPr>
          <w:p w14:paraId="0E9FD1A0">
            <w:pPr>
              <w:tabs>
                <w:tab w:val="left" w:pos="720"/>
                <w:tab w:val="left" w:pos="1440"/>
                <w:tab w:val="left" w:pos="1620"/>
              </w:tabs>
              <w:ind w:right="187"/>
              <w:rPr>
                <w:rFonts w:ascii="宋体" w:hAnsi="宋体"/>
                <w:color w:val="auto"/>
                <w:sz w:val="24"/>
                <w:highlight w:val="none"/>
              </w:rPr>
            </w:pPr>
          </w:p>
        </w:tc>
        <w:tc>
          <w:tcPr>
            <w:tcW w:w="1101" w:type="dxa"/>
            <w:noWrap w:val="0"/>
            <w:vAlign w:val="top"/>
          </w:tcPr>
          <w:p w14:paraId="49CF316E">
            <w:pPr>
              <w:tabs>
                <w:tab w:val="left" w:pos="720"/>
                <w:tab w:val="left" w:pos="1440"/>
                <w:tab w:val="left" w:pos="1620"/>
              </w:tabs>
              <w:ind w:right="187"/>
              <w:rPr>
                <w:rFonts w:ascii="宋体" w:hAnsi="宋体"/>
                <w:color w:val="auto"/>
                <w:sz w:val="24"/>
                <w:highlight w:val="none"/>
              </w:rPr>
            </w:pPr>
          </w:p>
        </w:tc>
        <w:tc>
          <w:tcPr>
            <w:tcW w:w="1046" w:type="dxa"/>
            <w:noWrap w:val="0"/>
            <w:vAlign w:val="top"/>
          </w:tcPr>
          <w:p w14:paraId="0B4DF2C7">
            <w:pPr>
              <w:tabs>
                <w:tab w:val="left" w:pos="720"/>
                <w:tab w:val="left" w:pos="1440"/>
                <w:tab w:val="left" w:pos="1620"/>
              </w:tabs>
              <w:ind w:right="187"/>
              <w:rPr>
                <w:rFonts w:ascii="宋体" w:hAnsi="宋体"/>
                <w:color w:val="auto"/>
                <w:sz w:val="24"/>
                <w:highlight w:val="none"/>
              </w:rPr>
            </w:pPr>
          </w:p>
        </w:tc>
        <w:tc>
          <w:tcPr>
            <w:tcW w:w="1137" w:type="dxa"/>
            <w:noWrap w:val="0"/>
            <w:vAlign w:val="top"/>
          </w:tcPr>
          <w:p w14:paraId="2CC6B735">
            <w:pPr>
              <w:tabs>
                <w:tab w:val="left" w:pos="720"/>
                <w:tab w:val="left" w:pos="1440"/>
                <w:tab w:val="left" w:pos="1620"/>
              </w:tabs>
              <w:ind w:right="187"/>
              <w:rPr>
                <w:rFonts w:ascii="宋体" w:hAnsi="宋体"/>
                <w:color w:val="auto"/>
                <w:sz w:val="24"/>
                <w:highlight w:val="none"/>
              </w:rPr>
            </w:pPr>
          </w:p>
        </w:tc>
        <w:tc>
          <w:tcPr>
            <w:tcW w:w="1241" w:type="dxa"/>
            <w:noWrap w:val="0"/>
            <w:vAlign w:val="top"/>
          </w:tcPr>
          <w:p w14:paraId="0E9CB2DE">
            <w:pPr>
              <w:tabs>
                <w:tab w:val="left" w:pos="720"/>
                <w:tab w:val="left" w:pos="1440"/>
                <w:tab w:val="left" w:pos="1620"/>
              </w:tabs>
              <w:ind w:right="187"/>
              <w:rPr>
                <w:rFonts w:ascii="宋体" w:hAnsi="宋体"/>
                <w:color w:val="auto"/>
                <w:sz w:val="24"/>
                <w:highlight w:val="none"/>
              </w:rPr>
            </w:pPr>
          </w:p>
        </w:tc>
      </w:tr>
    </w:tbl>
    <w:p w14:paraId="34A4BDB1">
      <w:pPr>
        <w:pStyle w:val="31"/>
        <w:spacing w:line="400" w:lineRule="exact"/>
        <w:ind w:left="0" w:leftChars="0" w:firstLine="0" w:firstLineChars="0"/>
        <w:rPr>
          <w:rFonts w:hint="eastAsia" w:ascii="宋体" w:hAnsi="宋体"/>
          <w:b/>
          <w:bCs/>
          <w:color w:val="auto"/>
          <w:sz w:val="21"/>
          <w:highlight w:val="none"/>
        </w:rPr>
      </w:pPr>
      <w:r>
        <w:rPr>
          <w:rFonts w:hint="eastAsia" w:ascii="宋体" w:hAnsi="宋体"/>
          <w:b/>
          <w:bCs/>
          <w:color w:val="auto"/>
          <w:sz w:val="21"/>
          <w:highlight w:val="none"/>
        </w:rPr>
        <w:t>请在此表后附合同或其他相关证明材料，具体年份要求详见供应商须知前附表。</w:t>
      </w:r>
    </w:p>
    <w:p w14:paraId="0B540571">
      <w:pPr>
        <w:spacing w:line="360" w:lineRule="exact"/>
        <w:ind w:right="187"/>
        <w:rPr>
          <w:rFonts w:ascii="宋体" w:hAnsi="宋体"/>
          <w:bCs/>
          <w:color w:val="auto"/>
          <w:sz w:val="24"/>
          <w:highlight w:val="none"/>
        </w:rPr>
      </w:pPr>
    </w:p>
    <w:p w14:paraId="01140A2B">
      <w:pPr>
        <w:spacing w:line="360" w:lineRule="exact"/>
        <w:ind w:right="187"/>
        <w:rPr>
          <w:rFonts w:ascii="宋体" w:hAnsi="宋体"/>
          <w:bCs/>
          <w:color w:val="auto"/>
          <w:sz w:val="24"/>
          <w:highlight w:val="none"/>
          <w:u w:val="single"/>
        </w:rPr>
      </w:pPr>
      <w:r>
        <w:rPr>
          <w:rFonts w:hint="eastAsia" w:ascii="宋体" w:hAnsi="宋体"/>
          <w:color w:val="auto"/>
          <w:sz w:val="24"/>
          <w:highlight w:val="none"/>
        </w:rPr>
        <w:t>供应商单位全称</w:t>
      </w:r>
      <w:r>
        <w:rPr>
          <w:rFonts w:hint="eastAsia" w:ascii="宋体" w:hAnsi="宋体"/>
          <w:bCs/>
          <w:color w:val="auto"/>
          <w:sz w:val="24"/>
          <w:highlight w:val="none"/>
        </w:rPr>
        <w:t>（公章）：</w:t>
      </w:r>
      <w:r>
        <w:rPr>
          <w:rFonts w:ascii="宋体" w:hAnsi="宋体"/>
          <w:bCs/>
          <w:color w:val="auto"/>
          <w:sz w:val="24"/>
          <w:highlight w:val="none"/>
          <w:u w:val="single"/>
        </w:rPr>
        <w:t xml:space="preserve">               </w:t>
      </w:r>
    </w:p>
    <w:p w14:paraId="2268B6AD">
      <w:pPr>
        <w:spacing w:line="360" w:lineRule="exact"/>
        <w:ind w:right="187"/>
        <w:rPr>
          <w:rFonts w:ascii="宋体" w:hAnsi="宋体"/>
          <w:bCs/>
          <w:color w:val="auto"/>
          <w:sz w:val="24"/>
          <w:highlight w:val="none"/>
          <w:u w:val="single"/>
        </w:rPr>
      </w:pPr>
    </w:p>
    <w:p w14:paraId="4E8B52E9">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w:t>
      </w:r>
      <w:r>
        <w:rPr>
          <w:rFonts w:hint="eastAsia" w:ascii="宋体" w:hAnsi="宋体"/>
          <w:color w:val="auto"/>
          <w:sz w:val="24"/>
          <w:highlight w:val="none"/>
        </w:rPr>
        <w:t>签字或盖章</w:t>
      </w:r>
      <w:r>
        <w:rPr>
          <w:rFonts w:hint="eastAsia" w:ascii="宋体" w:hAnsi="宋体"/>
          <w:bCs/>
          <w:color w:val="auto"/>
          <w:sz w:val="24"/>
          <w:highlight w:val="none"/>
        </w:rPr>
        <w:t>：</w:t>
      </w:r>
      <w:r>
        <w:rPr>
          <w:rFonts w:ascii="宋体" w:hAnsi="宋体"/>
          <w:bCs/>
          <w:color w:val="auto"/>
          <w:sz w:val="24"/>
          <w:highlight w:val="none"/>
          <w:u w:val="single"/>
        </w:rPr>
        <w:t xml:space="preserve">       </w:t>
      </w:r>
      <w:r>
        <w:rPr>
          <w:rFonts w:ascii="宋体" w:hAnsi="宋体"/>
          <w:bCs/>
          <w:color w:val="auto"/>
          <w:sz w:val="24"/>
          <w:highlight w:val="none"/>
        </w:rPr>
        <w:t xml:space="preserve">     </w:t>
      </w:r>
    </w:p>
    <w:p w14:paraId="29589F3B">
      <w:pPr>
        <w:pStyle w:val="31"/>
        <w:spacing w:line="240" w:lineRule="auto"/>
        <w:ind w:left="0" w:leftChars="0" w:firstLine="0" w:firstLineChars="0"/>
        <w:jc w:val="right"/>
        <w:rPr>
          <w:rFonts w:ascii="宋体" w:hAnsi="宋体"/>
          <w:bCs/>
          <w:color w:val="auto"/>
          <w:highlight w:val="none"/>
        </w:rPr>
        <w:sectPr>
          <w:pgSz w:w="11907" w:h="16840"/>
          <w:pgMar w:top="1418" w:right="1418" w:bottom="1418" w:left="1418" w:header="851" w:footer="851" w:gutter="0"/>
          <w:pgNumType w:fmt="decimal"/>
          <w:cols w:space="720" w:num="1"/>
          <w:docGrid w:linePitch="290" w:charSpace="-3931"/>
        </w:sect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577A036C">
      <w:pPr>
        <w:spacing w:line="360" w:lineRule="exact"/>
        <w:ind w:right="187"/>
        <w:jc w:val="center"/>
        <w:rPr>
          <w:rFonts w:ascii="宋体" w:hAnsi="宋体"/>
          <w:b/>
          <w:bCs/>
          <w:color w:val="auto"/>
          <w:sz w:val="24"/>
          <w:highlight w:val="none"/>
        </w:rPr>
      </w:pPr>
    </w:p>
    <w:p w14:paraId="41A92021">
      <w:pPr>
        <w:pStyle w:val="4"/>
        <w:spacing w:before="120" w:after="120" w:line="360" w:lineRule="exact"/>
        <w:rPr>
          <w:rFonts w:ascii="宋体" w:hAnsi="宋体"/>
          <w:b w:val="0"/>
          <w:bCs w:val="0"/>
          <w:snapToGrid w:val="0"/>
          <w:color w:val="auto"/>
          <w:sz w:val="24"/>
          <w:szCs w:val="21"/>
          <w:highlight w:val="none"/>
        </w:rPr>
      </w:pPr>
      <w:bookmarkStart w:id="89" w:name="_Toc475472023"/>
      <w:r>
        <w:rPr>
          <w:rFonts w:hint="eastAsia" w:ascii="宋体" w:hAnsi="宋体"/>
          <w:b w:val="0"/>
          <w:bCs w:val="0"/>
          <w:color w:val="auto"/>
          <w:sz w:val="24"/>
          <w:szCs w:val="21"/>
          <w:highlight w:val="none"/>
        </w:rPr>
        <w:t>格式</w:t>
      </w:r>
      <w:bookmarkEnd w:id="89"/>
      <w:bookmarkStart w:id="90" w:name="_Toc11493"/>
      <w:bookmarkStart w:id="91" w:name="_Toc13178"/>
      <w:bookmarkStart w:id="92" w:name="_Toc529786933"/>
      <w:bookmarkStart w:id="93" w:name="_Toc12053254"/>
      <w:bookmarkStart w:id="94" w:name="_Toc12475699"/>
      <w:r>
        <w:rPr>
          <w:rFonts w:hint="eastAsia" w:ascii="宋体" w:hAnsi="宋体"/>
          <w:b w:val="0"/>
          <w:bCs w:val="0"/>
          <w:color w:val="auto"/>
          <w:sz w:val="24"/>
          <w:szCs w:val="21"/>
          <w:highlight w:val="none"/>
        </w:rPr>
        <w:t>十</w:t>
      </w:r>
      <w:r>
        <w:rPr>
          <w:rFonts w:ascii="宋体" w:hAnsi="宋体"/>
          <w:b w:val="0"/>
          <w:bCs w:val="0"/>
          <w:color w:val="auto"/>
          <w:sz w:val="24"/>
          <w:szCs w:val="21"/>
          <w:highlight w:val="none"/>
        </w:rPr>
        <w:t xml:space="preserve">: </w:t>
      </w:r>
      <w:r>
        <w:rPr>
          <w:rFonts w:hint="eastAsia" w:ascii="宋体" w:hAnsi="宋体"/>
          <w:b w:val="0"/>
          <w:bCs w:val="0"/>
          <w:color w:val="auto"/>
          <w:sz w:val="24"/>
          <w:szCs w:val="21"/>
          <w:highlight w:val="none"/>
        </w:rPr>
        <w:t>中小企业声明函</w:t>
      </w:r>
      <w:r>
        <w:rPr>
          <w:rFonts w:hint="eastAsia" w:ascii="宋体" w:hAnsi="宋体"/>
          <w:b w:val="0"/>
          <w:snapToGrid w:val="0"/>
          <w:color w:val="auto"/>
          <w:sz w:val="24"/>
          <w:szCs w:val="21"/>
          <w:highlight w:val="none"/>
        </w:rPr>
        <w:t>（如有）</w:t>
      </w:r>
    </w:p>
    <w:p w14:paraId="0177B7BF">
      <w:pPr>
        <w:spacing w:line="360" w:lineRule="auto"/>
        <w:jc w:val="center"/>
        <w:rPr>
          <w:rFonts w:ascii="宋体" w:hAnsi="宋体"/>
          <w:b/>
          <w:snapToGrid w:val="0"/>
          <w:color w:val="auto"/>
          <w:kern w:val="0"/>
          <w:sz w:val="28"/>
          <w:szCs w:val="28"/>
          <w:highlight w:val="none"/>
        </w:rPr>
      </w:pPr>
    </w:p>
    <w:p w14:paraId="48467B57">
      <w:pPr>
        <w:pStyle w:val="69"/>
        <w:spacing w:before="0" w:beforeAutospacing="0" w:after="0" w:afterAutospacing="0"/>
        <w:jc w:val="center"/>
        <w:rPr>
          <w:rFonts w:hint="eastAsia"/>
          <w:b/>
          <w:bCs/>
          <w:color w:val="auto"/>
          <w:sz w:val="32"/>
          <w:szCs w:val="32"/>
          <w:highlight w:val="none"/>
        </w:rPr>
      </w:pPr>
      <w:r>
        <w:rPr>
          <w:rFonts w:hint="eastAsia"/>
          <w:b/>
          <w:bCs/>
          <w:color w:val="auto"/>
          <w:sz w:val="32"/>
          <w:szCs w:val="32"/>
          <w:highlight w:val="none"/>
        </w:rPr>
        <w:t>中小企业声明函 （货物）</w:t>
      </w:r>
    </w:p>
    <w:p w14:paraId="7BABFD9E">
      <w:pPr>
        <w:pStyle w:val="69"/>
        <w:spacing w:before="0" w:beforeAutospacing="0" w:after="0" w:afterAutospacing="0"/>
        <w:rPr>
          <w:rFonts w:hint="eastAsia"/>
          <w:color w:val="auto"/>
          <w:sz w:val="25"/>
          <w:szCs w:val="25"/>
          <w:highlight w:val="none"/>
        </w:rPr>
      </w:pPr>
    </w:p>
    <w:p w14:paraId="24EC14BF">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本公司 （联合体）郑重声明，根据 《政府采购促进中小企业发展管理办法》（财库﹝2020 ﹞46号）的规定，本公司（联合体）参加 </w:t>
      </w:r>
      <w:r>
        <w:rPr>
          <w:rFonts w:hint="eastAsia"/>
          <w:color w:val="auto"/>
          <w:sz w:val="25"/>
          <w:szCs w:val="25"/>
          <w:highlight w:val="none"/>
          <w:u w:val="single"/>
        </w:rPr>
        <w:t>（单位名称）</w:t>
      </w:r>
      <w:r>
        <w:rPr>
          <w:rFonts w:hint="eastAsia"/>
          <w:color w:val="auto"/>
          <w:sz w:val="25"/>
          <w:szCs w:val="25"/>
          <w:highlight w:val="none"/>
        </w:rPr>
        <w:t xml:space="preserve">的 </w:t>
      </w:r>
      <w:r>
        <w:rPr>
          <w:rFonts w:hint="eastAsia"/>
          <w:color w:val="auto"/>
          <w:sz w:val="25"/>
          <w:szCs w:val="25"/>
          <w:highlight w:val="none"/>
          <w:u w:val="single"/>
        </w:rPr>
        <w:t>（项目名称）</w:t>
      </w:r>
      <w:r>
        <w:rPr>
          <w:rFonts w:hint="eastAsia"/>
          <w:color w:val="auto"/>
          <w:sz w:val="25"/>
          <w:szCs w:val="25"/>
          <w:highlight w:val="none"/>
        </w:rPr>
        <w:t>采购活动，提供的货物全部由符合政策要求的中小企业制造。相关企业（含联合体中的中小企业、签订分包意向协议的中小企业）的具体情况如下：</w:t>
      </w:r>
    </w:p>
    <w:p w14:paraId="0D88FF63">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1. </w:t>
      </w:r>
      <w:r>
        <w:rPr>
          <w:rFonts w:hint="eastAsia"/>
          <w:i/>
          <w:iCs/>
          <w:color w:val="auto"/>
          <w:sz w:val="25"/>
          <w:szCs w:val="25"/>
          <w:highlight w:val="none"/>
          <w:u w:val="single"/>
        </w:rPr>
        <w:t>（标的名称）</w:t>
      </w:r>
      <w:r>
        <w:rPr>
          <w:rFonts w:hint="eastAsia"/>
          <w:color w:val="auto"/>
          <w:sz w:val="25"/>
          <w:szCs w:val="25"/>
          <w:highlight w:val="none"/>
        </w:rPr>
        <w:t xml:space="preserve">，属于 </w:t>
      </w:r>
      <w:r>
        <w:rPr>
          <w:rFonts w:hint="eastAsia"/>
          <w:i/>
          <w:iCs/>
          <w:color w:val="auto"/>
          <w:sz w:val="25"/>
          <w:szCs w:val="25"/>
          <w:highlight w:val="none"/>
          <w:u w:val="single"/>
        </w:rPr>
        <w:t>（采购文件中明确的所属行业）</w:t>
      </w:r>
      <w:r>
        <w:rPr>
          <w:rFonts w:hint="eastAsia"/>
          <w:color w:val="auto"/>
          <w:sz w:val="25"/>
          <w:szCs w:val="25"/>
          <w:highlight w:val="none"/>
        </w:rPr>
        <w:t xml:space="preserve">行业；制造商为 </w:t>
      </w:r>
      <w:r>
        <w:rPr>
          <w:rFonts w:hint="eastAsia"/>
          <w:i/>
          <w:iCs/>
          <w:color w:val="auto"/>
          <w:sz w:val="25"/>
          <w:szCs w:val="25"/>
          <w:highlight w:val="none"/>
          <w:u w:val="single"/>
        </w:rPr>
        <w:t>（企业名称）</w:t>
      </w:r>
      <w:r>
        <w:rPr>
          <w:rFonts w:hint="eastAsia"/>
          <w:color w:val="auto"/>
          <w:sz w:val="25"/>
          <w:szCs w:val="25"/>
          <w:highlight w:val="none"/>
        </w:rPr>
        <w:t>，从业人员</w:t>
      </w:r>
      <w:r>
        <w:rPr>
          <w:rFonts w:hint="eastAsia"/>
          <w:i/>
          <w:iCs/>
          <w:color w:val="auto"/>
          <w:sz w:val="25"/>
          <w:szCs w:val="25"/>
          <w:highlight w:val="none"/>
          <w:u w:val="single"/>
        </w:rPr>
        <w:t xml:space="preserve">          </w:t>
      </w:r>
      <w:r>
        <w:rPr>
          <w:rFonts w:hint="eastAsia"/>
          <w:color w:val="auto"/>
          <w:sz w:val="25"/>
          <w:szCs w:val="25"/>
          <w:highlight w:val="none"/>
        </w:rPr>
        <w:t>人，营业收入为</w:t>
      </w:r>
      <w:r>
        <w:rPr>
          <w:rFonts w:hint="eastAsia"/>
          <w:i/>
          <w:iCs/>
          <w:color w:val="auto"/>
          <w:sz w:val="25"/>
          <w:szCs w:val="25"/>
          <w:highlight w:val="none"/>
          <w:u w:val="single"/>
        </w:rPr>
        <w:t xml:space="preserve">  </w:t>
      </w:r>
      <w:r>
        <w:rPr>
          <w:rFonts w:hint="eastAsia"/>
          <w:color w:val="auto"/>
          <w:sz w:val="25"/>
          <w:szCs w:val="25"/>
          <w:highlight w:val="none"/>
        </w:rPr>
        <w:t>万元，资产总额为</w:t>
      </w:r>
      <w:r>
        <w:rPr>
          <w:rFonts w:hint="eastAsia"/>
          <w:i/>
          <w:iCs/>
          <w:color w:val="auto"/>
          <w:sz w:val="25"/>
          <w:szCs w:val="25"/>
          <w:highlight w:val="none"/>
          <w:u w:val="single"/>
        </w:rPr>
        <w:t xml:space="preserve">  </w:t>
      </w:r>
      <w:r>
        <w:rPr>
          <w:rFonts w:hint="eastAsia"/>
          <w:color w:val="auto"/>
          <w:sz w:val="25"/>
          <w:szCs w:val="25"/>
          <w:highlight w:val="none"/>
        </w:rPr>
        <w:t xml:space="preserve">万元，属于 </w:t>
      </w:r>
      <w:r>
        <w:rPr>
          <w:rFonts w:hint="eastAsia"/>
          <w:i/>
          <w:iCs/>
          <w:color w:val="auto"/>
          <w:sz w:val="25"/>
          <w:szCs w:val="25"/>
          <w:highlight w:val="none"/>
          <w:u w:val="single"/>
        </w:rPr>
        <w:t>（中型企业、小型企业、微型企业）</w:t>
      </w:r>
      <w:r>
        <w:rPr>
          <w:rFonts w:hint="eastAsia"/>
          <w:color w:val="auto"/>
          <w:sz w:val="25"/>
          <w:szCs w:val="25"/>
          <w:highlight w:val="none"/>
        </w:rPr>
        <w:t xml:space="preserve">； </w:t>
      </w:r>
    </w:p>
    <w:p w14:paraId="690312B2">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2. </w:t>
      </w:r>
      <w:r>
        <w:rPr>
          <w:rFonts w:hint="eastAsia"/>
          <w:i/>
          <w:iCs/>
          <w:color w:val="auto"/>
          <w:sz w:val="25"/>
          <w:szCs w:val="25"/>
          <w:highlight w:val="none"/>
          <w:u w:val="single"/>
        </w:rPr>
        <w:t>（标的名称）</w:t>
      </w:r>
      <w:r>
        <w:rPr>
          <w:rFonts w:hint="eastAsia"/>
          <w:color w:val="auto"/>
          <w:sz w:val="25"/>
          <w:szCs w:val="25"/>
          <w:highlight w:val="none"/>
        </w:rPr>
        <w:t xml:space="preserve"> ，属于 </w:t>
      </w:r>
      <w:r>
        <w:rPr>
          <w:rFonts w:hint="eastAsia"/>
          <w:i/>
          <w:iCs/>
          <w:color w:val="auto"/>
          <w:sz w:val="25"/>
          <w:szCs w:val="25"/>
          <w:highlight w:val="none"/>
          <w:u w:val="single"/>
        </w:rPr>
        <w:t>（采购文件中明确的所属行业）</w:t>
      </w:r>
      <w:r>
        <w:rPr>
          <w:rFonts w:hint="eastAsia"/>
          <w:color w:val="auto"/>
          <w:sz w:val="25"/>
          <w:szCs w:val="25"/>
          <w:highlight w:val="none"/>
        </w:rPr>
        <w:t xml:space="preserve">行业；制造商为 </w:t>
      </w:r>
      <w:r>
        <w:rPr>
          <w:rFonts w:hint="eastAsia"/>
          <w:i/>
          <w:iCs/>
          <w:color w:val="auto"/>
          <w:sz w:val="25"/>
          <w:szCs w:val="25"/>
          <w:highlight w:val="none"/>
          <w:u w:val="single"/>
        </w:rPr>
        <w:t>（企业名称）</w:t>
      </w:r>
      <w:r>
        <w:rPr>
          <w:rFonts w:hint="eastAsia"/>
          <w:color w:val="auto"/>
          <w:sz w:val="25"/>
          <w:szCs w:val="25"/>
          <w:highlight w:val="none"/>
        </w:rPr>
        <w:t>，从业人员</w:t>
      </w:r>
      <w:r>
        <w:rPr>
          <w:rFonts w:hint="eastAsia"/>
          <w:i/>
          <w:iCs/>
          <w:color w:val="auto"/>
          <w:sz w:val="25"/>
          <w:szCs w:val="25"/>
          <w:highlight w:val="none"/>
          <w:u w:val="single"/>
        </w:rPr>
        <w:t xml:space="preserve">         </w:t>
      </w:r>
      <w:r>
        <w:rPr>
          <w:rFonts w:hint="eastAsia"/>
          <w:color w:val="auto"/>
          <w:sz w:val="25"/>
          <w:szCs w:val="25"/>
          <w:highlight w:val="none"/>
        </w:rPr>
        <w:t>人，营业收入为</w:t>
      </w:r>
      <w:r>
        <w:rPr>
          <w:rFonts w:hint="eastAsia"/>
          <w:i/>
          <w:iCs/>
          <w:color w:val="auto"/>
          <w:sz w:val="25"/>
          <w:szCs w:val="25"/>
          <w:highlight w:val="none"/>
          <w:u w:val="single"/>
        </w:rPr>
        <w:t xml:space="preserve">  </w:t>
      </w:r>
      <w:r>
        <w:rPr>
          <w:rFonts w:hint="eastAsia"/>
          <w:color w:val="auto"/>
          <w:sz w:val="25"/>
          <w:szCs w:val="25"/>
          <w:highlight w:val="none"/>
        </w:rPr>
        <w:t>万元，资产总额为</w:t>
      </w:r>
      <w:r>
        <w:rPr>
          <w:rFonts w:hint="eastAsia"/>
          <w:i/>
          <w:iCs/>
          <w:color w:val="auto"/>
          <w:sz w:val="25"/>
          <w:szCs w:val="25"/>
          <w:highlight w:val="none"/>
          <w:u w:val="single"/>
        </w:rPr>
        <w:t xml:space="preserve">  </w:t>
      </w:r>
      <w:r>
        <w:rPr>
          <w:rFonts w:hint="eastAsia"/>
          <w:color w:val="auto"/>
          <w:sz w:val="25"/>
          <w:szCs w:val="25"/>
          <w:highlight w:val="none"/>
        </w:rPr>
        <w:t xml:space="preserve">万元，属于 </w:t>
      </w:r>
      <w:r>
        <w:rPr>
          <w:rFonts w:hint="eastAsia"/>
          <w:i/>
          <w:iCs/>
          <w:color w:val="auto"/>
          <w:sz w:val="25"/>
          <w:szCs w:val="25"/>
          <w:highlight w:val="none"/>
          <w:u w:val="single"/>
        </w:rPr>
        <w:t>（中型企业、小型企业、微型企业）</w:t>
      </w:r>
      <w:r>
        <w:rPr>
          <w:rFonts w:hint="eastAsia"/>
          <w:color w:val="auto"/>
          <w:sz w:val="25"/>
          <w:szCs w:val="25"/>
          <w:highlight w:val="none"/>
        </w:rPr>
        <w:t xml:space="preserve">； </w:t>
      </w:r>
    </w:p>
    <w:p w14:paraId="3E3B8A71">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 </w:t>
      </w:r>
    </w:p>
    <w:p w14:paraId="5B708CBE">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以上企业，不属于大企业的分支机构，不存在控股股东为大企业的情形，也不存在与大企业的负责人为同一人的情形。</w:t>
      </w:r>
    </w:p>
    <w:p w14:paraId="64C152F8">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本企业对上述声明内容的真实性负责。如有虚假，将依法承担相应责任。 </w:t>
      </w:r>
    </w:p>
    <w:p w14:paraId="1B4B1F3B">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企业名称 （盖章）： </w:t>
      </w:r>
    </w:p>
    <w:p w14:paraId="1F4E4E49">
      <w:pPr>
        <w:pStyle w:val="69"/>
        <w:adjustRightInd w:val="0"/>
        <w:snapToGrid w:val="0"/>
        <w:spacing w:before="0" w:beforeAutospacing="0" w:after="0" w:afterAutospacing="0" w:line="360" w:lineRule="auto"/>
        <w:rPr>
          <w:rFonts w:hint="eastAsia"/>
          <w:color w:val="auto"/>
          <w:sz w:val="25"/>
          <w:szCs w:val="25"/>
          <w:highlight w:val="none"/>
        </w:rPr>
      </w:pPr>
      <w:r>
        <w:rPr>
          <w:rFonts w:hint="eastAsia"/>
          <w:color w:val="auto"/>
          <w:sz w:val="25"/>
          <w:szCs w:val="25"/>
          <w:highlight w:val="none"/>
        </w:rPr>
        <w:t xml:space="preserve">                 日期： </w:t>
      </w:r>
    </w:p>
    <w:p w14:paraId="10B452C3">
      <w:pPr>
        <w:pStyle w:val="69"/>
        <w:spacing w:before="0" w:beforeAutospacing="0" w:after="0" w:afterAutospacing="0"/>
        <w:rPr>
          <w:rFonts w:hint="eastAsia"/>
          <w:color w:val="auto"/>
          <w:sz w:val="21"/>
          <w:szCs w:val="21"/>
          <w:highlight w:val="none"/>
        </w:rPr>
      </w:pPr>
    </w:p>
    <w:p w14:paraId="0BA095AC">
      <w:pPr>
        <w:autoSpaceDE w:val="0"/>
        <w:autoSpaceDN w:val="0"/>
        <w:adjustRightInd w:val="0"/>
        <w:spacing w:line="360" w:lineRule="auto"/>
        <w:ind w:firstLine="480" w:firstLineChars="200"/>
        <w:jc w:val="left"/>
        <w:rPr>
          <w:rFonts w:hint="eastAsia" w:ascii="宋体" w:cs="宋体"/>
          <w:color w:val="auto"/>
          <w:kern w:val="0"/>
          <w:sz w:val="24"/>
          <w:highlight w:val="none"/>
        </w:rPr>
      </w:pPr>
      <w:r>
        <w:rPr>
          <w:rFonts w:hint="eastAsia" w:ascii="宋体" w:cs="宋体"/>
          <w:color w:val="auto"/>
          <w:kern w:val="0"/>
          <w:sz w:val="24"/>
          <w:highlight w:val="none"/>
        </w:rPr>
        <w:t>注：1、从业人员、营业收入、资产总额填报上一年度数据，无上一年度数据的新成立企业可不填报。</w:t>
      </w:r>
    </w:p>
    <w:p w14:paraId="19D8779B">
      <w:pPr>
        <w:autoSpaceDE w:val="0"/>
        <w:autoSpaceDN w:val="0"/>
        <w:adjustRightInd w:val="0"/>
        <w:spacing w:line="360" w:lineRule="auto"/>
        <w:ind w:firstLine="480" w:firstLineChars="200"/>
        <w:jc w:val="left"/>
        <w:rPr>
          <w:rFonts w:hint="eastAsia" w:ascii="宋体" w:hAnsi="Times New Roman" w:eastAsia="宋体" w:cs="宋体"/>
          <w:color w:val="auto"/>
          <w:kern w:val="0"/>
          <w:sz w:val="24"/>
          <w:highlight w:val="none"/>
        </w:rPr>
      </w:pPr>
      <w:r>
        <w:rPr>
          <w:rFonts w:hint="eastAsia" w:ascii="宋体" w:hAnsi="Times New Roman" w:eastAsia="宋体" w:cs="宋体"/>
          <w:color w:val="auto"/>
          <w:kern w:val="0"/>
          <w:sz w:val="24"/>
          <w:highlight w:val="none"/>
          <w:lang w:val="en-US" w:eastAsia="zh-CN"/>
        </w:rPr>
        <w:t>2、</w:t>
      </w:r>
      <w:r>
        <w:rPr>
          <w:rFonts w:hint="eastAsia" w:ascii="宋体" w:hAnsi="Times New Roman" w:eastAsia="宋体" w:cs="宋体"/>
          <w:color w:val="auto"/>
          <w:kern w:val="0"/>
          <w:sz w:val="24"/>
          <w:highlight w:val="none"/>
        </w:rPr>
        <w:t>不符合相应条件的供应商无需提供。</w:t>
      </w:r>
    </w:p>
    <w:p w14:paraId="241096ED">
      <w:pPr>
        <w:autoSpaceDE w:val="0"/>
        <w:autoSpaceDN w:val="0"/>
        <w:adjustRightInd w:val="0"/>
        <w:spacing w:line="360" w:lineRule="auto"/>
        <w:ind w:firstLine="482" w:firstLineChars="200"/>
        <w:jc w:val="left"/>
        <w:rPr>
          <w:rFonts w:ascii="宋体" w:hAnsi="宋体"/>
          <w:b/>
          <w:color w:val="auto"/>
          <w:kern w:val="0"/>
          <w:sz w:val="24"/>
          <w:szCs w:val="21"/>
          <w:highlight w:val="none"/>
        </w:rPr>
      </w:pPr>
      <w:r>
        <w:rPr>
          <w:rFonts w:ascii="宋体" w:hAnsi="宋体"/>
          <w:b/>
          <w:color w:val="auto"/>
          <w:kern w:val="0"/>
          <w:sz w:val="24"/>
          <w:szCs w:val="21"/>
          <w:highlight w:val="none"/>
        </w:rPr>
        <w:br w:type="page"/>
      </w:r>
    </w:p>
    <w:p w14:paraId="6F124C83">
      <w:pPr>
        <w:pStyle w:val="4"/>
        <w:spacing w:before="120" w:after="120" w:line="360" w:lineRule="exact"/>
        <w:rPr>
          <w:rFonts w:ascii="宋体" w:hAnsi="宋体"/>
          <w:b w:val="0"/>
          <w:bCs w:val="0"/>
          <w:color w:val="auto"/>
          <w:sz w:val="24"/>
          <w:szCs w:val="21"/>
          <w:highlight w:val="none"/>
        </w:rPr>
      </w:pPr>
      <w:r>
        <w:rPr>
          <w:rFonts w:hint="eastAsia" w:ascii="宋体" w:hAnsi="宋体"/>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十一</w:t>
      </w:r>
      <w:r>
        <w:rPr>
          <w:rFonts w:ascii="宋体" w:hAnsi="宋体"/>
          <w:b w:val="0"/>
          <w:bCs w:val="0"/>
          <w:color w:val="auto"/>
          <w:sz w:val="24"/>
          <w:szCs w:val="21"/>
          <w:highlight w:val="none"/>
        </w:rPr>
        <w:t>:</w:t>
      </w:r>
      <w:r>
        <w:rPr>
          <w:rFonts w:hint="eastAsia" w:ascii="宋体" w:hAnsi="宋体"/>
          <w:b w:val="0"/>
          <w:bCs w:val="0"/>
          <w:color w:val="auto"/>
          <w:sz w:val="24"/>
          <w:szCs w:val="21"/>
          <w:highlight w:val="none"/>
        </w:rPr>
        <w:t xml:space="preserve"> 残疾人福利性单位声明函</w:t>
      </w:r>
      <w:bookmarkEnd w:id="90"/>
      <w:bookmarkEnd w:id="91"/>
      <w:bookmarkEnd w:id="92"/>
      <w:bookmarkEnd w:id="93"/>
      <w:bookmarkEnd w:id="94"/>
    </w:p>
    <w:p w14:paraId="75268845">
      <w:pPr>
        <w:spacing w:line="588" w:lineRule="exact"/>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残疾人福利性单位声明函</w:t>
      </w:r>
    </w:p>
    <w:p w14:paraId="5E38AB8E">
      <w:pPr>
        <w:spacing w:line="588" w:lineRule="exact"/>
        <w:rPr>
          <w:rFonts w:ascii="宋体" w:hAnsi="宋体"/>
          <w:b/>
          <w:color w:val="auto"/>
          <w:spacing w:val="6"/>
          <w:sz w:val="30"/>
          <w:szCs w:val="30"/>
          <w:highlight w:val="none"/>
        </w:rPr>
      </w:pPr>
    </w:p>
    <w:p w14:paraId="0E7836F5">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481E2D">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E865DC5">
      <w:pPr>
        <w:spacing w:line="588" w:lineRule="exact"/>
        <w:ind w:firstLine="504" w:firstLineChars="200"/>
        <w:rPr>
          <w:rFonts w:ascii="宋体" w:hAnsi="宋体" w:cs="宋体"/>
          <w:color w:val="auto"/>
          <w:spacing w:val="6"/>
          <w:sz w:val="24"/>
          <w:highlight w:val="none"/>
        </w:rPr>
      </w:pPr>
    </w:p>
    <w:p w14:paraId="4DF6F482">
      <w:pPr>
        <w:spacing w:line="588" w:lineRule="exact"/>
        <w:ind w:firstLine="504" w:firstLineChars="200"/>
        <w:rPr>
          <w:rFonts w:ascii="宋体" w:hAnsi="宋体" w:cs="宋体"/>
          <w:color w:val="auto"/>
          <w:spacing w:val="6"/>
          <w:sz w:val="24"/>
          <w:highlight w:val="none"/>
        </w:rPr>
      </w:pPr>
    </w:p>
    <w:p w14:paraId="5E288451">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5BEA7B17">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51FA284E">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注：不符合相应条件的供应商无需提供。</w:t>
      </w:r>
    </w:p>
    <w:p w14:paraId="5B05EC14">
      <w:pPr>
        <w:pStyle w:val="4"/>
        <w:spacing w:before="120" w:after="120" w:line="360" w:lineRule="exact"/>
        <w:rPr>
          <w:rFonts w:hint="eastAsia" w:ascii="宋体" w:hAnsi="宋体" w:eastAsia="宋体" w:cs="Times New Roman"/>
          <w:b w:val="0"/>
          <w:bCs w:val="0"/>
          <w:color w:val="auto"/>
          <w:kern w:val="0"/>
          <w:sz w:val="24"/>
          <w:szCs w:val="21"/>
          <w:highlight w:val="none"/>
          <w:lang w:val="en-US" w:eastAsia="zh-CN" w:bidi="ar-SA"/>
        </w:rPr>
      </w:pPr>
      <w:r>
        <w:rPr>
          <w:rFonts w:ascii="宋体" w:hAnsi="宋体"/>
          <w:b/>
          <w:bCs/>
          <w:color w:val="auto"/>
          <w:sz w:val="24"/>
          <w:szCs w:val="21"/>
          <w:highlight w:val="none"/>
        </w:rPr>
        <w:br w:type="page"/>
      </w:r>
      <w:bookmarkStart w:id="95" w:name="_Toc60570624"/>
      <w:r>
        <w:rPr>
          <w:rFonts w:hint="eastAsia" w:ascii="宋体" w:hAnsi="宋体" w:eastAsia="宋体" w:cs="Times New Roman"/>
          <w:b w:val="0"/>
          <w:bCs w:val="0"/>
          <w:color w:val="auto"/>
          <w:kern w:val="0"/>
          <w:sz w:val="24"/>
          <w:szCs w:val="21"/>
          <w:highlight w:val="none"/>
          <w:lang w:val="en-US" w:eastAsia="zh-CN" w:bidi="ar-SA"/>
        </w:rPr>
        <w:t>格式十二、资格证明材料格式（参考）</w:t>
      </w:r>
      <w:bookmarkEnd w:id="95"/>
    </w:p>
    <w:p w14:paraId="23FB07E9">
      <w:pPr>
        <w:pStyle w:val="30"/>
        <w:numPr>
          <w:ilvl w:val="0"/>
          <w:numId w:val="4"/>
        </w:numPr>
        <w:rPr>
          <w:rFonts w:hint="eastAsia" w:hAnsi="宋体"/>
          <w:color w:val="auto"/>
          <w:sz w:val="24"/>
          <w:szCs w:val="36"/>
          <w:highlight w:val="none"/>
        </w:rPr>
      </w:pPr>
      <w:r>
        <w:rPr>
          <w:rFonts w:hint="eastAsia" w:hAnsi="宋体"/>
          <w:color w:val="auto"/>
          <w:sz w:val="24"/>
          <w:szCs w:val="36"/>
          <w:highlight w:val="none"/>
        </w:rPr>
        <w:t>法人或者其他组织的营业执照等证明文件或自然人的身份证明</w:t>
      </w:r>
    </w:p>
    <w:p w14:paraId="696950F4">
      <w:pPr>
        <w:pStyle w:val="30"/>
        <w:numPr>
          <w:ilvl w:val="0"/>
          <w:numId w:val="4"/>
        </w:numPr>
        <w:rPr>
          <w:rFonts w:hint="eastAsia"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具有良好的商业信誉和健全的财务会计制度的证明材料</w:t>
      </w:r>
    </w:p>
    <w:p w14:paraId="1B767B3A">
      <w:pPr>
        <w:pStyle w:val="30"/>
        <w:numPr>
          <w:ilvl w:val="0"/>
          <w:numId w:val="4"/>
        </w:numPr>
        <w:rPr>
          <w:rFonts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具有履行合同所必需的设备和专业技术能力的证明材料或书面声明</w:t>
      </w:r>
    </w:p>
    <w:p w14:paraId="5219DFC8">
      <w:pPr>
        <w:pStyle w:val="30"/>
        <w:numPr>
          <w:ilvl w:val="0"/>
          <w:numId w:val="4"/>
        </w:numPr>
        <w:rPr>
          <w:rFonts w:ascii="宋体" w:hAnsi="宋体" w:cs="宋体"/>
          <w:snapToGrid w:val="0"/>
          <w:color w:val="auto"/>
          <w:sz w:val="24"/>
          <w:szCs w:val="36"/>
          <w:highlight w:val="none"/>
        </w:rPr>
      </w:pPr>
      <w:r>
        <w:rPr>
          <w:rFonts w:hint="eastAsia" w:ascii="宋体" w:hAnsi="宋体" w:cs="宋体"/>
          <w:snapToGrid w:val="0"/>
          <w:color w:val="auto"/>
          <w:sz w:val="24"/>
          <w:szCs w:val="36"/>
          <w:highlight w:val="none"/>
        </w:rPr>
        <w:t>具有依法缴纳税收和社会保障资金的良好记录的证明材料</w:t>
      </w:r>
    </w:p>
    <w:p w14:paraId="6F9912A3">
      <w:pPr>
        <w:pStyle w:val="30"/>
        <w:numPr>
          <w:ilvl w:val="0"/>
          <w:numId w:val="4"/>
        </w:numPr>
        <w:rPr>
          <w:rFonts w:ascii="宋体" w:hAnsi="宋体" w:cs="宋体"/>
          <w:snapToGrid w:val="0"/>
          <w:color w:val="auto"/>
          <w:highlight w:val="none"/>
        </w:rPr>
      </w:pPr>
      <w:r>
        <w:rPr>
          <w:rFonts w:hint="eastAsia" w:ascii="宋体" w:hAnsi="宋体" w:cs="宋体"/>
          <w:snapToGrid w:val="0"/>
          <w:color w:val="auto"/>
          <w:highlight w:val="none"/>
        </w:rPr>
        <w:br w:type="page"/>
      </w:r>
      <w:r>
        <w:rPr>
          <w:rFonts w:hint="eastAsia" w:hAnsi="宋体"/>
          <w:color w:val="auto"/>
          <w:highlight w:val="none"/>
        </w:rPr>
        <w:t>参加政府采购活动前3年内</w:t>
      </w:r>
      <w:bookmarkStart w:id="96" w:name="_Toc518923113"/>
      <w:r>
        <w:rPr>
          <w:rFonts w:hint="eastAsia" w:hAnsi="宋体"/>
          <w:color w:val="auto"/>
          <w:highlight w:val="none"/>
        </w:rPr>
        <w:t>在经营活动中没有重大违法记录的</w:t>
      </w:r>
      <w:bookmarkEnd w:id="96"/>
      <w:r>
        <w:rPr>
          <w:rFonts w:hint="eastAsia" w:hAnsi="宋体"/>
          <w:color w:val="auto"/>
          <w:highlight w:val="none"/>
        </w:rPr>
        <w:t>书面声明</w:t>
      </w:r>
    </w:p>
    <w:p w14:paraId="5FB2720A">
      <w:pPr>
        <w:spacing w:line="360" w:lineRule="exact"/>
        <w:ind w:right="187"/>
        <w:rPr>
          <w:rFonts w:ascii="宋体" w:hAnsi="宋体"/>
          <w:bCs/>
          <w:snapToGrid w:val="0"/>
          <w:color w:val="auto"/>
          <w:kern w:val="0"/>
          <w:sz w:val="24"/>
          <w:highlight w:val="none"/>
        </w:rPr>
      </w:pPr>
    </w:p>
    <w:p w14:paraId="0C904DAD">
      <w:pPr>
        <w:pStyle w:val="30"/>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参加政府采购活动前三年内，在经营活动中没有</w:t>
      </w:r>
    </w:p>
    <w:p w14:paraId="43C7DCF6">
      <w:pPr>
        <w:pStyle w:val="30"/>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重大违法记录的书面声明</w:t>
      </w:r>
    </w:p>
    <w:p w14:paraId="6C9AADD3">
      <w:pPr>
        <w:spacing w:line="360" w:lineRule="exact"/>
        <w:jc w:val="left"/>
        <w:rPr>
          <w:rFonts w:ascii="宋体" w:hAnsi="宋体"/>
          <w:snapToGrid w:val="0"/>
          <w:color w:val="auto"/>
          <w:kern w:val="0"/>
          <w:sz w:val="24"/>
          <w:highlight w:val="none"/>
          <w:u w:val="single"/>
        </w:rPr>
      </w:pPr>
    </w:p>
    <w:p w14:paraId="63E51767">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208A4B3F">
      <w:pPr>
        <w:spacing w:line="500" w:lineRule="exact"/>
        <w:ind w:firstLine="480" w:firstLineChars="200"/>
        <w:jc w:val="left"/>
        <w:rPr>
          <w:rFonts w:ascii="宋体" w:hAnsi="宋体"/>
          <w:snapToGrid w:val="0"/>
          <w:color w:val="auto"/>
          <w:kern w:val="0"/>
          <w:sz w:val="24"/>
          <w:highlight w:val="none"/>
        </w:rPr>
      </w:pPr>
    </w:p>
    <w:p w14:paraId="5D940D42">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我单位郑重声明：自本项目开标之日起向前追溯三年，我单位没有以下重大违法记录：因违法经营受到刑事处罚或者责令停产停业、吊销许可证或者执照、较大数额罚款等行政处罚。</w:t>
      </w:r>
    </w:p>
    <w:p w14:paraId="0C26E944">
      <w:pPr>
        <w:spacing w:line="500" w:lineRule="exact"/>
        <w:ind w:firstLine="480" w:firstLineChars="200"/>
        <w:jc w:val="left"/>
        <w:rPr>
          <w:rFonts w:ascii="宋体" w:hAnsi="宋体"/>
          <w:snapToGrid w:val="0"/>
          <w:color w:val="auto"/>
          <w:kern w:val="0"/>
          <w:sz w:val="24"/>
          <w:highlight w:val="none"/>
        </w:rPr>
      </w:pPr>
    </w:p>
    <w:p w14:paraId="50C49390">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1D1AFF72">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如不提供本声明函，将作无效报价处理。</w:t>
      </w:r>
    </w:p>
    <w:p w14:paraId="37C53DE7">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供应商对其所声明内容的真实性负责。如投标供应商所声明内容不真实，则应承担相应的法律责任。</w:t>
      </w:r>
    </w:p>
    <w:p w14:paraId="4B5620F9">
      <w:pPr>
        <w:rPr>
          <w:rFonts w:ascii="宋体" w:hAnsi="宋体"/>
          <w:snapToGrid w:val="0"/>
          <w:color w:val="auto"/>
          <w:kern w:val="0"/>
          <w:sz w:val="24"/>
          <w:highlight w:val="none"/>
        </w:rPr>
      </w:pPr>
    </w:p>
    <w:p w14:paraId="6DD5088D">
      <w:pPr>
        <w:rPr>
          <w:rFonts w:ascii="宋体" w:hAnsi="宋体"/>
          <w:snapToGrid w:val="0"/>
          <w:color w:val="auto"/>
          <w:kern w:val="0"/>
          <w:sz w:val="24"/>
          <w:highlight w:val="none"/>
        </w:rPr>
      </w:pPr>
    </w:p>
    <w:p w14:paraId="1D1D112C">
      <w:pPr>
        <w:rPr>
          <w:rFonts w:ascii="宋体" w:hAnsi="宋体"/>
          <w:snapToGrid w:val="0"/>
          <w:color w:val="auto"/>
          <w:kern w:val="0"/>
          <w:sz w:val="24"/>
          <w:highlight w:val="none"/>
        </w:rPr>
      </w:pPr>
    </w:p>
    <w:p w14:paraId="4A06FCD5">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供应商名称：（公章）</w:t>
      </w:r>
    </w:p>
    <w:p w14:paraId="6BF844CD">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10A6B15B">
      <w:pPr>
        <w:spacing w:line="360" w:lineRule="exact"/>
        <w:jc w:val="left"/>
        <w:rPr>
          <w:rFonts w:ascii="宋体" w:hAnsi="宋体"/>
          <w:snapToGrid w:val="0"/>
          <w:color w:val="auto"/>
          <w:kern w:val="0"/>
          <w:sz w:val="24"/>
          <w:highlight w:val="none"/>
        </w:rPr>
      </w:pPr>
    </w:p>
    <w:p w14:paraId="559DB025">
      <w:pPr>
        <w:spacing w:line="360" w:lineRule="auto"/>
        <w:jc w:val="right"/>
        <w:rPr>
          <w:rFonts w:ascii="宋体" w:hAnsi="宋体" w:cs="宋体"/>
          <w:snapToGrid w:val="0"/>
          <w:color w:val="auto"/>
          <w:kern w:val="0"/>
          <w:sz w:val="24"/>
          <w:highlight w:val="none"/>
        </w:rPr>
      </w:pPr>
      <w:r>
        <w:rPr>
          <w:rFonts w:hint="eastAsia" w:ascii="宋体" w:hAnsi="宋体"/>
          <w:snapToGrid w:val="0"/>
          <w:color w:val="auto"/>
          <w:kern w:val="0"/>
          <w:sz w:val="24"/>
          <w:highlight w:val="none"/>
        </w:rPr>
        <w:t>年 月 日</w:t>
      </w:r>
    </w:p>
    <w:p w14:paraId="6CB7A92C">
      <w:pPr>
        <w:pStyle w:val="30"/>
        <w:numPr>
          <w:ilvl w:val="0"/>
          <w:numId w:val="4"/>
        </w:numPr>
        <w:rPr>
          <w:rFonts w:hint="eastAsia" w:hAnsi="宋体"/>
          <w:color w:val="auto"/>
          <w:highlight w:val="none"/>
        </w:rPr>
      </w:pPr>
      <w:r>
        <w:rPr>
          <w:rFonts w:hint="eastAsia" w:hAnsi="宋体"/>
          <w:color w:val="auto"/>
          <w:highlight w:val="none"/>
        </w:rPr>
        <w:br w:type="page"/>
      </w:r>
      <w:r>
        <w:rPr>
          <w:rFonts w:hint="eastAsia" w:hAnsi="宋体"/>
          <w:color w:val="auto"/>
          <w:highlight w:val="none"/>
        </w:rPr>
        <w:t>供应商不存在关联关系声明</w:t>
      </w:r>
    </w:p>
    <w:p w14:paraId="3BA134CB">
      <w:pPr>
        <w:pStyle w:val="30"/>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单位负责人不为同一人或者不存在直接控股、管理关系的书面声明</w:t>
      </w:r>
    </w:p>
    <w:p w14:paraId="6C5DF0B3">
      <w:pPr>
        <w:spacing w:line="360" w:lineRule="exact"/>
        <w:jc w:val="left"/>
        <w:rPr>
          <w:rFonts w:ascii="宋体" w:hAnsi="宋体"/>
          <w:snapToGrid w:val="0"/>
          <w:color w:val="auto"/>
          <w:kern w:val="0"/>
          <w:sz w:val="24"/>
          <w:highlight w:val="none"/>
          <w:u w:val="single"/>
        </w:rPr>
      </w:pPr>
    </w:p>
    <w:p w14:paraId="398F5EB1">
      <w:pPr>
        <w:pStyle w:val="282"/>
        <w:autoSpaceDE w:val="0"/>
        <w:autoSpaceDN w:val="0"/>
        <w:adjustRightInd w:val="0"/>
        <w:spacing w:after="200" w:line="320" w:lineRule="exact"/>
        <w:jc w:val="left"/>
        <w:rPr>
          <w:rFonts w:hint="eastAsia" w:ascii="宋体" w:hAnsi="宋体"/>
          <w:snapToGrid w:val="0"/>
          <w:color w:val="auto"/>
          <w:kern w:val="0"/>
          <w:sz w:val="24"/>
          <w:highlight w:val="none"/>
        </w:rPr>
      </w:pPr>
      <w:r>
        <w:rPr>
          <w:rFonts w:hint="eastAsia" w:ascii="宋体" w:hAnsi="宋体"/>
          <w:color w:val="auto"/>
          <w:kern w:val="0"/>
          <w:sz w:val="24"/>
          <w:szCs w:val="20"/>
          <w:highlight w:val="none"/>
        </w:rPr>
        <w:t>供应商</w:t>
      </w:r>
      <w:r>
        <w:rPr>
          <w:rFonts w:ascii="宋体" w:hAnsi="宋体"/>
          <w:color w:val="auto"/>
          <w:kern w:val="0"/>
          <w:sz w:val="24"/>
          <w:szCs w:val="20"/>
          <w:highlight w:val="none"/>
        </w:rPr>
        <w:t>应当如实披露与本单位存在下列关联关系的单位名称</w:t>
      </w:r>
      <w:r>
        <w:rPr>
          <w:rFonts w:hint="eastAsia" w:ascii="宋体" w:hAnsi="宋体"/>
          <w:color w:val="auto"/>
          <w:kern w:val="0"/>
          <w:sz w:val="24"/>
          <w:szCs w:val="20"/>
          <w:highlight w:val="none"/>
        </w:rPr>
        <w:t>，如无，请填写“无”</w:t>
      </w:r>
      <w:r>
        <w:rPr>
          <w:rFonts w:hint="eastAsia" w:ascii="宋体" w:hAnsi="宋体"/>
          <w:snapToGrid w:val="0"/>
          <w:color w:val="auto"/>
          <w:kern w:val="0"/>
          <w:sz w:val="24"/>
          <w:highlight w:val="none"/>
        </w:rPr>
        <w:t>：</w:t>
      </w:r>
    </w:p>
    <w:p w14:paraId="0CED8DD8">
      <w:pPr>
        <w:pStyle w:val="282"/>
        <w:autoSpaceDE w:val="0"/>
        <w:autoSpaceDN w:val="0"/>
        <w:adjustRightInd w:val="0"/>
        <w:spacing w:after="200" w:line="320" w:lineRule="exact"/>
        <w:jc w:val="left"/>
        <w:rPr>
          <w:rFonts w:hint="eastAsia" w:ascii="宋体" w:hAnsi="宋体"/>
          <w:snapToGrid w:val="0"/>
          <w:color w:val="auto"/>
          <w:kern w:val="0"/>
          <w:sz w:val="24"/>
          <w:highlight w:val="none"/>
        </w:rPr>
      </w:pPr>
    </w:p>
    <w:p w14:paraId="7E1C1AB3">
      <w:pPr>
        <w:pStyle w:val="30"/>
        <w:numPr>
          <w:ilvl w:val="0"/>
          <w:numId w:val="5"/>
        </w:numPr>
        <w:rPr>
          <w:rFonts w:ascii="宋体" w:hAnsi="宋体"/>
          <w:color w:val="auto"/>
          <w:highlight w:val="none"/>
        </w:rPr>
      </w:pPr>
      <w:r>
        <w:rPr>
          <w:rFonts w:ascii="宋体" w:hAnsi="宋体"/>
          <w:color w:val="auto"/>
          <w:highlight w:val="none"/>
        </w:rPr>
        <w:t>与</w:t>
      </w:r>
      <w:r>
        <w:rPr>
          <w:rFonts w:hint="eastAsia" w:ascii="宋体" w:hAnsi="宋体"/>
          <w:color w:val="auto"/>
          <w:highlight w:val="none"/>
        </w:rPr>
        <w:t>供应商</w:t>
      </w:r>
      <w:r>
        <w:rPr>
          <w:rFonts w:ascii="宋体" w:hAnsi="宋体"/>
          <w:color w:val="auto"/>
          <w:highlight w:val="none"/>
        </w:rPr>
        <w:t>单位负责人为同一人的其他</w:t>
      </w:r>
      <w:r>
        <w:rPr>
          <w:rFonts w:hint="eastAsia" w:ascii="宋体" w:hAnsi="宋体"/>
          <w:color w:val="auto"/>
          <w:highlight w:val="none"/>
        </w:rPr>
        <w:t>单位</w:t>
      </w:r>
      <w:r>
        <w:rPr>
          <w:rFonts w:ascii="宋体" w:hAnsi="宋体"/>
          <w:color w:val="auto"/>
          <w:highlight w:val="none"/>
        </w:rPr>
        <w:t>；</w:t>
      </w:r>
    </w:p>
    <w:p w14:paraId="5B745831">
      <w:pPr>
        <w:pStyle w:val="30"/>
        <w:rPr>
          <w:rFonts w:ascii="宋体" w:hAnsi="宋体"/>
          <w:color w:val="auto"/>
          <w:highlight w:val="none"/>
        </w:rPr>
      </w:pPr>
    </w:p>
    <w:p w14:paraId="1B78A57A">
      <w:pPr>
        <w:pStyle w:val="30"/>
        <w:rPr>
          <w:rFonts w:ascii="宋体" w:hAnsi="宋体"/>
          <w:color w:val="auto"/>
          <w:highlight w:val="none"/>
        </w:rPr>
      </w:pPr>
    </w:p>
    <w:p w14:paraId="1BEB0472">
      <w:pPr>
        <w:spacing w:line="360" w:lineRule="exact"/>
        <w:jc w:val="left"/>
        <w:rPr>
          <w:rFonts w:hint="eastAsia" w:ascii="宋体" w:hAnsi="宋体" w:eastAsia="宋体"/>
          <w:color w:val="auto"/>
          <w:kern w:val="0"/>
          <w:sz w:val="24"/>
          <w:szCs w:val="20"/>
          <w:highlight w:val="none"/>
          <w:lang w:eastAsia="zh-CN"/>
        </w:rPr>
      </w:pPr>
    </w:p>
    <w:p w14:paraId="759BAC25">
      <w:pPr>
        <w:spacing w:line="360" w:lineRule="exact"/>
        <w:jc w:val="left"/>
        <w:rPr>
          <w:rFonts w:ascii="宋体" w:hAnsi="宋体"/>
          <w:snapToGrid w:val="0"/>
          <w:color w:val="auto"/>
          <w:kern w:val="0"/>
          <w:sz w:val="24"/>
          <w:highlight w:val="none"/>
        </w:rPr>
      </w:pPr>
      <w:r>
        <w:rPr>
          <w:rFonts w:ascii="宋体" w:hAnsi="宋体"/>
          <w:color w:val="auto"/>
          <w:kern w:val="0"/>
          <w:sz w:val="24"/>
          <w:szCs w:val="20"/>
          <w:highlight w:val="none"/>
        </w:rPr>
        <w:t>（2）与</w:t>
      </w:r>
      <w:r>
        <w:rPr>
          <w:rFonts w:hint="eastAsia" w:ascii="宋体" w:hAnsi="宋体"/>
          <w:color w:val="auto"/>
          <w:kern w:val="0"/>
          <w:sz w:val="24"/>
          <w:szCs w:val="20"/>
          <w:highlight w:val="none"/>
        </w:rPr>
        <w:t>供应商</w:t>
      </w:r>
      <w:r>
        <w:rPr>
          <w:rFonts w:ascii="宋体" w:hAnsi="宋体"/>
          <w:color w:val="auto"/>
          <w:kern w:val="0"/>
          <w:sz w:val="24"/>
          <w:szCs w:val="20"/>
          <w:highlight w:val="none"/>
        </w:rPr>
        <w:t>存在直接控股、管理关系的其他单位</w:t>
      </w:r>
      <w:r>
        <w:rPr>
          <w:rFonts w:hint="eastAsia" w:ascii="宋体" w:hAnsi="宋体"/>
          <w:snapToGrid w:val="0"/>
          <w:color w:val="auto"/>
          <w:kern w:val="0"/>
          <w:sz w:val="24"/>
          <w:highlight w:val="none"/>
        </w:rPr>
        <w:t>：</w:t>
      </w:r>
    </w:p>
    <w:p w14:paraId="7E4DCF05">
      <w:pPr>
        <w:spacing w:line="500" w:lineRule="exact"/>
        <w:ind w:firstLine="480" w:firstLineChars="200"/>
        <w:jc w:val="left"/>
        <w:rPr>
          <w:rFonts w:ascii="宋体" w:hAnsi="宋体"/>
          <w:snapToGrid w:val="0"/>
          <w:color w:val="auto"/>
          <w:kern w:val="0"/>
          <w:sz w:val="24"/>
          <w:highlight w:val="none"/>
        </w:rPr>
      </w:pPr>
    </w:p>
    <w:p w14:paraId="436226E1">
      <w:pPr>
        <w:spacing w:line="500" w:lineRule="exact"/>
        <w:ind w:firstLine="480" w:firstLineChars="200"/>
        <w:jc w:val="left"/>
        <w:rPr>
          <w:rFonts w:hint="eastAsia" w:ascii="宋体" w:hAnsi="宋体"/>
          <w:snapToGrid w:val="0"/>
          <w:color w:val="auto"/>
          <w:kern w:val="0"/>
          <w:sz w:val="24"/>
          <w:highlight w:val="none"/>
        </w:rPr>
      </w:pPr>
    </w:p>
    <w:p w14:paraId="4BCA4037">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我单位郑重声明：我单位未与上述存在关联关系的单位同时参加本项目</w:t>
      </w:r>
      <w:r>
        <w:rPr>
          <w:rFonts w:hint="eastAsia" w:ascii="宋体" w:hAnsi="宋体" w:cs="宋体"/>
          <w:color w:val="auto"/>
          <w:sz w:val="24"/>
          <w:highlight w:val="none"/>
        </w:rPr>
        <w:t>同一合同项下（同一包号）</w:t>
      </w:r>
      <w:r>
        <w:rPr>
          <w:rFonts w:hint="eastAsia" w:ascii="宋体" w:hAnsi="宋体"/>
          <w:snapToGrid w:val="0"/>
          <w:color w:val="auto"/>
          <w:kern w:val="0"/>
          <w:sz w:val="24"/>
          <w:highlight w:val="none"/>
        </w:rPr>
        <w:t>的政府采购活动。</w:t>
      </w:r>
    </w:p>
    <w:p w14:paraId="0304462F">
      <w:pPr>
        <w:spacing w:line="500" w:lineRule="exact"/>
        <w:ind w:firstLine="480" w:firstLineChars="200"/>
        <w:jc w:val="left"/>
        <w:rPr>
          <w:rFonts w:ascii="宋体" w:hAnsi="宋体"/>
          <w:snapToGrid w:val="0"/>
          <w:color w:val="auto"/>
          <w:kern w:val="0"/>
          <w:sz w:val="24"/>
          <w:highlight w:val="none"/>
        </w:rPr>
      </w:pPr>
    </w:p>
    <w:p w14:paraId="66DC0EB7">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2C9AA03C">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如不提供本声明函，将作无效报价处理。</w:t>
      </w:r>
    </w:p>
    <w:p w14:paraId="6CC3622E">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供应商应对其所声明内容的真实性负责。如供应商所声明内容不真实，则应承担相应的法律责任。</w:t>
      </w:r>
    </w:p>
    <w:p w14:paraId="2240CAC2">
      <w:pPr>
        <w:rPr>
          <w:rFonts w:ascii="宋体" w:hAnsi="宋体"/>
          <w:snapToGrid w:val="0"/>
          <w:color w:val="auto"/>
          <w:kern w:val="0"/>
          <w:sz w:val="24"/>
          <w:highlight w:val="none"/>
        </w:rPr>
      </w:pPr>
    </w:p>
    <w:p w14:paraId="3240B79A">
      <w:pPr>
        <w:rPr>
          <w:rFonts w:ascii="宋体" w:hAnsi="宋体"/>
          <w:snapToGrid w:val="0"/>
          <w:color w:val="auto"/>
          <w:kern w:val="0"/>
          <w:sz w:val="24"/>
          <w:highlight w:val="none"/>
        </w:rPr>
      </w:pPr>
    </w:p>
    <w:p w14:paraId="4E1820A4">
      <w:pPr>
        <w:rPr>
          <w:rFonts w:ascii="宋体" w:hAnsi="宋体"/>
          <w:snapToGrid w:val="0"/>
          <w:color w:val="auto"/>
          <w:kern w:val="0"/>
          <w:sz w:val="24"/>
          <w:highlight w:val="none"/>
        </w:rPr>
      </w:pPr>
    </w:p>
    <w:p w14:paraId="30AE1C56">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供应商名称：（公章）</w:t>
      </w:r>
    </w:p>
    <w:p w14:paraId="2F93FC31">
      <w:pPr>
        <w:pStyle w:val="30"/>
        <w:rPr>
          <w:rFonts w:hint="eastAsia" w:ascii="宋体" w:hAnsi="宋体"/>
          <w:snapToGrid w:val="0"/>
          <w:color w:val="auto"/>
          <w:highlight w:val="none"/>
        </w:rPr>
      </w:pPr>
      <w:r>
        <w:rPr>
          <w:rFonts w:hint="eastAsia" w:ascii="宋体" w:hAnsi="宋体"/>
          <w:snapToGrid w:val="0"/>
          <w:color w:val="auto"/>
          <w:highlight w:val="none"/>
        </w:rPr>
        <w:t>法定代表人或其委托代理人签字或盖章：</w:t>
      </w:r>
    </w:p>
    <w:p w14:paraId="1BF5FC49">
      <w:pPr>
        <w:pStyle w:val="30"/>
        <w:rPr>
          <w:rFonts w:hint="eastAsia" w:ascii="宋体" w:hAnsi="宋体"/>
          <w:bCs/>
          <w:snapToGrid w:val="0"/>
          <w:color w:val="auto"/>
          <w:sz w:val="24"/>
          <w:highlight w:val="none"/>
        </w:rPr>
      </w:pPr>
      <w:r>
        <w:rPr>
          <w:rFonts w:hint="eastAsia" w:ascii="宋体" w:hAnsi="宋体"/>
          <w:snapToGrid w:val="0"/>
          <w:color w:val="auto"/>
          <w:highlight w:val="none"/>
        </w:rPr>
        <w:t>年 月 日</w:t>
      </w:r>
      <w:r>
        <w:rPr>
          <w:rFonts w:hint="eastAsia" w:ascii="宋体" w:hAnsi="宋体" w:cs="宋体"/>
          <w:snapToGrid w:val="0"/>
          <w:color w:val="auto"/>
          <w:highlight w:val="none"/>
        </w:rPr>
        <w:br w:type="page"/>
      </w:r>
      <w:bookmarkStart w:id="97" w:name="_Toc34914134"/>
      <w:r>
        <w:rPr>
          <w:rFonts w:hint="eastAsia" w:ascii="宋体" w:hAnsi="宋体" w:cs="宋体"/>
          <w:snapToGrid w:val="0"/>
          <w:color w:val="auto"/>
          <w:highlight w:val="none"/>
          <w:lang w:val="en-US" w:eastAsia="zh-CN"/>
        </w:rPr>
        <w:t>7</w:t>
      </w:r>
      <w:r>
        <w:rPr>
          <w:rFonts w:hint="eastAsia" w:ascii="宋体" w:hAnsi="宋体"/>
          <w:bCs/>
          <w:snapToGrid w:val="0"/>
          <w:color w:val="auto"/>
          <w:sz w:val="24"/>
          <w:highlight w:val="none"/>
        </w:rPr>
        <w:t>、</w:t>
      </w:r>
      <w:r>
        <w:rPr>
          <w:rFonts w:hint="eastAsia" w:ascii="宋体" w:hAnsi="宋体"/>
          <w:bCs/>
          <w:snapToGrid w:val="0"/>
          <w:color w:val="auto"/>
          <w:sz w:val="24"/>
          <w:highlight w:val="none"/>
          <w:lang w:eastAsia="zh-CN"/>
        </w:rPr>
        <w:t>竞争性谈判</w:t>
      </w:r>
      <w:r>
        <w:rPr>
          <w:rFonts w:hint="eastAsia" w:ascii="宋体" w:hAnsi="宋体"/>
          <w:bCs/>
          <w:snapToGrid w:val="0"/>
          <w:color w:val="auto"/>
          <w:sz w:val="24"/>
          <w:highlight w:val="none"/>
        </w:rPr>
        <w:t>文件要求的其他资格证明文件（如有）</w:t>
      </w:r>
    </w:p>
    <w:bookmarkEnd w:id="97"/>
    <w:p w14:paraId="1FFD6CA3">
      <w:pPr>
        <w:rPr>
          <w:rFonts w:hint="eastAsia" w:ascii="宋体" w:hAnsi="宋体"/>
          <w:color w:val="auto"/>
          <w:sz w:val="24"/>
          <w:szCs w:val="21"/>
          <w:highlight w:val="none"/>
        </w:rPr>
      </w:pPr>
      <w:r>
        <w:rPr>
          <w:rFonts w:hint="eastAsia" w:ascii="宋体" w:hAnsi="宋体"/>
          <w:color w:val="auto"/>
          <w:sz w:val="24"/>
          <w:szCs w:val="21"/>
          <w:highlight w:val="none"/>
        </w:rPr>
        <w:br w:type="page"/>
      </w:r>
    </w:p>
    <w:p w14:paraId="22FF692A">
      <w:pPr>
        <w:pStyle w:val="4"/>
        <w:bidi w:val="0"/>
        <w:rPr>
          <w:rFonts w:hint="eastAsia" w:ascii="宋体" w:hAnsi="宋体" w:eastAsia="宋体" w:cs="Times New Roman"/>
          <w:b w:val="0"/>
          <w:bCs w:val="0"/>
          <w:color w:val="auto"/>
          <w:sz w:val="24"/>
          <w:szCs w:val="21"/>
          <w:highlight w:val="none"/>
        </w:rPr>
      </w:pPr>
      <w:r>
        <w:rPr>
          <w:rFonts w:hint="eastAsia" w:ascii="宋体" w:hAnsi="宋体" w:eastAsia="宋体" w:cs="Times New Roman"/>
          <w:b w:val="0"/>
          <w:bCs w:val="0"/>
          <w:color w:val="auto"/>
          <w:sz w:val="24"/>
          <w:szCs w:val="21"/>
          <w:highlight w:val="none"/>
        </w:rPr>
        <w:t>格式</w:t>
      </w:r>
      <w:r>
        <w:rPr>
          <w:rFonts w:hint="eastAsia" w:ascii="宋体" w:hAnsi="宋体" w:eastAsia="宋体" w:cs="Times New Roman"/>
          <w:b w:val="0"/>
          <w:bCs w:val="0"/>
          <w:color w:val="auto"/>
          <w:sz w:val="24"/>
          <w:szCs w:val="21"/>
          <w:highlight w:val="none"/>
          <w:lang w:val="en-US" w:eastAsia="zh-CN"/>
        </w:rPr>
        <w:t>十三</w:t>
      </w:r>
      <w:r>
        <w:rPr>
          <w:rFonts w:hint="eastAsia" w:ascii="宋体" w:hAnsi="宋体" w:eastAsia="宋体" w:cs="Times New Roman"/>
          <w:b w:val="0"/>
          <w:bCs w:val="0"/>
          <w:color w:val="auto"/>
          <w:sz w:val="24"/>
          <w:szCs w:val="21"/>
          <w:highlight w:val="none"/>
        </w:rPr>
        <w:t>：其他资格证明材料、评审证明材料或供应商认为应该提供的其他资料</w:t>
      </w:r>
    </w:p>
    <w:p w14:paraId="02A95715">
      <w:pPr>
        <w:wordWrap w:val="0"/>
        <w:spacing w:line="460" w:lineRule="exact"/>
        <w:ind w:firstLine="0" w:firstLineChars="0"/>
        <w:rPr>
          <w:rFonts w:hint="eastAsia"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未提供格式的，格式自拟。</w:t>
      </w:r>
    </w:p>
    <w:p w14:paraId="73190F4A">
      <w:pPr>
        <w:rPr>
          <w:rFonts w:hint="eastAsia" w:ascii="宋体" w:hAnsi="宋体"/>
          <w:b w:val="0"/>
          <w:bCs w:val="0"/>
          <w:color w:val="auto"/>
          <w:sz w:val="24"/>
          <w:szCs w:val="21"/>
          <w:highlight w:val="none"/>
        </w:rPr>
      </w:pPr>
      <w:r>
        <w:rPr>
          <w:rFonts w:hint="eastAsia" w:ascii="宋体" w:hAnsi="宋体"/>
          <w:b w:val="0"/>
          <w:bCs w:val="0"/>
          <w:color w:val="auto"/>
          <w:sz w:val="24"/>
          <w:szCs w:val="21"/>
          <w:highlight w:val="none"/>
        </w:rPr>
        <w:br w:type="page"/>
      </w:r>
    </w:p>
    <w:p w14:paraId="221D7D51">
      <w:pPr>
        <w:pStyle w:val="4"/>
        <w:bidi w:val="0"/>
        <w:rPr>
          <w:rFonts w:ascii="宋体" w:hAnsi="宋体"/>
          <w:b w:val="0"/>
          <w:bCs w:val="0"/>
          <w:color w:val="auto"/>
          <w:sz w:val="24"/>
          <w:szCs w:val="21"/>
          <w:highlight w:val="none"/>
        </w:rPr>
      </w:pPr>
      <w:r>
        <w:rPr>
          <w:rFonts w:hint="eastAsia" w:ascii="宋体" w:hAnsi="宋体"/>
          <w:b w:val="0"/>
          <w:bCs w:val="0"/>
          <w:color w:val="auto"/>
          <w:sz w:val="24"/>
          <w:szCs w:val="21"/>
          <w:highlight w:val="none"/>
        </w:rPr>
        <w:t>格式十</w:t>
      </w:r>
      <w:r>
        <w:rPr>
          <w:rFonts w:hint="eastAsia" w:ascii="宋体" w:hAnsi="宋体"/>
          <w:b w:val="0"/>
          <w:bCs w:val="0"/>
          <w:color w:val="auto"/>
          <w:sz w:val="24"/>
          <w:szCs w:val="21"/>
          <w:highlight w:val="none"/>
          <w:lang w:val="en-US" w:eastAsia="zh-CN"/>
        </w:rPr>
        <w:t>四</w:t>
      </w:r>
      <w:r>
        <w:rPr>
          <w:rFonts w:hint="eastAsia" w:ascii="宋体" w:hAnsi="宋体"/>
          <w:b w:val="0"/>
          <w:bCs w:val="0"/>
          <w:color w:val="auto"/>
          <w:sz w:val="24"/>
          <w:szCs w:val="21"/>
          <w:highlight w:val="none"/>
        </w:rPr>
        <w:t>：首次响应文件封套标记参考格式</w:t>
      </w:r>
    </w:p>
    <w:p w14:paraId="65124F85">
      <w:pPr>
        <w:pStyle w:val="31"/>
        <w:spacing w:line="240" w:lineRule="auto"/>
        <w:ind w:left="0" w:leftChars="0" w:firstLine="0" w:firstLineChars="0"/>
        <w:jc w:val="center"/>
        <w:rPr>
          <w:rFonts w:ascii="宋体" w:hAnsi="宋体"/>
          <w:color w:val="auto"/>
          <w:highlight w:val="none"/>
        </w:rPr>
      </w:pPr>
      <w:r>
        <w:rPr>
          <w:rFonts w:hint="eastAsia" w:ascii="宋体" w:hAnsi="宋体"/>
          <w:color w:val="auto"/>
          <w:sz w:val="24"/>
          <w:szCs w:val="21"/>
          <w:highlight w:val="none"/>
        </w:rPr>
        <w:t>首次响应文件封套标记参考格式</w:t>
      </w: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33E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3A4AC80">
            <w:pPr>
              <w:pStyle w:val="31"/>
              <w:spacing w:line="240" w:lineRule="auto"/>
              <w:ind w:left="0" w:leftChars="0" w:firstLine="0" w:firstLineChars="0"/>
              <w:jc w:val="left"/>
              <w:rPr>
                <w:rFonts w:ascii="宋体" w:hAnsi="宋体"/>
                <w:b/>
                <w:color w:val="auto"/>
                <w:kern w:val="2"/>
                <w:sz w:val="30"/>
                <w:highlight w:val="none"/>
                <w:lang w:val="en-US" w:eastAsia="zh-CN"/>
              </w:rPr>
            </w:pPr>
            <w:r>
              <w:rPr>
                <w:rFonts w:hint="eastAsia" w:ascii="宋体" w:hAnsi="宋体"/>
                <w:b/>
                <w:color w:val="auto"/>
                <w:kern w:val="2"/>
                <w:sz w:val="30"/>
                <w:highlight w:val="none"/>
                <w:lang w:val="en-US" w:eastAsia="zh-CN"/>
              </w:rPr>
              <w:t>响应文件</w:t>
            </w:r>
          </w:p>
          <w:p w14:paraId="5F05F742">
            <w:pPr>
              <w:pStyle w:val="31"/>
              <w:spacing w:line="240" w:lineRule="auto"/>
              <w:ind w:left="0" w:leftChars="0" w:firstLine="0" w:firstLineChars="0"/>
              <w:jc w:val="left"/>
              <w:rPr>
                <w:rFonts w:ascii="宋体" w:hAnsi="宋体"/>
                <w:color w:val="auto"/>
                <w:kern w:val="2"/>
                <w:sz w:val="30"/>
                <w:highlight w:val="none"/>
                <w:lang w:val="en-US" w:eastAsia="zh-CN"/>
              </w:rPr>
            </w:pPr>
            <w:r>
              <w:rPr>
                <w:rFonts w:hint="eastAsia" w:ascii="宋体" w:hAnsi="宋体"/>
                <w:b/>
                <w:color w:val="auto"/>
                <w:kern w:val="2"/>
                <w:sz w:val="30"/>
                <w:highlight w:val="none"/>
                <w:lang w:val="en-US" w:eastAsia="zh-CN"/>
              </w:rPr>
              <w:t>（正本）</w:t>
            </w:r>
          </w:p>
          <w:p w14:paraId="425134CD">
            <w:pPr>
              <w:pStyle w:val="31"/>
              <w:spacing w:line="240" w:lineRule="auto"/>
              <w:ind w:left="1747" w:firstLine="353"/>
              <w:jc w:val="left"/>
              <w:rPr>
                <w:rFonts w:ascii="宋体" w:hAnsi="宋体"/>
                <w:color w:val="auto"/>
                <w:kern w:val="2"/>
                <w:sz w:val="18"/>
                <w:highlight w:val="none"/>
                <w:lang w:val="en-US" w:eastAsia="zh-CN"/>
              </w:rPr>
            </w:pPr>
          </w:p>
          <w:p w14:paraId="7B69BB77">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182E563D">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763D474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0986D05B">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655F726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35FED4A9">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05D681B6">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18E49B6F">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r>
              <w:rPr>
                <w:rFonts w:ascii="宋体" w:hAnsi="宋体"/>
                <w:color w:val="auto"/>
                <w:kern w:val="2"/>
                <w:sz w:val="32"/>
                <w:highlight w:val="none"/>
                <w:lang w:val="en-US" w:eastAsia="zh-CN"/>
              </w:rPr>
              <w:t xml:space="preserve"> </w:t>
            </w:r>
          </w:p>
        </w:tc>
        <w:tc>
          <w:tcPr>
            <w:tcW w:w="4775" w:type="dxa"/>
            <w:noWrap w:val="0"/>
            <w:vAlign w:val="top"/>
          </w:tcPr>
          <w:p w14:paraId="60DD7A9B">
            <w:pPr>
              <w:pStyle w:val="31"/>
              <w:spacing w:line="240" w:lineRule="auto"/>
              <w:ind w:left="0" w:leftChars="0" w:firstLine="0" w:firstLineChars="0"/>
              <w:jc w:val="left"/>
              <w:rPr>
                <w:rFonts w:ascii="宋体" w:hAnsi="宋体"/>
                <w:b/>
                <w:color w:val="auto"/>
                <w:kern w:val="2"/>
                <w:sz w:val="30"/>
                <w:highlight w:val="none"/>
                <w:lang w:val="en-US" w:eastAsia="zh-CN"/>
              </w:rPr>
            </w:pPr>
            <w:r>
              <w:rPr>
                <w:rFonts w:hint="eastAsia" w:ascii="宋体" w:hAnsi="宋体"/>
                <w:b/>
                <w:color w:val="auto"/>
                <w:kern w:val="2"/>
                <w:sz w:val="30"/>
                <w:highlight w:val="none"/>
                <w:lang w:val="en-US" w:eastAsia="zh-CN"/>
              </w:rPr>
              <w:t>响应文件</w:t>
            </w:r>
          </w:p>
          <w:p w14:paraId="4CD86BB7">
            <w:pPr>
              <w:pStyle w:val="31"/>
              <w:spacing w:line="240" w:lineRule="auto"/>
              <w:ind w:left="0" w:leftChars="0" w:firstLine="0" w:firstLineChars="0"/>
              <w:jc w:val="left"/>
              <w:rPr>
                <w:rFonts w:ascii="宋体" w:hAnsi="宋体"/>
                <w:color w:val="auto"/>
                <w:kern w:val="2"/>
                <w:sz w:val="30"/>
                <w:highlight w:val="none"/>
                <w:lang w:val="en-US" w:eastAsia="zh-CN"/>
              </w:rPr>
            </w:pPr>
            <w:r>
              <w:rPr>
                <w:rFonts w:hint="eastAsia" w:ascii="宋体" w:hAnsi="宋体"/>
                <w:b/>
                <w:color w:val="auto"/>
                <w:kern w:val="2"/>
                <w:sz w:val="30"/>
                <w:highlight w:val="none"/>
                <w:lang w:val="en-US" w:eastAsia="zh-CN"/>
              </w:rPr>
              <w:t>（副本）</w:t>
            </w:r>
          </w:p>
          <w:p w14:paraId="069CD44C">
            <w:pPr>
              <w:pStyle w:val="31"/>
              <w:spacing w:line="240" w:lineRule="auto"/>
              <w:ind w:left="1747" w:firstLine="353"/>
              <w:jc w:val="left"/>
              <w:rPr>
                <w:rFonts w:ascii="宋体" w:hAnsi="宋体"/>
                <w:color w:val="auto"/>
                <w:kern w:val="2"/>
                <w:sz w:val="18"/>
                <w:highlight w:val="none"/>
                <w:lang w:val="en-US" w:eastAsia="zh-CN"/>
              </w:rPr>
            </w:pPr>
          </w:p>
          <w:p w14:paraId="49BAD10C">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6E194AD7">
            <w:pPr>
              <w:pStyle w:val="31"/>
              <w:spacing w:line="400" w:lineRule="exact"/>
              <w:ind w:left="0" w:leftChars="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7A3D6874">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793D61C3">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7554C3A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7FCE3225">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75A6DB10">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1D360E6F">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r>
              <w:rPr>
                <w:rFonts w:ascii="宋体" w:hAnsi="宋体"/>
                <w:color w:val="auto"/>
                <w:kern w:val="2"/>
                <w:sz w:val="32"/>
                <w:highlight w:val="none"/>
                <w:lang w:val="en-US" w:eastAsia="zh-CN"/>
              </w:rPr>
              <w:t xml:space="preserve"> </w:t>
            </w:r>
          </w:p>
        </w:tc>
      </w:tr>
    </w:tbl>
    <w:p w14:paraId="1328263F">
      <w:pPr>
        <w:pStyle w:val="31"/>
        <w:spacing w:line="240" w:lineRule="auto"/>
        <w:ind w:left="1747" w:firstLine="392"/>
        <w:rPr>
          <w:rFonts w:ascii="宋体" w:hAnsi="宋体"/>
          <w:color w:val="auto"/>
          <w:highlight w:val="none"/>
        </w:rPr>
      </w:pPr>
    </w:p>
    <w:tbl>
      <w:tblPr>
        <w:tblStyle w:val="7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E62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14:paraId="0388E291">
            <w:pPr>
              <w:pStyle w:val="31"/>
              <w:spacing w:line="400" w:lineRule="exact"/>
              <w:ind w:left="0" w:leftChars="0" w:firstLine="0" w:firstLineChars="0"/>
              <w:jc w:val="left"/>
              <w:rPr>
                <w:rFonts w:ascii="宋体" w:hAnsi="宋体"/>
                <w:color w:val="auto"/>
                <w:kern w:val="2"/>
                <w:sz w:val="24"/>
                <w:highlight w:val="none"/>
                <w:lang w:val="en-US" w:eastAsia="zh-CN"/>
              </w:rPr>
            </w:pPr>
          </w:p>
          <w:p w14:paraId="362CB3F7">
            <w:pPr>
              <w:pStyle w:val="31"/>
              <w:spacing w:line="400" w:lineRule="exact"/>
              <w:ind w:left="0" w:leftChars="0" w:firstLine="0" w:firstLineChars="0"/>
              <w:jc w:val="left"/>
              <w:rPr>
                <w:rFonts w:ascii="宋体" w:hAnsi="宋体"/>
                <w:b/>
                <w:color w:val="auto"/>
                <w:kern w:val="2"/>
                <w:sz w:val="24"/>
                <w:highlight w:val="none"/>
                <w:lang w:val="en-US" w:eastAsia="zh-CN"/>
              </w:rPr>
            </w:pPr>
            <w:r>
              <w:rPr>
                <w:rFonts w:hint="eastAsia" w:ascii="宋体" w:hAnsi="宋体"/>
                <w:b/>
                <w:color w:val="auto"/>
                <w:kern w:val="2"/>
                <w:sz w:val="32"/>
                <w:highlight w:val="none"/>
                <w:lang w:val="en-US" w:eastAsia="zh-CN"/>
              </w:rPr>
              <w:t>首轮报价一览表</w:t>
            </w:r>
            <w:r>
              <w:rPr>
                <w:rFonts w:ascii="宋体" w:hAnsi="宋体"/>
                <w:b/>
                <w:color w:val="auto"/>
                <w:kern w:val="2"/>
                <w:sz w:val="32"/>
                <w:highlight w:val="none"/>
                <w:lang w:val="en-US" w:eastAsia="zh-CN"/>
              </w:rPr>
              <w:t xml:space="preserve">           </w:t>
            </w:r>
            <w:r>
              <w:rPr>
                <w:rFonts w:ascii="宋体" w:hAnsi="宋体"/>
                <w:b/>
                <w:color w:val="auto"/>
                <w:kern w:val="2"/>
                <w:sz w:val="24"/>
                <w:highlight w:val="none"/>
                <w:lang w:val="en-US" w:eastAsia="zh-CN"/>
              </w:rPr>
              <w:t xml:space="preserve">   </w:t>
            </w:r>
          </w:p>
          <w:p w14:paraId="1F49D0EB">
            <w:pPr>
              <w:pStyle w:val="31"/>
              <w:spacing w:line="400" w:lineRule="exact"/>
              <w:ind w:left="0" w:leftChars="0" w:firstLine="0" w:firstLineChars="0"/>
              <w:jc w:val="left"/>
              <w:rPr>
                <w:rFonts w:ascii="宋体" w:hAnsi="宋体"/>
                <w:color w:val="auto"/>
                <w:kern w:val="2"/>
                <w:sz w:val="24"/>
                <w:highlight w:val="none"/>
                <w:lang w:val="en-US" w:eastAsia="zh-CN"/>
              </w:rPr>
            </w:pPr>
          </w:p>
          <w:p w14:paraId="4142FAB1">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27B2CB6B">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1A854A4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376A6227">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5A97143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17B9BE1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56AE3FF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2AB19C0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p>
          <w:p w14:paraId="2E415B89">
            <w:pPr>
              <w:pStyle w:val="31"/>
              <w:spacing w:line="400" w:lineRule="exact"/>
              <w:ind w:left="0" w:leftChars="0" w:firstLine="0" w:firstLineChars="0"/>
              <w:jc w:val="left"/>
              <w:rPr>
                <w:rFonts w:ascii="宋体" w:hAnsi="宋体"/>
                <w:color w:val="auto"/>
                <w:kern w:val="2"/>
                <w:sz w:val="24"/>
                <w:highlight w:val="none"/>
                <w:lang w:val="en-US" w:eastAsia="zh-CN"/>
              </w:rPr>
            </w:pPr>
          </w:p>
        </w:tc>
        <w:tc>
          <w:tcPr>
            <w:tcW w:w="4775" w:type="dxa"/>
            <w:noWrap w:val="0"/>
            <w:vAlign w:val="top"/>
          </w:tcPr>
          <w:p w14:paraId="46BC0BD5">
            <w:pPr>
              <w:pStyle w:val="31"/>
              <w:spacing w:line="400" w:lineRule="exact"/>
              <w:ind w:left="0" w:leftChars="0" w:firstLine="0" w:firstLineChars="0"/>
              <w:jc w:val="left"/>
              <w:rPr>
                <w:rFonts w:ascii="宋体" w:hAnsi="宋体"/>
                <w:b/>
                <w:color w:val="auto"/>
                <w:kern w:val="2"/>
                <w:sz w:val="32"/>
                <w:highlight w:val="none"/>
                <w:lang w:val="en-US" w:eastAsia="zh-CN"/>
              </w:rPr>
            </w:pPr>
          </w:p>
          <w:p w14:paraId="2FB90C06">
            <w:pPr>
              <w:pStyle w:val="31"/>
              <w:spacing w:line="400" w:lineRule="exact"/>
              <w:ind w:left="0" w:leftChars="0" w:firstLine="0" w:firstLineChars="0"/>
              <w:jc w:val="left"/>
              <w:rPr>
                <w:rFonts w:ascii="宋体" w:hAnsi="宋体"/>
                <w:b/>
                <w:color w:val="auto"/>
                <w:kern w:val="2"/>
                <w:sz w:val="32"/>
                <w:highlight w:val="none"/>
                <w:lang w:val="en-US" w:eastAsia="zh-CN"/>
              </w:rPr>
            </w:pPr>
            <w:r>
              <w:rPr>
                <w:rFonts w:hint="eastAsia" w:ascii="宋体" w:hAnsi="宋体"/>
                <w:b/>
                <w:color w:val="auto"/>
                <w:kern w:val="2"/>
                <w:sz w:val="32"/>
                <w:highlight w:val="none"/>
                <w:lang w:val="en-US" w:eastAsia="zh-CN"/>
              </w:rPr>
              <w:t>响应文件电子文档</w:t>
            </w:r>
          </w:p>
          <w:p w14:paraId="4269B115">
            <w:pPr>
              <w:pStyle w:val="31"/>
              <w:spacing w:line="400" w:lineRule="exact"/>
              <w:ind w:left="0" w:leftChars="0" w:firstLine="0" w:firstLineChars="0"/>
              <w:jc w:val="left"/>
              <w:rPr>
                <w:rFonts w:ascii="宋体" w:hAnsi="宋体"/>
                <w:b/>
                <w:color w:val="auto"/>
                <w:kern w:val="2"/>
                <w:sz w:val="24"/>
                <w:highlight w:val="none"/>
                <w:lang w:val="en-US" w:eastAsia="zh-CN"/>
              </w:rPr>
            </w:pPr>
            <w:r>
              <w:rPr>
                <w:rFonts w:hint="eastAsia" w:ascii="宋体" w:hAnsi="宋体"/>
                <w:b/>
                <w:color w:val="auto"/>
                <w:kern w:val="2"/>
                <w:sz w:val="32"/>
                <w:highlight w:val="none"/>
                <w:lang w:val="en-US" w:eastAsia="zh-CN"/>
              </w:rPr>
              <w:t>（含担保函原件）</w:t>
            </w:r>
            <w:r>
              <w:rPr>
                <w:rFonts w:ascii="宋体" w:hAnsi="宋体"/>
                <w:b/>
                <w:color w:val="auto"/>
                <w:kern w:val="2"/>
                <w:sz w:val="24"/>
                <w:highlight w:val="none"/>
                <w:lang w:val="en-US" w:eastAsia="zh-CN"/>
              </w:rPr>
              <w:t xml:space="preserve"> </w:t>
            </w:r>
          </w:p>
          <w:p w14:paraId="2E44F9C6">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项目编号：</w:t>
            </w:r>
          </w:p>
          <w:p w14:paraId="5A2589D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项目名称：</w:t>
            </w:r>
          </w:p>
          <w:p w14:paraId="6E8117DE">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供应商名称（公章）：</w:t>
            </w:r>
          </w:p>
          <w:p w14:paraId="07402254">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包号：</w:t>
            </w:r>
          </w:p>
          <w:p w14:paraId="0CCA58E8">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地址：</w:t>
            </w:r>
          </w:p>
          <w:p w14:paraId="1C87DEBA">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电话：</w:t>
            </w:r>
          </w:p>
          <w:p w14:paraId="31ACAFB2">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传真：</w:t>
            </w:r>
          </w:p>
          <w:p w14:paraId="4E4A6430">
            <w:pPr>
              <w:pStyle w:val="31"/>
              <w:spacing w:line="400" w:lineRule="exact"/>
              <w:ind w:left="0" w:leftChars="0" w:firstLine="0" w:firstLineChars="0"/>
              <w:jc w:val="left"/>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邮编：</w:t>
            </w:r>
          </w:p>
          <w:p w14:paraId="1313A30D">
            <w:pPr>
              <w:pStyle w:val="31"/>
              <w:spacing w:line="400" w:lineRule="exact"/>
              <w:ind w:left="0" w:leftChars="0" w:firstLine="0" w:firstLineChars="0"/>
              <w:jc w:val="left"/>
              <w:rPr>
                <w:rFonts w:ascii="宋体" w:hAnsi="宋体"/>
                <w:color w:val="auto"/>
                <w:kern w:val="2"/>
                <w:sz w:val="24"/>
                <w:highlight w:val="none"/>
                <w:lang w:val="en-US" w:eastAsia="zh-CN"/>
              </w:rPr>
            </w:pPr>
          </w:p>
        </w:tc>
      </w:tr>
    </w:tbl>
    <w:p w14:paraId="358DCFAE">
      <w:pPr>
        <w:pStyle w:val="31"/>
        <w:spacing w:line="240" w:lineRule="auto"/>
        <w:ind w:left="1747" w:firstLine="392"/>
        <w:rPr>
          <w:rFonts w:ascii="宋体" w:hAnsi="宋体"/>
          <w:color w:val="auto"/>
          <w:highlight w:val="none"/>
        </w:rPr>
      </w:pPr>
    </w:p>
    <w:p w14:paraId="2674487A">
      <w:pPr>
        <w:pStyle w:val="31"/>
        <w:spacing w:line="240" w:lineRule="auto"/>
        <w:ind w:left="0" w:leftChars="0" w:firstLine="0" w:firstLineChars="0"/>
        <w:rPr>
          <w:rFonts w:ascii="宋体" w:hAnsi="宋体"/>
          <w:b/>
          <w:bCs/>
          <w:color w:val="auto"/>
          <w:sz w:val="32"/>
          <w:highlight w:val="none"/>
        </w:rPr>
      </w:pPr>
      <w:r>
        <w:rPr>
          <w:rFonts w:hint="eastAsia" w:ascii="宋体" w:hAnsi="宋体"/>
          <w:b/>
          <w:bCs/>
          <w:color w:val="auto"/>
          <w:sz w:val="32"/>
          <w:highlight w:val="none"/>
        </w:rPr>
        <w:t>封口格式：</w:t>
      </w:r>
    </w:p>
    <w:tbl>
      <w:tblPr>
        <w:tblStyle w:val="7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4492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14:paraId="72DA69A4">
            <w:pPr>
              <w:pStyle w:val="31"/>
              <w:spacing w:line="240" w:lineRule="auto"/>
              <w:ind w:left="0" w:leftChars="0" w:firstLine="0" w:firstLineChars="0"/>
              <w:rPr>
                <w:rFonts w:ascii="宋体" w:hAnsi="宋体"/>
                <w:color w:val="auto"/>
                <w:kern w:val="2"/>
                <w:sz w:val="24"/>
                <w:highlight w:val="none"/>
                <w:lang w:val="en-US" w:eastAsia="zh-CN"/>
              </w:rPr>
            </w:pPr>
            <w:r>
              <w:rPr>
                <w:rFonts w:hint="eastAsia" w:ascii="宋体" w:hAnsi="宋体"/>
                <w:color w:val="auto"/>
                <w:kern w:val="2"/>
                <w:sz w:val="24"/>
                <w:highlight w:val="none"/>
                <w:lang w:val="en-US" w:eastAsia="zh-CN"/>
              </w:rPr>
              <w:t>……………………首次响应文件递交截止时间之前不准启封（公章）…………………</w:t>
            </w:r>
          </w:p>
        </w:tc>
      </w:tr>
    </w:tbl>
    <w:p w14:paraId="18350179">
      <w:pPr>
        <w:wordWrap w:val="0"/>
        <w:spacing w:line="460" w:lineRule="exact"/>
        <w:ind w:firstLine="0" w:firstLineChars="0"/>
        <w:rPr>
          <w:rFonts w:hint="eastAsia" w:ascii="宋体" w:hAnsi="宋体" w:eastAsia="宋体" w:cs="Times New Roman"/>
          <w:b/>
          <w:bCs/>
          <w:color w:val="auto"/>
          <w:sz w:val="24"/>
          <w:szCs w:val="21"/>
          <w:highlight w:val="none"/>
        </w:rPr>
      </w:pPr>
    </w:p>
    <w:sectPr>
      <w:headerReference r:id="rId8" w:type="default"/>
      <w:pgSz w:w="11907" w:h="16840"/>
      <w:pgMar w:top="1230" w:right="1418" w:bottom="1134" w:left="1418" w:header="851" w:footer="851" w:gutter="0"/>
      <w:pgNumType w:fmt="decimal"/>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10CD">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07E1">
    <w:pPr>
      <w:pStyle w:val="49"/>
      <w:framePr w:wrap="around" w:vAnchor="text" w:hAnchor="margin" w:xAlign="center" w:y="1"/>
      <w:rPr>
        <w:rStyle w:val="122"/>
      </w:rPr>
    </w:pPr>
    <w:r>
      <w:fldChar w:fldCharType="begin"/>
    </w:r>
    <w:r>
      <w:rPr>
        <w:rStyle w:val="122"/>
      </w:rPr>
      <w:instrText xml:space="preserve">PAGE  </w:instrText>
    </w:r>
    <w:r>
      <w:fldChar w:fldCharType="end"/>
    </w:r>
  </w:p>
  <w:p w14:paraId="377E25C4">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E478">
    <w:pPr>
      <w:spacing w:line="200" w:lineRule="exact"/>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B6357">
                          <w:pPr>
                            <w:pStyle w:val="4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14:paraId="6B6B6357">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A71A">
    <w:pPr>
      <w:pStyle w:val="4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527B1">
                          <w:pPr>
                            <w:pStyle w:val="49"/>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CGVfndAQAAvgMAAA4AAAAAAAAA&#10;AQAgAAAAHgEAAGRycy9lMm9Eb2MueG1sUEsFBgAAAAAGAAYAWQEAAG0FAAAAAA==&#10;">
              <v:fill on="f" focussize="0,0"/>
              <v:stroke on="f"/>
              <v:imagedata o:title=""/>
              <o:lock v:ext="edit" aspectratio="f"/>
              <v:textbox inset="0mm,0mm,0mm,0mm" style="mso-fit-shape-to-text:t;">
                <w:txbxContent>
                  <w:p w14:paraId="1F6527B1">
                    <w:pPr>
                      <w:pStyle w:val="4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419E">
    <w:pPr>
      <w:pStyle w:val="51"/>
      <w:bidi w:val="0"/>
      <w:ind w:firstLine="1044" w:firstLineChars="200"/>
      <w:jc w:val="both"/>
      <w:rPr>
        <w:rFonts w:hint="eastAsia" w:ascii="宋体" w:hAnsi="宋体" w:eastAsia="宋体"/>
        <w:b/>
        <w:color w:val="auto"/>
        <w:sz w:val="21"/>
        <w:szCs w:val="21"/>
        <w:lang w:eastAsia="zh-CN"/>
      </w:rPr>
    </w:pPr>
    <w:r>
      <w:rPr>
        <w:rFonts w:ascii="宋体" w:cs="宋体"/>
        <w:b/>
        <w:color w:val="auto"/>
        <w:sz w:val="52"/>
      </w:rPr>
      <w:drawing>
        <wp:anchor distT="0" distB="0" distL="114300" distR="114300" simplePos="0" relativeHeight="251659264" behindDoc="0" locked="0" layoutInCell="1" allowOverlap="1">
          <wp:simplePos x="0" y="0"/>
          <wp:positionH relativeFrom="column">
            <wp:posOffset>-24130</wp:posOffset>
          </wp:positionH>
          <wp:positionV relativeFrom="paragraph">
            <wp:posOffset>-159385</wp:posOffset>
          </wp:positionV>
          <wp:extent cx="399415" cy="428625"/>
          <wp:effectExtent l="0" t="0" r="12065" b="13335"/>
          <wp:wrapNone/>
          <wp:docPr id="5" name="图片 1" descr="海逸恒安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海逸恒安LOGO最新"/>
                  <pic:cNvPicPr>
                    <a:picLocks noChangeAspect="1"/>
                  </pic:cNvPicPr>
                </pic:nvPicPr>
                <pic:blipFill>
                  <a:blip r:embed="rId1"/>
                  <a:srcRect l="16122" t="4205" r="6996" b="6627"/>
                  <a:stretch>
                    <a:fillRect/>
                  </a:stretch>
                </pic:blipFill>
                <pic:spPr>
                  <a:xfrm>
                    <a:off x="0" y="0"/>
                    <a:ext cx="399415" cy="428625"/>
                  </a:xfrm>
                  <a:prstGeom prst="rect">
                    <a:avLst/>
                  </a:prstGeom>
                  <a:noFill/>
                  <a:ln>
                    <a:noFill/>
                  </a:ln>
                </pic:spPr>
              </pic:pic>
            </a:graphicData>
          </a:graphic>
        </wp:anchor>
      </w:drawing>
    </w:r>
    <w:r>
      <w:rPr>
        <w:rFonts w:hint="eastAsia" w:ascii="宋体" w:hAnsi="宋体" w:cs="宋体"/>
        <w:b/>
        <w:color w:val="auto"/>
        <w:sz w:val="21"/>
        <w:szCs w:val="21"/>
        <w:lang w:eastAsia="zh-CN"/>
      </w:rPr>
      <w:t>山东大学第二医院消防器材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A3A03">
    <w:pPr>
      <w:pStyle w:val="51"/>
      <w:bidi w:val="0"/>
      <w:ind w:firstLine="422" w:firstLineChars="200"/>
      <w:jc w:val="both"/>
      <w:rPr>
        <w:rFonts w:hint="eastAsia" w:eastAsia="宋体"/>
        <w:color w:val="auto"/>
        <w:lang w:eastAsia="zh-CN"/>
      </w:rPr>
    </w:pPr>
    <w:r>
      <w:rPr>
        <w:rFonts w:hint="eastAsia" w:ascii="宋体" w:hAnsi="宋体"/>
        <w:b/>
        <w:color w:val="auto"/>
        <w:sz w:val="21"/>
        <w:szCs w:val="21"/>
      </w:rPr>
      <w:t xml:space="preserve">    </w:t>
    </w:r>
    <w:r>
      <w:rPr>
        <w:rFonts w:ascii="宋体" w:cs="宋体"/>
        <w:b/>
        <w:color w:val="auto"/>
        <w:sz w:val="52"/>
      </w:rPr>
      <w:drawing>
        <wp:anchor distT="0" distB="0" distL="114300" distR="114300" simplePos="0" relativeHeight="251660288" behindDoc="0" locked="0" layoutInCell="1" allowOverlap="1">
          <wp:simplePos x="0" y="0"/>
          <wp:positionH relativeFrom="column">
            <wp:posOffset>-24130</wp:posOffset>
          </wp:positionH>
          <wp:positionV relativeFrom="paragraph">
            <wp:posOffset>-159385</wp:posOffset>
          </wp:positionV>
          <wp:extent cx="399415" cy="428625"/>
          <wp:effectExtent l="0" t="0" r="12065" b="13335"/>
          <wp:wrapNone/>
          <wp:docPr id="6" name="图片 2" descr="海逸恒安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海逸恒安LOGO最新"/>
                  <pic:cNvPicPr>
                    <a:picLocks noChangeAspect="1"/>
                  </pic:cNvPicPr>
                </pic:nvPicPr>
                <pic:blipFill>
                  <a:blip r:embed="rId1"/>
                  <a:srcRect l="16122" t="4205" r="6996" b="6627"/>
                  <a:stretch>
                    <a:fillRect/>
                  </a:stretch>
                </pic:blipFill>
                <pic:spPr>
                  <a:xfrm>
                    <a:off x="0" y="0"/>
                    <a:ext cx="399415" cy="428625"/>
                  </a:xfrm>
                  <a:prstGeom prst="rect">
                    <a:avLst/>
                  </a:prstGeom>
                  <a:noFill/>
                  <a:ln>
                    <a:noFill/>
                  </a:ln>
                </pic:spPr>
              </pic:pic>
            </a:graphicData>
          </a:graphic>
        </wp:anchor>
      </w:drawing>
    </w:r>
    <w:r>
      <w:rPr>
        <w:rFonts w:hint="eastAsia" w:ascii="宋体" w:hAnsi="宋体" w:cs="宋体"/>
        <w:b/>
        <w:color w:val="auto"/>
        <w:sz w:val="21"/>
        <w:szCs w:val="21"/>
        <w:lang w:eastAsia="zh-CN"/>
      </w:rPr>
      <w:t>山东大学第二医院消防器材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5917B"/>
    <w:multiLevelType w:val="singleLevel"/>
    <w:tmpl w:val="C055917B"/>
    <w:lvl w:ilvl="0" w:tentative="0">
      <w:start w:val="7"/>
      <w:numFmt w:val="decimal"/>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FACD9197"/>
    <w:multiLevelType w:val="singleLevel"/>
    <w:tmpl w:val="FACD9197"/>
    <w:lvl w:ilvl="0" w:tentative="0">
      <w:start w:val="1"/>
      <w:numFmt w:val="decimal"/>
      <w:suff w:val="nothing"/>
      <w:lvlText w:val="%1、"/>
      <w:lvlJc w:val="left"/>
    </w:lvl>
  </w:abstractNum>
  <w:abstractNum w:abstractNumId="3">
    <w:nsid w:val="229F5DE5"/>
    <w:multiLevelType w:val="multilevel"/>
    <w:tmpl w:val="229F5DE5"/>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pStyle w:val="278"/>
      <w:lvlText w:val="%2)"/>
      <w:lvlJc w:val="left"/>
      <w:pPr>
        <w:tabs>
          <w:tab w:val="left" w:pos="840"/>
        </w:tabs>
        <w:ind w:left="840" w:hanging="420"/>
      </w:pPr>
      <w:rPr>
        <w:rFonts w:cs="Times New Roman"/>
      </w:rPr>
    </w:lvl>
    <w:lvl w:ilvl="2" w:tentative="0">
      <w:start w:val="1"/>
      <w:numFmt w:val="lowerRoman"/>
      <w:pStyle w:val="203"/>
      <w:lvlText w:val="%3."/>
      <w:lvlJc w:val="right"/>
      <w:pPr>
        <w:tabs>
          <w:tab w:val="left" w:pos="1260"/>
        </w:tabs>
        <w:ind w:left="1260" w:hanging="420"/>
      </w:pPr>
      <w:rPr>
        <w:rFonts w:cs="Times New Roman"/>
      </w:rPr>
    </w:lvl>
    <w:lvl w:ilvl="3" w:tentative="0">
      <w:start w:val="1"/>
      <w:numFmt w:val="decimal"/>
      <w:pStyle w:val="270"/>
      <w:lvlText w:val="%4."/>
      <w:lvlJc w:val="left"/>
      <w:pPr>
        <w:tabs>
          <w:tab w:val="left" w:pos="1680"/>
        </w:tabs>
        <w:ind w:left="1680" w:hanging="420"/>
      </w:pPr>
      <w:rPr>
        <w:rFonts w:cs="Times New Roman"/>
      </w:rPr>
    </w:lvl>
    <w:lvl w:ilvl="4" w:tentative="0">
      <w:start w:val="1"/>
      <w:numFmt w:val="lowerLetter"/>
      <w:pStyle w:val="269"/>
      <w:lvlText w:val="%5)"/>
      <w:lvlJc w:val="left"/>
      <w:pPr>
        <w:tabs>
          <w:tab w:val="left" w:pos="2100"/>
        </w:tabs>
        <w:ind w:left="2100" w:hanging="420"/>
      </w:pPr>
      <w:rPr>
        <w:rFonts w:cs="Times New Roman"/>
      </w:rPr>
    </w:lvl>
    <w:lvl w:ilvl="5" w:tentative="0">
      <w:start w:val="1"/>
      <w:numFmt w:val="lowerRoman"/>
      <w:pStyle w:val="264"/>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AA75E1B"/>
    <w:multiLevelType w:val="singleLevel"/>
    <w:tmpl w:val="5AA75E1B"/>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0"/>
  <w:hyphenationZone w:val="360"/>
  <w:drawingGridHorizontalSpacing w:val="191"/>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ODVlMmU5MmMwMDA0NzczNWQ4NmM3NDE2MGQ2YWEifQ=="/>
  </w:docVars>
  <w:rsids>
    <w:rsidRoot w:val="00B9162F"/>
    <w:rsid w:val="000009EA"/>
    <w:rsid w:val="00001570"/>
    <w:rsid w:val="00001B37"/>
    <w:rsid w:val="00002344"/>
    <w:rsid w:val="00002350"/>
    <w:rsid w:val="000026C3"/>
    <w:rsid w:val="000027CE"/>
    <w:rsid w:val="00003971"/>
    <w:rsid w:val="000043B0"/>
    <w:rsid w:val="00005A6F"/>
    <w:rsid w:val="00007080"/>
    <w:rsid w:val="000071C5"/>
    <w:rsid w:val="00007867"/>
    <w:rsid w:val="00007958"/>
    <w:rsid w:val="0001010F"/>
    <w:rsid w:val="000107DF"/>
    <w:rsid w:val="000108A7"/>
    <w:rsid w:val="00011230"/>
    <w:rsid w:val="00011CCF"/>
    <w:rsid w:val="00012AD5"/>
    <w:rsid w:val="0001316F"/>
    <w:rsid w:val="000132D4"/>
    <w:rsid w:val="00013F12"/>
    <w:rsid w:val="00013F6C"/>
    <w:rsid w:val="000142C2"/>
    <w:rsid w:val="0001467B"/>
    <w:rsid w:val="000146C2"/>
    <w:rsid w:val="000148D8"/>
    <w:rsid w:val="00015085"/>
    <w:rsid w:val="00015188"/>
    <w:rsid w:val="000154D7"/>
    <w:rsid w:val="00015E1A"/>
    <w:rsid w:val="00016B7F"/>
    <w:rsid w:val="00016FFA"/>
    <w:rsid w:val="00017221"/>
    <w:rsid w:val="0001728C"/>
    <w:rsid w:val="00017880"/>
    <w:rsid w:val="0002169C"/>
    <w:rsid w:val="00022410"/>
    <w:rsid w:val="000227C5"/>
    <w:rsid w:val="00022FFB"/>
    <w:rsid w:val="00023ED5"/>
    <w:rsid w:val="00024146"/>
    <w:rsid w:val="0002456C"/>
    <w:rsid w:val="00024AB5"/>
    <w:rsid w:val="00024EE4"/>
    <w:rsid w:val="00026173"/>
    <w:rsid w:val="00027FCE"/>
    <w:rsid w:val="00031311"/>
    <w:rsid w:val="000318B5"/>
    <w:rsid w:val="000318DF"/>
    <w:rsid w:val="000319A9"/>
    <w:rsid w:val="00031F00"/>
    <w:rsid w:val="000329A4"/>
    <w:rsid w:val="00032B55"/>
    <w:rsid w:val="00032BAF"/>
    <w:rsid w:val="0003473D"/>
    <w:rsid w:val="00034D65"/>
    <w:rsid w:val="00034DD1"/>
    <w:rsid w:val="000350C2"/>
    <w:rsid w:val="000352BA"/>
    <w:rsid w:val="00035833"/>
    <w:rsid w:val="00035C18"/>
    <w:rsid w:val="00035CEB"/>
    <w:rsid w:val="00036624"/>
    <w:rsid w:val="00036707"/>
    <w:rsid w:val="0003772C"/>
    <w:rsid w:val="00040F52"/>
    <w:rsid w:val="00041806"/>
    <w:rsid w:val="00041C7D"/>
    <w:rsid w:val="00042234"/>
    <w:rsid w:val="000426F9"/>
    <w:rsid w:val="00042704"/>
    <w:rsid w:val="00042716"/>
    <w:rsid w:val="00042F7C"/>
    <w:rsid w:val="000434AA"/>
    <w:rsid w:val="00043E23"/>
    <w:rsid w:val="00043EA2"/>
    <w:rsid w:val="00043F53"/>
    <w:rsid w:val="00045404"/>
    <w:rsid w:val="000456CE"/>
    <w:rsid w:val="00045774"/>
    <w:rsid w:val="00046208"/>
    <w:rsid w:val="00046A50"/>
    <w:rsid w:val="00046F00"/>
    <w:rsid w:val="0004719A"/>
    <w:rsid w:val="000471EC"/>
    <w:rsid w:val="00047B68"/>
    <w:rsid w:val="00047D84"/>
    <w:rsid w:val="000503C1"/>
    <w:rsid w:val="0005094B"/>
    <w:rsid w:val="00050C78"/>
    <w:rsid w:val="000525EB"/>
    <w:rsid w:val="00052AAC"/>
    <w:rsid w:val="000533A2"/>
    <w:rsid w:val="000539E5"/>
    <w:rsid w:val="00054386"/>
    <w:rsid w:val="000544A9"/>
    <w:rsid w:val="000546B1"/>
    <w:rsid w:val="00054E7E"/>
    <w:rsid w:val="00055043"/>
    <w:rsid w:val="000557E4"/>
    <w:rsid w:val="000559CF"/>
    <w:rsid w:val="00055BF8"/>
    <w:rsid w:val="000561BD"/>
    <w:rsid w:val="00056BAC"/>
    <w:rsid w:val="00056D5B"/>
    <w:rsid w:val="00060555"/>
    <w:rsid w:val="00060576"/>
    <w:rsid w:val="000608FC"/>
    <w:rsid w:val="0006100D"/>
    <w:rsid w:val="00061097"/>
    <w:rsid w:val="000611BB"/>
    <w:rsid w:val="0006144D"/>
    <w:rsid w:val="00062007"/>
    <w:rsid w:val="0006264A"/>
    <w:rsid w:val="00062A55"/>
    <w:rsid w:val="00062ADB"/>
    <w:rsid w:val="00064100"/>
    <w:rsid w:val="00064C64"/>
    <w:rsid w:val="00065ED1"/>
    <w:rsid w:val="00066261"/>
    <w:rsid w:val="000663CA"/>
    <w:rsid w:val="000668CA"/>
    <w:rsid w:val="00066DEF"/>
    <w:rsid w:val="00070205"/>
    <w:rsid w:val="000709D4"/>
    <w:rsid w:val="00070D6B"/>
    <w:rsid w:val="000713A3"/>
    <w:rsid w:val="00071A6C"/>
    <w:rsid w:val="000722C8"/>
    <w:rsid w:val="00072497"/>
    <w:rsid w:val="0007255D"/>
    <w:rsid w:val="00072965"/>
    <w:rsid w:val="0007345D"/>
    <w:rsid w:val="0007367F"/>
    <w:rsid w:val="000757D2"/>
    <w:rsid w:val="0007590B"/>
    <w:rsid w:val="0007642E"/>
    <w:rsid w:val="0007697F"/>
    <w:rsid w:val="00076C5A"/>
    <w:rsid w:val="00077566"/>
    <w:rsid w:val="0007764A"/>
    <w:rsid w:val="0007775E"/>
    <w:rsid w:val="00077888"/>
    <w:rsid w:val="0008005E"/>
    <w:rsid w:val="000812BB"/>
    <w:rsid w:val="00081462"/>
    <w:rsid w:val="00081F45"/>
    <w:rsid w:val="00081F56"/>
    <w:rsid w:val="00081FE6"/>
    <w:rsid w:val="00082354"/>
    <w:rsid w:val="00082719"/>
    <w:rsid w:val="000827EC"/>
    <w:rsid w:val="000829AD"/>
    <w:rsid w:val="00082A06"/>
    <w:rsid w:val="0008312C"/>
    <w:rsid w:val="0008346A"/>
    <w:rsid w:val="000835DC"/>
    <w:rsid w:val="00083B66"/>
    <w:rsid w:val="00083E13"/>
    <w:rsid w:val="00083F41"/>
    <w:rsid w:val="00084395"/>
    <w:rsid w:val="0008495C"/>
    <w:rsid w:val="00084D53"/>
    <w:rsid w:val="00085A7F"/>
    <w:rsid w:val="00085C6C"/>
    <w:rsid w:val="00087790"/>
    <w:rsid w:val="00087A0D"/>
    <w:rsid w:val="0009000E"/>
    <w:rsid w:val="000915DF"/>
    <w:rsid w:val="000925D9"/>
    <w:rsid w:val="00093A61"/>
    <w:rsid w:val="0009481E"/>
    <w:rsid w:val="00094F8C"/>
    <w:rsid w:val="00094FD8"/>
    <w:rsid w:val="000955F3"/>
    <w:rsid w:val="000956EC"/>
    <w:rsid w:val="00097043"/>
    <w:rsid w:val="0009798F"/>
    <w:rsid w:val="00097BF6"/>
    <w:rsid w:val="000A0DE6"/>
    <w:rsid w:val="000A1162"/>
    <w:rsid w:val="000A11F7"/>
    <w:rsid w:val="000A1957"/>
    <w:rsid w:val="000A1D61"/>
    <w:rsid w:val="000A39DF"/>
    <w:rsid w:val="000A4204"/>
    <w:rsid w:val="000A4279"/>
    <w:rsid w:val="000A4BC8"/>
    <w:rsid w:val="000A4E21"/>
    <w:rsid w:val="000A5966"/>
    <w:rsid w:val="000A5B54"/>
    <w:rsid w:val="000A5FCE"/>
    <w:rsid w:val="000A609F"/>
    <w:rsid w:val="000A6D07"/>
    <w:rsid w:val="000A738D"/>
    <w:rsid w:val="000A7500"/>
    <w:rsid w:val="000A7A27"/>
    <w:rsid w:val="000B0837"/>
    <w:rsid w:val="000B0DC1"/>
    <w:rsid w:val="000B15E3"/>
    <w:rsid w:val="000B1AE1"/>
    <w:rsid w:val="000B1B03"/>
    <w:rsid w:val="000B1E71"/>
    <w:rsid w:val="000B235B"/>
    <w:rsid w:val="000B27A1"/>
    <w:rsid w:val="000B2D0E"/>
    <w:rsid w:val="000B31E3"/>
    <w:rsid w:val="000B32ED"/>
    <w:rsid w:val="000B3C69"/>
    <w:rsid w:val="000B403D"/>
    <w:rsid w:val="000B4653"/>
    <w:rsid w:val="000B46A8"/>
    <w:rsid w:val="000B47E5"/>
    <w:rsid w:val="000B5380"/>
    <w:rsid w:val="000B5F78"/>
    <w:rsid w:val="000B68A8"/>
    <w:rsid w:val="000B6CFE"/>
    <w:rsid w:val="000B6F17"/>
    <w:rsid w:val="000B796D"/>
    <w:rsid w:val="000C0035"/>
    <w:rsid w:val="000C1482"/>
    <w:rsid w:val="000C1F84"/>
    <w:rsid w:val="000C26DA"/>
    <w:rsid w:val="000C2810"/>
    <w:rsid w:val="000C290D"/>
    <w:rsid w:val="000C29D9"/>
    <w:rsid w:val="000C4FDF"/>
    <w:rsid w:val="000C52AD"/>
    <w:rsid w:val="000C570B"/>
    <w:rsid w:val="000C625C"/>
    <w:rsid w:val="000C6631"/>
    <w:rsid w:val="000C722B"/>
    <w:rsid w:val="000C7332"/>
    <w:rsid w:val="000C7362"/>
    <w:rsid w:val="000C749A"/>
    <w:rsid w:val="000C771F"/>
    <w:rsid w:val="000C7D3D"/>
    <w:rsid w:val="000C7D67"/>
    <w:rsid w:val="000C7E61"/>
    <w:rsid w:val="000D00B5"/>
    <w:rsid w:val="000D05AB"/>
    <w:rsid w:val="000D2114"/>
    <w:rsid w:val="000D2284"/>
    <w:rsid w:val="000D28B9"/>
    <w:rsid w:val="000D2D73"/>
    <w:rsid w:val="000D3AF8"/>
    <w:rsid w:val="000D568C"/>
    <w:rsid w:val="000D574D"/>
    <w:rsid w:val="000D58DE"/>
    <w:rsid w:val="000D5938"/>
    <w:rsid w:val="000D6999"/>
    <w:rsid w:val="000D6B0B"/>
    <w:rsid w:val="000D7987"/>
    <w:rsid w:val="000E0391"/>
    <w:rsid w:val="000E0831"/>
    <w:rsid w:val="000E0BC0"/>
    <w:rsid w:val="000E3179"/>
    <w:rsid w:val="000E3DCB"/>
    <w:rsid w:val="000E41B2"/>
    <w:rsid w:val="000E4631"/>
    <w:rsid w:val="000E60B9"/>
    <w:rsid w:val="000E62A5"/>
    <w:rsid w:val="000E63C7"/>
    <w:rsid w:val="000E6715"/>
    <w:rsid w:val="000E6C2C"/>
    <w:rsid w:val="000E7082"/>
    <w:rsid w:val="000E72F4"/>
    <w:rsid w:val="000E7DB6"/>
    <w:rsid w:val="000E7FBA"/>
    <w:rsid w:val="000E7FED"/>
    <w:rsid w:val="000F12D9"/>
    <w:rsid w:val="000F2C66"/>
    <w:rsid w:val="000F2CDB"/>
    <w:rsid w:val="000F38E4"/>
    <w:rsid w:val="000F3D42"/>
    <w:rsid w:val="000F4A24"/>
    <w:rsid w:val="000F4FD5"/>
    <w:rsid w:val="000F5110"/>
    <w:rsid w:val="000F5767"/>
    <w:rsid w:val="000F5887"/>
    <w:rsid w:val="000F5DB7"/>
    <w:rsid w:val="000F70F6"/>
    <w:rsid w:val="000F7AF9"/>
    <w:rsid w:val="000F7D31"/>
    <w:rsid w:val="000F7E96"/>
    <w:rsid w:val="00100395"/>
    <w:rsid w:val="00100C4E"/>
    <w:rsid w:val="0010134B"/>
    <w:rsid w:val="001018C3"/>
    <w:rsid w:val="0010249F"/>
    <w:rsid w:val="0010473F"/>
    <w:rsid w:val="00105030"/>
    <w:rsid w:val="00105DFD"/>
    <w:rsid w:val="00107485"/>
    <w:rsid w:val="00107FF5"/>
    <w:rsid w:val="0011018F"/>
    <w:rsid w:val="00110694"/>
    <w:rsid w:val="001108BA"/>
    <w:rsid w:val="00110C5A"/>
    <w:rsid w:val="00111282"/>
    <w:rsid w:val="00111CE0"/>
    <w:rsid w:val="00111FC7"/>
    <w:rsid w:val="001123B3"/>
    <w:rsid w:val="001125DB"/>
    <w:rsid w:val="00113B8A"/>
    <w:rsid w:val="00113F6B"/>
    <w:rsid w:val="001164AC"/>
    <w:rsid w:val="00116743"/>
    <w:rsid w:val="0011740B"/>
    <w:rsid w:val="00117982"/>
    <w:rsid w:val="00117DC0"/>
    <w:rsid w:val="001209B4"/>
    <w:rsid w:val="00120B4D"/>
    <w:rsid w:val="00120FD8"/>
    <w:rsid w:val="001218A2"/>
    <w:rsid w:val="001221B5"/>
    <w:rsid w:val="0012352F"/>
    <w:rsid w:val="00123851"/>
    <w:rsid w:val="00123868"/>
    <w:rsid w:val="00123DEE"/>
    <w:rsid w:val="0012413C"/>
    <w:rsid w:val="0012418E"/>
    <w:rsid w:val="00124649"/>
    <w:rsid w:val="001246EC"/>
    <w:rsid w:val="00124BA4"/>
    <w:rsid w:val="00125724"/>
    <w:rsid w:val="00125778"/>
    <w:rsid w:val="00125E44"/>
    <w:rsid w:val="001261B5"/>
    <w:rsid w:val="001261C1"/>
    <w:rsid w:val="001265BF"/>
    <w:rsid w:val="00126EA4"/>
    <w:rsid w:val="001270D7"/>
    <w:rsid w:val="00127462"/>
    <w:rsid w:val="0013045D"/>
    <w:rsid w:val="0013149B"/>
    <w:rsid w:val="00131599"/>
    <w:rsid w:val="00131809"/>
    <w:rsid w:val="0013224E"/>
    <w:rsid w:val="001322AA"/>
    <w:rsid w:val="00132491"/>
    <w:rsid w:val="00132ACC"/>
    <w:rsid w:val="00133FD3"/>
    <w:rsid w:val="00134C7A"/>
    <w:rsid w:val="001351CB"/>
    <w:rsid w:val="001352DE"/>
    <w:rsid w:val="001362D5"/>
    <w:rsid w:val="00137431"/>
    <w:rsid w:val="00140977"/>
    <w:rsid w:val="00140C6D"/>
    <w:rsid w:val="00141284"/>
    <w:rsid w:val="001413D7"/>
    <w:rsid w:val="0014283F"/>
    <w:rsid w:val="001435FA"/>
    <w:rsid w:val="00143881"/>
    <w:rsid w:val="001438CA"/>
    <w:rsid w:val="00144EF5"/>
    <w:rsid w:val="001450D8"/>
    <w:rsid w:val="00145ACC"/>
    <w:rsid w:val="0014619D"/>
    <w:rsid w:val="00146C64"/>
    <w:rsid w:val="00146F63"/>
    <w:rsid w:val="00150206"/>
    <w:rsid w:val="001513CC"/>
    <w:rsid w:val="00152392"/>
    <w:rsid w:val="0015252B"/>
    <w:rsid w:val="00156E9B"/>
    <w:rsid w:val="0015733D"/>
    <w:rsid w:val="00157AFB"/>
    <w:rsid w:val="0016100E"/>
    <w:rsid w:val="00161C5A"/>
    <w:rsid w:val="0016256D"/>
    <w:rsid w:val="00162744"/>
    <w:rsid w:val="00162772"/>
    <w:rsid w:val="0016299F"/>
    <w:rsid w:val="00162EFF"/>
    <w:rsid w:val="0016303B"/>
    <w:rsid w:val="00163172"/>
    <w:rsid w:val="00163568"/>
    <w:rsid w:val="00163628"/>
    <w:rsid w:val="00163D37"/>
    <w:rsid w:val="00164A47"/>
    <w:rsid w:val="00164EDE"/>
    <w:rsid w:val="0016641A"/>
    <w:rsid w:val="001665C5"/>
    <w:rsid w:val="001669F3"/>
    <w:rsid w:val="00167108"/>
    <w:rsid w:val="00167B95"/>
    <w:rsid w:val="00167F50"/>
    <w:rsid w:val="001702DE"/>
    <w:rsid w:val="00170987"/>
    <w:rsid w:val="00170C08"/>
    <w:rsid w:val="0017209C"/>
    <w:rsid w:val="001729DF"/>
    <w:rsid w:val="00173066"/>
    <w:rsid w:val="00173077"/>
    <w:rsid w:val="00175D31"/>
    <w:rsid w:val="00176E34"/>
    <w:rsid w:val="00177455"/>
    <w:rsid w:val="001776E3"/>
    <w:rsid w:val="001803C3"/>
    <w:rsid w:val="00180F32"/>
    <w:rsid w:val="00181056"/>
    <w:rsid w:val="0018133A"/>
    <w:rsid w:val="0018150E"/>
    <w:rsid w:val="001822BB"/>
    <w:rsid w:val="00182A99"/>
    <w:rsid w:val="00182CEF"/>
    <w:rsid w:val="00183ED5"/>
    <w:rsid w:val="00185BF7"/>
    <w:rsid w:val="00185C3F"/>
    <w:rsid w:val="00185E6A"/>
    <w:rsid w:val="00187783"/>
    <w:rsid w:val="00187879"/>
    <w:rsid w:val="00190725"/>
    <w:rsid w:val="001913C7"/>
    <w:rsid w:val="00191858"/>
    <w:rsid w:val="00192745"/>
    <w:rsid w:val="00192BD0"/>
    <w:rsid w:val="00192F79"/>
    <w:rsid w:val="00193C7E"/>
    <w:rsid w:val="001949CC"/>
    <w:rsid w:val="00194A8C"/>
    <w:rsid w:val="001952DE"/>
    <w:rsid w:val="00195330"/>
    <w:rsid w:val="001961D2"/>
    <w:rsid w:val="001963DF"/>
    <w:rsid w:val="001968D0"/>
    <w:rsid w:val="0019702D"/>
    <w:rsid w:val="00197062"/>
    <w:rsid w:val="001978C1"/>
    <w:rsid w:val="0019799C"/>
    <w:rsid w:val="001979E8"/>
    <w:rsid w:val="00197F5B"/>
    <w:rsid w:val="001A073F"/>
    <w:rsid w:val="001A1268"/>
    <w:rsid w:val="001A24BD"/>
    <w:rsid w:val="001A26F4"/>
    <w:rsid w:val="001A281C"/>
    <w:rsid w:val="001A2C60"/>
    <w:rsid w:val="001A3453"/>
    <w:rsid w:val="001A3A07"/>
    <w:rsid w:val="001A3AD4"/>
    <w:rsid w:val="001A4145"/>
    <w:rsid w:val="001A4A08"/>
    <w:rsid w:val="001A4E1E"/>
    <w:rsid w:val="001A4E36"/>
    <w:rsid w:val="001A5B04"/>
    <w:rsid w:val="001A5D71"/>
    <w:rsid w:val="001A60E7"/>
    <w:rsid w:val="001A6BD0"/>
    <w:rsid w:val="001A731C"/>
    <w:rsid w:val="001B06A9"/>
    <w:rsid w:val="001B0A67"/>
    <w:rsid w:val="001B0CD1"/>
    <w:rsid w:val="001B0EF8"/>
    <w:rsid w:val="001B14B7"/>
    <w:rsid w:val="001B2220"/>
    <w:rsid w:val="001B22BD"/>
    <w:rsid w:val="001B2A48"/>
    <w:rsid w:val="001B33D2"/>
    <w:rsid w:val="001B3F1E"/>
    <w:rsid w:val="001B4407"/>
    <w:rsid w:val="001B47AE"/>
    <w:rsid w:val="001B49D5"/>
    <w:rsid w:val="001B50E3"/>
    <w:rsid w:val="001B50E7"/>
    <w:rsid w:val="001B5AF3"/>
    <w:rsid w:val="001B5E0B"/>
    <w:rsid w:val="001B6013"/>
    <w:rsid w:val="001B65B8"/>
    <w:rsid w:val="001B6B9E"/>
    <w:rsid w:val="001B6D45"/>
    <w:rsid w:val="001B7537"/>
    <w:rsid w:val="001B7DE3"/>
    <w:rsid w:val="001C0403"/>
    <w:rsid w:val="001C0ED3"/>
    <w:rsid w:val="001C1508"/>
    <w:rsid w:val="001C1689"/>
    <w:rsid w:val="001C1ADC"/>
    <w:rsid w:val="001C253E"/>
    <w:rsid w:val="001C2565"/>
    <w:rsid w:val="001C2792"/>
    <w:rsid w:val="001C2F7A"/>
    <w:rsid w:val="001C3E1F"/>
    <w:rsid w:val="001C3F85"/>
    <w:rsid w:val="001C3FC6"/>
    <w:rsid w:val="001C4120"/>
    <w:rsid w:val="001C4BA9"/>
    <w:rsid w:val="001C4C0C"/>
    <w:rsid w:val="001C4D29"/>
    <w:rsid w:val="001C4E33"/>
    <w:rsid w:val="001C6606"/>
    <w:rsid w:val="001C7789"/>
    <w:rsid w:val="001C7A11"/>
    <w:rsid w:val="001C7C53"/>
    <w:rsid w:val="001C7F81"/>
    <w:rsid w:val="001D0FCC"/>
    <w:rsid w:val="001D11C3"/>
    <w:rsid w:val="001D15AA"/>
    <w:rsid w:val="001D1B0C"/>
    <w:rsid w:val="001D29B4"/>
    <w:rsid w:val="001D2B40"/>
    <w:rsid w:val="001D3B91"/>
    <w:rsid w:val="001D3C19"/>
    <w:rsid w:val="001D4198"/>
    <w:rsid w:val="001D5948"/>
    <w:rsid w:val="001D5AF2"/>
    <w:rsid w:val="001D61E8"/>
    <w:rsid w:val="001D664D"/>
    <w:rsid w:val="001D6EF1"/>
    <w:rsid w:val="001D757E"/>
    <w:rsid w:val="001D784C"/>
    <w:rsid w:val="001D7FBA"/>
    <w:rsid w:val="001E0247"/>
    <w:rsid w:val="001E052F"/>
    <w:rsid w:val="001E0800"/>
    <w:rsid w:val="001E1909"/>
    <w:rsid w:val="001E1F20"/>
    <w:rsid w:val="001E2CF7"/>
    <w:rsid w:val="001E3550"/>
    <w:rsid w:val="001E37E0"/>
    <w:rsid w:val="001E37E2"/>
    <w:rsid w:val="001E392A"/>
    <w:rsid w:val="001E3C69"/>
    <w:rsid w:val="001E44B8"/>
    <w:rsid w:val="001E4A64"/>
    <w:rsid w:val="001E5366"/>
    <w:rsid w:val="001E6265"/>
    <w:rsid w:val="001E656B"/>
    <w:rsid w:val="001E6816"/>
    <w:rsid w:val="001E6AB5"/>
    <w:rsid w:val="001F026E"/>
    <w:rsid w:val="001F0739"/>
    <w:rsid w:val="001F0C63"/>
    <w:rsid w:val="001F105D"/>
    <w:rsid w:val="001F1267"/>
    <w:rsid w:val="001F1369"/>
    <w:rsid w:val="001F1E78"/>
    <w:rsid w:val="001F1EF0"/>
    <w:rsid w:val="001F2C05"/>
    <w:rsid w:val="001F2C39"/>
    <w:rsid w:val="001F2FC0"/>
    <w:rsid w:val="001F38E5"/>
    <w:rsid w:val="001F4B19"/>
    <w:rsid w:val="001F5486"/>
    <w:rsid w:val="001F57EA"/>
    <w:rsid w:val="001F5999"/>
    <w:rsid w:val="001F5CB8"/>
    <w:rsid w:val="001F5CEA"/>
    <w:rsid w:val="001F5FEE"/>
    <w:rsid w:val="001F6285"/>
    <w:rsid w:val="001F630E"/>
    <w:rsid w:val="001F66CC"/>
    <w:rsid w:val="001F6D65"/>
    <w:rsid w:val="001F726F"/>
    <w:rsid w:val="001F72CD"/>
    <w:rsid w:val="001F78D7"/>
    <w:rsid w:val="001F7A29"/>
    <w:rsid w:val="00200570"/>
    <w:rsid w:val="002006D1"/>
    <w:rsid w:val="002016BE"/>
    <w:rsid w:val="00201A5F"/>
    <w:rsid w:val="00201F59"/>
    <w:rsid w:val="002034A6"/>
    <w:rsid w:val="00203736"/>
    <w:rsid w:val="00203E1F"/>
    <w:rsid w:val="0020466D"/>
    <w:rsid w:val="0020474D"/>
    <w:rsid w:val="0020498A"/>
    <w:rsid w:val="00204DB0"/>
    <w:rsid w:val="00205B44"/>
    <w:rsid w:val="002063A2"/>
    <w:rsid w:val="002067C6"/>
    <w:rsid w:val="00207560"/>
    <w:rsid w:val="00207DF9"/>
    <w:rsid w:val="0021144A"/>
    <w:rsid w:val="0021242B"/>
    <w:rsid w:val="00213274"/>
    <w:rsid w:val="0021376F"/>
    <w:rsid w:val="00213A15"/>
    <w:rsid w:val="00213DBB"/>
    <w:rsid w:val="00216087"/>
    <w:rsid w:val="00216F39"/>
    <w:rsid w:val="00217365"/>
    <w:rsid w:val="002176D7"/>
    <w:rsid w:val="00217BBC"/>
    <w:rsid w:val="00222680"/>
    <w:rsid w:val="0022269B"/>
    <w:rsid w:val="00222B9C"/>
    <w:rsid w:val="00223AD2"/>
    <w:rsid w:val="0022503A"/>
    <w:rsid w:val="00225628"/>
    <w:rsid w:val="00226485"/>
    <w:rsid w:val="0022662A"/>
    <w:rsid w:val="00226EAF"/>
    <w:rsid w:val="00226F6F"/>
    <w:rsid w:val="002271A9"/>
    <w:rsid w:val="002302C1"/>
    <w:rsid w:val="0023070B"/>
    <w:rsid w:val="00232A1A"/>
    <w:rsid w:val="00232DC6"/>
    <w:rsid w:val="002336E3"/>
    <w:rsid w:val="00234180"/>
    <w:rsid w:val="00234AC7"/>
    <w:rsid w:val="00234BFC"/>
    <w:rsid w:val="00234E2B"/>
    <w:rsid w:val="00235B45"/>
    <w:rsid w:val="00235F99"/>
    <w:rsid w:val="002363CD"/>
    <w:rsid w:val="00236A00"/>
    <w:rsid w:val="0023724C"/>
    <w:rsid w:val="00237336"/>
    <w:rsid w:val="0023788A"/>
    <w:rsid w:val="0024004B"/>
    <w:rsid w:val="0024043A"/>
    <w:rsid w:val="002430F0"/>
    <w:rsid w:val="00243AE4"/>
    <w:rsid w:val="00243CC4"/>
    <w:rsid w:val="002442F1"/>
    <w:rsid w:val="00245672"/>
    <w:rsid w:val="00246C87"/>
    <w:rsid w:val="00246CB7"/>
    <w:rsid w:val="002472C8"/>
    <w:rsid w:val="0024742B"/>
    <w:rsid w:val="00247AB9"/>
    <w:rsid w:val="00247DAA"/>
    <w:rsid w:val="00247E56"/>
    <w:rsid w:val="00247E9B"/>
    <w:rsid w:val="0025124C"/>
    <w:rsid w:val="00251759"/>
    <w:rsid w:val="00252453"/>
    <w:rsid w:val="00252464"/>
    <w:rsid w:val="002528AF"/>
    <w:rsid w:val="00252E84"/>
    <w:rsid w:val="00253166"/>
    <w:rsid w:val="0025438A"/>
    <w:rsid w:val="00254949"/>
    <w:rsid w:val="00254BA1"/>
    <w:rsid w:val="00254C3E"/>
    <w:rsid w:val="00254D06"/>
    <w:rsid w:val="00255845"/>
    <w:rsid w:val="00255C87"/>
    <w:rsid w:val="00256CC4"/>
    <w:rsid w:val="002575A0"/>
    <w:rsid w:val="00257631"/>
    <w:rsid w:val="0026065A"/>
    <w:rsid w:val="00261181"/>
    <w:rsid w:val="00261219"/>
    <w:rsid w:val="00261596"/>
    <w:rsid w:val="00262683"/>
    <w:rsid w:val="002627A4"/>
    <w:rsid w:val="002628F2"/>
    <w:rsid w:val="00262B76"/>
    <w:rsid w:val="00262D3B"/>
    <w:rsid w:val="00262D7F"/>
    <w:rsid w:val="0026318A"/>
    <w:rsid w:val="00263232"/>
    <w:rsid w:val="00264B0E"/>
    <w:rsid w:val="00265738"/>
    <w:rsid w:val="00265B94"/>
    <w:rsid w:val="00266318"/>
    <w:rsid w:val="0027042A"/>
    <w:rsid w:val="002714DE"/>
    <w:rsid w:val="0027301B"/>
    <w:rsid w:val="00273469"/>
    <w:rsid w:val="0027378A"/>
    <w:rsid w:val="0027382D"/>
    <w:rsid w:val="00273B74"/>
    <w:rsid w:val="00273EA1"/>
    <w:rsid w:val="00274FB7"/>
    <w:rsid w:val="00275A57"/>
    <w:rsid w:val="00275F0B"/>
    <w:rsid w:val="00277C35"/>
    <w:rsid w:val="002817EC"/>
    <w:rsid w:val="00281842"/>
    <w:rsid w:val="00281AF1"/>
    <w:rsid w:val="00281B95"/>
    <w:rsid w:val="00281E03"/>
    <w:rsid w:val="00282C40"/>
    <w:rsid w:val="00283E00"/>
    <w:rsid w:val="00284142"/>
    <w:rsid w:val="0028466B"/>
    <w:rsid w:val="002849B4"/>
    <w:rsid w:val="00286316"/>
    <w:rsid w:val="00286618"/>
    <w:rsid w:val="002871E5"/>
    <w:rsid w:val="00287408"/>
    <w:rsid w:val="00287B6C"/>
    <w:rsid w:val="00290707"/>
    <w:rsid w:val="002907F4"/>
    <w:rsid w:val="00290A6C"/>
    <w:rsid w:val="002912AE"/>
    <w:rsid w:val="002913D6"/>
    <w:rsid w:val="00291E5F"/>
    <w:rsid w:val="00292EFF"/>
    <w:rsid w:val="00296853"/>
    <w:rsid w:val="00297256"/>
    <w:rsid w:val="0029788B"/>
    <w:rsid w:val="002979AC"/>
    <w:rsid w:val="00297B35"/>
    <w:rsid w:val="002A06A6"/>
    <w:rsid w:val="002A13A3"/>
    <w:rsid w:val="002A15C3"/>
    <w:rsid w:val="002A1860"/>
    <w:rsid w:val="002A186D"/>
    <w:rsid w:val="002A2135"/>
    <w:rsid w:val="002A2916"/>
    <w:rsid w:val="002A2C00"/>
    <w:rsid w:val="002A3BE9"/>
    <w:rsid w:val="002A4110"/>
    <w:rsid w:val="002A41BF"/>
    <w:rsid w:val="002A4226"/>
    <w:rsid w:val="002A47CB"/>
    <w:rsid w:val="002A4995"/>
    <w:rsid w:val="002A50D9"/>
    <w:rsid w:val="002A5FD8"/>
    <w:rsid w:val="002A6E12"/>
    <w:rsid w:val="002B03DD"/>
    <w:rsid w:val="002B1052"/>
    <w:rsid w:val="002B158C"/>
    <w:rsid w:val="002B1D5B"/>
    <w:rsid w:val="002B2087"/>
    <w:rsid w:val="002B2211"/>
    <w:rsid w:val="002B47BD"/>
    <w:rsid w:val="002B51F3"/>
    <w:rsid w:val="002B5CC6"/>
    <w:rsid w:val="002B5D83"/>
    <w:rsid w:val="002B6244"/>
    <w:rsid w:val="002B643B"/>
    <w:rsid w:val="002B6567"/>
    <w:rsid w:val="002B6BB2"/>
    <w:rsid w:val="002B71BA"/>
    <w:rsid w:val="002C1BB2"/>
    <w:rsid w:val="002C2074"/>
    <w:rsid w:val="002C2157"/>
    <w:rsid w:val="002C21D2"/>
    <w:rsid w:val="002C22CF"/>
    <w:rsid w:val="002C2AA3"/>
    <w:rsid w:val="002C2F77"/>
    <w:rsid w:val="002C3486"/>
    <w:rsid w:val="002C3D23"/>
    <w:rsid w:val="002C3F37"/>
    <w:rsid w:val="002C4143"/>
    <w:rsid w:val="002C4344"/>
    <w:rsid w:val="002C46BF"/>
    <w:rsid w:val="002C4C6C"/>
    <w:rsid w:val="002C504E"/>
    <w:rsid w:val="002C5A87"/>
    <w:rsid w:val="002C68E7"/>
    <w:rsid w:val="002C6937"/>
    <w:rsid w:val="002D0F97"/>
    <w:rsid w:val="002D21BA"/>
    <w:rsid w:val="002D266A"/>
    <w:rsid w:val="002D3A85"/>
    <w:rsid w:val="002D3D57"/>
    <w:rsid w:val="002D3DA2"/>
    <w:rsid w:val="002D42E8"/>
    <w:rsid w:val="002D43B5"/>
    <w:rsid w:val="002D574B"/>
    <w:rsid w:val="002D5753"/>
    <w:rsid w:val="002D6005"/>
    <w:rsid w:val="002D605F"/>
    <w:rsid w:val="002D606F"/>
    <w:rsid w:val="002D61F6"/>
    <w:rsid w:val="002D66EB"/>
    <w:rsid w:val="002D6719"/>
    <w:rsid w:val="002D6CE6"/>
    <w:rsid w:val="002D7E08"/>
    <w:rsid w:val="002E0291"/>
    <w:rsid w:val="002E087B"/>
    <w:rsid w:val="002E10C5"/>
    <w:rsid w:val="002E1435"/>
    <w:rsid w:val="002E26B8"/>
    <w:rsid w:val="002E2D31"/>
    <w:rsid w:val="002E356E"/>
    <w:rsid w:val="002E4722"/>
    <w:rsid w:val="002E56CE"/>
    <w:rsid w:val="002E583E"/>
    <w:rsid w:val="002E5A27"/>
    <w:rsid w:val="002E714A"/>
    <w:rsid w:val="002F10CB"/>
    <w:rsid w:val="002F1133"/>
    <w:rsid w:val="002F1380"/>
    <w:rsid w:val="002F1736"/>
    <w:rsid w:val="002F1BF6"/>
    <w:rsid w:val="002F355C"/>
    <w:rsid w:val="002F3E02"/>
    <w:rsid w:val="002F42C9"/>
    <w:rsid w:val="002F5200"/>
    <w:rsid w:val="002F528E"/>
    <w:rsid w:val="002F533A"/>
    <w:rsid w:val="002F5557"/>
    <w:rsid w:val="002F578B"/>
    <w:rsid w:val="002F61A9"/>
    <w:rsid w:val="002F6314"/>
    <w:rsid w:val="002F712D"/>
    <w:rsid w:val="002F76FC"/>
    <w:rsid w:val="0030018E"/>
    <w:rsid w:val="00300CB7"/>
    <w:rsid w:val="00300CB9"/>
    <w:rsid w:val="003016F4"/>
    <w:rsid w:val="0030190D"/>
    <w:rsid w:val="00301D91"/>
    <w:rsid w:val="00302258"/>
    <w:rsid w:val="00302BDA"/>
    <w:rsid w:val="003035F9"/>
    <w:rsid w:val="00303CEF"/>
    <w:rsid w:val="00304982"/>
    <w:rsid w:val="00304B27"/>
    <w:rsid w:val="00305193"/>
    <w:rsid w:val="00305911"/>
    <w:rsid w:val="00305A5F"/>
    <w:rsid w:val="00310618"/>
    <w:rsid w:val="003114A7"/>
    <w:rsid w:val="00311698"/>
    <w:rsid w:val="00312518"/>
    <w:rsid w:val="0031264F"/>
    <w:rsid w:val="0031280D"/>
    <w:rsid w:val="0031347A"/>
    <w:rsid w:val="00313F08"/>
    <w:rsid w:val="00315CE0"/>
    <w:rsid w:val="00316070"/>
    <w:rsid w:val="0031658A"/>
    <w:rsid w:val="003172EF"/>
    <w:rsid w:val="00317C5F"/>
    <w:rsid w:val="00320373"/>
    <w:rsid w:val="0032069B"/>
    <w:rsid w:val="00321080"/>
    <w:rsid w:val="00322D33"/>
    <w:rsid w:val="00323248"/>
    <w:rsid w:val="003243D2"/>
    <w:rsid w:val="003256B1"/>
    <w:rsid w:val="00325F22"/>
    <w:rsid w:val="00326169"/>
    <w:rsid w:val="00326299"/>
    <w:rsid w:val="003274B4"/>
    <w:rsid w:val="00327A6B"/>
    <w:rsid w:val="00330E47"/>
    <w:rsid w:val="00330F0A"/>
    <w:rsid w:val="003312C2"/>
    <w:rsid w:val="00331D85"/>
    <w:rsid w:val="00333330"/>
    <w:rsid w:val="0033334C"/>
    <w:rsid w:val="00333803"/>
    <w:rsid w:val="00333D4F"/>
    <w:rsid w:val="00333EAF"/>
    <w:rsid w:val="003346C7"/>
    <w:rsid w:val="003347BB"/>
    <w:rsid w:val="00334DA3"/>
    <w:rsid w:val="00335094"/>
    <w:rsid w:val="0033520C"/>
    <w:rsid w:val="003359D4"/>
    <w:rsid w:val="00335B1C"/>
    <w:rsid w:val="0033611F"/>
    <w:rsid w:val="00337216"/>
    <w:rsid w:val="00337539"/>
    <w:rsid w:val="003375F9"/>
    <w:rsid w:val="0034060A"/>
    <w:rsid w:val="003409F2"/>
    <w:rsid w:val="003416F4"/>
    <w:rsid w:val="00341831"/>
    <w:rsid w:val="00341CE1"/>
    <w:rsid w:val="00341EE1"/>
    <w:rsid w:val="00341EE6"/>
    <w:rsid w:val="003426C6"/>
    <w:rsid w:val="00344136"/>
    <w:rsid w:val="003445AF"/>
    <w:rsid w:val="003447F9"/>
    <w:rsid w:val="003453D2"/>
    <w:rsid w:val="00345CDC"/>
    <w:rsid w:val="00345D26"/>
    <w:rsid w:val="00346D01"/>
    <w:rsid w:val="0034790C"/>
    <w:rsid w:val="00350289"/>
    <w:rsid w:val="003505D3"/>
    <w:rsid w:val="00350E65"/>
    <w:rsid w:val="00352E3F"/>
    <w:rsid w:val="00353E41"/>
    <w:rsid w:val="003558CB"/>
    <w:rsid w:val="00355FAD"/>
    <w:rsid w:val="00356030"/>
    <w:rsid w:val="003563BF"/>
    <w:rsid w:val="00356825"/>
    <w:rsid w:val="00356F36"/>
    <w:rsid w:val="003575B3"/>
    <w:rsid w:val="00357A41"/>
    <w:rsid w:val="00357D9A"/>
    <w:rsid w:val="00357EE5"/>
    <w:rsid w:val="003614D7"/>
    <w:rsid w:val="0036157F"/>
    <w:rsid w:val="00361765"/>
    <w:rsid w:val="00363499"/>
    <w:rsid w:val="00363BE8"/>
    <w:rsid w:val="00364655"/>
    <w:rsid w:val="00364D0E"/>
    <w:rsid w:val="00364DEC"/>
    <w:rsid w:val="0036527F"/>
    <w:rsid w:val="00365553"/>
    <w:rsid w:val="00366245"/>
    <w:rsid w:val="00367187"/>
    <w:rsid w:val="00367535"/>
    <w:rsid w:val="00367595"/>
    <w:rsid w:val="003677C2"/>
    <w:rsid w:val="0037024E"/>
    <w:rsid w:val="003706FE"/>
    <w:rsid w:val="00370797"/>
    <w:rsid w:val="00370B2F"/>
    <w:rsid w:val="0037162B"/>
    <w:rsid w:val="00372009"/>
    <w:rsid w:val="003721D3"/>
    <w:rsid w:val="00372E35"/>
    <w:rsid w:val="003731C4"/>
    <w:rsid w:val="003733C6"/>
    <w:rsid w:val="00373BBA"/>
    <w:rsid w:val="00373E46"/>
    <w:rsid w:val="00374131"/>
    <w:rsid w:val="00374657"/>
    <w:rsid w:val="00374827"/>
    <w:rsid w:val="003748E5"/>
    <w:rsid w:val="0037516E"/>
    <w:rsid w:val="00375435"/>
    <w:rsid w:val="00376B13"/>
    <w:rsid w:val="00376D5E"/>
    <w:rsid w:val="003773A1"/>
    <w:rsid w:val="003775FC"/>
    <w:rsid w:val="003776B2"/>
    <w:rsid w:val="003779FF"/>
    <w:rsid w:val="00377B52"/>
    <w:rsid w:val="00377D56"/>
    <w:rsid w:val="003804D8"/>
    <w:rsid w:val="003807B9"/>
    <w:rsid w:val="00380CAC"/>
    <w:rsid w:val="00380DFD"/>
    <w:rsid w:val="00381171"/>
    <w:rsid w:val="00381B9A"/>
    <w:rsid w:val="0038214B"/>
    <w:rsid w:val="00382192"/>
    <w:rsid w:val="00382658"/>
    <w:rsid w:val="003827C7"/>
    <w:rsid w:val="00383132"/>
    <w:rsid w:val="00384A44"/>
    <w:rsid w:val="00384DFB"/>
    <w:rsid w:val="00385DF1"/>
    <w:rsid w:val="0038628F"/>
    <w:rsid w:val="00386464"/>
    <w:rsid w:val="00386A77"/>
    <w:rsid w:val="00386B56"/>
    <w:rsid w:val="00386D17"/>
    <w:rsid w:val="00387003"/>
    <w:rsid w:val="00387B23"/>
    <w:rsid w:val="003906C3"/>
    <w:rsid w:val="00390B46"/>
    <w:rsid w:val="003915C4"/>
    <w:rsid w:val="00391E24"/>
    <w:rsid w:val="00391E3F"/>
    <w:rsid w:val="003923B0"/>
    <w:rsid w:val="0039241D"/>
    <w:rsid w:val="0039268E"/>
    <w:rsid w:val="00392D7A"/>
    <w:rsid w:val="00392FAE"/>
    <w:rsid w:val="003935E5"/>
    <w:rsid w:val="00393D21"/>
    <w:rsid w:val="00394C6D"/>
    <w:rsid w:val="00395B63"/>
    <w:rsid w:val="00396309"/>
    <w:rsid w:val="003A1758"/>
    <w:rsid w:val="003A1869"/>
    <w:rsid w:val="003A257C"/>
    <w:rsid w:val="003A4390"/>
    <w:rsid w:val="003A567E"/>
    <w:rsid w:val="003A5DDB"/>
    <w:rsid w:val="003A5F29"/>
    <w:rsid w:val="003A62A6"/>
    <w:rsid w:val="003A682B"/>
    <w:rsid w:val="003A6977"/>
    <w:rsid w:val="003A6EB3"/>
    <w:rsid w:val="003A6F90"/>
    <w:rsid w:val="003A7663"/>
    <w:rsid w:val="003A77BA"/>
    <w:rsid w:val="003A7A06"/>
    <w:rsid w:val="003A7B86"/>
    <w:rsid w:val="003B009D"/>
    <w:rsid w:val="003B0AB1"/>
    <w:rsid w:val="003B0D43"/>
    <w:rsid w:val="003B0EFE"/>
    <w:rsid w:val="003B1E0E"/>
    <w:rsid w:val="003B24D9"/>
    <w:rsid w:val="003B2ACA"/>
    <w:rsid w:val="003B3F0A"/>
    <w:rsid w:val="003B3FB1"/>
    <w:rsid w:val="003B4645"/>
    <w:rsid w:val="003B4ACE"/>
    <w:rsid w:val="003B4B82"/>
    <w:rsid w:val="003B4BA0"/>
    <w:rsid w:val="003B5259"/>
    <w:rsid w:val="003B536F"/>
    <w:rsid w:val="003B55F4"/>
    <w:rsid w:val="003B5E1F"/>
    <w:rsid w:val="003B6B86"/>
    <w:rsid w:val="003B6F42"/>
    <w:rsid w:val="003B7586"/>
    <w:rsid w:val="003C0D07"/>
    <w:rsid w:val="003C0FD0"/>
    <w:rsid w:val="003C1F8B"/>
    <w:rsid w:val="003C2440"/>
    <w:rsid w:val="003C2AAE"/>
    <w:rsid w:val="003C3698"/>
    <w:rsid w:val="003C37D7"/>
    <w:rsid w:val="003C3877"/>
    <w:rsid w:val="003C4199"/>
    <w:rsid w:val="003C44A1"/>
    <w:rsid w:val="003C4BB2"/>
    <w:rsid w:val="003C674F"/>
    <w:rsid w:val="003C677F"/>
    <w:rsid w:val="003C6965"/>
    <w:rsid w:val="003C6E06"/>
    <w:rsid w:val="003C7DE4"/>
    <w:rsid w:val="003D08D2"/>
    <w:rsid w:val="003D2702"/>
    <w:rsid w:val="003D2BFD"/>
    <w:rsid w:val="003D41CF"/>
    <w:rsid w:val="003D5199"/>
    <w:rsid w:val="003D54E0"/>
    <w:rsid w:val="003D56BC"/>
    <w:rsid w:val="003D5756"/>
    <w:rsid w:val="003D6215"/>
    <w:rsid w:val="003D6599"/>
    <w:rsid w:val="003D6C0B"/>
    <w:rsid w:val="003D716E"/>
    <w:rsid w:val="003D71B3"/>
    <w:rsid w:val="003D73DB"/>
    <w:rsid w:val="003D76B5"/>
    <w:rsid w:val="003D795B"/>
    <w:rsid w:val="003D7E02"/>
    <w:rsid w:val="003D7F37"/>
    <w:rsid w:val="003E054E"/>
    <w:rsid w:val="003E06A9"/>
    <w:rsid w:val="003E0873"/>
    <w:rsid w:val="003E1710"/>
    <w:rsid w:val="003E2093"/>
    <w:rsid w:val="003E25F3"/>
    <w:rsid w:val="003E2FE5"/>
    <w:rsid w:val="003E339F"/>
    <w:rsid w:val="003E3508"/>
    <w:rsid w:val="003E43DD"/>
    <w:rsid w:val="003E4577"/>
    <w:rsid w:val="003E4DDE"/>
    <w:rsid w:val="003E55A0"/>
    <w:rsid w:val="003E5746"/>
    <w:rsid w:val="003E5EA8"/>
    <w:rsid w:val="003E5FC9"/>
    <w:rsid w:val="003E64BD"/>
    <w:rsid w:val="003E65E7"/>
    <w:rsid w:val="003E6690"/>
    <w:rsid w:val="003E66E5"/>
    <w:rsid w:val="003E68F1"/>
    <w:rsid w:val="003E6F5E"/>
    <w:rsid w:val="003E7111"/>
    <w:rsid w:val="003E7A54"/>
    <w:rsid w:val="003E7B25"/>
    <w:rsid w:val="003F03A4"/>
    <w:rsid w:val="003F0541"/>
    <w:rsid w:val="003F08C5"/>
    <w:rsid w:val="003F0CDA"/>
    <w:rsid w:val="003F1587"/>
    <w:rsid w:val="003F1774"/>
    <w:rsid w:val="003F1784"/>
    <w:rsid w:val="003F253B"/>
    <w:rsid w:val="003F35B9"/>
    <w:rsid w:val="003F3CA6"/>
    <w:rsid w:val="003F4243"/>
    <w:rsid w:val="003F4330"/>
    <w:rsid w:val="003F44FE"/>
    <w:rsid w:val="003F530B"/>
    <w:rsid w:val="003F5C6C"/>
    <w:rsid w:val="003F5C80"/>
    <w:rsid w:val="003F5D60"/>
    <w:rsid w:val="003F5FED"/>
    <w:rsid w:val="003F66C8"/>
    <w:rsid w:val="003F68CF"/>
    <w:rsid w:val="003F6D4E"/>
    <w:rsid w:val="003F73AF"/>
    <w:rsid w:val="00400873"/>
    <w:rsid w:val="00400EB7"/>
    <w:rsid w:val="004025C2"/>
    <w:rsid w:val="004026DE"/>
    <w:rsid w:val="00402D9C"/>
    <w:rsid w:val="00403645"/>
    <w:rsid w:val="00404428"/>
    <w:rsid w:val="004046F8"/>
    <w:rsid w:val="00405939"/>
    <w:rsid w:val="0040671D"/>
    <w:rsid w:val="00407072"/>
    <w:rsid w:val="004071C0"/>
    <w:rsid w:val="00407874"/>
    <w:rsid w:val="0040797B"/>
    <w:rsid w:val="00407B07"/>
    <w:rsid w:val="00407BEB"/>
    <w:rsid w:val="004108E5"/>
    <w:rsid w:val="00411498"/>
    <w:rsid w:val="00411A0F"/>
    <w:rsid w:val="00411C57"/>
    <w:rsid w:val="00411CE0"/>
    <w:rsid w:val="0041319D"/>
    <w:rsid w:val="004146E2"/>
    <w:rsid w:val="00414F1F"/>
    <w:rsid w:val="00415BEA"/>
    <w:rsid w:val="00415F39"/>
    <w:rsid w:val="004170A4"/>
    <w:rsid w:val="00417CD7"/>
    <w:rsid w:val="00417EB7"/>
    <w:rsid w:val="00420A2E"/>
    <w:rsid w:val="00421232"/>
    <w:rsid w:val="00421D5E"/>
    <w:rsid w:val="00422208"/>
    <w:rsid w:val="00422907"/>
    <w:rsid w:val="00422DBF"/>
    <w:rsid w:val="004231CC"/>
    <w:rsid w:val="004234EF"/>
    <w:rsid w:val="00424E22"/>
    <w:rsid w:val="0042513A"/>
    <w:rsid w:val="00425D8C"/>
    <w:rsid w:val="00425F62"/>
    <w:rsid w:val="00427553"/>
    <w:rsid w:val="004277BB"/>
    <w:rsid w:val="004278E3"/>
    <w:rsid w:val="00427F50"/>
    <w:rsid w:val="0043035C"/>
    <w:rsid w:val="00430C0F"/>
    <w:rsid w:val="00431439"/>
    <w:rsid w:val="004317C8"/>
    <w:rsid w:val="00431EB5"/>
    <w:rsid w:val="004321C3"/>
    <w:rsid w:val="004325E4"/>
    <w:rsid w:val="00432E69"/>
    <w:rsid w:val="00433F10"/>
    <w:rsid w:val="00434510"/>
    <w:rsid w:val="00434E65"/>
    <w:rsid w:val="00434FC5"/>
    <w:rsid w:val="0043568D"/>
    <w:rsid w:val="004356E4"/>
    <w:rsid w:val="00435D7A"/>
    <w:rsid w:val="00436011"/>
    <w:rsid w:val="004367E1"/>
    <w:rsid w:val="0043707F"/>
    <w:rsid w:val="0043797E"/>
    <w:rsid w:val="00437A95"/>
    <w:rsid w:val="00437D15"/>
    <w:rsid w:val="00440528"/>
    <w:rsid w:val="00440A45"/>
    <w:rsid w:val="00440D89"/>
    <w:rsid w:val="00440ED6"/>
    <w:rsid w:val="0044162C"/>
    <w:rsid w:val="00441826"/>
    <w:rsid w:val="0044195F"/>
    <w:rsid w:val="0044289D"/>
    <w:rsid w:val="004436BD"/>
    <w:rsid w:val="00443A0B"/>
    <w:rsid w:val="00443A0F"/>
    <w:rsid w:val="00443FA9"/>
    <w:rsid w:val="0044490C"/>
    <w:rsid w:val="0044498D"/>
    <w:rsid w:val="00444A01"/>
    <w:rsid w:val="00445BDA"/>
    <w:rsid w:val="00446D17"/>
    <w:rsid w:val="0044756A"/>
    <w:rsid w:val="004476DD"/>
    <w:rsid w:val="00447F8F"/>
    <w:rsid w:val="004500A3"/>
    <w:rsid w:val="00450DD8"/>
    <w:rsid w:val="0045137E"/>
    <w:rsid w:val="00451B60"/>
    <w:rsid w:val="00451D27"/>
    <w:rsid w:val="004522AE"/>
    <w:rsid w:val="0045281E"/>
    <w:rsid w:val="004529AA"/>
    <w:rsid w:val="004529E9"/>
    <w:rsid w:val="00452FD0"/>
    <w:rsid w:val="00453F28"/>
    <w:rsid w:val="00454D37"/>
    <w:rsid w:val="00454D86"/>
    <w:rsid w:val="004559C7"/>
    <w:rsid w:val="00456C53"/>
    <w:rsid w:val="004572E2"/>
    <w:rsid w:val="00457704"/>
    <w:rsid w:val="0045775A"/>
    <w:rsid w:val="00457C0E"/>
    <w:rsid w:val="004601E0"/>
    <w:rsid w:val="00460AC4"/>
    <w:rsid w:val="00461A07"/>
    <w:rsid w:val="00461FF9"/>
    <w:rsid w:val="004627C9"/>
    <w:rsid w:val="00462CCF"/>
    <w:rsid w:val="00463A68"/>
    <w:rsid w:val="00464752"/>
    <w:rsid w:val="00465A23"/>
    <w:rsid w:val="00466A38"/>
    <w:rsid w:val="00466C07"/>
    <w:rsid w:val="00467054"/>
    <w:rsid w:val="00467218"/>
    <w:rsid w:val="00470C1E"/>
    <w:rsid w:val="004713F1"/>
    <w:rsid w:val="0047160E"/>
    <w:rsid w:val="0047212E"/>
    <w:rsid w:val="004735EE"/>
    <w:rsid w:val="004736A2"/>
    <w:rsid w:val="00473A59"/>
    <w:rsid w:val="00473D8E"/>
    <w:rsid w:val="00474157"/>
    <w:rsid w:val="00474325"/>
    <w:rsid w:val="00474EB2"/>
    <w:rsid w:val="00476AD7"/>
    <w:rsid w:val="00477C56"/>
    <w:rsid w:val="00480472"/>
    <w:rsid w:val="00480A45"/>
    <w:rsid w:val="00480BE3"/>
    <w:rsid w:val="004816F4"/>
    <w:rsid w:val="00481979"/>
    <w:rsid w:val="00482738"/>
    <w:rsid w:val="00482F81"/>
    <w:rsid w:val="0048398A"/>
    <w:rsid w:val="004846D4"/>
    <w:rsid w:val="004857FB"/>
    <w:rsid w:val="00486571"/>
    <w:rsid w:val="00486F81"/>
    <w:rsid w:val="004871FB"/>
    <w:rsid w:val="004908EC"/>
    <w:rsid w:val="00490DAA"/>
    <w:rsid w:val="004913CA"/>
    <w:rsid w:val="00492608"/>
    <w:rsid w:val="004931AB"/>
    <w:rsid w:val="00494B70"/>
    <w:rsid w:val="00496275"/>
    <w:rsid w:val="00496634"/>
    <w:rsid w:val="00496ABF"/>
    <w:rsid w:val="0049793F"/>
    <w:rsid w:val="00497FC8"/>
    <w:rsid w:val="004A10FF"/>
    <w:rsid w:val="004A12DD"/>
    <w:rsid w:val="004A1472"/>
    <w:rsid w:val="004A16A3"/>
    <w:rsid w:val="004A1853"/>
    <w:rsid w:val="004A1F15"/>
    <w:rsid w:val="004A2024"/>
    <w:rsid w:val="004A23CC"/>
    <w:rsid w:val="004A3277"/>
    <w:rsid w:val="004A3768"/>
    <w:rsid w:val="004A3AF8"/>
    <w:rsid w:val="004A4337"/>
    <w:rsid w:val="004A450E"/>
    <w:rsid w:val="004A5015"/>
    <w:rsid w:val="004A5286"/>
    <w:rsid w:val="004A5A37"/>
    <w:rsid w:val="004A5FB7"/>
    <w:rsid w:val="004A65D2"/>
    <w:rsid w:val="004A70CA"/>
    <w:rsid w:val="004A7446"/>
    <w:rsid w:val="004A745D"/>
    <w:rsid w:val="004A7744"/>
    <w:rsid w:val="004A7782"/>
    <w:rsid w:val="004B0014"/>
    <w:rsid w:val="004B07AE"/>
    <w:rsid w:val="004B0F39"/>
    <w:rsid w:val="004B22BA"/>
    <w:rsid w:val="004B24DD"/>
    <w:rsid w:val="004B26C1"/>
    <w:rsid w:val="004B2AE7"/>
    <w:rsid w:val="004B2F2F"/>
    <w:rsid w:val="004B327B"/>
    <w:rsid w:val="004B37AF"/>
    <w:rsid w:val="004B3A77"/>
    <w:rsid w:val="004B3EB7"/>
    <w:rsid w:val="004B40F6"/>
    <w:rsid w:val="004B411F"/>
    <w:rsid w:val="004B4CFF"/>
    <w:rsid w:val="004B5172"/>
    <w:rsid w:val="004B53CE"/>
    <w:rsid w:val="004B5918"/>
    <w:rsid w:val="004B60C4"/>
    <w:rsid w:val="004B6355"/>
    <w:rsid w:val="004B70C4"/>
    <w:rsid w:val="004B7127"/>
    <w:rsid w:val="004B732D"/>
    <w:rsid w:val="004B7344"/>
    <w:rsid w:val="004B7B65"/>
    <w:rsid w:val="004C01A4"/>
    <w:rsid w:val="004C02E1"/>
    <w:rsid w:val="004C056C"/>
    <w:rsid w:val="004C0D36"/>
    <w:rsid w:val="004C1A5C"/>
    <w:rsid w:val="004C27DE"/>
    <w:rsid w:val="004C2EFD"/>
    <w:rsid w:val="004C3941"/>
    <w:rsid w:val="004C3EB0"/>
    <w:rsid w:val="004C4266"/>
    <w:rsid w:val="004C4624"/>
    <w:rsid w:val="004C4ABE"/>
    <w:rsid w:val="004C55D8"/>
    <w:rsid w:val="004C5E67"/>
    <w:rsid w:val="004C6098"/>
    <w:rsid w:val="004C61FF"/>
    <w:rsid w:val="004C65B8"/>
    <w:rsid w:val="004C70DA"/>
    <w:rsid w:val="004D03EA"/>
    <w:rsid w:val="004D1744"/>
    <w:rsid w:val="004D208E"/>
    <w:rsid w:val="004D2803"/>
    <w:rsid w:val="004D4160"/>
    <w:rsid w:val="004D4706"/>
    <w:rsid w:val="004D5332"/>
    <w:rsid w:val="004D5B47"/>
    <w:rsid w:val="004D63D6"/>
    <w:rsid w:val="004D6A5C"/>
    <w:rsid w:val="004D6DB4"/>
    <w:rsid w:val="004D6EB4"/>
    <w:rsid w:val="004D776F"/>
    <w:rsid w:val="004E0BA3"/>
    <w:rsid w:val="004E0E1A"/>
    <w:rsid w:val="004E0F86"/>
    <w:rsid w:val="004E20D2"/>
    <w:rsid w:val="004E258F"/>
    <w:rsid w:val="004E2ACC"/>
    <w:rsid w:val="004E3037"/>
    <w:rsid w:val="004E30F8"/>
    <w:rsid w:val="004E3CF9"/>
    <w:rsid w:val="004E4FF0"/>
    <w:rsid w:val="004E5739"/>
    <w:rsid w:val="004E5A10"/>
    <w:rsid w:val="004E622A"/>
    <w:rsid w:val="004F078B"/>
    <w:rsid w:val="004F1283"/>
    <w:rsid w:val="004F1A18"/>
    <w:rsid w:val="004F232A"/>
    <w:rsid w:val="004F330C"/>
    <w:rsid w:val="004F33C0"/>
    <w:rsid w:val="004F358D"/>
    <w:rsid w:val="004F3DFE"/>
    <w:rsid w:val="004F4633"/>
    <w:rsid w:val="004F47C0"/>
    <w:rsid w:val="004F4999"/>
    <w:rsid w:val="004F499C"/>
    <w:rsid w:val="004F4A4C"/>
    <w:rsid w:val="004F4D5B"/>
    <w:rsid w:val="004F567A"/>
    <w:rsid w:val="004F5BC4"/>
    <w:rsid w:val="004F61C6"/>
    <w:rsid w:val="004F6616"/>
    <w:rsid w:val="004F677B"/>
    <w:rsid w:val="004F6A7A"/>
    <w:rsid w:val="004F73F8"/>
    <w:rsid w:val="004F7A88"/>
    <w:rsid w:val="004F7CF8"/>
    <w:rsid w:val="00500623"/>
    <w:rsid w:val="00500675"/>
    <w:rsid w:val="005018A5"/>
    <w:rsid w:val="00501AB0"/>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22B2"/>
    <w:rsid w:val="005123AC"/>
    <w:rsid w:val="00512A48"/>
    <w:rsid w:val="00512BFC"/>
    <w:rsid w:val="0051413C"/>
    <w:rsid w:val="00514D06"/>
    <w:rsid w:val="005153E5"/>
    <w:rsid w:val="00515487"/>
    <w:rsid w:val="00515DD4"/>
    <w:rsid w:val="00515E6C"/>
    <w:rsid w:val="005164EA"/>
    <w:rsid w:val="00516BE3"/>
    <w:rsid w:val="00520170"/>
    <w:rsid w:val="005212A5"/>
    <w:rsid w:val="00521A3A"/>
    <w:rsid w:val="005231B0"/>
    <w:rsid w:val="00523D40"/>
    <w:rsid w:val="00524477"/>
    <w:rsid w:val="00524D6A"/>
    <w:rsid w:val="00524E76"/>
    <w:rsid w:val="00525100"/>
    <w:rsid w:val="00525D05"/>
    <w:rsid w:val="00525F1D"/>
    <w:rsid w:val="00526D8F"/>
    <w:rsid w:val="0052763A"/>
    <w:rsid w:val="005301F2"/>
    <w:rsid w:val="005302BF"/>
    <w:rsid w:val="005309F1"/>
    <w:rsid w:val="00531555"/>
    <w:rsid w:val="005320CF"/>
    <w:rsid w:val="00532FF9"/>
    <w:rsid w:val="00533633"/>
    <w:rsid w:val="00534456"/>
    <w:rsid w:val="005345B1"/>
    <w:rsid w:val="00534EAF"/>
    <w:rsid w:val="00535BCC"/>
    <w:rsid w:val="00535D00"/>
    <w:rsid w:val="00535F6D"/>
    <w:rsid w:val="00536726"/>
    <w:rsid w:val="00536DDB"/>
    <w:rsid w:val="00540048"/>
    <w:rsid w:val="005400ED"/>
    <w:rsid w:val="00540286"/>
    <w:rsid w:val="00540933"/>
    <w:rsid w:val="00540B66"/>
    <w:rsid w:val="0054100C"/>
    <w:rsid w:val="00541273"/>
    <w:rsid w:val="00541CF5"/>
    <w:rsid w:val="00541D40"/>
    <w:rsid w:val="00542067"/>
    <w:rsid w:val="00542808"/>
    <w:rsid w:val="00542BA4"/>
    <w:rsid w:val="00543123"/>
    <w:rsid w:val="005435AC"/>
    <w:rsid w:val="00543AD8"/>
    <w:rsid w:val="00543D9F"/>
    <w:rsid w:val="00544083"/>
    <w:rsid w:val="00544ECE"/>
    <w:rsid w:val="00545754"/>
    <w:rsid w:val="0054667C"/>
    <w:rsid w:val="005467D8"/>
    <w:rsid w:val="00547385"/>
    <w:rsid w:val="005475C5"/>
    <w:rsid w:val="00547994"/>
    <w:rsid w:val="00547CAD"/>
    <w:rsid w:val="00551376"/>
    <w:rsid w:val="00551728"/>
    <w:rsid w:val="00551926"/>
    <w:rsid w:val="0055236B"/>
    <w:rsid w:val="005526F7"/>
    <w:rsid w:val="00552E0E"/>
    <w:rsid w:val="00552FD6"/>
    <w:rsid w:val="005538CF"/>
    <w:rsid w:val="00553A34"/>
    <w:rsid w:val="00554793"/>
    <w:rsid w:val="00554E94"/>
    <w:rsid w:val="00556105"/>
    <w:rsid w:val="0055612E"/>
    <w:rsid w:val="0055766B"/>
    <w:rsid w:val="005578B8"/>
    <w:rsid w:val="005600D3"/>
    <w:rsid w:val="00560EA8"/>
    <w:rsid w:val="00562F61"/>
    <w:rsid w:val="005630D8"/>
    <w:rsid w:val="005636B2"/>
    <w:rsid w:val="005639B8"/>
    <w:rsid w:val="00563B7C"/>
    <w:rsid w:val="0056446E"/>
    <w:rsid w:val="00564D71"/>
    <w:rsid w:val="005651EC"/>
    <w:rsid w:val="0056549F"/>
    <w:rsid w:val="005660E0"/>
    <w:rsid w:val="005673D7"/>
    <w:rsid w:val="005703E4"/>
    <w:rsid w:val="005706D0"/>
    <w:rsid w:val="00570776"/>
    <w:rsid w:val="00570CCC"/>
    <w:rsid w:val="00571083"/>
    <w:rsid w:val="0057120A"/>
    <w:rsid w:val="00572E47"/>
    <w:rsid w:val="00573397"/>
    <w:rsid w:val="00573A0C"/>
    <w:rsid w:val="00574202"/>
    <w:rsid w:val="005748E0"/>
    <w:rsid w:val="00575152"/>
    <w:rsid w:val="0057521D"/>
    <w:rsid w:val="00575EA4"/>
    <w:rsid w:val="00575F17"/>
    <w:rsid w:val="005769E2"/>
    <w:rsid w:val="00576F3D"/>
    <w:rsid w:val="00582742"/>
    <w:rsid w:val="00582ECF"/>
    <w:rsid w:val="00583BC8"/>
    <w:rsid w:val="00583FA0"/>
    <w:rsid w:val="005844B4"/>
    <w:rsid w:val="00584B75"/>
    <w:rsid w:val="00585A58"/>
    <w:rsid w:val="00585AE5"/>
    <w:rsid w:val="00586051"/>
    <w:rsid w:val="00586785"/>
    <w:rsid w:val="00586A82"/>
    <w:rsid w:val="00587857"/>
    <w:rsid w:val="00587FCA"/>
    <w:rsid w:val="0059019C"/>
    <w:rsid w:val="00590613"/>
    <w:rsid w:val="005910F4"/>
    <w:rsid w:val="00591480"/>
    <w:rsid w:val="00591A2F"/>
    <w:rsid w:val="00592E11"/>
    <w:rsid w:val="005931E1"/>
    <w:rsid w:val="0059340E"/>
    <w:rsid w:val="005936B4"/>
    <w:rsid w:val="005940F7"/>
    <w:rsid w:val="00594781"/>
    <w:rsid w:val="00594DEA"/>
    <w:rsid w:val="00595531"/>
    <w:rsid w:val="00595CE7"/>
    <w:rsid w:val="00595DED"/>
    <w:rsid w:val="0059704A"/>
    <w:rsid w:val="0059761A"/>
    <w:rsid w:val="005978D1"/>
    <w:rsid w:val="005A06D8"/>
    <w:rsid w:val="005A0B48"/>
    <w:rsid w:val="005A0C46"/>
    <w:rsid w:val="005A19BD"/>
    <w:rsid w:val="005A1BBD"/>
    <w:rsid w:val="005A1CE7"/>
    <w:rsid w:val="005A1D2E"/>
    <w:rsid w:val="005A1FE7"/>
    <w:rsid w:val="005A21B8"/>
    <w:rsid w:val="005A37B4"/>
    <w:rsid w:val="005A3912"/>
    <w:rsid w:val="005A3D2C"/>
    <w:rsid w:val="005A42AA"/>
    <w:rsid w:val="005A437D"/>
    <w:rsid w:val="005A46B4"/>
    <w:rsid w:val="005A5339"/>
    <w:rsid w:val="005A649C"/>
    <w:rsid w:val="005B003F"/>
    <w:rsid w:val="005B0623"/>
    <w:rsid w:val="005B0D34"/>
    <w:rsid w:val="005B0E74"/>
    <w:rsid w:val="005B18E7"/>
    <w:rsid w:val="005B1D03"/>
    <w:rsid w:val="005B1DAE"/>
    <w:rsid w:val="005B23CA"/>
    <w:rsid w:val="005B24BA"/>
    <w:rsid w:val="005B2C54"/>
    <w:rsid w:val="005B2D52"/>
    <w:rsid w:val="005B32FD"/>
    <w:rsid w:val="005B3B92"/>
    <w:rsid w:val="005B40B2"/>
    <w:rsid w:val="005B5300"/>
    <w:rsid w:val="005B6EEC"/>
    <w:rsid w:val="005B70CC"/>
    <w:rsid w:val="005C0AE3"/>
    <w:rsid w:val="005C0CF0"/>
    <w:rsid w:val="005C0F69"/>
    <w:rsid w:val="005C113F"/>
    <w:rsid w:val="005C16AC"/>
    <w:rsid w:val="005C2228"/>
    <w:rsid w:val="005C2377"/>
    <w:rsid w:val="005C283B"/>
    <w:rsid w:val="005C28F0"/>
    <w:rsid w:val="005C2E91"/>
    <w:rsid w:val="005C3405"/>
    <w:rsid w:val="005C39AA"/>
    <w:rsid w:val="005C3AFD"/>
    <w:rsid w:val="005C411B"/>
    <w:rsid w:val="005C46C1"/>
    <w:rsid w:val="005C53E9"/>
    <w:rsid w:val="005C5D51"/>
    <w:rsid w:val="005C6927"/>
    <w:rsid w:val="005C74A8"/>
    <w:rsid w:val="005C7B4F"/>
    <w:rsid w:val="005D0290"/>
    <w:rsid w:val="005D0655"/>
    <w:rsid w:val="005D06AB"/>
    <w:rsid w:val="005D1017"/>
    <w:rsid w:val="005D1650"/>
    <w:rsid w:val="005D285B"/>
    <w:rsid w:val="005D2871"/>
    <w:rsid w:val="005D3674"/>
    <w:rsid w:val="005D4497"/>
    <w:rsid w:val="005D4766"/>
    <w:rsid w:val="005D50E8"/>
    <w:rsid w:val="005D56B8"/>
    <w:rsid w:val="005D56CD"/>
    <w:rsid w:val="005D56DB"/>
    <w:rsid w:val="005D5AC4"/>
    <w:rsid w:val="005D5EC8"/>
    <w:rsid w:val="005D66A1"/>
    <w:rsid w:val="005D731C"/>
    <w:rsid w:val="005D7FD3"/>
    <w:rsid w:val="005E0345"/>
    <w:rsid w:val="005E05D3"/>
    <w:rsid w:val="005E0936"/>
    <w:rsid w:val="005E0E8F"/>
    <w:rsid w:val="005E2922"/>
    <w:rsid w:val="005E2A04"/>
    <w:rsid w:val="005E2E28"/>
    <w:rsid w:val="005E33F6"/>
    <w:rsid w:val="005E36CE"/>
    <w:rsid w:val="005E422E"/>
    <w:rsid w:val="005E5CB7"/>
    <w:rsid w:val="005E6EE9"/>
    <w:rsid w:val="005E7B6C"/>
    <w:rsid w:val="005E7C7D"/>
    <w:rsid w:val="005F045A"/>
    <w:rsid w:val="005F1AF6"/>
    <w:rsid w:val="005F1E0A"/>
    <w:rsid w:val="005F21B5"/>
    <w:rsid w:val="005F23B9"/>
    <w:rsid w:val="005F2949"/>
    <w:rsid w:val="005F2A19"/>
    <w:rsid w:val="005F341C"/>
    <w:rsid w:val="005F34CE"/>
    <w:rsid w:val="005F387A"/>
    <w:rsid w:val="005F3DAA"/>
    <w:rsid w:val="005F49C4"/>
    <w:rsid w:val="005F5072"/>
    <w:rsid w:val="005F5E03"/>
    <w:rsid w:val="005F5FDB"/>
    <w:rsid w:val="005F6A07"/>
    <w:rsid w:val="005F6E65"/>
    <w:rsid w:val="005F7EC3"/>
    <w:rsid w:val="00600627"/>
    <w:rsid w:val="00600789"/>
    <w:rsid w:val="00600B0A"/>
    <w:rsid w:val="00601776"/>
    <w:rsid w:val="00601EC2"/>
    <w:rsid w:val="00602954"/>
    <w:rsid w:val="00604720"/>
    <w:rsid w:val="0060511E"/>
    <w:rsid w:val="00605794"/>
    <w:rsid w:val="00605CFE"/>
    <w:rsid w:val="00606035"/>
    <w:rsid w:val="00606DCF"/>
    <w:rsid w:val="00606F42"/>
    <w:rsid w:val="0060779A"/>
    <w:rsid w:val="006078B0"/>
    <w:rsid w:val="00610186"/>
    <w:rsid w:val="0061041C"/>
    <w:rsid w:val="0061081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5EED"/>
    <w:rsid w:val="0061661D"/>
    <w:rsid w:val="00617155"/>
    <w:rsid w:val="006179AE"/>
    <w:rsid w:val="00617A13"/>
    <w:rsid w:val="00620B1E"/>
    <w:rsid w:val="00621320"/>
    <w:rsid w:val="006213F6"/>
    <w:rsid w:val="006225A3"/>
    <w:rsid w:val="00622A49"/>
    <w:rsid w:val="0062321E"/>
    <w:rsid w:val="00623FC2"/>
    <w:rsid w:val="00624961"/>
    <w:rsid w:val="00624B9A"/>
    <w:rsid w:val="00624C13"/>
    <w:rsid w:val="006261C2"/>
    <w:rsid w:val="006263AE"/>
    <w:rsid w:val="006266F5"/>
    <w:rsid w:val="0062719F"/>
    <w:rsid w:val="006304EC"/>
    <w:rsid w:val="0063086D"/>
    <w:rsid w:val="00631B76"/>
    <w:rsid w:val="00632074"/>
    <w:rsid w:val="00632E3F"/>
    <w:rsid w:val="00634782"/>
    <w:rsid w:val="00634C3E"/>
    <w:rsid w:val="00635B2A"/>
    <w:rsid w:val="00635D64"/>
    <w:rsid w:val="00637D77"/>
    <w:rsid w:val="00640A88"/>
    <w:rsid w:val="00640BF4"/>
    <w:rsid w:val="00640C63"/>
    <w:rsid w:val="00641642"/>
    <w:rsid w:val="00641FE6"/>
    <w:rsid w:val="00642FDE"/>
    <w:rsid w:val="00643145"/>
    <w:rsid w:val="006439A2"/>
    <w:rsid w:val="00643E5A"/>
    <w:rsid w:val="006440A8"/>
    <w:rsid w:val="0064461D"/>
    <w:rsid w:val="00644F54"/>
    <w:rsid w:val="006459ED"/>
    <w:rsid w:val="00645F0E"/>
    <w:rsid w:val="0064665D"/>
    <w:rsid w:val="006468BE"/>
    <w:rsid w:val="006468C7"/>
    <w:rsid w:val="0064718F"/>
    <w:rsid w:val="006475E6"/>
    <w:rsid w:val="0065036D"/>
    <w:rsid w:val="00650C2F"/>
    <w:rsid w:val="00650C56"/>
    <w:rsid w:val="00650D0B"/>
    <w:rsid w:val="006522A6"/>
    <w:rsid w:val="00652B75"/>
    <w:rsid w:val="0065315A"/>
    <w:rsid w:val="00653DEE"/>
    <w:rsid w:val="006542F2"/>
    <w:rsid w:val="006546C1"/>
    <w:rsid w:val="00654A1D"/>
    <w:rsid w:val="0065519C"/>
    <w:rsid w:val="00655A91"/>
    <w:rsid w:val="00655B65"/>
    <w:rsid w:val="00655D13"/>
    <w:rsid w:val="00656194"/>
    <w:rsid w:val="00656DA9"/>
    <w:rsid w:val="006576BF"/>
    <w:rsid w:val="00657F02"/>
    <w:rsid w:val="00660E4D"/>
    <w:rsid w:val="00660E71"/>
    <w:rsid w:val="00660FA8"/>
    <w:rsid w:val="006618BF"/>
    <w:rsid w:val="00661CA8"/>
    <w:rsid w:val="00661E57"/>
    <w:rsid w:val="0066276E"/>
    <w:rsid w:val="00663669"/>
    <w:rsid w:val="00663744"/>
    <w:rsid w:val="0066423D"/>
    <w:rsid w:val="0066445D"/>
    <w:rsid w:val="006647E4"/>
    <w:rsid w:val="00667055"/>
    <w:rsid w:val="006670FC"/>
    <w:rsid w:val="006677AD"/>
    <w:rsid w:val="006678DA"/>
    <w:rsid w:val="0067014F"/>
    <w:rsid w:val="006704EA"/>
    <w:rsid w:val="0067075B"/>
    <w:rsid w:val="00670EDC"/>
    <w:rsid w:val="006715A6"/>
    <w:rsid w:val="00671CB6"/>
    <w:rsid w:val="00671DFF"/>
    <w:rsid w:val="0067280D"/>
    <w:rsid w:val="00672855"/>
    <w:rsid w:val="00673F40"/>
    <w:rsid w:val="006743B5"/>
    <w:rsid w:val="0067453A"/>
    <w:rsid w:val="00674BFE"/>
    <w:rsid w:val="00675722"/>
    <w:rsid w:val="0067591B"/>
    <w:rsid w:val="00675E2B"/>
    <w:rsid w:val="0067615F"/>
    <w:rsid w:val="0067658B"/>
    <w:rsid w:val="00676776"/>
    <w:rsid w:val="00676860"/>
    <w:rsid w:val="00677327"/>
    <w:rsid w:val="00677681"/>
    <w:rsid w:val="006777EB"/>
    <w:rsid w:val="00677C97"/>
    <w:rsid w:val="006807AE"/>
    <w:rsid w:val="00680AD5"/>
    <w:rsid w:val="00681D0F"/>
    <w:rsid w:val="0068205B"/>
    <w:rsid w:val="0068234A"/>
    <w:rsid w:val="006823C4"/>
    <w:rsid w:val="006824BE"/>
    <w:rsid w:val="00682664"/>
    <w:rsid w:val="0068266A"/>
    <w:rsid w:val="006826A8"/>
    <w:rsid w:val="00682802"/>
    <w:rsid w:val="0068395A"/>
    <w:rsid w:val="00683A20"/>
    <w:rsid w:val="00683C5C"/>
    <w:rsid w:val="00684FA7"/>
    <w:rsid w:val="00685551"/>
    <w:rsid w:val="00685575"/>
    <w:rsid w:val="00685934"/>
    <w:rsid w:val="00686466"/>
    <w:rsid w:val="0068667B"/>
    <w:rsid w:val="00686F7C"/>
    <w:rsid w:val="00686FEF"/>
    <w:rsid w:val="0068709B"/>
    <w:rsid w:val="00687AC8"/>
    <w:rsid w:val="00687D2E"/>
    <w:rsid w:val="00690E8D"/>
    <w:rsid w:val="00691DAD"/>
    <w:rsid w:val="0069259C"/>
    <w:rsid w:val="006929AB"/>
    <w:rsid w:val="00693267"/>
    <w:rsid w:val="0069380F"/>
    <w:rsid w:val="00694980"/>
    <w:rsid w:val="00694F6A"/>
    <w:rsid w:val="00695139"/>
    <w:rsid w:val="00696A41"/>
    <w:rsid w:val="00696AC0"/>
    <w:rsid w:val="00696B1E"/>
    <w:rsid w:val="00696F77"/>
    <w:rsid w:val="006977BD"/>
    <w:rsid w:val="006A0480"/>
    <w:rsid w:val="006A36DC"/>
    <w:rsid w:val="006A3DB2"/>
    <w:rsid w:val="006A4139"/>
    <w:rsid w:val="006A477C"/>
    <w:rsid w:val="006A4DC8"/>
    <w:rsid w:val="006A5BE2"/>
    <w:rsid w:val="006A69D0"/>
    <w:rsid w:val="006A716C"/>
    <w:rsid w:val="006A725B"/>
    <w:rsid w:val="006B16E7"/>
    <w:rsid w:val="006B2A87"/>
    <w:rsid w:val="006B2F75"/>
    <w:rsid w:val="006B2FD2"/>
    <w:rsid w:val="006B3059"/>
    <w:rsid w:val="006B3EB0"/>
    <w:rsid w:val="006B48A6"/>
    <w:rsid w:val="006B4ADA"/>
    <w:rsid w:val="006B4C77"/>
    <w:rsid w:val="006B4CF7"/>
    <w:rsid w:val="006B4FF2"/>
    <w:rsid w:val="006B504F"/>
    <w:rsid w:val="006B5898"/>
    <w:rsid w:val="006B5E19"/>
    <w:rsid w:val="006B6183"/>
    <w:rsid w:val="006B6AF7"/>
    <w:rsid w:val="006C05F8"/>
    <w:rsid w:val="006C0C38"/>
    <w:rsid w:val="006C1176"/>
    <w:rsid w:val="006C1E24"/>
    <w:rsid w:val="006C2141"/>
    <w:rsid w:val="006C237A"/>
    <w:rsid w:val="006C2641"/>
    <w:rsid w:val="006C28C3"/>
    <w:rsid w:val="006C3B72"/>
    <w:rsid w:val="006C3FD5"/>
    <w:rsid w:val="006C5012"/>
    <w:rsid w:val="006C535F"/>
    <w:rsid w:val="006C542C"/>
    <w:rsid w:val="006C5CF4"/>
    <w:rsid w:val="006C5F02"/>
    <w:rsid w:val="006C736C"/>
    <w:rsid w:val="006C7841"/>
    <w:rsid w:val="006C7C98"/>
    <w:rsid w:val="006D05A6"/>
    <w:rsid w:val="006D0728"/>
    <w:rsid w:val="006D0C48"/>
    <w:rsid w:val="006D165E"/>
    <w:rsid w:val="006D23D4"/>
    <w:rsid w:val="006D2630"/>
    <w:rsid w:val="006D28DD"/>
    <w:rsid w:val="006D2917"/>
    <w:rsid w:val="006D2F3E"/>
    <w:rsid w:val="006D3555"/>
    <w:rsid w:val="006D3A3E"/>
    <w:rsid w:val="006D3A8F"/>
    <w:rsid w:val="006D43C7"/>
    <w:rsid w:val="006D4FDD"/>
    <w:rsid w:val="006D5144"/>
    <w:rsid w:val="006D5A21"/>
    <w:rsid w:val="006D5A54"/>
    <w:rsid w:val="006D7C9D"/>
    <w:rsid w:val="006D7CA4"/>
    <w:rsid w:val="006D7DEC"/>
    <w:rsid w:val="006D7E6E"/>
    <w:rsid w:val="006E053D"/>
    <w:rsid w:val="006E1460"/>
    <w:rsid w:val="006E189E"/>
    <w:rsid w:val="006E264B"/>
    <w:rsid w:val="006E2A69"/>
    <w:rsid w:val="006E2D88"/>
    <w:rsid w:val="006E2FD7"/>
    <w:rsid w:val="006E3705"/>
    <w:rsid w:val="006E43B5"/>
    <w:rsid w:val="006E4B07"/>
    <w:rsid w:val="006E525C"/>
    <w:rsid w:val="006E52EB"/>
    <w:rsid w:val="006E5481"/>
    <w:rsid w:val="006E5AEB"/>
    <w:rsid w:val="006E6208"/>
    <w:rsid w:val="006E6453"/>
    <w:rsid w:val="006E6885"/>
    <w:rsid w:val="006E7AF5"/>
    <w:rsid w:val="006F0029"/>
    <w:rsid w:val="006F0645"/>
    <w:rsid w:val="006F088B"/>
    <w:rsid w:val="006F0ABF"/>
    <w:rsid w:val="006F0B68"/>
    <w:rsid w:val="006F155B"/>
    <w:rsid w:val="006F1A2B"/>
    <w:rsid w:val="006F1BEE"/>
    <w:rsid w:val="006F2045"/>
    <w:rsid w:val="006F2307"/>
    <w:rsid w:val="006F2C29"/>
    <w:rsid w:val="006F2C70"/>
    <w:rsid w:val="006F3234"/>
    <w:rsid w:val="006F5A30"/>
    <w:rsid w:val="006F68CE"/>
    <w:rsid w:val="006F707A"/>
    <w:rsid w:val="006F7F17"/>
    <w:rsid w:val="007006F1"/>
    <w:rsid w:val="00700A4E"/>
    <w:rsid w:val="00701B07"/>
    <w:rsid w:val="007024BB"/>
    <w:rsid w:val="00702C07"/>
    <w:rsid w:val="00702D97"/>
    <w:rsid w:val="00703AE9"/>
    <w:rsid w:val="00703DFB"/>
    <w:rsid w:val="00705065"/>
    <w:rsid w:val="00705A2C"/>
    <w:rsid w:val="00706101"/>
    <w:rsid w:val="00706550"/>
    <w:rsid w:val="00706F31"/>
    <w:rsid w:val="007071AF"/>
    <w:rsid w:val="007071D3"/>
    <w:rsid w:val="007100A8"/>
    <w:rsid w:val="00710467"/>
    <w:rsid w:val="00710682"/>
    <w:rsid w:val="00710EE2"/>
    <w:rsid w:val="0071137C"/>
    <w:rsid w:val="007119F8"/>
    <w:rsid w:val="00711D35"/>
    <w:rsid w:val="007137A5"/>
    <w:rsid w:val="00713E2B"/>
    <w:rsid w:val="0071485F"/>
    <w:rsid w:val="00715A77"/>
    <w:rsid w:val="00715DE1"/>
    <w:rsid w:val="00717109"/>
    <w:rsid w:val="00717AA7"/>
    <w:rsid w:val="00717B4B"/>
    <w:rsid w:val="00717DC4"/>
    <w:rsid w:val="00720062"/>
    <w:rsid w:val="0072039C"/>
    <w:rsid w:val="007203A8"/>
    <w:rsid w:val="00720E39"/>
    <w:rsid w:val="00721F1E"/>
    <w:rsid w:val="007227E8"/>
    <w:rsid w:val="007229E3"/>
    <w:rsid w:val="00723495"/>
    <w:rsid w:val="00723533"/>
    <w:rsid w:val="00723557"/>
    <w:rsid w:val="00723616"/>
    <w:rsid w:val="00724AB6"/>
    <w:rsid w:val="00725927"/>
    <w:rsid w:val="00725937"/>
    <w:rsid w:val="00731BD4"/>
    <w:rsid w:val="00732F27"/>
    <w:rsid w:val="007339E7"/>
    <w:rsid w:val="00734D6B"/>
    <w:rsid w:val="00735222"/>
    <w:rsid w:val="007354B7"/>
    <w:rsid w:val="00735808"/>
    <w:rsid w:val="007358BF"/>
    <w:rsid w:val="007358F0"/>
    <w:rsid w:val="00735D2D"/>
    <w:rsid w:val="00735F28"/>
    <w:rsid w:val="007360E1"/>
    <w:rsid w:val="00736120"/>
    <w:rsid w:val="007361A8"/>
    <w:rsid w:val="007373AC"/>
    <w:rsid w:val="00737DEE"/>
    <w:rsid w:val="0074221C"/>
    <w:rsid w:val="00742284"/>
    <w:rsid w:val="0074295A"/>
    <w:rsid w:val="00743159"/>
    <w:rsid w:val="00743B39"/>
    <w:rsid w:val="00743B8C"/>
    <w:rsid w:val="00743C5A"/>
    <w:rsid w:val="00743F22"/>
    <w:rsid w:val="007440AA"/>
    <w:rsid w:val="007442EE"/>
    <w:rsid w:val="00744440"/>
    <w:rsid w:val="00745941"/>
    <w:rsid w:val="007459EE"/>
    <w:rsid w:val="0074690C"/>
    <w:rsid w:val="00746B12"/>
    <w:rsid w:val="0074766F"/>
    <w:rsid w:val="00747CD9"/>
    <w:rsid w:val="00750326"/>
    <w:rsid w:val="00750427"/>
    <w:rsid w:val="00750605"/>
    <w:rsid w:val="007506A7"/>
    <w:rsid w:val="00751FC6"/>
    <w:rsid w:val="00751FD9"/>
    <w:rsid w:val="0075209E"/>
    <w:rsid w:val="00753165"/>
    <w:rsid w:val="0075346C"/>
    <w:rsid w:val="00753E2E"/>
    <w:rsid w:val="007544D8"/>
    <w:rsid w:val="0075570D"/>
    <w:rsid w:val="00755B00"/>
    <w:rsid w:val="00756336"/>
    <w:rsid w:val="00756F64"/>
    <w:rsid w:val="007600BE"/>
    <w:rsid w:val="00760E5B"/>
    <w:rsid w:val="00761296"/>
    <w:rsid w:val="00761B56"/>
    <w:rsid w:val="007624D5"/>
    <w:rsid w:val="007633FB"/>
    <w:rsid w:val="0076341A"/>
    <w:rsid w:val="00763BF9"/>
    <w:rsid w:val="00764CDF"/>
    <w:rsid w:val="00765B83"/>
    <w:rsid w:val="00765D8D"/>
    <w:rsid w:val="007705EA"/>
    <w:rsid w:val="00770947"/>
    <w:rsid w:val="00771291"/>
    <w:rsid w:val="007712C8"/>
    <w:rsid w:val="0077199C"/>
    <w:rsid w:val="007719AD"/>
    <w:rsid w:val="00771E92"/>
    <w:rsid w:val="00772039"/>
    <w:rsid w:val="00772EC2"/>
    <w:rsid w:val="007736F4"/>
    <w:rsid w:val="007737A6"/>
    <w:rsid w:val="00773837"/>
    <w:rsid w:val="00773E92"/>
    <w:rsid w:val="00774BFB"/>
    <w:rsid w:val="00775180"/>
    <w:rsid w:val="007756AC"/>
    <w:rsid w:val="00776291"/>
    <w:rsid w:val="007765FC"/>
    <w:rsid w:val="007766E9"/>
    <w:rsid w:val="00777ADF"/>
    <w:rsid w:val="0078035D"/>
    <w:rsid w:val="007806D8"/>
    <w:rsid w:val="00780DEA"/>
    <w:rsid w:val="0078110D"/>
    <w:rsid w:val="00781595"/>
    <w:rsid w:val="007819D7"/>
    <w:rsid w:val="00782904"/>
    <w:rsid w:val="00782975"/>
    <w:rsid w:val="007834FB"/>
    <w:rsid w:val="007836D7"/>
    <w:rsid w:val="00784456"/>
    <w:rsid w:val="00784ADC"/>
    <w:rsid w:val="00784DBF"/>
    <w:rsid w:val="00785448"/>
    <w:rsid w:val="00785E15"/>
    <w:rsid w:val="00787A42"/>
    <w:rsid w:val="00790D28"/>
    <w:rsid w:val="00790FE4"/>
    <w:rsid w:val="00791987"/>
    <w:rsid w:val="00791C1B"/>
    <w:rsid w:val="00792FAB"/>
    <w:rsid w:val="007938C8"/>
    <w:rsid w:val="00793E30"/>
    <w:rsid w:val="007941B2"/>
    <w:rsid w:val="00794436"/>
    <w:rsid w:val="007948C3"/>
    <w:rsid w:val="00794F09"/>
    <w:rsid w:val="00795477"/>
    <w:rsid w:val="00795778"/>
    <w:rsid w:val="00795A92"/>
    <w:rsid w:val="00796961"/>
    <w:rsid w:val="007971A4"/>
    <w:rsid w:val="0079791E"/>
    <w:rsid w:val="007A0325"/>
    <w:rsid w:val="007A0483"/>
    <w:rsid w:val="007A16D7"/>
    <w:rsid w:val="007A1822"/>
    <w:rsid w:val="007A22EF"/>
    <w:rsid w:val="007A2D43"/>
    <w:rsid w:val="007A2F2E"/>
    <w:rsid w:val="007A30A5"/>
    <w:rsid w:val="007A35D3"/>
    <w:rsid w:val="007A3C0B"/>
    <w:rsid w:val="007A4501"/>
    <w:rsid w:val="007A46F3"/>
    <w:rsid w:val="007A599D"/>
    <w:rsid w:val="007A5C4A"/>
    <w:rsid w:val="007A5CFE"/>
    <w:rsid w:val="007A5DA4"/>
    <w:rsid w:val="007A62A5"/>
    <w:rsid w:val="007A65CC"/>
    <w:rsid w:val="007A6677"/>
    <w:rsid w:val="007A66DB"/>
    <w:rsid w:val="007A6B67"/>
    <w:rsid w:val="007A7521"/>
    <w:rsid w:val="007A763F"/>
    <w:rsid w:val="007B027D"/>
    <w:rsid w:val="007B02C8"/>
    <w:rsid w:val="007B0D90"/>
    <w:rsid w:val="007B1493"/>
    <w:rsid w:val="007B1CAE"/>
    <w:rsid w:val="007B209F"/>
    <w:rsid w:val="007B2610"/>
    <w:rsid w:val="007B2E91"/>
    <w:rsid w:val="007B339B"/>
    <w:rsid w:val="007B366F"/>
    <w:rsid w:val="007B36BF"/>
    <w:rsid w:val="007B37D5"/>
    <w:rsid w:val="007B3B03"/>
    <w:rsid w:val="007B3F77"/>
    <w:rsid w:val="007B43D0"/>
    <w:rsid w:val="007B5516"/>
    <w:rsid w:val="007B5985"/>
    <w:rsid w:val="007B5CB4"/>
    <w:rsid w:val="007B662A"/>
    <w:rsid w:val="007B73EB"/>
    <w:rsid w:val="007B784A"/>
    <w:rsid w:val="007B7ABC"/>
    <w:rsid w:val="007B7FED"/>
    <w:rsid w:val="007C0489"/>
    <w:rsid w:val="007C0D51"/>
    <w:rsid w:val="007C1578"/>
    <w:rsid w:val="007C1885"/>
    <w:rsid w:val="007C1FC7"/>
    <w:rsid w:val="007C29A4"/>
    <w:rsid w:val="007C2FA7"/>
    <w:rsid w:val="007C374B"/>
    <w:rsid w:val="007C4020"/>
    <w:rsid w:val="007C4B7E"/>
    <w:rsid w:val="007C4C77"/>
    <w:rsid w:val="007C5A25"/>
    <w:rsid w:val="007C602A"/>
    <w:rsid w:val="007C6343"/>
    <w:rsid w:val="007C698A"/>
    <w:rsid w:val="007C705F"/>
    <w:rsid w:val="007C72D4"/>
    <w:rsid w:val="007C73B3"/>
    <w:rsid w:val="007C7D27"/>
    <w:rsid w:val="007D10B3"/>
    <w:rsid w:val="007D10BF"/>
    <w:rsid w:val="007D1243"/>
    <w:rsid w:val="007D1BC4"/>
    <w:rsid w:val="007D24D9"/>
    <w:rsid w:val="007D28D8"/>
    <w:rsid w:val="007D2AE7"/>
    <w:rsid w:val="007D34E7"/>
    <w:rsid w:val="007D3BCC"/>
    <w:rsid w:val="007D3E20"/>
    <w:rsid w:val="007D3F88"/>
    <w:rsid w:val="007D4123"/>
    <w:rsid w:val="007D437B"/>
    <w:rsid w:val="007D50D6"/>
    <w:rsid w:val="007D6317"/>
    <w:rsid w:val="007D66A0"/>
    <w:rsid w:val="007D6981"/>
    <w:rsid w:val="007D6FF4"/>
    <w:rsid w:val="007D7418"/>
    <w:rsid w:val="007D7CD0"/>
    <w:rsid w:val="007D7E52"/>
    <w:rsid w:val="007E05C6"/>
    <w:rsid w:val="007E1026"/>
    <w:rsid w:val="007E1155"/>
    <w:rsid w:val="007E18E6"/>
    <w:rsid w:val="007E19B4"/>
    <w:rsid w:val="007E2096"/>
    <w:rsid w:val="007E20A6"/>
    <w:rsid w:val="007E2906"/>
    <w:rsid w:val="007E2C3F"/>
    <w:rsid w:val="007E2D97"/>
    <w:rsid w:val="007E2F56"/>
    <w:rsid w:val="007E3234"/>
    <w:rsid w:val="007E3246"/>
    <w:rsid w:val="007E346E"/>
    <w:rsid w:val="007E4150"/>
    <w:rsid w:val="007E4C77"/>
    <w:rsid w:val="007E5232"/>
    <w:rsid w:val="007E595A"/>
    <w:rsid w:val="007E5D49"/>
    <w:rsid w:val="007E671C"/>
    <w:rsid w:val="007E6D10"/>
    <w:rsid w:val="007E7172"/>
    <w:rsid w:val="007E79DA"/>
    <w:rsid w:val="007F0D4D"/>
    <w:rsid w:val="007F125A"/>
    <w:rsid w:val="007F15AD"/>
    <w:rsid w:val="007F1956"/>
    <w:rsid w:val="007F21C1"/>
    <w:rsid w:val="007F2BBD"/>
    <w:rsid w:val="007F3620"/>
    <w:rsid w:val="007F3990"/>
    <w:rsid w:val="007F4102"/>
    <w:rsid w:val="007F4344"/>
    <w:rsid w:val="007F63FA"/>
    <w:rsid w:val="007F6B66"/>
    <w:rsid w:val="007F704E"/>
    <w:rsid w:val="007F761B"/>
    <w:rsid w:val="007F79EF"/>
    <w:rsid w:val="007F7B65"/>
    <w:rsid w:val="0080043D"/>
    <w:rsid w:val="00800F1C"/>
    <w:rsid w:val="00801241"/>
    <w:rsid w:val="008030FB"/>
    <w:rsid w:val="00803919"/>
    <w:rsid w:val="00803C3E"/>
    <w:rsid w:val="00803DC0"/>
    <w:rsid w:val="008040D4"/>
    <w:rsid w:val="00804AD4"/>
    <w:rsid w:val="0080504A"/>
    <w:rsid w:val="00805886"/>
    <w:rsid w:val="00806DC3"/>
    <w:rsid w:val="00806E45"/>
    <w:rsid w:val="00806F44"/>
    <w:rsid w:val="008077E7"/>
    <w:rsid w:val="008078B4"/>
    <w:rsid w:val="00807F36"/>
    <w:rsid w:val="00810FEE"/>
    <w:rsid w:val="00811D26"/>
    <w:rsid w:val="008121A6"/>
    <w:rsid w:val="00812608"/>
    <w:rsid w:val="00812BD1"/>
    <w:rsid w:val="008139E7"/>
    <w:rsid w:val="00813B8E"/>
    <w:rsid w:val="00815497"/>
    <w:rsid w:val="008163CE"/>
    <w:rsid w:val="00816574"/>
    <w:rsid w:val="00817005"/>
    <w:rsid w:val="008173D1"/>
    <w:rsid w:val="008173D4"/>
    <w:rsid w:val="00817ED9"/>
    <w:rsid w:val="00817FEE"/>
    <w:rsid w:val="0082029D"/>
    <w:rsid w:val="00821092"/>
    <w:rsid w:val="0082152C"/>
    <w:rsid w:val="00821726"/>
    <w:rsid w:val="0082184D"/>
    <w:rsid w:val="00821FA0"/>
    <w:rsid w:val="008229BA"/>
    <w:rsid w:val="00824924"/>
    <w:rsid w:val="00824F8D"/>
    <w:rsid w:val="00825424"/>
    <w:rsid w:val="0082552B"/>
    <w:rsid w:val="00827BA4"/>
    <w:rsid w:val="00827C7A"/>
    <w:rsid w:val="00827E46"/>
    <w:rsid w:val="00830D55"/>
    <w:rsid w:val="00831032"/>
    <w:rsid w:val="00832B44"/>
    <w:rsid w:val="00833567"/>
    <w:rsid w:val="00833806"/>
    <w:rsid w:val="008357A2"/>
    <w:rsid w:val="00835EE9"/>
    <w:rsid w:val="00836044"/>
    <w:rsid w:val="00837179"/>
    <w:rsid w:val="00837382"/>
    <w:rsid w:val="00837C74"/>
    <w:rsid w:val="00837DA6"/>
    <w:rsid w:val="008415E1"/>
    <w:rsid w:val="008418E3"/>
    <w:rsid w:val="00841B6E"/>
    <w:rsid w:val="0084209E"/>
    <w:rsid w:val="0084243A"/>
    <w:rsid w:val="00842478"/>
    <w:rsid w:val="0084247E"/>
    <w:rsid w:val="00842A95"/>
    <w:rsid w:val="0084342A"/>
    <w:rsid w:val="0084364B"/>
    <w:rsid w:val="00843941"/>
    <w:rsid w:val="008439D4"/>
    <w:rsid w:val="00843C13"/>
    <w:rsid w:val="00844483"/>
    <w:rsid w:val="008444FB"/>
    <w:rsid w:val="008445CD"/>
    <w:rsid w:val="00844792"/>
    <w:rsid w:val="008448E6"/>
    <w:rsid w:val="00845233"/>
    <w:rsid w:val="008460A4"/>
    <w:rsid w:val="008460F9"/>
    <w:rsid w:val="00846621"/>
    <w:rsid w:val="00846D6C"/>
    <w:rsid w:val="00846E96"/>
    <w:rsid w:val="00846EAA"/>
    <w:rsid w:val="00847077"/>
    <w:rsid w:val="0084739E"/>
    <w:rsid w:val="0084752F"/>
    <w:rsid w:val="00847C5A"/>
    <w:rsid w:val="00847E3A"/>
    <w:rsid w:val="0085036F"/>
    <w:rsid w:val="00850A90"/>
    <w:rsid w:val="00850EDF"/>
    <w:rsid w:val="00851BD1"/>
    <w:rsid w:val="00852B1D"/>
    <w:rsid w:val="00853062"/>
    <w:rsid w:val="008544CC"/>
    <w:rsid w:val="008544FC"/>
    <w:rsid w:val="0085452E"/>
    <w:rsid w:val="00854629"/>
    <w:rsid w:val="00854C9F"/>
    <w:rsid w:val="0085519E"/>
    <w:rsid w:val="00855A5B"/>
    <w:rsid w:val="00855E19"/>
    <w:rsid w:val="00855E24"/>
    <w:rsid w:val="00855F47"/>
    <w:rsid w:val="00856615"/>
    <w:rsid w:val="008567A2"/>
    <w:rsid w:val="00857574"/>
    <w:rsid w:val="00857E14"/>
    <w:rsid w:val="00860952"/>
    <w:rsid w:val="008620CA"/>
    <w:rsid w:val="0086215F"/>
    <w:rsid w:val="008621CC"/>
    <w:rsid w:val="00862492"/>
    <w:rsid w:val="00863264"/>
    <w:rsid w:val="00863C61"/>
    <w:rsid w:val="008640EE"/>
    <w:rsid w:val="00864870"/>
    <w:rsid w:val="008648EA"/>
    <w:rsid w:val="00864ACA"/>
    <w:rsid w:val="00865576"/>
    <w:rsid w:val="00865AB6"/>
    <w:rsid w:val="008662C5"/>
    <w:rsid w:val="00866615"/>
    <w:rsid w:val="00866E3E"/>
    <w:rsid w:val="00867CEC"/>
    <w:rsid w:val="00871566"/>
    <w:rsid w:val="008716EE"/>
    <w:rsid w:val="008721E9"/>
    <w:rsid w:val="008724DB"/>
    <w:rsid w:val="008727D8"/>
    <w:rsid w:val="00872C11"/>
    <w:rsid w:val="00872C6D"/>
    <w:rsid w:val="00872F28"/>
    <w:rsid w:val="00873E35"/>
    <w:rsid w:val="00874409"/>
    <w:rsid w:val="0087472E"/>
    <w:rsid w:val="00874B8A"/>
    <w:rsid w:val="00875BFF"/>
    <w:rsid w:val="008766F0"/>
    <w:rsid w:val="0088014E"/>
    <w:rsid w:val="008807D2"/>
    <w:rsid w:val="00880BEC"/>
    <w:rsid w:val="0088195E"/>
    <w:rsid w:val="00882755"/>
    <w:rsid w:val="008834D1"/>
    <w:rsid w:val="00884798"/>
    <w:rsid w:val="008853FE"/>
    <w:rsid w:val="0088669D"/>
    <w:rsid w:val="00886EE9"/>
    <w:rsid w:val="008870F4"/>
    <w:rsid w:val="00890A4B"/>
    <w:rsid w:val="008911F5"/>
    <w:rsid w:val="00891564"/>
    <w:rsid w:val="00891953"/>
    <w:rsid w:val="00892557"/>
    <w:rsid w:val="008925D4"/>
    <w:rsid w:val="00892673"/>
    <w:rsid w:val="008927A0"/>
    <w:rsid w:val="00894108"/>
    <w:rsid w:val="00894C99"/>
    <w:rsid w:val="00894ED2"/>
    <w:rsid w:val="0089500B"/>
    <w:rsid w:val="0089502E"/>
    <w:rsid w:val="00895429"/>
    <w:rsid w:val="00895497"/>
    <w:rsid w:val="00895E7C"/>
    <w:rsid w:val="008964E6"/>
    <w:rsid w:val="00896553"/>
    <w:rsid w:val="00896AEE"/>
    <w:rsid w:val="008970D2"/>
    <w:rsid w:val="00897453"/>
    <w:rsid w:val="00897655"/>
    <w:rsid w:val="00897A85"/>
    <w:rsid w:val="00897EC0"/>
    <w:rsid w:val="008A0684"/>
    <w:rsid w:val="008A06AA"/>
    <w:rsid w:val="008A0723"/>
    <w:rsid w:val="008A08EC"/>
    <w:rsid w:val="008A1669"/>
    <w:rsid w:val="008A166F"/>
    <w:rsid w:val="008A17A2"/>
    <w:rsid w:val="008A2075"/>
    <w:rsid w:val="008A22CD"/>
    <w:rsid w:val="008A2889"/>
    <w:rsid w:val="008A2F3A"/>
    <w:rsid w:val="008A4485"/>
    <w:rsid w:val="008A4B6B"/>
    <w:rsid w:val="008A4D07"/>
    <w:rsid w:val="008A4EED"/>
    <w:rsid w:val="008A58DC"/>
    <w:rsid w:val="008A594A"/>
    <w:rsid w:val="008A70B5"/>
    <w:rsid w:val="008A7AF9"/>
    <w:rsid w:val="008B0006"/>
    <w:rsid w:val="008B044F"/>
    <w:rsid w:val="008B0673"/>
    <w:rsid w:val="008B094A"/>
    <w:rsid w:val="008B1EA5"/>
    <w:rsid w:val="008B244B"/>
    <w:rsid w:val="008B2B09"/>
    <w:rsid w:val="008B303C"/>
    <w:rsid w:val="008B3A40"/>
    <w:rsid w:val="008B3E02"/>
    <w:rsid w:val="008B434E"/>
    <w:rsid w:val="008B46F2"/>
    <w:rsid w:val="008B492A"/>
    <w:rsid w:val="008B4A7F"/>
    <w:rsid w:val="008B4E36"/>
    <w:rsid w:val="008B5344"/>
    <w:rsid w:val="008B5381"/>
    <w:rsid w:val="008B5C28"/>
    <w:rsid w:val="008B6DD7"/>
    <w:rsid w:val="008B72DB"/>
    <w:rsid w:val="008B7A51"/>
    <w:rsid w:val="008B7CB5"/>
    <w:rsid w:val="008C0534"/>
    <w:rsid w:val="008C069D"/>
    <w:rsid w:val="008C0C6C"/>
    <w:rsid w:val="008C103C"/>
    <w:rsid w:val="008C15D1"/>
    <w:rsid w:val="008C1FA1"/>
    <w:rsid w:val="008C24BB"/>
    <w:rsid w:val="008C263D"/>
    <w:rsid w:val="008C27F9"/>
    <w:rsid w:val="008C2955"/>
    <w:rsid w:val="008C2E3F"/>
    <w:rsid w:val="008C338E"/>
    <w:rsid w:val="008C4467"/>
    <w:rsid w:val="008C47CA"/>
    <w:rsid w:val="008C4A7B"/>
    <w:rsid w:val="008C4AD7"/>
    <w:rsid w:val="008C5399"/>
    <w:rsid w:val="008C582E"/>
    <w:rsid w:val="008C6478"/>
    <w:rsid w:val="008C6F1D"/>
    <w:rsid w:val="008C7680"/>
    <w:rsid w:val="008C7996"/>
    <w:rsid w:val="008C7AB2"/>
    <w:rsid w:val="008D0512"/>
    <w:rsid w:val="008D0843"/>
    <w:rsid w:val="008D0EA8"/>
    <w:rsid w:val="008D21BA"/>
    <w:rsid w:val="008D3C7D"/>
    <w:rsid w:val="008D3FB5"/>
    <w:rsid w:val="008D4330"/>
    <w:rsid w:val="008D4918"/>
    <w:rsid w:val="008D49FA"/>
    <w:rsid w:val="008D5590"/>
    <w:rsid w:val="008D6346"/>
    <w:rsid w:val="008D646A"/>
    <w:rsid w:val="008D7885"/>
    <w:rsid w:val="008D7DF6"/>
    <w:rsid w:val="008D7F38"/>
    <w:rsid w:val="008E0EC6"/>
    <w:rsid w:val="008E1B9A"/>
    <w:rsid w:val="008E2B7D"/>
    <w:rsid w:val="008E2C40"/>
    <w:rsid w:val="008E302A"/>
    <w:rsid w:val="008E4819"/>
    <w:rsid w:val="008E5422"/>
    <w:rsid w:val="008E5C3B"/>
    <w:rsid w:val="008E5DD1"/>
    <w:rsid w:val="008E643E"/>
    <w:rsid w:val="008E646C"/>
    <w:rsid w:val="008E6CD4"/>
    <w:rsid w:val="008E7710"/>
    <w:rsid w:val="008F032C"/>
    <w:rsid w:val="008F0684"/>
    <w:rsid w:val="008F1A7A"/>
    <w:rsid w:val="008F219B"/>
    <w:rsid w:val="008F4BC9"/>
    <w:rsid w:val="008F4D57"/>
    <w:rsid w:val="008F4E08"/>
    <w:rsid w:val="008F502F"/>
    <w:rsid w:val="008F52D6"/>
    <w:rsid w:val="008F7567"/>
    <w:rsid w:val="008F75A0"/>
    <w:rsid w:val="008F79DC"/>
    <w:rsid w:val="008F7E93"/>
    <w:rsid w:val="00900648"/>
    <w:rsid w:val="00901292"/>
    <w:rsid w:val="00902793"/>
    <w:rsid w:val="00902F99"/>
    <w:rsid w:val="00902FA2"/>
    <w:rsid w:val="00903640"/>
    <w:rsid w:val="00903832"/>
    <w:rsid w:val="00903931"/>
    <w:rsid w:val="0090467E"/>
    <w:rsid w:val="0090512D"/>
    <w:rsid w:val="00905263"/>
    <w:rsid w:val="009058FE"/>
    <w:rsid w:val="0090601D"/>
    <w:rsid w:val="009061E1"/>
    <w:rsid w:val="00911C9F"/>
    <w:rsid w:val="0091275E"/>
    <w:rsid w:val="00912ACD"/>
    <w:rsid w:val="00912BE1"/>
    <w:rsid w:val="00912D43"/>
    <w:rsid w:val="00912E48"/>
    <w:rsid w:val="00912F75"/>
    <w:rsid w:val="009135E0"/>
    <w:rsid w:val="00913CA8"/>
    <w:rsid w:val="00913FB5"/>
    <w:rsid w:val="0091443A"/>
    <w:rsid w:val="00914494"/>
    <w:rsid w:val="009145A2"/>
    <w:rsid w:val="009153F8"/>
    <w:rsid w:val="00915AE2"/>
    <w:rsid w:val="00916730"/>
    <w:rsid w:val="00916E05"/>
    <w:rsid w:val="009170F0"/>
    <w:rsid w:val="00917282"/>
    <w:rsid w:val="0091729D"/>
    <w:rsid w:val="0092229B"/>
    <w:rsid w:val="009225A8"/>
    <w:rsid w:val="009234D6"/>
    <w:rsid w:val="00924635"/>
    <w:rsid w:val="0092463A"/>
    <w:rsid w:val="00924AB7"/>
    <w:rsid w:val="0092569A"/>
    <w:rsid w:val="009258B1"/>
    <w:rsid w:val="00925CBB"/>
    <w:rsid w:val="00926A4F"/>
    <w:rsid w:val="009271B6"/>
    <w:rsid w:val="009271E8"/>
    <w:rsid w:val="0092722D"/>
    <w:rsid w:val="009272AC"/>
    <w:rsid w:val="009276AC"/>
    <w:rsid w:val="009276B0"/>
    <w:rsid w:val="009279C2"/>
    <w:rsid w:val="00930299"/>
    <w:rsid w:val="009303A4"/>
    <w:rsid w:val="00931007"/>
    <w:rsid w:val="009312B1"/>
    <w:rsid w:val="00931989"/>
    <w:rsid w:val="009319F3"/>
    <w:rsid w:val="00931A50"/>
    <w:rsid w:val="00931AB5"/>
    <w:rsid w:val="0093361B"/>
    <w:rsid w:val="00933FAB"/>
    <w:rsid w:val="00934025"/>
    <w:rsid w:val="00934347"/>
    <w:rsid w:val="00934CC2"/>
    <w:rsid w:val="009355AB"/>
    <w:rsid w:val="009357A9"/>
    <w:rsid w:val="009358DC"/>
    <w:rsid w:val="00936768"/>
    <w:rsid w:val="00936A0C"/>
    <w:rsid w:val="009379A4"/>
    <w:rsid w:val="009405CF"/>
    <w:rsid w:val="00940D03"/>
    <w:rsid w:val="00940F81"/>
    <w:rsid w:val="009413B3"/>
    <w:rsid w:val="00941434"/>
    <w:rsid w:val="009433F8"/>
    <w:rsid w:val="0094360E"/>
    <w:rsid w:val="00944BD1"/>
    <w:rsid w:val="00944F00"/>
    <w:rsid w:val="00944F99"/>
    <w:rsid w:val="0094542B"/>
    <w:rsid w:val="0094583B"/>
    <w:rsid w:val="00945B44"/>
    <w:rsid w:val="009461C6"/>
    <w:rsid w:val="00946336"/>
    <w:rsid w:val="009467C1"/>
    <w:rsid w:val="00946E72"/>
    <w:rsid w:val="009475CD"/>
    <w:rsid w:val="00947657"/>
    <w:rsid w:val="00947D55"/>
    <w:rsid w:val="009501EF"/>
    <w:rsid w:val="009502ED"/>
    <w:rsid w:val="009506E5"/>
    <w:rsid w:val="00950A96"/>
    <w:rsid w:val="0095153A"/>
    <w:rsid w:val="009515DC"/>
    <w:rsid w:val="0095164B"/>
    <w:rsid w:val="009517FE"/>
    <w:rsid w:val="00951E7F"/>
    <w:rsid w:val="00951F6B"/>
    <w:rsid w:val="0095280D"/>
    <w:rsid w:val="00952C7A"/>
    <w:rsid w:val="00952D7D"/>
    <w:rsid w:val="009532D9"/>
    <w:rsid w:val="00953D32"/>
    <w:rsid w:val="009550F0"/>
    <w:rsid w:val="00955539"/>
    <w:rsid w:val="0095573C"/>
    <w:rsid w:val="00955DFB"/>
    <w:rsid w:val="009566F5"/>
    <w:rsid w:val="00961298"/>
    <w:rsid w:val="00961D77"/>
    <w:rsid w:val="00962D0A"/>
    <w:rsid w:val="00962DA3"/>
    <w:rsid w:val="009649D2"/>
    <w:rsid w:val="00964E9A"/>
    <w:rsid w:val="00965D43"/>
    <w:rsid w:val="00965D4A"/>
    <w:rsid w:val="00965D5A"/>
    <w:rsid w:val="009662AF"/>
    <w:rsid w:val="00966617"/>
    <w:rsid w:val="00967612"/>
    <w:rsid w:val="009704C8"/>
    <w:rsid w:val="00970A65"/>
    <w:rsid w:val="00970F69"/>
    <w:rsid w:val="009715A5"/>
    <w:rsid w:val="00971634"/>
    <w:rsid w:val="0097163F"/>
    <w:rsid w:val="00971771"/>
    <w:rsid w:val="0097222A"/>
    <w:rsid w:val="009725CB"/>
    <w:rsid w:val="00972611"/>
    <w:rsid w:val="009732C1"/>
    <w:rsid w:val="00973FDF"/>
    <w:rsid w:val="00974290"/>
    <w:rsid w:val="00974EB6"/>
    <w:rsid w:val="0097570D"/>
    <w:rsid w:val="00975F38"/>
    <w:rsid w:val="00976178"/>
    <w:rsid w:val="00976290"/>
    <w:rsid w:val="0097671B"/>
    <w:rsid w:val="0098024A"/>
    <w:rsid w:val="009805C2"/>
    <w:rsid w:val="00980A07"/>
    <w:rsid w:val="00980BBE"/>
    <w:rsid w:val="00980D12"/>
    <w:rsid w:val="0098117D"/>
    <w:rsid w:val="009839D1"/>
    <w:rsid w:val="00984ED5"/>
    <w:rsid w:val="009855F8"/>
    <w:rsid w:val="009859F2"/>
    <w:rsid w:val="00985D3D"/>
    <w:rsid w:val="0098636D"/>
    <w:rsid w:val="00986519"/>
    <w:rsid w:val="0098658E"/>
    <w:rsid w:val="009876AC"/>
    <w:rsid w:val="00987F97"/>
    <w:rsid w:val="00987FAA"/>
    <w:rsid w:val="009906A7"/>
    <w:rsid w:val="00990D57"/>
    <w:rsid w:val="0099151B"/>
    <w:rsid w:val="00991712"/>
    <w:rsid w:val="00991A45"/>
    <w:rsid w:val="00991B6B"/>
    <w:rsid w:val="009926EB"/>
    <w:rsid w:val="009926F8"/>
    <w:rsid w:val="00992CB9"/>
    <w:rsid w:val="00994099"/>
    <w:rsid w:val="00995CB3"/>
    <w:rsid w:val="00995D93"/>
    <w:rsid w:val="00997ECA"/>
    <w:rsid w:val="009A004C"/>
    <w:rsid w:val="009A06D8"/>
    <w:rsid w:val="009A1CF9"/>
    <w:rsid w:val="009A1E35"/>
    <w:rsid w:val="009A25B9"/>
    <w:rsid w:val="009A26AD"/>
    <w:rsid w:val="009A2D84"/>
    <w:rsid w:val="009A351B"/>
    <w:rsid w:val="009A3B4E"/>
    <w:rsid w:val="009A3E9D"/>
    <w:rsid w:val="009A3FBA"/>
    <w:rsid w:val="009A517A"/>
    <w:rsid w:val="009A5278"/>
    <w:rsid w:val="009A5792"/>
    <w:rsid w:val="009A582F"/>
    <w:rsid w:val="009A60DD"/>
    <w:rsid w:val="009A6DDF"/>
    <w:rsid w:val="009A7368"/>
    <w:rsid w:val="009A7636"/>
    <w:rsid w:val="009A7B8A"/>
    <w:rsid w:val="009B090E"/>
    <w:rsid w:val="009B113B"/>
    <w:rsid w:val="009B127E"/>
    <w:rsid w:val="009B1B5E"/>
    <w:rsid w:val="009B1FA6"/>
    <w:rsid w:val="009B2F2F"/>
    <w:rsid w:val="009B401C"/>
    <w:rsid w:val="009B55D5"/>
    <w:rsid w:val="009B59F3"/>
    <w:rsid w:val="009B5C96"/>
    <w:rsid w:val="009B61CF"/>
    <w:rsid w:val="009B61FF"/>
    <w:rsid w:val="009B6C0C"/>
    <w:rsid w:val="009B7448"/>
    <w:rsid w:val="009B7839"/>
    <w:rsid w:val="009B7C99"/>
    <w:rsid w:val="009B7E1A"/>
    <w:rsid w:val="009C0162"/>
    <w:rsid w:val="009C05FF"/>
    <w:rsid w:val="009C14D7"/>
    <w:rsid w:val="009C2CAF"/>
    <w:rsid w:val="009C2F43"/>
    <w:rsid w:val="009C3306"/>
    <w:rsid w:val="009C345F"/>
    <w:rsid w:val="009C3AE8"/>
    <w:rsid w:val="009C3D97"/>
    <w:rsid w:val="009C461C"/>
    <w:rsid w:val="009C4A1E"/>
    <w:rsid w:val="009C630D"/>
    <w:rsid w:val="009C68C3"/>
    <w:rsid w:val="009C77C7"/>
    <w:rsid w:val="009D1680"/>
    <w:rsid w:val="009D1F3B"/>
    <w:rsid w:val="009D27CD"/>
    <w:rsid w:val="009D3C30"/>
    <w:rsid w:val="009D438C"/>
    <w:rsid w:val="009D4493"/>
    <w:rsid w:val="009D4939"/>
    <w:rsid w:val="009D517F"/>
    <w:rsid w:val="009D5702"/>
    <w:rsid w:val="009D634F"/>
    <w:rsid w:val="009D6648"/>
    <w:rsid w:val="009D66FC"/>
    <w:rsid w:val="009D74C3"/>
    <w:rsid w:val="009D7556"/>
    <w:rsid w:val="009D7AEA"/>
    <w:rsid w:val="009D7F87"/>
    <w:rsid w:val="009D7F9A"/>
    <w:rsid w:val="009E2AA6"/>
    <w:rsid w:val="009E3509"/>
    <w:rsid w:val="009E3667"/>
    <w:rsid w:val="009E3737"/>
    <w:rsid w:val="009E3839"/>
    <w:rsid w:val="009E3E6C"/>
    <w:rsid w:val="009E4395"/>
    <w:rsid w:val="009E4CC2"/>
    <w:rsid w:val="009E53C7"/>
    <w:rsid w:val="009E5769"/>
    <w:rsid w:val="009E5B51"/>
    <w:rsid w:val="009E5D14"/>
    <w:rsid w:val="009E5E40"/>
    <w:rsid w:val="009E6A53"/>
    <w:rsid w:val="009E6BCF"/>
    <w:rsid w:val="009E70E9"/>
    <w:rsid w:val="009E7A40"/>
    <w:rsid w:val="009E7E31"/>
    <w:rsid w:val="009F0176"/>
    <w:rsid w:val="009F1482"/>
    <w:rsid w:val="009F1573"/>
    <w:rsid w:val="009F22EF"/>
    <w:rsid w:val="009F2651"/>
    <w:rsid w:val="009F27FD"/>
    <w:rsid w:val="009F4788"/>
    <w:rsid w:val="009F48F4"/>
    <w:rsid w:val="009F4DB1"/>
    <w:rsid w:val="009F54DC"/>
    <w:rsid w:val="009F5558"/>
    <w:rsid w:val="009F5E45"/>
    <w:rsid w:val="009F5F70"/>
    <w:rsid w:val="009F5FA7"/>
    <w:rsid w:val="009F62E3"/>
    <w:rsid w:val="009F7079"/>
    <w:rsid w:val="009F7547"/>
    <w:rsid w:val="00A01524"/>
    <w:rsid w:val="00A0265D"/>
    <w:rsid w:val="00A02CBE"/>
    <w:rsid w:val="00A03529"/>
    <w:rsid w:val="00A039B2"/>
    <w:rsid w:val="00A03CB0"/>
    <w:rsid w:val="00A03D8A"/>
    <w:rsid w:val="00A04403"/>
    <w:rsid w:val="00A04A3C"/>
    <w:rsid w:val="00A04AD1"/>
    <w:rsid w:val="00A04EF6"/>
    <w:rsid w:val="00A063AB"/>
    <w:rsid w:val="00A06445"/>
    <w:rsid w:val="00A06510"/>
    <w:rsid w:val="00A06784"/>
    <w:rsid w:val="00A06D53"/>
    <w:rsid w:val="00A06DCA"/>
    <w:rsid w:val="00A07567"/>
    <w:rsid w:val="00A10B5B"/>
    <w:rsid w:val="00A11730"/>
    <w:rsid w:val="00A117B6"/>
    <w:rsid w:val="00A11E0D"/>
    <w:rsid w:val="00A12552"/>
    <w:rsid w:val="00A127CE"/>
    <w:rsid w:val="00A1284E"/>
    <w:rsid w:val="00A12DE0"/>
    <w:rsid w:val="00A12FCE"/>
    <w:rsid w:val="00A13EAE"/>
    <w:rsid w:val="00A1445B"/>
    <w:rsid w:val="00A14540"/>
    <w:rsid w:val="00A14661"/>
    <w:rsid w:val="00A14781"/>
    <w:rsid w:val="00A14CD0"/>
    <w:rsid w:val="00A152CB"/>
    <w:rsid w:val="00A155FB"/>
    <w:rsid w:val="00A1601E"/>
    <w:rsid w:val="00A16335"/>
    <w:rsid w:val="00A1704F"/>
    <w:rsid w:val="00A174ED"/>
    <w:rsid w:val="00A20AAC"/>
    <w:rsid w:val="00A20E23"/>
    <w:rsid w:val="00A20E46"/>
    <w:rsid w:val="00A2109D"/>
    <w:rsid w:val="00A2128A"/>
    <w:rsid w:val="00A215A3"/>
    <w:rsid w:val="00A21BC5"/>
    <w:rsid w:val="00A22864"/>
    <w:rsid w:val="00A23FAE"/>
    <w:rsid w:val="00A2436A"/>
    <w:rsid w:val="00A24894"/>
    <w:rsid w:val="00A24DFB"/>
    <w:rsid w:val="00A24F08"/>
    <w:rsid w:val="00A25EB5"/>
    <w:rsid w:val="00A26ABF"/>
    <w:rsid w:val="00A26CBB"/>
    <w:rsid w:val="00A3035A"/>
    <w:rsid w:val="00A31ED1"/>
    <w:rsid w:val="00A3298B"/>
    <w:rsid w:val="00A32B49"/>
    <w:rsid w:val="00A32C87"/>
    <w:rsid w:val="00A32E88"/>
    <w:rsid w:val="00A33B1F"/>
    <w:rsid w:val="00A33EEE"/>
    <w:rsid w:val="00A33F7E"/>
    <w:rsid w:val="00A3494E"/>
    <w:rsid w:val="00A35CD2"/>
    <w:rsid w:val="00A361FD"/>
    <w:rsid w:val="00A363F5"/>
    <w:rsid w:val="00A3695A"/>
    <w:rsid w:val="00A36FAC"/>
    <w:rsid w:val="00A3786F"/>
    <w:rsid w:val="00A40420"/>
    <w:rsid w:val="00A40C41"/>
    <w:rsid w:val="00A40D1F"/>
    <w:rsid w:val="00A41C81"/>
    <w:rsid w:val="00A44199"/>
    <w:rsid w:val="00A443C1"/>
    <w:rsid w:val="00A44524"/>
    <w:rsid w:val="00A44C36"/>
    <w:rsid w:val="00A44DC4"/>
    <w:rsid w:val="00A44F13"/>
    <w:rsid w:val="00A4518A"/>
    <w:rsid w:val="00A451AA"/>
    <w:rsid w:val="00A45205"/>
    <w:rsid w:val="00A4525C"/>
    <w:rsid w:val="00A452C6"/>
    <w:rsid w:val="00A4539D"/>
    <w:rsid w:val="00A45795"/>
    <w:rsid w:val="00A4581D"/>
    <w:rsid w:val="00A45E9F"/>
    <w:rsid w:val="00A477DA"/>
    <w:rsid w:val="00A47E9A"/>
    <w:rsid w:val="00A47ECF"/>
    <w:rsid w:val="00A50161"/>
    <w:rsid w:val="00A50EEC"/>
    <w:rsid w:val="00A51534"/>
    <w:rsid w:val="00A51BA5"/>
    <w:rsid w:val="00A51C11"/>
    <w:rsid w:val="00A51E45"/>
    <w:rsid w:val="00A52736"/>
    <w:rsid w:val="00A535C6"/>
    <w:rsid w:val="00A53742"/>
    <w:rsid w:val="00A53A8A"/>
    <w:rsid w:val="00A53D63"/>
    <w:rsid w:val="00A5402E"/>
    <w:rsid w:val="00A5477C"/>
    <w:rsid w:val="00A548D8"/>
    <w:rsid w:val="00A54D3D"/>
    <w:rsid w:val="00A54FAE"/>
    <w:rsid w:val="00A551D6"/>
    <w:rsid w:val="00A55B5A"/>
    <w:rsid w:val="00A55F92"/>
    <w:rsid w:val="00A5669C"/>
    <w:rsid w:val="00A56E7D"/>
    <w:rsid w:val="00A57546"/>
    <w:rsid w:val="00A5792F"/>
    <w:rsid w:val="00A60263"/>
    <w:rsid w:val="00A60C6B"/>
    <w:rsid w:val="00A62E98"/>
    <w:rsid w:val="00A63530"/>
    <w:rsid w:val="00A6502F"/>
    <w:rsid w:val="00A65386"/>
    <w:rsid w:val="00A65533"/>
    <w:rsid w:val="00A65785"/>
    <w:rsid w:val="00A6647B"/>
    <w:rsid w:val="00A66B5B"/>
    <w:rsid w:val="00A67C3E"/>
    <w:rsid w:val="00A70860"/>
    <w:rsid w:val="00A7126F"/>
    <w:rsid w:val="00A71DF0"/>
    <w:rsid w:val="00A7224D"/>
    <w:rsid w:val="00A728EB"/>
    <w:rsid w:val="00A73969"/>
    <w:rsid w:val="00A7551D"/>
    <w:rsid w:val="00A759B5"/>
    <w:rsid w:val="00A75EA8"/>
    <w:rsid w:val="00A76861"/>
    <w:rsid w:val="00A7713E"/>
    <w:rsid w:val="00A77456"/>
    <w:rsid w:val="00A779DF"/>
    <w:rsid w:val="00A818ED"/>
    <w:rsid w:val="00A8218C"/>
    <w:rsid w:val="00A82710"/>
    <w:rsid w:val="00A82927"/>
    <w:rsid w:val="00A8337A"/>
    <w:rsid w:val="00A8380D"/>
    <w:rsid w:val="00A83B5D"/>
    <w:rsid w:val="00A84984"/>
    <w:rsid w:val="00A860E3"/>
    <w:rsid w:val="00A86573"/>
    <w:rsid w:val="00A87454"/>
    <w:rsid w:val="00A8763F"/>
    <w:rsid w:val="00A90E9D"/>
    <w:rsid w:val="00A91142"/>
    <w:rsid w:val="00A9150E"/>
    <w:rsid w:val="00A91A51"/>
    <w:rsid w:val="00A9209F"/>
    <w:rsid w:val="00A92EA8"/>
    <w:rsid w:val="00A932EE"/>
    <w:rsid w:val="00A93454"/>
    <w:rsid w:val="00A9380F"/>
    <w:rsid w:val="00A938DC"/>
    <w:rsid w:val="00A93AA7"/>
    <w:rsid w:val="00A93B8B"/>
    <w:rsid w:val="00A94077"/>
    <w:rsid w:val="00A9436A"/>
    <w:rsid w:val="00A9481D"/>
    <w:rsid w:val="00A94A3B"/>
    <w:rsid w:val="00A94B77"/>
    <w:rsid w:val="00A957D3"/>
    <w:rsid w:val="00A96320"/>
    <w:rsid w:val="00A96583"/>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59A"/>
    <w:rsid w:val="00AA5FD2"/>
    <w:rsid w:val="00AA66EC"/>
    <w:rsid w:val="00AA692F"/>
    <w:rsid w:val="00AA7409"/>
    <w:rsid w:val="00AA76B6"/>
    <w:rsid w:val="00AA7C14"/>
    <w:rsid w:val="00AA7D3D"/>
    <w:rsid w:val="00AB00E2"/>
    <w:rsid w:val="00AB0256"/>
    <w:rsid w:val="00AB0406"/>
    <w:rsid w:val="00AB1A1D"/>
    <w:rsid w:val="00AB280A"/>
    <w:rsid w:val="00AB29E6"/>
    <w:rsid w:val="00AB3887"/>
    <w:rsid w:val="00AB3EFF"/>
    <w:rsid w:val="00AB4226"/>
    <w:rsid w:val="00AB47CD"/>
    <w:rsid w:val="00AB60CF"/>
    <w:rsid w:val="00AB62A3"/>
    <w:rsid w:val="00AB781A"/>
    <w:rsid w:val="00AB7C1C"/>
    <w:rsid w:val="00AB7C5A"/>
    <w:rsid w:val="00AC03CB"/>
    <w:rsid w:val="00AC0B22"/>
    <w:rsid w:val="00AC13DC"/>
    <w:rsid w:val="00AC1A38"/>
    <w:rsid w:val="00AC1CE8"/>
    <w:rsid w:val="00AC2211"/>
    <w:rsid w:val="00AC2329"/>
    <w:rsid w:val="00AC27FF"/>
    <w:rsid w:val="00AC3185"/>
    <w:rsid w:val="00AC3969"/>
    <w:rsid w:val="00AC3CCE"/>
    <w:rsid w:val="00AC3FE7"/>
    <w:rsid w:val="00AC42F8"/>
    <w:rsid w:val="00AC46BF"/>
    <w:rsid w:val="00AC5179"/>
    <w:rsid w:val="00AC56DC"/>
    <w:rsid w:val="00AC5869"/>
    <w:rsid w:val="00AC7060"/>
    <w:rsid w:val="00AC7334"/>
    <w:rsid w:val="00AC765E"/>
    <w:rsid w:val="00AD13DF"/>
    <w:rsid w:val="00AD1793"/>
    <w:rsid w:val="00AD1A4F"/>
    <w:rsid w:val="00AD288B"/>
    <w:rsid w:val="00AD2C37"/>
    <w:rsid w:val="00AD2DFA"/>
    <w:rsid w:val="00AD43DC"/>
    <w:rsid w:val="00AD4E00"/>
    <w:rsid w:val="00AD51BA"/>
    <w:rsid w:val="00AD534E"/>
    <w:rsid w:val="00AD579D"/>
    <w:rsid w:val="00AD5D16"/>
    <w:rsid w:val="00AD6677"/>
    <w:rsid w:val="00AD6743"/>
    <w:rsid w:val="00AD6D97"/>
    <w:rsid w:val="00AD7A90"/>
    <w:rsid w:val="00AE04AB"/>
    <w:rsid w:val="00AE11E2"/>
    <w:rsid w:val="00AE11FD"/>
    <w:rsid w:val="00AE1652"/>
    <w:rsid w:val="00AE17F1"/>
    <w:rsid w:val="00AE1A46"/>
    <w:rsid w:val="00AE1AC5"/>
    <w:rsid w:val="00AE20D4"/>
    <w:rsid w:val="00AE35CF"/>
    <w:rsid w:val="00AE3ABA"/>
    <w:rsid w:val="00AE3E60"/>
    <w:rsid w:val="00AE5FB3"/>
    <w:rsid w:val="00AE657E"/>
    <w:rsid w:val="00AE7376"/>
    <w:rsid w:val="00AE7AA8"/>
    <w:rsid w:val="00AF0A72"/>
    <w:rsid w:val="00AF0F5C"/>
    <w:rsid w:val="00AF16CA"/>
    <w:rsid w:val="00AF1907"/>
    <w:rsid w:val="00AF1E10"/>
    <w:rsid w:val="00AF205F"/>
    <w:rsid w:val="00AF2186"/>
    <w:rsid w:val="00AF267C"/>
    <w:rsid w:val="00AF307E"/>
    <w:rsid w:val="00AF3BF5"/>
    <w:rsid w:val="00AF413F"/>
    <w:rsid w:val="00AF4570"/>
    <w:rsid w:val="00AF5DAE"/>
    <w:rsid w:val="00AF5F7B"/>
    <w:rsid w:val="00AF6932"/>
    <w:rsid w:val="00AF7773"/>
    <w:rsid w:val="00AF7928"/>
    <w:rsid w:val="00AF7B27"/>
    <w:rsid w:val="00B00734"/>
    <w:rsid w:val="00B0084C"/>
    <w:rsid w:val="00B011BA"/>
    <w:rsid w:val="00B01604"/>
    <w:rsid w:val="00B01D38"/>
    <w:rsid w:val="00B020F9"/>
    <w:rsid w:val="00B02342"/>
    <w:rsid w:val="00B02F5D"/>
    <w:rsid w:val="00B03A28"/>
    <w:rsid w:val="00B03E07"/>
    <w:rsid w:val="00B04170"/>
    <w:rsid w:val="00B046B2"/>
    <w:rsid w:val="00B04B64"/>
    <w:rsid w:val="00B05092"/>
    <w:rsid w:val="00B0510F"/>
    <w:rsid w:val="00B056A8"/>
    <w:rsid w:val="00B0580F"/>
    <w:rsid w:val="00B05CD3"/>
    <w:rsid w:val="00B05D5F"/>
    <w:rsid w:val="00B060E1"/>
    <w:rsid w:val="00B06120"/>
    <w:rsid w:val="00B0636F"/>
    <w:rsid w:val="00B06DE1"/>
    <w:rsid w:val="00B072DF"/>
    <w:rsid w:val="00B07742"/>
    <w:rsid w:val="00B07AA8"/>
    <w:rsid w:val="00B11B03"/>
    <w:rsid w:val="00B1220B"/>
    <w:rsid w:val="00B12B5B"/>
    <w:rsid w:val="00B13866"/>
    <w:rsid w:val="00B142BB"/>
    <w:rsid w:val="00B14583"/>
    <w:rsid w:val="00B14709"/>
    <w:rsid w:val="00B14DD4"/>
    <w:rsid w:val="00B14ED7"/>
    <w:rsid w:val="00B14F72"/>
    <w:rsid w:val="00B15032"/>
    <w:rsid w:val="00B15B03"/>
    <w:rsid w:val="00B16245"/>
    <w:rsid w:val="00B16CE7"/>
    <w:rsid w:val="00B176DB"/>
    <w:rsid w:val="00B178C8"/>
    <w:rsid w:val="00B17F73"/>
    <w:rsid w:val="00B201DF"/>
    <w:rsid w:val="00B20B7E"/>
    <w:rsid w:val="00B217B2"/>
    <w:rsid w:val="00B21C03"/>
    <w:rsid w:val="00B221E6"/>
    <w:rsid w:val="00B22489"/>
    <w:rsid w:val="00B22B59"/>
    <w:rsid w:val="00B22ECD"/>
    <w:rsid w:val="00B233F8"/>
    <w:rsid w:val="00B23629"/>
    <w:rsid w:val="00B24300"/>
    <w:rsid w:val="00B24586"/>
    <w:rsid w:val="00B24614"/>
    <w:rsid w:val="00B2470F"/>
    <w:rsid w:val="00B2578C"/>
    <w:rsid w:val="00B26CAE"/>
    <w:rsid w:val="00B27FE8"/>
    <w:rsid w:val="00B3003A"/>
    <w:rsid w:val="00B30290"/>
    <w:rsid w:val="00B31C62"/>
    <w:rsid w:val="00B31D5A"/>
    <w:rsid w:val="00B31F45"/>
    <w:rsid w:val="00B329B3"/>
    <w:rsid w:val="00B32F1B"/>
    <w:rsid w:val="00B33458"/>
    <w:rsid w:val="00B33513"/>
    <w:rsid w:val="00B340E2"/>
    <w:rsid w:val="00B341A1"/>
    <w:rsid w:val="00B3448D"/>
    <w:rsid w:val="00B3487E"/>
    <w:rsid w:val="00B34E2C"/>
    <w:rsid w:val="00B350F8"/>
    <w:rsid w:val="00B35840"/>
    <w:rsid w:val="00B3628F"/>
    <w:rsid w:val="00B371BE"/>
    <w:rsid w:val="00B37997"/>
    <w:rsid w:val="00B37BB8"/>
    <w:rsid w:val="00B4010A"/>
    <w:rsid w:val="00B4055B"/>
    <w:rsid w:val="00B4096D"/>
    <w:rsid w:val="00B4128B"/>
    <w:rsid w:val="00B41929"/>
    <w:rsid w:val="00B41DBB"/>
    <w:rsid w:val="00B42A8C"/>
    <w:rsid w:val="00B42C67"/>
    <w:rsid w:val="00B43217"/>
    <w:rsid w:val="00B43598"/>
    <w:rsid w:val="00B438BA"/>
    <w:rsid w:val="00B440DA"/>
    <w:rsid w:val="00B44917"/>
    <w:rsid w:val="00B44966"/>
    <w:rsid w:val="00B44E94"/>
    <w:rsid w:val="00B45C0F"/>
    <w:rsid w:val="00B461A4"/>
    <w:rsid w:val="00B46C6A"/>
    <w:rsid w:val="00B46CBE"/>
    <w:rsid w:val="00B474A5"/>
    <w:rsid w:val="00B516A0"/>
    <w:rsid w:val="00B516D4"/>
    <w:rsid w:val="00B51713"/>
    <w:rsid w:val="00B51AA8"/>
    <w:rsid w:val="00B52554"/>
    <w:rsid w:val="00B52AA6"/>
    <w:rsid w:val="00B52BF4"/>
    <w:rsid w:val="00B530DE"/>
    <w:rsid w:val="00B53C35"/>
    <w:rsid w:val="00B5414C"/>
    <w:rsid w:val="00B54814"/>
    <w:rsid w:val="00B557C8"/>
    <w:rsid w:val="00B55DCB"/>
    <w:rsid w:val="00B55F50"/>
    <w:rsid w:val="00B56339"/>
    <w:rsid w:val="00B563D7"/>
    <w:rsid w:val="00B5648E"/>
    <w:rsid w:val="00B570C2"/>
    <w:rsid w:val="00B575B8"/>
    <w:rsid w:val="00B57AE7"/>
    <w:rsid w:val="00B57C2C"/>
    <w:rsid w:val="00B60B8F"/>
    <w:rsid w:val="00B61665"/>
    <w:rsid w:val="00B61E02"/>
    <w:rsid w:val="00B6211E"/>
    <w:rsid w:val="00B63060"/>
    <w:rsid w:val="00B6324A"/>
    <w:rsid w:val="00B63954"/>
    <w:rsid w:val="00B63CA8"/>
    <w:rsid w:val="00B646C0"/>
    <w:rsid w:val="00B64E0C"/>
    <w:rsid w:val="00B659FD"/>
    <w:rsid w:val="00B65E9D"/>
    <w:rsid w:val="00B66974"/>
    <w:rsid w:val="00B66C10"/>
    <w:rsid w:val="00B674B6"/>
    <w:rsid w:val="00B67928"/>
    <w:rsid w:val="00B70BFE"/>
    <w:rsid w:val="00B736FA"/>
    <w:rsid w:val="00B73CF2"/>
    <w:rsid w:val="00B73D65"/>
    <w:rsid w:val="00B74105"/>
    <w:rsid w:val="00B74A71"/>
    <w:rsid w:val="00B75D1B"/>
    <w:rsid w:val="00B7690B"/>
    <w:rsid w:val="00B76F64"/>
    <w:rsid w:val="00B76FE9"/>
    <w:rsid w:val="00B7701F"/>
    <w:rsid w:val="00B7710C"/>
    <w:rsid w:val="00B77CE9"/>
    <w:rsid w:val="00B80747"/>
    <w:rsid w:val="00B808D8"/>
    <w:rsid w:val="00B8092C"/>
    <w:rsid w:val="00B80C2E"/>
    <w:rsid w:val="00B81132"/>
    <w:rsid w:val="00B81294"/>
    <w:rsid w:val="00B8164C"/>
    <w:rsid w:val="00B8192E"/>
    <w:rsid w:val="00B8218C"/>
    <w:rsid w:val="00B82371"/>
    <w:rsid w:val="00B83113"/>
    <w:rsid w:val="00B84795"/>
    <w:rsid w:val="00B84972"/>
    <w:rsid w:val="00B84CA7"/>
    <w:rsid w:val="00B85739"/>
    <w:rsid w:val="00B86542"/>
    <w:rsid w:val="00B867DC"/>
    <w:rsid w:val="00B86BCF"/>
    <w:rsid w:val="00B871B4"/>
    <w:rsid w:val="00B8761B"/>
    <w:rsid w:val="00B879FA"/>
    <w:rsid w:val="00B87A7D"/>
    <w:rsid w:val="00B87D6C"/>
    <w:rsid w:val="00B903DA"/>
    <w:rsid w:val="00B91176"/>
    <w:rsid w:val="00B9129F"/>
    <w:rsid w:val="00B91409"/>
    <w:rsid w:val="00B9162F"/>
    <w:rsid w:val="00B917C5"/>
    <w:rsid w:val="00B92F9D"/>
    <w:rsid w:val="00B9349A"/>
    <w:rsid w:val="00B93D1E"/>
    <w:rsid w:val="00B93E68"/>
    <w:rsid w:val="00B9446D"/>
    <w:rsid w:val="00B954A7"/>
    <w:rsid w:val="00B95B3C"/>
    <w:rsid w:val="00B95F60"/>
    <w:rsid w:val="00B95FB7"/>
    <w:rsid w:val="00B970D3"/>
    <w:rsid w:val="00B97803"/>
    <w:rsid w:val="00B97B03"/>
    <w:rsid w:val="00BA0FE9"/>
    <w:rsid w:val="00BA1A1C"/>
    <w:rsid w:val="00BA23AB"/>
    <w:rsid w:val="00BA2875"/>
    <w:rsid w:val="00BA28EF"/>
    <w:rsid w:val="00BA3156"/>
    <w:rsid w:val="00BA321D"/>
    <w:rsid w:val="00BA36C4"/>
    <w:rsid w:val="00BA38B1"/>
    <w:rsid w:val="00BA3FB0"/>
    <w:rsid w:val="00BA4A21"/>
    <w:rsid w:val="00BA502F"/>
    <w:rsid w:val="00BA53B6"/>
    <w:rsid w:val="00BA5947"/>
    <w:rsid w:val="00BA698D"/>
    <w:rsid w:val="00BA7914"/>
    <w:rsid w:val="00BA7FCA"/>
    <w:rsid w:val="00BB0368"/>
    <w:rsid w:val="00BB2084"/>
    <w:rsid w:val="00BB26A3"/>
    <w:rsid w:val="00BB29DA"/>
    <w:rsid w:val="00BB37E8"/>
    <w:rsid w:val="00BB3886"/>
    <w:rsid w:val="00BB3C70"/>
    <w:rsid w:val="00BB3F39"/>
    <w:rsid w:val="00BB524D"/>
    <w:rsid w:val="00BB53A2"/>
    <w:rsid w:val="00BB5504"/>
    <w:rsid w:val="00BB5FD9"/>
    <w:rsid w:val="00BB60B3"/>
    <w:rsid w:val="00BB6C2B"/>
    <w:rsid w:val="00BB6D19"/>
    <w:rsid w:val="00BB6E46"/>
    <w:rsid w:val="00BB7447"/>
    <w:rsid w:val="00BB763E"/>
    <w:rsid w:val="00BB765B"/>
    <w:rsid w:val="00BB7C84"/>
    <w:rsid w:val="00BB7D26"/>
    <w:rsid w:val="00BC01C5"/>
    <w:rsid w:val="00BC0ED7"/>
    <w:rsid w:val="00BC0FD0"/>
    <w:rsid w:val="00BC162D"/>
    <w:rsid w:val="00BC213B"/>
    <w:rsid w:val="00BC279C"/>
    <w:rsid w:val="00BC28A0"/>
    <w:rsid w:val="00BC33DA"/>
    <w:rsid w:val="00BC3610"/>
    <w:rsid w:val="00BC4E99"/>
    <w:rsid w:val="00BC4EB1"/>
    <w:rsid w:val="00BC52B6"/>
    <w:rsid w:val="00BC5A4A"/>
    <w:rsid w:val="00BC666A"/>
    <w:rsid w:val="00BC7067"/>
    <w:rsid w:val="00BC76E8"/>
    <w:rsid w:val="00BD1CC1"/>
    <w:rsid w:val="00BD1D72"/>
    <w:rsid w:val="00BD1D77"/>
    <w:rsid w:val="00BD35C0"/>
    <w:rsid w:val="00BD3647"/>
    <w:rsid w:val="00BD39BD"/>
    <w:rsid w:val="00BD3BB2"/>
    <w:rsid w:val="00BD44C1"/>
    <w:rsid w:val="00BD4993"/>
    <w:rsid w:val="00BD4AF6"/>
    <w:rsid w:val="00BD53E5"/>
    <w:rsid w:val="00BD54FA"/>
    <w:rsid w:val="00BD5658"/>
    <w:rsid w:val="00BD5D84"/>
    <w:rsid w:val="00BD681C"/>
    <w:rsid w:val="00BD6CD3"/>
    <w:rsid w:val="00BD6CFC"/>
    <w:rsid w:val="00BD7750"/>
    <w:rsid w:val="00BE0484"/>
    <w:rsid w:val="00BE13CA"/>
    <w:rsid w:val="00BE1766"/>
    <w:rsid w:val="00BE19E8"/>
    <w:rsid w:val="00BE1C2C"/>
    <w:rsid w:val="00BE1FEE"/>
    <w:rsid w:val="00BE2C83"/>
    <w:rsid w:val="00BE39BD"/>
    <w:rsid w:val="00BE3F1D"/>
    <w:rsid w:val="00BE485C"/>
    <w:rsid w:val="00BE4A65"/>
    <w:rsid w:val="00BE5893"/>
    <w:rsid w:val="00BE5A44"/>
    <w:rsid w:val="00BE7713"/>
    <w:rsid w:val="00BF006C"/>
    <w:rsid w:val="00BF08DC"/>
    <w:rsid w:val="00BF09B4"/>
    <w:rsid w:val="00BF0C08"/>
    <w:rsid w:val="00BF18DC"/>
    <w:rsid w:val="00BF2429"/>
    <w:rsid w:val="00BF2D68"/>
    <w:rsid w:val="00BF30CD"/>
    <w:rsid w:val="00BF32BF"/>
    <w:rsid w:val="00BF3DE3"/>
    <w:rsid w:val="00BF3EE7"/>
    <w:rsid w:val="00BF40AE"/>
    <w:rsid w:val="00BF4BB7"/>
    <w:rsid w:val="00BF4D7C"/>
    <w:rsid w:val="00BF5650"/>
    <w:rsid w:val="00BF565F"/>
    <w:rsid w:val="00BF5F4D"/>
    <w:rsid w:val="00BF64F8"/>
    <w:rsid w:val="00BF7163"/>
    <w:rsid w:val="00BF7AAD"/>
    <w:rsid w:val="00BF7C2D"/>
    <w:rsid w:val="00C0062A"/>
    <w:rsid w:val="00C01B63"/>
    <w:rsid w:val="00C01DCE"/>
    <w:rsid w:val="00C022E7"/>
    <w:rsid w:val="00C02735"/>
    <w:rsid w:val="00C027B1"/>
    <w:rsid w:val="00C02ED0"/>
    <w:rsid w:val="00C03139"/>
    <w:rsid w:val="00C035FB"/>
    <w:rsid w:val="00C037BC"/>
    <w:rsid w:val="00C03C58"/>
    <w:rsid w:val="00C046C5"/>
    <w:rsid w:val="00C0475D"/>
    <w:rsid w:val="00C04820"/>
    <w:rsid w:val="00C04EDE"/>
    <w:rsid w:val="00C05163"/>
    <w:rsid w:val="00C05D3B"/>
    <w:rsid w:val="00C0650B"/>
    <w:rsid w:val="00C06555"/>
    <w:rsid w:val="00C065CF"/>
    <w:rsid w:val="00C0782B"/>
    <w:rsid w:val="00C10213"/>
    <w:rsid w:val="00C10317"/>
    <w:rsid w:val="00C107BE"/>
    <w:rsid w:val="00C12341"/>
    <w:rsid w:val="00C12E83"/>
    <w:rsid w:val="00C1328A"/>
    <w:rsid w:val="00C13593"/>
    <w:rsid w:val="00C13A6A"/>
    <w:rsid w:val="00C1435E"/>
    <w:rsid w:val="00C146B6"/>
    <w:rsid w:val="00C147E6"/>
    <w:rsid w:val="00C14806"/>
    <w:rsid w:val="00C14B74"/>
    <w:rsid w:val="00C14DC7"/>
    <w:rsid w:val="00C15138"/>
    <w:rsid w:val="00C159A2"/>
    <w:rsid w:val="00C15A44"/>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6FAF"/>
    <w:rsid w:val="00C27142"/>
    <w:rsid w:val="00C27D18"/>
    <w:rsid w:val="00C303F4"/>
    <w:rsid w:val="00C308CB"/>
    <w:rsid w:val="00C31ADC"/>
    <w:rsid w:val="00C32CFD"/>
    <w:rsid w:val="00C336C3"/>
    <w:rsid w:val="00C33A54"/>
    <w:rsid w:val="00C34992"/>
    <w:rsid w:val="00C34C19"/>
    <w:rsid w:val="00C34EE0"/>
    <w:rsid w:val="00C350E2"/>
    <w:rsid w:val="00C35BB5"/>
    <w:rsid w:val="00C35E9A"/>
    <w:rsid w:val="00C36081"/>
    <w:rsid w:val="00C36436"/>
    <w:rsid w:val="00C36D00"/>
    <w:rsid w:val="00C36DC3"/>
    <w:rsid w:val="00C36EF0"/>
    <w:rsid w:val="00C37164"/>
    <w:rsid w:val="00C37251"/>
    <w:rsid w:val="00C37EA0"/>
    <w:rsid w:val="00C4049A"/>
    <w:rsid w:val="00C4073D"/>
    <w:rsid w:val="00C40E51"/>
    <w:rsid w:val="00C41498"/>
    <w:rsid w:val="00C426D2"/>
    <w:rsid w:val="00C42CA0"/>
    <w:rsid w:val="00C43979"/>
    <w:rsid w:val="00C43D1A"/>
    <w:rsid w:val="00C45190"/>
    <w:rsid w:val="00C45C43"/>
    <w:rsid w:val="00C467AB"/>
    <w:rsid w:val="00C46B18"/>
    <w:rsid w:val="00C47256"/>
    <w:rsid w:val="00C51EC3"/>
    <w:rsid w:val="00C521BB"/>
    <w:rsid w:val="00C527C3"/>
    <w:rsid w:val="00C538AB"/>
    <w:rsid w:val="00C53B5B"/>
    <w:rsid w:val="00C5492F"/>
    <w:rsid w:val="00C5498C"/>
    <w:rsid w:val="00C55C68"/>
    <w:rsid w:val="00C55E67"/>
    <w:rsid w:val="00C55FBC"/>
    <w:rsid w:val="00C56CF7"/>
    <w:rsid w:val="00C56DB6"/>
    <w:rsid w:val="00C57EED"/>
    <w:rsid w:val="00C601CB"/>
    <w:rsid w:val="00C606E4"/>
    <w:rsid w:val="00C60908"/>
    <w:rsid w:val="00C60E6A"/>
    <w:rsid w:val="00C61015"/>
    <w:rsid w:val="00C6105A"/>
    <w:rsid w:val="00C610F5"/>
    <w:rsid w:val="00C615DD"/>
    <w:rsid w:val="00C617A4"/>
    <w:rsid w:val="00C62A72"/>
    <w:rsid w:val="00C63288"/>
    <w:rsid w:val="00C639A2"/>
    <w:rsid w:val="00C63DD7"/>
    <w:rsid w:val="00C645C5"/>
    <w:rsid w:val="00C64C91"/>
    <w:rsid w:val="00C65339"/>
    <w:rsid w:val="00C659A9"/>
    <w:rsid w:val="00C66B12"/>
    <w:rsid w:val="00C6715F"/>
    <w:rsid w:val="00C67298"/>
    <w:rsid w:val="00C67825"/>
    <w:rsid w:val="00C67A25"/>
    <w:rsid w:val="00C70471"/>
    <w:rsid w:val="00C70989"/>
    <w:rsid w:val="00C71222"/>
    <w:rsid w:val="00C71A30"/>
    <w:rsid w:val="00C71DC5"/>
    <w:rsid w:val="00C7457F"/>
    <w:rsid w:val="00C74805"/>
    <w:rsid w:val="00C7487B"/>
    <w:rsid w:val="00C755C6"/>
    <w:rsid w:val="00C755EA"/>
    <w:rsid w:val="00C761EC"/>
    <w:rsid w:val="00C76E97"/>
    <w:rsid w:val="00C76F28"/>
    <w:rsid w:val="00C77861"/>
    <w:rsid w:val="00C77E26"/>
    <w:rsid w:val="00C77F94"/>
    <w:rsid w:val="00C80AD4"/>
    <w:rsid w:val="00C80BD4"/>
    <w:rsid w:val="00C80C48"/>
    <w:rsid w:val="00C80F26"/>
    <w:rsid w:val="00C81235"/>
    <w:rsid w:val="00C814ED"/>
    <w:rsid w:val="00C819B4"/>
    <w:rsid w:val="00C81E4A"/>
    <w:rsid w:val="00C820F2"/>
    <w:rsid w:val="00C8289C"/>
    <w:rsid w:val="00C83083"/>
    <w:rsid w:val="00C8342C"/>
    <w:rsid w:val="00C840E2"/>
    <w:rsid w:val="00C85FD8"/>
    <w:rsid w:val="00C8682D"/>
    <w:rsid w:val="00C87929"/>
    <w:rsid w:val="00C9224E"/>
    <w:rsid w:val="00C92583"/>
    <w:rsid w:val="00C93A49"/>
    <w:rsid w:val="00C94401"/>
    <w:rsid w:val="00C94450"/>
    <w:rsid w:val="00C95161"/>
    <w:rsid w:val="00C95665"/>
    <w:rsid w:val="00C958CB"/>
    <w:rsid w:val="00C9747D"/>
    <w:rsid w:val="00C97660"/>
    <w:rsid w:val="00C979DE"/>
    <w:rsid w:val="00C97D86"/>
    <w:rsid w:val="00C97FD9"/>
    <w:rsid w:val="00CA03CE"/>
    <w:rsid w:val="00CA1371"/>
    <w:rsid w:val="00CA1466"/>
    <w:rsid w:val="00CA187D"/>
    <w:rsid w:val="00CA1A0E"/>
    <w:rsid w:val="00CA20F0"/>
    <w:rsid w:val="00CA2910"/>
    <w:rsid w:val="00CA3105"/>
    <w:rsid w:val="00CA45EE"/>
    <w:rsid w:val="00CA4D25"/>
    <w:rsid w:val="00CA6C33"/>
    <w:rsid w:val="00CB01A4"/>
    <w:rsid w:val="00CB0AF8"/>
    <w:rsid w:val="00CB122B"/>
    <w:rsid w:val="00CB1A88"/>
    <w:rsid w:val="00CB1BBB"/>
    <w:rsid w:val="00CB1E04"/>
    <w:rsid w:val="00CB279D"/>
    <w:rsid w:val="00CB2AAA"/>
    <w:rsid w:val="00CB4276"/>
    <w:rsid w:val="00CB4597"/>
    <w:rsid w:val="00CB5AF5"/>
    <w:rsid w:val="00CB5CCB"/>
    <w:rsid w:val="00CB6C6D"/>
    <w:rsid w:val="00CB7119"/>
    <w:rsid w:val="00CB76D0"/>
    <w:rsid w:val="00CC01C9"/>
    <w:rsid w:val="00CC023E"/>
    <w:rsid w:val="00CC0666"/>
    <w:rsid w:val="00CC0B73"/>
    <w:rsid w:val="00CC0F4C"/>
    <w:rsid w:val="00CC1471"/>
    <w:rsid w:val="00CC1507"/>
    <w:rsid w:val="00CC1528"/>
    <w:rsid w:val="00CC1DC5"/>
    <w:rsid w:val="00CC2064"/>
    <w:rsid w:val="00CC25B5"/>
    <w:rsid w:val="00CC2CDA"/>
    <w:rsid w:val="00CC315D"/>
    <w:rsid w:val="00CC48C4"/>
    <w:rsid w:val="00CC51F9"/>
    <w:rsid w:val="00CC5443"/>
    <w:rsid w:val="00CC5DD3"/>
    <w:rsid w:val="00CC61A7"/>
    <w:rsid w:val="00CC61B2"/>
    <w:rsid w:val="00CC7341"/>
    <w:rsid w:val="00CC76C1"/>
    <w:rsid w:val="00CD026F"/>
    <w:rsid w:val="00CD03CC"/>
    <w:rsid w:val="00CD098D"/>
    <w:rsid w:val="00CD09FD"/>
    <w:rsid w:val="00CD0D79"/>
    <w:rsid w:val="00CD0E18"/>
    <w:rsid w:val="00CD16E6"/>
    <w:rsid w:val="00CD2A83"/>
    <w:rsid w:val="00CD2CB0"/>
    <w:rsid w:val="00CD3270"/>
    <w:rsid w:val="00CD3A45"/>
    <w:rsid w:val="00CD4BD0"/>
    <w:rsid w:val="00CD4E2C"/>
    <w:rsid w:val="00CD539F"/>
    <w:rsid w:val="00CD5DD1"/>
    <w:rsid w:val="00CD7324"/>
    <w:rsid w:val="00CD7330"/>
    <w:rsid w:val="00CD7CAC"/>
    <w:rsid w:val="00CD7E06"/>
    <w:rsid w:val="00CE0AFE"/>
    <w:rsid w:val="00CE25A4"/>
    <w:rsid w:val="00CE2E39"/>
    <w:rsid w:val="00CE3776"/>
    <w:rsid w:val="00CE3B81"/>
    <w:rsid w:val="00CE3BFF"/>
    <w:rsid w:val="00CE42A7"/>
    <w:rsid w:val="00CE4BDC"/>
    <w:rsid w:val="00CE513F"/>
    <w:rsid w:val="00CE5CC5"/>
    <w:rsid w:val="00CE6E00"/>
    <w:rsid w:val="00CE6F3C"/>
    <w:rsid w:val="00CE7317"/>
    <w:rsid w:val="00CE7698"/>
    <w:rsid w:val="00CE78EC"/>
    <w:rsid w:val="00CF0201"/>
    <w:rsid w:val="00CF0402"/>
    <w:rsid w:val="00CF17C2"/>
    <w:rsid w:val="00CF2956"/>
    <w:rsid w:val="00CF2A90"/>
    <w:rsid w:val="00CF3102"/>
    <w:rsid w:val="00CF3D0B"/>
    <w:rsid w:val="00CF4448"/>
    <w:rsid w:val="00CF45BD"/>
    <w:rsid w:val="00CF4B44"/>
    <w:rsid w:val="00CF54DD"/>
    <w:rsid w:val="00CF56AA"/>
    <w:rsid w:val="00CF59EF"/>
    <w:rsid w:val="00CF68ED"/>
    <w:rsid w:val="00CF73F0"/>
    <w:rsid w:val="00CF7559"/>
    <w:rsid w:val="00CF75BB"/>
    <w:rsid w:val="00CF7825"/>
    <w:rsid w:val="00CF7DD0"/>
    <w:rsid w:val="00D0016D"/>
    <w:rsid w:val="00D00F01"/>
    <w:rsid w:val="00D02628"/>
    <w:rsid w:val="00D0281A"/>
    <w:rsid w:val="00D03A51"/>
    <w:rsid w:val="00D03C63"/>
    <w:rsid w:val="00D0404B"/>
    <w:rsid w:val="00D04722"/>
    <w:rsid w:val="00D054CE"/>
    <w:rsid w:val="00D05EAA"/>
    <w:rsid w:val="00D05F3C"/>
    <w:rsid w:val="00D06F7B"/>
    <w:rsid w:val="00D07A35"/>
    <w:rsid w:val="00D07CAF"/>
    <w:rsid w:val="00D10E5F"/>
    <w:rsid w:val="00D113E7"/>
    <w:rsid w:val="00D11981"/>
    <w:rsid w:val="00D11EC6"/>
    <w:rsid w:val="00D12572"/>
    <w:rsid w:val="00D129EE"/>
    <w:rsid w:val="00D1510B"/>
    <w:rsid w:val="00D1559B"/>
    <w:rsid w:val="00D1721B"/>
    <w:rsid w:val="00D1741C"/>
    <w:rsid w:val="00D204A5"/>
    <w:rsid w:val="00D21D03"/>
    <w:rsid w:val="00D226E7"/>
    <w:rsid w:val="00D22BA7"/>
    <w:rsid w:val="00D245D3"/>
    <w:rsid w:val="00D24CF5"/>
    <w:rsid w:val="00D25AAB"/>
    <w:rsid w:val="00D25EFA"/>
    <w:rsid w:val="00D25FDF"/>
    <w:rsid w:val="00D2612A"/>
    <w:rsid w:val="00D26EE2"/>
    <w:rsid w:val="00D27959"/>
    <w:rsid w:val="00D31382"/>
    <w:rsid w:val="00D31E08"/>
    <w:rsid w:val="00D32572"/>
    <w:rsid w:val="00D3260A"/>
    <w:rsid w:val="00D32AAE"/>
    <w:rsid w:val="00D34C29"/>
    <w:rsid w:val="00D35750"/>
    <w:rsid w:val="00D35C04"/>
    <w:rsid w:val="00D35D61"/>
    <w:rsid w:val="00D35F04"/>
    <w:rsid w:val="00D36009"/>
    <w:rsid w:val="00D36CF9"/>
    <w:rsid w:val="00D36FD5"/>
    <w:rsid w:val="00D37482"/>
    <w:rsid w:val="00D402A8"/>
    <w:rsid w:val="00D408D5"/>
    <w:rsid w:val="00D40FAC"/>
    <w:rsid w:val="00D42053"/>
    <w:rsid w:val="00D42964"/>
    <w:rsid w:val="00D42D9A"/>
    <w:rsid w:val="00D4338E"/>
    <w:rsid w:val="00D43760"/>
    <w:rsid w:val="00D43DED"/>
    <w:rsid w:val="00D43DFD"/>
    <w:rsid w:val="00D455ED"/>
    <w:rsid w:val="00D45CA4"/>
    <w:rsid w:val="00D45E13"/>
    <w:rsid w:val="00D464F8"/>
    <w:rsid w:val="00D47331"/>
    <w:rsid w:val="00D4756F"/>
    <w:rsid w:val="00D477E2"/>
    <w:rsid w:val="00D47A0A"/>
    <w:rsid w:val="00D47F62"/>
    <w:rsid w:val="00D50458"/>
    <w:rsid w:val="00D509B4"/>
    <w:rsid w:val="00D51519"/>
    <w:rsid w:val="00D518A8"/>
    <w:rsid w:val="00D519E8"/>
    <w:rsid w:val="00D51A1C"/>
    <w:rsid w:val="00D51C34"/>
    <w:rsid w:val="00D53785"/>
    <w:rsid w:val="00D540B0"/>
    <w:rsid w:val="00D540C4"/>
    <w:rsid w:val="00D54B34"/>
    <w:rsid w:val="00D5556F"/>
    <w:rsid w:val="00D55C51"/>
    <w:rsid w:val="00D56E83"/>
    <w:rsid w:val="00D56F92"/>
    <w:rsid w:val="00D57775"/>
    <w:rsid w:val="00D57844"/>
    <w:rsid w:val="00D5795B"/>
    <w:rsid w:val="00D57ECB"/>
    <w:rsid w:val="00D60070"/>
    <w:rsid w:val="00D62171"/>
    <w:rsid w:val="00D63BF8"/>
    <w:rsid w:val="00D646EE"/>
    <w:rsid w:val="00D64734"/>
    <w:rsid w:val="00D647F6"/>
    <w:rsid w:val="00D64CB5"/>
    <w:rsid w:val="00D65583"/>
    <w:rsid w:val="00D66AB6"/>
    <w:rsid w:val="00D66C9B"/>
    <w:rsid w:val="00D66D45"/>
    <w:rsid w:val="00D66E14"/>
    <w:rsid w:val="00D677DF"/>
    <w:rsid w:val="00D679B2"/>
    <w:rsid w:val="00D67D8A"/>
    <w:rsid w:val="00D67F8D"/>
    <w:rsid w:val="00D7010C"/>
    <w:rsid w:val="00D7063C"/>
    <w:rsid w:val="00D70A0D"/>
    <w:rsid w:val="00D71B89"/>
    <w:rsid w:val="00D71D51"/>
    <w:rsid w:val="00D72C7C"/>
    <w:rsid w:val="00D73327"/>
    <w:rsid w:val="00D73333"/>
    <w:rsid w:val="00D7412C"/>
    <w:rsid w:val="00D775B7"/>
    <w:rsid w:val="00D7798B"/>
    <w:rsid w:val="00D8015C"/>
    <w:rsid w:val="00D80A9B"/>
    <w:rsid w:val="00D810CB"/>
    <w:rsid w:val="00D8168C"/>
    <w:rsid w:val="00D81A68"/>
    <w:rsid w:val="00D82FC3"/>
    <w:rsid w:val="00D838CD"/>
    <w:rsid w:val="00D83B13"/>
    <w:rsid w:val="00D8422B"/>
    <w:rsid w:val="00D84DCF"/>
    <w:rsid w:val="00D855FB"/>
    <w:rsid w:val="00D85847"/>
    <w:rsid w:val="00D861C1"/>
    <w:rsid w:val="00D86ECA"/>
    <w:rsid w:val="00D87995"/>
    <w:rsid w:val="00D9004C"/>
    <w:rsid w:val="00D906A1"/>
    <w:rsid w:val="00D90B12"/>
    <w:rsid w:val="00D916B9"/>
    <w:rsid w:val="00D91F90"/>
    <w:rsid w:val="00D91FDE"/>
    <w:rsid w:val="00D92222"/>
    <w:rsid w:val="00D9255D"/>
    <w:rsid w:val="00D93495"/>
    <w:rsid w:val="00D93C5A"/>
    <w:rsid w:val="00D94B94"/>
    <w:rsid w:val="00D94DF1"/>
    <w:rsid w:val="00D94E3F"/>
    <w:rsid w:val="00D955F1"/>
    <w:rsid w:val="00D95C6F"/>
    <w:rsid w:val="00D965BC"/>
    <w:rsid w:val="00D96F1E"/>
    <w:rsid w:val="00D96FB9"/>
    <w:rsid w:val="00D97132"/>
    <w:rsid w:val="00D979FD"/>
    <w:rsid w:val="00D97C93"/>
    <w:rsid w:val="00DA04B6"/>
    <w:rsid w:val="00DA0639"/>
    <w:rsid w:val="00DA06E5"/>
    <w:rsid w:val="00DA0E78"/>
    <w:rsid w:val="00DA0ED6"/>
    <w:rsid w:val="00DA1151"/>
    <w:rsid w:val="00DA1469"/>
    <w:rsid w:val="00DA1A54"/>
    <w:rsid w:val="00DA1CDD"/>
    <w:rsid w:val="00DA1DE2"/>
    <w:rsid w:val="00DA2080"/>
    <w:rsid w:val="00DA273D"/>
    <w:rsid w:val="00DA27F9"/>
    <w:rsid w:val="00DA3554"/>
    <w:rsid w:val="00DA35A0"/>
    <w:rsid w:val="00DA461A"/>
    <w:rsid w:val="00DA4B3D"/>
    <w:rsid w:val="00DA4B59"/>
    <w:rsid w:val="00DA7227"/>
    <w:rsid w:val="00DA7465"/>
    <w:rsid w:val="00DA7B05"/>
    <w:rsid w:val="00DA7DD9"/>
    <w:rsid w:val="00DB030B"/>
    <w:rsid w:val="00DB05E9"/>
    <w:rsid w:val="00DB1000"/>
    <w:rsid w:val="00DB13D4"/>
    <w:rsid w:val="00DB1801"/>
    <w:rsid w:val="00DB22FA"/>
    <w:rsid w:val="00DB237A"/>
    <w:rsid w:val="00DB2B66"/>
    <w:rsid w:val="00DB2FEB"/>
    <w:rsid w:val="00DB3A80"/>
    <w:rsid w:val="00DB3C6E"/>
    <w:rsid w:val="00DB4423"/>
    <w:rsid w:val="00DB4754"/>
    <w:rsid w:val="00DB555C"/>
    <w:rsid w:val="00DB557F"/>
    <w:rsid w:val="00DB566F"/>
    <w:rsid w:val="00DB5A0F"/>
    <w:rsid w:val="00DB605C"/>
    <w:rsid w:val="00DB63EF"/>
    <w:rsid w:val="00DB707F"/>
    <w:rsid w:val="00DC02AB"/>
    <w:rsid w:val="00DC171E"/>
    <w:rsid w:val="00DC25B7"/>
    <w:rsid w:val="00DC2DE8"/>
    <w:rsid w:val="00DC2F47"/>
    <w:rsid w:val="00DC4089"/>
    <w:rsid w:val="00DC4806"/>
    <w:rsid w:val="00DC58E7"/>
    <w:rsid w:val="00DC5A4C"/>
    <w:rsid w:val="00DC6D00"/>
    <w:rsid w:val="00DC7719"/>
    <w:rsid w:val="00DC77B9"/>
    <w:rsid w:val="00DC783F"/>
    <w:rsid w:val="00DC7B90"/>
    <w:rsid w:val="00DD050E"/>
    <w:rsid w:val="00DD0AF9"/>
    <w:rsid w:val="00DD0E83"/>
    <w:rsid w:val="00DD257F"/>
    <w:rsid w:val="00DD313E"/>
    <w:rsid w:val="00DD3954"/>
    <w:rsid w:val="00DD4A85"/>
    <w:rsid w:val="00DD5257"/>
    <w:rsid w:val="00DD5409"/>
    <w:rsid w:val="00DD6320"/>
    <w:rsid w:val="00DD6912"/>
    <w:rsid w:val="00DD7201"/>
    <w:rsid w:val="00DE0265"/>
    <w:rsid w:val="00DE0C7C"/>
    <w:rsid w:val="00DE0EDF"/>
    <w:rsid w:val="00DE0EE4"/>
    <w:rsid w:val="00DE180B"/>
    <w:rsid w:val="00DE3755"/>
    <w:rsid w:val="00DE3A7B"/>
    <w:rsid w:val="00DE3EFB"/>
    <w:rsid w:val="00DE3FD9"/>
    <w:rsid w:val="00DE4580"/>
    <w:rsid w:val="00DE5249"/>
    <w:rsid w:val="00DE5473"/>
    <w:rsid w:val="00DE5F72"/>
    <w:rsid w:val="00DE6EF1"/>
    <w:rsid w:val="00DE737A"/>
    <w:rsid w:val="00DE749A"/>
    <w:rsid w:val="00DE77B1"/>
    <w:rsid w:val="00DE7F55"/>
    <w:rsid w:val="00DE7F85"/>
    <w:rsid w:val="00DF09F9"/>
    <w:rsid w:val="00DF0A97"/>
    <w:rsid w:val="00DF131D"/>
    <w:rsid w:val="00DF166B"/>
    <w:rsid w:val="00DF1778"/>
    <w:rsid w:val="00DF1D01"/>
    <w:rsid w:val="00DF1D6C"/>
    <w:rsid w:val="00DF268B"/>
    <w:rsid w:val="00DF2B50"/>
    <w:rsid w:val="00DF41A4"/>
    <w:rsid w:val="00DF4C1E"/>
    <w:rsid w:val="00DF4ED8"/>
    <w:rsid w:val="00DF4F39"/>
    <w:rsid w:val="00DF504D"/>
    <w:rsid w:val="00DF530A"/>
    <w:rsid w:val="00DF5554"/>
    <w:rsid w:val="00DF613F"/>
    <w:rsid w:val="00DF637B"/>
    <w:rsid w:val="00DF6816"/>
    <w:rsid w:val="00DF70DA"/>
    <w:rsid w:val="00DF737A"/>
    <w:rsid w:val="00E002CF"/>
    <w:rsid w:val="00E0037E"/>
    <w:rsid w:val="00E003BD"/>
    <w:rsid w:val="00E00502"/>
    <w:rsid w:val="00E00692"/>
    <w:rsid w:val="00E00976"/>
    <w:rsid w:val="00E00CD4"/>
    <w:rsid w:val="00E01CB8"/>
    <w:rsid w:val="00E02281"/>
    <w:rsid w:val="00E02B5F"/>
    <w:rsid w:val="00E02FA4"/>
    <w:rsid w:val="00E02FDC"/>
    <w:rsid w:val="00E03C7A"/>
    <w:rsid w:val="00E0439D"/>
    <w:rsid w:val="00E0474E"/>
    <w:rsid w:val="00E056CB"/>
    <w:rsid w:val="00E05C35"/>
    <w:rsid w:val="00E05C4A"/>
    <w:rsid w:val="00E05DF7"/>
    <w:rsid w:val="00E07ED3"/>
    <w:rsid w:val="00E1047F"/>
    <w:rsid w:val="00E11FA9"/>
    <w:rsid w:val="00E123A5"/>
    <w:rsid w:val="00E12D36"/>
    <w:rsid w:val="00E13C05"/>
    <w:rsid w:val="00E13EC7"/>
    <w:rsid w:val="00E14FD3"/>
    <w:rsid w:val="00E15512"/>
    <w:rsid w:val="00E1577B"/>
    <w:rsid w:val="00E179F9"/>
    <w:rsid w:val="00E2009D"/>
    <w:rsid w:val="00E2079B"/>
    <w:rsid w:val="00E209FD"/>
    <w:rsid w:val="00E20FEC"/>
    <w:rsid w:val="00E22B51"/>
    <w:rsid w:val="00E2387A"/>
    <w:rsid w:val="00E23A15"/>
    <w:rsid w:val="00E24EA1"/>
    <w:rsid w:val="00E25A07"/>
    <w:rsid w:val="00E25A95"/>
    <w:rsid w:val="00E26C36"/>
    <w:rsid w:val="00E27FEC"/>
    <w:rsid w:val="00E30B73"/>
    <w:rsid w:val="00E30D3E"/>
    <w:rsid w:val="00E30EB9"/>
    <w:rsid w:val="00E3131D"/>
    <w:rsid w:val="00E31564"/>
    <w:rsid w:val="00E31CFA"/>
    <w:rsid w:val="00E32460"/>
    <w:rsid w:val="00E325F6"/>
    <w:rsid w:val="00E33760"/>
    <w:rsid w:val="00E337B6"/>
    <w:rsid w:val="00E33E0C"/>
    <w:rsid w:val="00E35054"/>
    <w:rsid w:val="00E359D7"/>
    <w:rsid w:val="00E35AE6"/>
    <w:rsid w:val="00E35BAC"/>
    <w:rsid w:val="00E3642F"/>
    <w:rsid w:val="00E36FFE"/>
    <w:rsid w:val="00E37293"/>
    <w:rsid w:val="00E3787C"/>
    <w:rsid w:val="00E37EEB"/>
    <w:rsid w:val="00E4036F"/>
    <w:rsid w:val="00E406BD"/>
    <w:rsid w:val="00E40B32"/>
    <w:rsid w:val="00E4128D"/>
    <w:rsid w:val="00E419E6"/>
    <w:rsid w:val="00E41DAA"/>
    <w:rsid w:val="00E42A12"/>
    <w:rsid w:val="00E434D5"/>
    <w:rsid w:val="00E4386D"/>
    <w:rsid w:val="00E43A41"/>
    <w:rsid w:val="00E44430"/>
    <w:rsid w:val="00E444D2"/>
    <w:rsid w:val="00E44B29"/>
    <w:rsid w:val="00E455FF"/>
    <w:rsid w:val="00E45637"/>
    <w:rsid w:val="00E45B71"/>
    <w:rsid w:val="00E45C38"/>
    <w:rsid w:val="00E46019"/>
    <w:rsid w:val="00E46B63"/>
    <w:rsid w:val="00E46C50"/>
    <w:rsid w:val="00E4774E"/>
    <w:rsid w:val="00E50991"/>
    <w:rsid w:val="00E515E1"/>
    <w:rsid w:val="00E51DFF"/>
    <w:rsid w:val="00E5250C"/>
    <w:rsid w:val="00E52606"/>
    <w:rsid w:val="00E52C63"/>
    <w:rsid w:val="00E52CAD"/>
    <w:rsid w:val="00E52F96"/>
    <w:rsid w:val="00E53C5D"/>
    <w:rsid w:val="00E53FA6"/>
    <w:rsid w:val="00E5410B"/>
    <w:rsid w:val="00E544ED"/>
    <w:rsid w:val="00E546BA"/>
    <w:rsid w:val="00E5511D"/>
    <w:rsid w:val="00E55E7F"/>
    <w:rsid w:val="00E563B0"/>
    <w:rsid w:val="00E56683"/>
    <w:rsid w:val="00E56D2E"/>
    <w:rsid w:val="00E57128"/>
    <w:rsid w:val="00E607EB"/>
    <w:rsid w:val="00E60BC6"/>
    <w:rsid w:val="00E62C38"/>
    <w:rsid w:val="00E62E5B"/>
    <w:rsid w:val="00E63CC5"/>
    <w:rsid w:val="00E642F1"/>
    <w:rsid w:val="00E64742"/>
    <w:rsid w:val="00E65429"/>
    <w:rsid w:val="00E65843"/>
    <w:rsid w:val="00E65982"/>
    <w:rsid w:val="00E65C1F"/>
    <w:rsid w:val="00E66329"/>
    <w:rsid w:val="00E664C4"/>
    <w:rsid w:val="00E66610"/>
    <w:rsid w:val="00E66937"/>
    <w:rsid w:val="00E66F43"/>
    <w:rsid w:val="00E671AF"/>
    <w:rsid w:val="00E67200"/>
    <w:rsid w:val="00E67B24"/>
    <w:rsid w:val="00E706B1"/>
    <w:rsid w:val="00E70A3F"/>
    <w:rsid w:val="00E70A57"/>
    <w:rsid w:val="00E70F18"/>
    <w:rsid w:val="00E711A5"/>
    <w:rsid w:val="00E71236"/>
    <w:rsid w:val="00E7146B"/>
    <w:rsid w:val="00E7156B"/>
    <w:rsid w:val="00E717A6"/>
    <w:rsid w:val="00E71C0A"/>
    <w:rsid w:val="00E71F13"/>
    <w:rsid w:val="00E71F95"/>
    <w:rsid w:val="00E723E6"/>
    <w:rsid w:val="00E7247A"/>
    <w:rsid w:val="00E7271C"/>
    <w:rsid w:val="00E72F9C"/>
    <w:rsid w:val="00E732A1"/>
    <w:rsid w:val="00E73D49"/>
    <w:rsid w:val="00E73DB1"/>
    <w:rsid w:val="00E74346"/>
    <w:rsid w:val="00E7456C"/>
    <w:rsid w:val="00E74E45"/>
    <w:rsid w:val="00E750E3"/>
    <w:rsid w:val="00E75231"/>
    <w:rsid w:val="00E75D40"/>
    <w:rsid w:val="00E75E40"/>
    <w:rsid w:val="00E75E4C"/>
    <w:rsid w:val="00E76E97"/>
    <w:rsid w:val="00E7713D"/>
    <w:rsid w:val="00E77987"/>
    <w:rsid w:val="00E779B1"/>
    <w:rsid w:val="00E80FAF"/>
    <w:rsid w:val="00E81CFF"/>
    <w:rsid w:val="00E821B8"/>
    <w:rsid w:val="00E821EF"/>
    <w:rsid w:val="00E8314F"/>
    <w:rsid w:val="00E8432D"/>
    <w:rsid w:val="00E85161"/>
    <w:rsid w:val="00E8592A"/>
    <w:rsid w:val="00E85C2B"/>
    <w:rsid w:val="00E85EB8"/>
    <w:rsid w:val="00E86907"/>
    <w:rsid w:val="00E8720A"/>
    <w:rsid w:val="00E872B4"/>
    <w:rsid w:val="00E87912"/>
    <w:rsid w:val="00E905CB"/>
    <w:rsid w:val="00E909A6"/>
    <w:rsid w:val="00E90B42"/>
    <w:rsid w:val="00E90FD7"/>
    <w:rsid w:val="00E91561"/>
    <w:rsid w:val="00E93214"/>
    <w:rsid w:val="00E9341F"/>
    <w:rsid w:val="00E93606"/>
    <w:rsid w:val="00E93F64"/>
    <w:rsid w:val="00E94443"/>
    <w:rsid w:val="00E947FC"/>
    <w:rsid w:val="00E95899"/>
    <w:rsid w:val="00E95DB8"/>
    <w:rsid w:val="00E9638F"/>
    <w:rsid w:val="00E9724A"/>
    <w:rsid w:val="00E97CD8"/>
    <w:rsid w:val="00EA0A28"/>
    <w:rsid w:val="00EA1950"/>
    <w:rsid w:val="00EA1F2A"/>
    <w:rsid w:val="00EA2491"/>
    <w:rsid w:val="00EA2BC4"/>
    <w:rsid w:val="00EA2C8B"/>
    <w:rsid w:val="00EA2E85"/>
    <w:rsid w:val="00EA39DE"/>
    <w:rsid w:val="00EA4444"/>
    <w:rsid w:val="00EA472C"/>
    <w:rsid w:val="00EA54AC"/>
    <w:rsid w:val="00EA57D1"/>
    <w:rsid w:val="00EA5893"/>
    <w:rsid w:val="00EA6A6E"/>
    <w:rsid w:val="00EA6AF7"/>
    <w:rsid w:val="00EA7A32"/>
    <w:rsid w:val="00EA7B10"/>
    <w:rsid w:val="00EB0B94"/>
    <w:rsid w:val="00EB0FB8"/>
    <w:rsid w:val="00EB21F9"/>
    <w:rsid w:val="00EB24EF"/>
    <w:rsid w:val="00EB26E5"/>
    <w:rsid w:val="00EB28B9"/>
    <w:rsid w:val="00EB2D35"/>
    <w:rsid w:val="00EB2E3F"/>
    <w:rsid w:val="00EB31DE"/>
    <w:rsid w:val="00EB3524"/>
    <w:rsid w:val="00EB38FA"/>
    <w:rsid w:val="00EB5262"/>
    <w:rsid w:val="00EB54DA"/>
    <w:rsid w:val="00EB5AB4"/>
    <w:rsid w:val="00EB5D58"/>
    <w:rsid w:val="00EB63C8"/>
    <w:rsid w:val="00EB6652"/>
    <w:rsid w:val="00EB6F39"/>
    <w:rsid w:val="00EB7699"/>
    <w:rsid w:val="00EB7CF1"/>
    <w:rsid w:val="00EB7D99"/>
    <w:rsid w:val="00EC0A09"/>
    <w:rsid w:val="00EC0D7E"/>
    <w:rsid w:val="00EC1504"/>
    <w:rsid w:val="00EC15B7"/>
    <w:rsid w:val="00EC27BC"/>
    <w:rsid w:val="00EC28D5"/>
    <w:rsid w:val="00EC29E9"/>
    <w:rsid w:val="00EC2B25"/>
    <w:rsid w:val="00EC433F"/>
    <w:rsid w:val="00EC523D"/>
    <w:rsid w:val="00EC55A0"/>
    <w:rsid w:val="00EC5F63"/>
    <w:rsid w:val="00EC62E8"/>
    <w:rsid w:val="00EC6C30"/>
    <w:rsid w:val="00EC71DA"/>
    <w:rsid w:val="00EC756C"/>
    <w:rsid w:val="00EC75B6"/>
    <w:rsid w:val="00EC76F5"/>
    <w:rsid w:val="00EC7C8E"/>
    <w:rsid w:val="00ED0423"/>
    <w:rsid w:val="00ED062B"/>
    <w:rsid w:val="00ED161A"/>
    <w:rsid w:val="00ED1A3B"/>
    <w:rsid w:val="00ED21F1"/>
    <w:rsid w:val="00ED2C6D"/>
    <w:rsid w:val="00ED3722"/>
    <w:rsid w:val="00ED457E"/>
    <w:rsid w:val="00ED5019"/>
    <w:rsid w:val="00ED577E"/>
    <w:rsid w:val="00ED66F6"/>
    <w:rsid w:val="00ED7000"/>
    <w:rsid w:val="00EE04A3"/>
    <w:rsid w:val="00EE0A89"/>
    <w:rsid w:val="00EE103F"/>
    <w:rsid w:val="00EE127E"/>
    <w:rsid w:val="00EE1A2B"/>
    <w:rsid w:val="00EE2298"/>
    <w:rsid w:val="00EE2666"/>
    <w:rsid w:val="00EE2747"/>
    <w:rsid w:val="00EE279F"/>
    <w:rsid w:val="00EE28E0"/>
    <w:rsid w:val="00EE2A68"/>
    <w:rsid w:val="00EE49DB"/>
    <w:rsid w:val="00EE4B1B"/>
    <w:rsid w:val="00EE5732"/>
    <w:rsid w:val="00EE57EB"/>
    <w:rsid w:val="00EE5F75"/>
    <w:rsid w:val="00EE67C4"/>
    <w:rsid w:val="00EE6B84"/>
    <w:rsid w:val="00EE7139"/>
    <w:rsid w:val="00EE78AF"/>
    <w:rsid w:val="00EF08B3"/>
    <w:rsid w:val="00EF201E"/>
    <w:rsid w:val="00EF20B8"/>
    <w:rsid w:val="00EF27BB"/>
    <w:rsid w:val="00EF321C"/>
    <w:rsid w:val="00EF50F2"/>
    <w:rsid w:val="00EF530A"/>
    <w:rsid w:val="00EF57B0"/>
    <w:rsid w:val="00EF5C44"/>
    <w:rsid w:val="00EF6E80"/>
    <w:rsid w:val="00EF741E"/>
    <w:rsid w:val="00F006F1"/>
    <w:rsid w:val="00F0098B"/>
    <w:rsid w:val="00F02969"/>
    <w:rsid w:val="00F02D02"/>
    <w:rsid w:val="00F042CD"/>
    <w:rsid w:val="00F042DD"/>
    <w:rsid w:val="00F05076"/>
    <w:rsid w:val="00F0625F"/>
    <w:rsid w:val="00F06E49"/>
    <w:rsid w:val="00F074FE"/>
    <w:rsid w:val="00F1028D"/>
    <w:rsid w:val="00F10652"/>
    <w:rsid w:val="00F11873"/>
    <w:rsid w:val="00F120FC"/>
    <w:rsid w:val="00F12D82"/>
    <w:rsid w:val="00F13357"/>
    <w:rsid w:val="00F140F6"/>
    <w:rsid w:val="00F14459"/>
    <w:rsid w:val="00F1495A"/>
    <w:rsid w:val="00F14D0E"/>
    <w:rsid w:val="00F154DF"/>
    <w:rsid w:val="00F16B5C"/>
    <w:rsid w:val="00F16D11"/>
    <w:rsid w:val="00F16D90"/>
    <w:rsid w:val="00F173E7"/>
    <w:rsid w:val="00F1772B"/>
    <w:rsid w:val="00F2006E"/>
    <w:rsid w:val="00F2046E"/>
    <w:rsid w:val="00F20A1A"/>
    <w:rsid w:val="00F20AFC"/>
    <w:rsid w:val="00F20B75"/>
    <w:rsid w:val="00F2103D"/>
    <w:rsid w:val="00F21D27"/>
    <w:rsid w:val="00F229F6"/>
    <w:rsid w:val="00F22B91"/>
    <w:rsid w:val="00F22DEC"/>
    <w:rsid w:val="00F22EA6"/>
    <w:rsid w:val="00F23867"/>
    <w:rsid w:val="00F247F2"/>
    <w:rsid w:val="00F24A17"/>
    <w:rsid w:val="00F24A4D"/>
    <w:rsid w:val="00F24D37"/>
    <w:rsid w:val="00F256F5"/>
    <w:rsid w:val="00F25A17"/>
    <w:rsid w:val="00F260F9"/>
    <w:rsid w:val="00F2707B"/>
    <w:rsid w:val="00F274B0"/>
    <w:rsid w:val="00F27C45"/>
    <w:rsid w:val="00F304C7"/>
    <w:rsid w:val="00F30F3A"/>
    <w:rsid w:val="00F31DD8"/>
    <w:rsid w:val="00F31E17"/>
    <w:rsid w:val="00F31ECE"/>
    <w:rsid w:val="00F32548"/>
    <w:rsid w:val="00F32BE7"/>
    <w:rsid w:val="00F33ADD"/>
    <w:rsid w:val="00F33BCA"/>
    <w:rsid w:val="00F33F9C"/>
    <w:rsid w:val="00F3426D"/>
    <w:rsid w:val="00F3568B"/>
    <w:rsid w:val="00F3592D"/>
    <w:rsid w:val="00F36166"/>
    <w:rsid w:val="00F37331"/>
    <w:rsid w:val="00F377DD"/>
    <w:rsid w:val="00F407B4"/>
    <w:rsid w:val="00F4113F"/>
    <w:rsid w:val="00F4161D"/>
    <w:rsid w:val="00F41FCE"/>
    <w:rsid w:val="00F422A4"/>
    <w:rsid w:val="00F4249D"/>
    <w:rsid w:val="00F42540"/>
    <w:rsid w:val="00F42812"/>
    <w:rsid w:val="00F4382A"/>
    <w:rsid w:val="00F43D34"/>
    <w:rsid w:val="00F44189"/>
    <w:rsid w:val="00F4459C"/>
    <w:rsid w:val="00F44D45"/>
    <w:rsid w:val="00F44F60"/>
    <w:rsid w:val="00F4512D"/>
    <w:rsid w:val="00F4514B"/>
    <w:rsid w:val="00F46C54"/>
    <w:rsid w:val="00F47AE6"/>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6EB0"/>
    <w:rsid w:val="00F57486"/>
    <w:rsid w:val="00F5748F"/>
    <w:rsid w:val="00F5763D"/>
    <w:rsid w:val="00F5763E"/>
    <w:rsid w:val="00F600D2"/>
    <w:rsid w:val="00F60652"/>
    <w:rsid w:val="00F61AE1"/>
    <w:rsid w:val="00F61EFA"/>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AA3"/>
    <w:rsid w:val="00F73F52"/>
    <w:rsid w:val="00F7405C"/>
    <w:rsid w:val="00F7633E"/>
    <w:rsid w:val="00F76E9E"/>
    <w:rsid w:val="00F76EAA"/>
    <w:rsid w:val="00F77172"/>
    <w:rsid w:val="00F779CA"/>
    <w:rsid w:val="00F8041B"/>
    <w:rsid w:val="00F8067E"/>
    <w:rsid w:val="00F80BC6"/>
    <w:rsid w:val="00F82723"/>
    <w:rsid w:val="00F82AE6"/>
    <w:rsid w:val="00F82C17"/>
    <w:rsid w:val="00F82CAE"/>
    <w:rsid w:val="00F835AC"/>
    <w:rsid w:val="00F83ACF"/>
    <w:rsid w:val="00F83BE9"/>
    <w:rsid w:val="00F83DF6"/>
    <w:rsid w:val="00F8473B"/>
    <w:rsid w:val="00F847C3"/>
    <w:rsid w:val="00F848CB"/>
    <w:rsid w:val="00F84A52"/>
    <w:rsid w:val="00F85352"/>
    <w:rsid w:val="00F859F4"/>
    <w:rsid w:val="00F8677C"/>
    <w:rsid w:val="00F86825"/>
    <w:rsid w:val="00F87675"/>
    <w:rsid w:val="00F877F6"/>
    <w:rsid w:val="00F8787D"/>
    <w:rsid w:val="00F87A3A"/>
    <w:rsid w:val="00F90956"/>
    <w:rsid w:val="00F910E9"/>
    <w:rsid w:val="00F9146A"/>
    <w:rsid w:val="00F9228A"/>
    <w:rsid w:val="00F9245B"/>
    <w:rsid w:val="00F92E10"/>
    <w:rsid w:val="00F93332"/>
    <w:rsid w:val="00F93DBC"/>
    <w:rsid w:val="00F94DEB"/>
    <w:rsid w:val="00F94F85"/>
    <w:rsid w:val="00F9645B"/>
    <w:rsid w:val="00F96885"/>
    <w:rsid w:val="00F968EA"/>
    <w:rsid w:val="00F97C6F"/>
    <w:rsid w:val="00FA09D7"/>
    <w:rsid w:val="00FA170A"/>
    <w:rsid w:val="00FA1AFB"/>
    <w:rsid w:val="00FA2452"/>
    <w:rsid w:val="00FA27BA"/>
    <w:rsid w:val="00FA310D"/>
    <w:rsid w:val="00FA32FE"/>
    <w:rsid w:val="00FA3641"/>
    <w:rsid w:val="00FA43BC"/>
    <w:rsid w:val="00FA45A7"/>
    <w:rsid w:val="00FA5B12"/>
    <w:rsid w:val="00FA5D3E"/>
    <w:rsid w:val="00FA656B"/>
    <w:rsid w:val="00FA68D1"/>
    <w:rsid w:val="00FA6C83"/>
    <w:rsid w:val="00FA72C4"/>
    <w:rsid w:val="00FA7A20"/>
    <w:rsid w:val="00FB0265"/>
    <w:rsid w:val="00FB0B88"/>
    <w:rsid w:val="00FB10D4"/>
    <w:rsid w:val="00FB1771"/>
    <w:rsid w:val="00FB1CAD"/>
    <w:rsid w:val="00FB2859"/>
    <w:rsid w:val="00FB2D61"/>
    <w:rsid w:val="00FB3DFF"/>
    <w:rsid w:val="00FB548C"/>
    <w:rsid w:val="00FB5F09"/>
    <w:rsid w:val="00FB60A6"/>
    <w:rsid w:val="00FB649D"/>
    <w:rsid w:val="00FC1069"/>
    <w:rsid w:val="00FC149B"/>
    <w:rsid w:val="00FC1752"/>
    <w:rsid w:val="00FC194B"/>
    <w:rsid w:val="00FC1CFF"/>
    <w:rsid w:val="00FC1F0B"/>
    <w:rsid w:val="00FC3500"/>
    <w:rsid w:val="00FC3530"/>
    <w:rsid w:val="00FC371E"/>
    <w:rsid w:val="00FC3891"/>
    <w:rsid w:val="00FC44E5"/>
    <w:rsid w:val="00FC4A4D"/>
    <w:rsid w:val="00FC4AF3"/>
    <w:rsid w:val="00FC4D9C"/>
    <w:rsid w:val="00FC61D8"/>
    <w:rsid w:val="00FC6726"/>
    <w:rsid w:val="00FC68BF"/>
    <w:rsid w:val="00FC7E13"/>
    <w:rsid w:val="00FD0979"/>
    <w:rsid w:val="00FD0A2D"/>
    <w:rsid w:val="00FD0D3B"/>
    <w:rsid w:val="00FD4478"/>
    <w:rsid w:val="00FD47FE"/>
    <w:rsid w:val="00FD53DF"/>
    <w:rsid w:val="00FD5652"/>
    <w:rsid w:val="00FD56E6"/>
    <w:rsid w:val="00FD58E3"/>
    <w:rsid w:val="00FD59F2"/>
    <w:rsid w:val="00FD65D9"/>
    <w:rsid w:val="00FD66F7"/>
    <w:rsid w:val="00FD682F"/>
    <w:rsid w:val="00FD6C5C"/>
    <w:rsid w:val="00FD716C"/>
    <w:rsid w:val="00FD75CC"/>
    <w:rsid w:val="00FE1EEA"/>
    <w:rsid w:val="00FE2237"/>
    <w:rsid w:val="00FE2418"/>
    <w:rsid w:val="00FE32D7"/>
    <w:rsid w:val="00FE3721"/>
    <w:rsid w:val="00FE37FA"/>
    <w:rsid w:val="00FE46E3"/>
    <w:rsid w:val="00FE57F5"/>
    <w:rsid w:val="00FE599E"/>
    <w:rsid w:val="00FE6F61"/>
    <w:rsid w:val="00FE7C7F"/>
    <w:rsid w:val="00FF00BB"/>
    <w:rsid w:val="00FF0461"/>
    <w:rsid w:val="00FF054C"/>
    <w:rsid w:val="00FF0E77"/>
    <w:rsid w:val="00FF193A"/>
    <w:rsid w:val="00FF22FB"/>
    <w:rsid w:val="00FF28BF"/>
    <w:rsid w:val="00FF2A0B"/>
    <w:rsid w:val="00FF2D24"/>
    <w:rsid w:val="00FF2EB2"/>
    <w:rsid w:val="00FF31F5"/>
    <w:rsid w:val="00FF3A63"/>
    <w:rsid w:val="00FF46E0"/>
    <w:rsid w:val="00FF547C"/>
    <w:rsid w:val="00FF6B73"/>
    <w:rsid w:val="00FF6E2C"/>
    <w:rsid w:val="00FF6E5C"/>
    <w:rsid w:val="00FF71C3"/>
    <w:rsid w:val="00FF7EF8"/>
    <w:rsid w:val="0188182A"/>
    <w:rsid w:val="01FC185B"/>
    <w:rsid w:val="02631347"/>
    <w:rsid w:val="032B6BD0"/>
    <w:rsid w:val="034E5101"/>
    <w:rsid w:val="03741291"/>
    <w:rsid w:val="039B0D18"/>
    <w:rsid w:val="03B409DD"/>
    <w:rsid w:val="03B739A6"/>
    <w:rsid w:val="03CD1A9F"/>
    <w:rsid w:val="043E4392"/>
    <w:rsid w:val="051A197C"/>
    <w:rsid w:val="056C533E"/>
    <w:rsid w:val="057F1035"/>
    <w:rsid w:val="06701C84"/>
    <w:rsid w:val="069E2663"/>
    <w:rsid w:val="06BC58E5"/>
    <w:rsid w:val="06C23411"/>
    <w:rsid w:val="071058B1"/>
    <w:rsid w:val="07476B40"/>
    <w:rsid w:val="07A372F0"/>
    <w:rsid w:val="07CD1DE6"/>
    <w:rsid w:val="08D67FE1"/>
    <w:rsid w:val="0952686E"/>
    <w:rsid w:val="099C61A3"/>
    <w:rsid w:val="09B24A18"/>
    <w:rsid w:val="09D74144"/>
    <w:rsid w:val="0B1B6AF1"/>
    <w:rsid w:val="0C14470F"/>
    <w:rsid w:val="0D1F03CF"/>
    <w:rsid w:val="0DC12C6F"/>
    <w:rsid w:val="0E8520AF"/>
    <w:rsid w:val="0EA73230"/>
    <w:rsid w:val="0EE64E9B"/>
    <w:rsid w:val="0FA50DA7"/>
    <w:rsid w:val="10904CB0"/>
    <w:rsid w:val="114F7170"/>
    <w:rsid w:val="11553800"/>
    <w:rsid w:val="117D0437"/>
    <w:rsid w:val="11F31464"/>
    <w:rsid w:val="121C0D71"/>
    <w:rsid w:val="13757537"/>
    <w:rsid w:val="14327D30"/>
    <w:rsid w:val="156813EF"/>
    <w:rsid w:val="15724CA8"/>
    <w:rsid w:val="160416FD"/>
    <w:rsid w:val="160A3F1B"/>
    <w:rsid w:val="16316630"/>
    <w:rsid w:val="16A03B4F"/>
    <w:rsid w:val="16C67385"/>
    <w:rsid w:val="17675839"/>
    <w:rsid w:val="17E845CC"/>
    <w:rsid w:val="188D119D"/>
    <w:rsid w:val="18E10538"/>
    <w:rsid w:val="18F93403"/>
    <w:rsid w:val="19495773"/>
    <w:rsid w:val="19F04727"/>
    <w:rsid w:val="1A4C129A"/>
    <w:rsid w:val="1A8D0483"/>
    <w:rsid w:val="1AA262DC"/>
    <w:rsid w:val="1B856B76"/>
    <w:rsid w:val="1BB21A49"/>
    <w:rsid w:val="1CB05C7A"/>
    <w:rsid w:val="1CFC1C64"/>
    <w:rsid w:val="1D4546F7"/>
    <w:rsid w:val="1E075D31"/>
    <w:rsid w:val="1E2C09AB"/>
    <w:rsid w:val="1E673C1C"/>
    <w:rsid w:val="1EF9048B"/>
    <w:rsid w:val="1F165060"/>
    <w:rsid w:val="1F2E7FA7"/>
    <w:rsid w:val="1F607AF6"/>
    <w:rsid w:val="1FDB6A25"/>
    <w:rsid w:val="21091782"/>
    <w:rsid w:val="213173B9"/>
    <w:rsid w:val="2171287C"/>
    <w:rsid w:val="2188542C"/>
    <w:rsid w:val="218F3216"/>
    <w:rsid w:val="22DC376E"/>
    <w:rsid w:val="22F76063"/>
    <w:rsid w:val="23066F24"/>
    <w:rsid w:val="23675987"/>
    <w:rsid w:val="237C6982"/>
    <w:rsid w:val="23C62A17"/>
    <w:rsid w:val="23C91E2B"/>
    <w:rsid w:val="24455838"/>
    <w:rsid w:val="24DF526F"/>
    <w:rsid w:val="26230EA8"/>
    <w:rsid w:val="26936DEC"/>
    <w:rsid w:val="27AA6B16"/>
    <w:rsid w:val="286B2E69"/>
    <w:rsid w:val="28B72E44"/>
    <w:rsid w:val="28B817DD"/>
    <w:rsid w:val="28DA74B8"/>
    <w:rsid w:val="28F813CA"/>
    <w:rsid w:val="2929681F"/>
    <w:rsid w:val="2A50396A"/>
    <w:rsid w:val="2B4A209F"/>
    <w:rsid w:val="2C5F157F"/>
    <w:rsid w:val="2D64537A"/>
    <w:rsid w:val="2E695209"/>
    <w:rsid w:val="2E71437D"/>
    <w:rsid w:val="2F183292"/>
    <w:rsid w:val="2F7E39FF"/>
    <w:rsid w:val="2FD8272D"/>
    <w:rsid w:val="3088423E"/>
    <w:rsid w:val="31040C46"/>
    <w:rsid w:val="3163417D"/>
    <w:rsid w:val="31772EC7"/>
    <w:rsid w:val="31AB19F5"/>
    <w:rsid w:val="31FE0E2B"/>
    <w:rsid w:val="32935C1D"/>
    <w:rsid w:val="32AA7EC4"/>
    <w:rsid w:val="336074D2"/>
    <w:rsid w:val="33F86270"/>
    <w:rsid w:val="341E02D6"/>
    <w:rsid w:val="34750D25"/>
    <w:rsid w:val="3548220B"/>
    <w:rsid w:val="35FC48CB"/>
    <w:rsid w:val="37163C05"/>
    <w:rsid w:val="37683CDD"/>
    <w:rsid w:val="37A42D72"/>
    <w:rsid w:val="37E61F73"/>
    <w:rsid w:val="387E60D5"/>
    <w:rsid w:val="38BD221F"/>
    <w:rsid w:val="38CB5F40"/>
    <w:rsid w:val="39190924"/>
    <w:rsid w:val="39D53A9E"/>
    <w:rsid w:val="39EB2E91"/>
    <w:rsid w:val="3A570AA3"/>
    <w:rsid w:val="3AC23405"/>
    <w:rsid w:val="3ADC2CA1"/>
    <w:rsid w:val="3B1F1A64"/>
    <w:rsid w:val="3BF02833"/>
    <w:rsid w:val="3C012E99"/>
    <w:rsid w:val="3C0A4B01"/>
    <w:rsid w:val="3C271090"/>
    <w:rsid w:val="3C4203A6"/>
    <w:rsid w:val="3C7419D1"/>
    <w:rsid w:val="3CA12C30"/>
    <w:rsid w:val="3CB75137"/>
    <w:rsid w:val="3D6C3FDE"/>
    <w:rsid w:val="3E325270"/>
    <w:rsid w:val="3E33432C"/>
    <w:rsid w:val="3E497961"/>
    <w:rsid w:val="3E5D232A"/>
    <w:rsid w:val="3EE06708"/>
    <w:rsid w:val="3F05646B"/>
    <w:rsid w:val="3F1401C9"/>
    <w:rsid w:val="3FA97382"/>
    <w:rsid w:val="3FC176F6"/>
    <w:rsid w:val="3FF84574"/>
    <w:rsid w:val="41715B61"/>
    <w:rsid w:val="42524636"/>
    <w:rsid w:val="42D62BD9"/>
    <w:rsid w:val="42E50751"/>
    <w:rsid w:val="43976502"/>
    <w:rsid w:val="43A80622"/>
    <w:rsid w:val="44B9151A"/>
    <w:rsid w:val="44C646BA"/>
    <w:rsid w:val="44CB0E96"/>
    <w:rsid w:val="45137A8D"/>
    <w:rsid w:val="45914AD1"/>
    <w:rsid w:val="460A698B"/>
    <w:rsid w:val="46431B88"/>
    <w:rsid w:val="466C4B8B"/>
    <w:rsid w:val="467C1557"/>
    <w:rsid w:val="46AA6ECA"/>
    <w:rsid w:val="46AF05B5"/>
    <w:rsid w:val="477C6769"/>
    <w:rsid w:val="47F832DC"/>
    <w:rsid w:val="48406FA3"/>
    <w:rsid w:val="48E926A3"/>
    <w:rsid w:val="4B02358A"/>
    <w:rsid w:val="4B550C98"/>
    <w:rsid w:val="4B777639"/>
    <w:rsid w:val="4BC47C4B"/>
    <w:rsid w:val="4BC7543A"/>
    <w:rsid w:val="4BCC3D32"/>
    <w:rsid w:val="4C0A4047"/>
    <w:rsid w:val="4C283586"/>
    <w:rsid w:val="4C2E1330"/>
    <w:rsid w:val="4CAA68F2"/>
    <w:rsid w:val="4CD37C3F"/>
    <w:rsid w:val="4CEF072B"/>
    <w:rsid w:val="4D6E179C"/>
    <w:rsid w:val="4DB97611"/>
    <w:rsid w:val="4E3B3EF4"/>
    <w:rsid w:val="4EB7150E"/>
    <w:rsid w:val="4EF63225"/>
    <w:rsid w:val="4F282D97"/>
    <w:rsid w:val="4F2B443E"/>
    <w:rsid w:val="4F385221"/>
    <w:rsid w:val="4F51567E"/>
    <w:rsid w:val="4F8D236E"/>
    <w:rsid w:val="50C33F63"/>
    <w:rsid w:val="52187956"/>
    <w:rsid w:val="52225C90"/>
    <w:rsid w:val="52253DB2"/>
    <w:rsid w:val="526828D5"/>
    <w:rsid w:val="526B3F2A"/>
    <w:rsid w:val="5280437A"/>
    <w:rsid w:val="53041EA4"/>
    <w:rsid w:val="5359507A"/>
    <w:rsid w:val="537A68E4"/>
    <w:rsid w:val="54331A41"/>
    <w:rsid w:val="544173CD"/>
    <w:rsid w:val="54750B71"/>
    <w:rsid w:val="549F2ED6"/>
    <w:rsid w:val="54F75FEC"/>
    <w:rsid w:val="54FE4502"/>
    <w:rsid w:val="5548762C"/>
    <w:rsid w:val="557B2122"/>
    <w:rsid w:val="557F6076"/>
    <w:rsid w:val="55825AC1"/>
    <w:rsid w:val="558E15E7"/>
    <w:rsid w:val="55BD2CCA"/>
    <w:rsid w:val="55E91367"/>
    <w:rsid w:val="55ED40BE"/>
    <w:rsid w:val="561C7E28"/>
    <w:rsid w:val="56FC2EFF"/>
    <w:rsid w:val="572841C2"/>
    <w:rsid w:val="57F549C2"/>
    <w:rsid w:val="594A21B8"/>
    <w:rsid w:val="599E5E1E"/>
    <w:rsid w:val="59BE0F4B"/>
    <w:rsid w:val="59D41F56"/>
    <w:rsid w:val="59E81AA9"/>
    <w:rsid w:val="59FF5F31"/>
    <w:rsid w:val="5A2E38A5"/>
    <w:rsid w:val="5A555DDB"/>
    <w:rsid w:val="5A76188F"/>
    <w:rsid w:val="5AA532B9"/>
    <w:rsid w:val="5AD20125"/>
    <w:rsid w:val="5AE84EED"/>
    <w:rsid w:val="5AF825A1"/>
    <w:rsid w:val="5B485CC3"/>
    <w:rsid w:val="5D1D693C"/>
    <w:rsid w:val="5D2F55D3"/>
    <w:rsid w:val="5D352289"/>
    <w:rsid w:val="5D5817E6"/>
    <w:rsid w:val="5EB244C5"/>
    <w:rsid w:val="5EBA3F6D"/>
    <w:rsid w:val="5F302BF9"/>
    <w:rsid w:val="627D134D"/>
    <w:rsid w:val="629A3680"/>
    <w:rsid w:val="62AD1323"/>
    <w:rsid w:val="62C170D8"/>
    <w:rsid w:val="63621685"/>
    <w:rsid w:val="63B45CB5"/>
    <w:rsid w:val="63C909C5"/>
    <w:rsid w:val="63E64AD8"/>
    <w:rsid w:val="643D045D"/>
    <w:rsid w:val="64934FC8"/>
    <w:rsid w:val="651C687D"/>
    <w:rsid w:val="65E17231"/>
    <w:rsid w:val="6629174D"/>
    <w:rsid w:val="66754416"/>
    <w:rsid w:val="6695000B"/>
    <w:rsid w:val="673116C3"/>
    <w:rsid w:val="676C02BE"/>
    <w:rsid w:val="67AA7431"/>
    <w:rsid w:val="67B10BD0"/>
    <w:rsid w:val="686673F9"/>
    <w:rsid w:val="68897DFB"/>
    <w:rsid w:val="697C05C7"/>
    <w:rsid w:val="6A3A44B6"/>
    <w:rsid w:val="6A821BC0"/>
    <w:rsid w:val="6A8E58E1"/>
    <w:rsid w:val="6B373847"/>
    <w:rsid w:val="6B554A60"/>
    <w:rsid w:val="6BA24C80"/>
    <w:rsid w:val="6C203025"/>
    <w:rsid w:val="6C8E2B5A"/>
    <w:rsid w:val="6CEA6011"/>
    <w:rsid w:val="6D121C00"/>
    <w:rsid w:val="6D2F280D"/>
    <w:rsid w:val="6D3F1727"/>
    <w:rsid w:val="6D7C48A2"/>
    <w:rsid w:val="6EDD79F7"/>
    <w:rsid w:val="6F0A4A64"/>
    <w:rsid w:val="6F275D61"/>
    <w:rsid w:val="6FBB3F31"/>
    <w:rsid w:val="6FE330A8"/>
    <w:rsid w:val="6FE7354F"/>
    <w:rsid w:val="70297E02"/>
    <w:rsid w:val="70597ECA"/>
    <w:rsid w:val="70CE24F8"/>
    <w:rsid w:val="713A3286"/>
    <w:rsid w:val="71CC0A0F"/>
    <w:rsid w:val="71EA3503"/>
    <w:rsid w:val="720B3D97"/>
    <w:rsid w:val="72272EF8"/>
    <w:rsid w:val="7267462D"/>
    <w:rsid w:val="7359692B"/>
    <w:rsid w:val="73845B65"/>
    <w:rsid w:val="74440258"/>
    <w:rsid w:val="746E5736"/>
    <w:rsid w:val="749C10ED"/>
    <w:rsid w:val="758222A3"/>
    <w:rsid w:val="75D47694"/>
    <w:rsid w:val="75D618BA"/>
    <w:rsid w:val="75FD58C2"/>
    <w:rsid w:val="7619488D"/>
    <w:rsid w:val="772549AA"/>
    <w:rsid w:val="772C244C"/>
    <w:rsid w:val="777509E8"/>
    <w:rsid w:val="778A2D4A"/>
    <w:rsid w:val="779A31FE"/>
    <w:rsid w:val="77E365C8"/>
    <w:rsid w:val="78140451"/>
    <w:rsid w:val="78EC62CF"/>
    <w:rsid w:val="78FE11C1"/>
    <w:rsid w:val="792376E1"/>
    <w:rsid w:val="79241C72"/>
    <w:rsid w:val="79A25ADB"/>
    <w:rsid w:val="79C0032F"/>
    <w:rsid w:val="79C56A5F"/>
    <w:rsid w:val="79C603AF"/>
    <w:rsid w:val="79EE1488"/>
    <w:rsid w:val="7A523F85"/>
    <w:rsid w:val="7AF272FC"/>
    <w:rsid w:val="7B0E2C0A"/>
    <w:rsid w:val="7B714D2C"/>
    <w:rsid w:val="7BD05212"/>
    <w:rsid w:val="7C815F74"/>
    <w:rsid w:val="7CAE4BF4"/>
    <w:rsid w:val="7D137B15"/>
    <w:rsid w:val="7D6A7773"/>
    <w:rsid w:val="7D6E470D"/>
    <w:rsid w:val="7D6F3A9E"/>
    <w:rsid w:val="7DCA74A7"/>
    <w:rsid w:val="7DE64079"/>
    <w:rsid w:val="7E4B29ED"/>
    <w:rsid w:val="7EF04888"/>
    <w:rsid w:val="7F070859"/>
    <w:rsid w:val="7FF61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qFormat="1" w:unhideWhenUsed="0" w:uiPriority="99" w:name="envelope address"/>
    <w:lsdException w:qFormat="1" w:unhideWhenUsed="0" w:uiPriority="99"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1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11"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name="E-mail Signature"/>
    <w:lsdException w:qFormat="1" w:unhideWhenUsed="0" w:uiPriority="0"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99"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9"/>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140"/>
    <w:autoRedefine/>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141"/>
    <w:autoRedefine/>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42"/>
    <w:autoRedefine/>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143"/>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144"/>
    <w:autoRedefine/>
    <w:qFormat/>
    <w:uiPriority w:val="9"/>
    <w:pPr>
      <w:keepNext/>
      <w:keepLines/>
      <w:spacing w:before="240" w:after="64" w:line="320" w:lineRule="auto"/>
      <w:jc w:val="left"/>
      <w:outlineLvl w:val="6"/>
    </w:pPr>
    <w:rPr>
      <w:b/>
      <w:bCs/>
      <w:kern w:val="0"/>
      <w:sz w:val="24"/>
    </w:rPr>
  </w:style>
  <w:style w:type="paragraph" w:styleId="9">
    <w:name w:val="heading 8"/>
    <w:basedOn w:val="1"/>
    <w:next w:val="1"/>
    <w:link w:val="145"/>
    <w:autoRedefine/>
    <w:qFormat/>
    <w:uiPriority w:val="9"/>
    <w:pPr>
      <w:keepNext/>
      <w:keepLines/>
      <w:tabs>
        <w:tab w:val="left" w:pos="1440"/>
      </w:tabs>
      <w:adjustRightInd w:val="0"/>
      <w:spacing w:line="360" w:lineRule="atLeast"/>
      <w:ind w:left="1440" w:hanging="1440"/>
      <w:outlineLvl w:val="7"/>
    </w:pPr>
    <w:rPr>
      <w:rFonts w:ascii="Cambria" w:hAnsi="Cambria"/>
      <w:kern w:val="0"/>
      <w:sz w:val="24"/>
    </w:rPr>
  </w:style>
  <w:style w:type="paragraph" w:styleId="10">
    <w:name w:val="heading 9"/>
    <w:basedOn w:val="1"/>
    <w:next w:val="1"/>
    <w:link w:val="146"/>
    <w:autoRedefine/>
    <w:qFormat/>
    <w:uiPriority w:val="9"/>
    <w:pPr>
      <w:keepNext/>
      <w:keepLines/>
      <w:tabs>
        <w:tab w:val="left" w:pos="1584"/>
      </w:tabs>
      <w:adjustRightInd w:val="0"/>
      <w:spacing w:line="360" w:lineRule="atLeast"/>
      <w:ind w:left="1584" w:hanging="1584"/>
      <w:outlineLvl w:val="8"/>
    </w:pPr>
    <w:rPr>
      <w:rFonts w:ascii="Cambria" w:hAnsi="Cambria"/>
      <w:kern w:val="0"/>
      <w:sz w:val="20"/>
      <w:szCs w:val="21"/>
    </w:rPr>
  </w:style>
  <w:style w:type="character" w:default="1" w:styleId="120">
    <w:name w:val="Default Paragraph Font"/>
    <w:autoRedefine/>
    <w:unhideWhenUsed/>
    <w:qFormat/>
    <w:uiPriority w:val="1"/>
  </w:style>
  <w:style w:type="table" w:default="1" w:styleId="75">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ind w:left="100" w:leftChars="400" w:hanging="200" w:hangingChars="200"/>
    </w:pPr>
  </w:style>
  <w:style w:type="paragraph" w:styleId="12">
    <w:name w:val="toc 7"/>
    <w:basedOn w:val="1"/>
    <w:next w:val="1"/>
    <w:autoRedefine/>
    <w:semiHidden/>
    <w:qFormat/>
    <w:uiPriority w:val="99"/>
    <w:pPr>
      <w:ind w:left="1260"/>
      <w:jc w:val="left"/>
    </w:pPr>
    <w:rPr>
      <w:sz w:val="18"/>
      <w:szCs w:val="18"/>
    </w:rPr>
  </w:style>
  <w:style w:type="paragraph" w:styleId="13">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4">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5">
    <w:name w:val="Note Heading"/>
    <w:basedOn w:val="1"/>
    <w:next w:val="1"/>
    <w:link w:val="147"/>
    <w:autoRedefine/>
    <w:semiHidden/>
    <w:qFormat/>
    <w:uiPriority w:val="0"/>
    <w:pPr>
      <w:spacing w:after="200" w:line="276" w:lineRule="auto"/>
      <w:jc w:val="center"/>
    </w:pPr>
    <w:rPr>
      <w:kern w:val="0"/>
      <w:sz w:val="20"/>
    </w:rPr>
  </w:style>
  <w:style w:type="paragraph" w:styleId="16">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7">
    <w:name w:val="E-mail Signature"/>
    <w:basedOn w:val="1"/>
    <w:link w:val="148"/>
    <w:autoRedefine/>
    <w:semiHidden/>
    <w:qFormat/>
    <w:uiPriority w:val="99"/>
    <w:pPr>
      <w:spacing w:after="200" w:line="276" w:lineRule="auto"/>
      <w:jc w:val="left"/>
    </w:pPr>
    <w:rPr>
      <w:kern w:val="0"/>
      <w:sz w:val="20"/>
    </w:rPr>
  </w:style>
  <w:style w:type="paragraph" w:styleId="18">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19">
    <w:name w:val="Normal Indent"/>
    <w:basedOn w:val="1"/>
    <w:link w:val="149"/>
    <w:autoRedefine/>
    <w:qFormat/>
    <w:uiPriority w:val="99"/>
    <w:pPr>
      <w:ind w:firstLine="420" w:firstLineChars="200"/>
    </w:pPr>
    <w:rPr>
      <w:kern w:val="0"/>
      <w:szCs w:val="20"/>
    </w:rPr>
  </w:style>
  <w:style w:type="paragraph" w:styleId="20">
    <w:name w:val="caption"/>
    <w:basedOn w:val="1"/>
    <w:next w:val="1"/>
    <w:autoRedefine/>
    <w:qFormat/>
    <w:uiPriority w:val="99"/>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150"/>
    <w:autoRedefine/>
    <w:semiHidden/>
    <w:qFormat/>
    <w:uiPriority w:val="99"/>
    <w:pPr>
      <w:shd w:val="clear" w:color="auto" w:fill="000080"/>
    </w:pPr>
    <w:rPr>
      <w:kern w:val="0"/>
      <w:sz w:val="16"/>
      <w:szCs w:val="16"/>
    </w:rPr>
  </w:style>
  <w:style w:type="paragraph" w:styleId="24">
    <w:name w:val="toa heading"/>
    <w:basedOn w:val="1"/>
    <w:next w:val="1"/>
    <w:autoRedefine/>
    <w:semiHidden/>
    <w:qFormat/>
    <w:uiPriority w:val="99"/>
    <w:pPr>
      <w:spacing w:before="120"/>
    </w:pPr>
    <w:rPr>
      <w:rFonts w:ascii="Arial" w:hAnsi="Arial"/>
      <w:sz w:val="24"/>
      <w:szCs w:val="20"/>
    </w:rPr>
  </w:style>
  <w:style w:type="paragraph" w:styleId="25">
    <w:name w:val="annotation text"/>
    <w:basedOn w:val="1"/>
    <w:link w:val="151"/>
    <w:autoRedefine/>
    <w:qFormat/>
    <w:uiPriority w:val="99"/>
    <w:pPr>
      <w:spacing w:after="200" w:line="276" w:lineRule="auto"/>
      <w:jc w:val="left"/>
    </w:pPr>
    <w:rPr>
      <w:kern w:val="0"/>
      <w:sz w:val="20"/>
    </w:rPr>
  </w:style>
  <w:style w:type="paragraph" w:styleId="26">
    <w:name w:val="Salutation"/>
    <w:basedOn w:val="1"/>
    <w:next w:val="1"/>
    <w:link w:val="152"/>
    <w:autoRedefine/>
    <w:semiHidden/>
    <w:qFormat/>
    <w:uiPriority w:val="99"/>
    <w:pPr>
      <w:spacing w:after="200" w:line="276" w:lineRule="auto"/>
      <w:jc w:val="left"/>
    </w:pPr>
    <w:rPr>
      <w:kern w:val="0"/>
      <w:sz w:val="20"/>
    </w:rPr>
  </w:style>
  <w:style w:type="paragraph" w:styleId="27">
    <w:name w:val="Body Text 3"/>
    <w:basedOn w:val="1"/>
    <w:link w:val="153"/>
    <w:autoRedefine/>
    <w:qFormat/>
    <w:uiPriority w:val="99"/>
    <w:rPr>
      <w:kern w:val="0"/>
      <w:sz w:val="16"/>
      <w:szCs w:val="16"/>
    </w:rPr>
  </w:style>
  <w:style w:type="paragraph" w:styleId="28">
    <w:name w:val="Closing"/>
    <w:basedOn w:val="1"/>
    <w:link w:val="154"/>
    <w:autoRedefine/>
    <w:semiHidden/>
    <w:qFormat/>
    <w:uiPriority w:val="99"/>
    <w:pPr>
      <w:spacing w:after="200" w:line="276" w:lineRule="auto"/>
      <w:ind w:left="100" w:leftChars="2100"/>
      <w:jc w:val="left"/>
    </w:pPr>
    <w:rPr>
      <w:kern w:val="0"/>
      <w:sz w:val="2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link w:val="155"/>
    <w:autoRedefine/>
    <w:qFormat/>
    <w:uiPriority w:val="99"/>
    <w:pPr>
      <w:spacing w:after="120"/>
    </w:pPr>
    <w:rPr>
      <w:kern w:val="0"/>
      <w:sz w:val="20"/>
    </w:rPr>
  </w:style>
  <w:style w:type="paragraph" w:styleId="31">
    <w:name w:val="Body Text Indent"/>
    <w:basedOn w:val="1"/>
    <w:link w:val="156"/>
    <w:autoRedefine/>
    <w:qFormat/>
    <w:uiPriority w:val="99"/>
    <w:pPr>
      <w:spacing w:line="500" w:lineRule="exact"/>
      <w:ind w:left="1588" w:leftChars="832" w:firstLine="433" w:firstLineChars="196"/>
    </w:pPr>
    <w:rPr>
      <w:kern w:val="0"/>
      <w:sz w:val="20"/>
    </w:rPr>
  </w:style>
  <w:style w:type="paragraph" w:styleId="32">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3">
    <w:name w:val="List 2"/>
    <w:basedOn w:val="1"/>
    <w:autoRedefine/>
    <w:qFormat/>
    <w:uiPriority w:val="99"/>
    <w:pPr>
      <w:ind w:left="100" w:leftChars="200" w:hanging="200" w:hangingChars="200"/>
    </w:pPr>
  </w:style>
  <w:style w:type="paragraph" w:styleId="34">
    <w:name w:val="List Continue"/>
    <w:basedOn w:val="1"/>
    <w:autoRedefine/>
    <w:qFormat/>
    <w:uiPriority w:val="99"/>
    <w:pPr>
      <w:spacing w:after="120"/>
      <w:ind w:left="420" w:leftChars="200"/>
    </w:pPr>
  </w:style>
  <w:style w:type="paragraph" w:styleId="35">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6">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7">
    <w:name w:val="HTML Address"/>
    <w:basedOn w:val="1"/>
    <w:link w:val="157"/>
    <w:autoRedefine/>
    <w:semiHidden/>
    <w:qFormat/>
    <w:uiPriority w:val="99"/>
    <w:pPr>
      <w:spacing w:after="200" w:line="276" w:lineRule="auto"/>
      <w:jc w:val="left"/>
    </w:pPr>
    <w:rPr>
      <w:i/>
      <w:iCs/>
      <w:kern w:val="0"/>
      <w:sz w:val="20"/>
    </w:rPr>
  </w:style>
  <w:style w:type="paragraph" w:styleId="38">
    <w:name w:val="index 4"/>
    <w:basedOn w:val="1"/>
    <w:next w:val="1"/>
    <w:autoRedefine/>
    <w:qFormat/>
    <w:uiPriority w:val="0"/>
    <w:pPr>
      <w:ind w:left="428" w:firstLine="140"/>
    </w:pPr>
    <w:rPr>
      <w:rFonts w:eastAsia="华文仿宋"/>
      <w:sz w:val="28"/>
    </w:rPr>
  </w:style>
  <w:style w:type="paragraph" w:styleId="39">
    <w:name w:val="toc 5"/>
    <w:basedOn w:val="1"/>
    <w:next w:val="1"/>
    <w:autoRedefine/>
    <w:semiHidden/>
    <w:qFormat/>
    <w:uiPriority w:val="99"/>
    <w:pPr>
      <w:ind w:left="840"/>
      <w:jc w:val="left"/>
    </w:pPr>
    <w:rPr>
      <w:sz w:val="18"/>
      <w:szCs w:val="18"/>
    </w:rPr>
  </w:style>
  <w:style w:type="paragraph" w:styleId="40">
    <w:name w:val="toc 3"/>
    <w:basedOn w:val="1"/>
    <w:next w:val="1"/>
    <w:autoRedefine/>
    <w:qFormat/>
    <w:uiPriority w:val="39"/>
    <w:pPr>
      <w:ind w:left="420"/>
      <w:jc w:val="left"/>
    </w:pPr>
    <w:rPr>
      <w:i/>
      <w:iCs/>
      <w:sz w:val="20"/>
      <w:szCs w:val="20"/>
    </w:rPr>
  </w:style>
  <w:style w:type="paragraph" w:styleId="41">
    <w:name w:val="Plain Text"/>
    <w:basedOn w:val="1"/>
    <w:link w:val="158"/>
    <w:autoRedefine/>
    <w:qFormat/>
    <w:uiPriority w:val="99"/>
    <w:rPr>
      <w:rFonts w:ascii="宋体" w:hAnsi="Courier New"/>
      <w:kern w:val="0"/>
      <w:sz w:val="20"/>
      <w:szCs w:val="21"/>
    </w:rPr>
  </w:style>
  <w:style w:type="paragraph" w:styleId="42">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3">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4">
    <w:name w:val="toc 8"/>
    <w:basedOn w:val="1"/>
    <w:next w:val="1"/>
    <w:autoRedefine/>
    <w:semiHidden/>
    <w:qFormat/>
    <w:uiPriority w:val="99"/>
    <w:pPr>
      <w:ind w:left="1470"/>
      <w:jc w:val="left"/>
    </w:pPr>
    <w:rPr>
      <w:sz w:val="18"/>
      <w:szCs w:val="18"/>
    </w:rPr>
  </w:style>
  <w:style w:type="paragraph" w:styleId="45">
    <w:name w:val="Date"/>
    <w:basedOn w:val="1"/>
    <w:next w:val="1"/>
    <w:link w:val="159"/>
    <w:autoRedefine/>
    <w:qFormat/>
    <w:uiPriority w:val="99"/>
    <w:pPr>
      <w:ind w:left="100" w:leftChars="2500"/>
    </w:pPr>
    <w:rPr>
      <w:kern w:val="0"/>
      <w:sz w:val="20"/>
    </w:rPr>
  </w:style>
  <w:style w:type="paragraph" w:styleId="46">
    <w:name w:val="Body Text Indent 2"/>
    <w:basedOn w:val="1"/>
    <w:link w:val="160"/>
    <w:autoRedefine/>
    <w:qFormat/>
    <w:uiPriority w:val="99"/>
    <w:pPr>
      <w:spacing w:line="500" w:lineRule="exact"/>
      <w:ind w:firstLine="442" w:firstLineChars="200"/>
    </w:pPr>
    <w:rPr>
      <w:kern w:val="0"/>
      <w:sz w:val="20"/>
    </w:rPr>
  </w:style>
  <w:style w:type="paragraph" w:styleId="47">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8">
    <w:name w:val="Balloon Text"/>
    <w:basedOn w:val="1"/>
    <w:link w:val="161"/>
    <w:autoRedefine/>
    <w:qFormat/>
    <w:uiPriority w:val="99"/>
    <w:rPr>
      <w:kern w:val="0"/>
      <w:sz w:val="16"/>
      <w:szCs w:val="16"/>
    </w:rPr>
  </w:style>
  <w:style w:type="paragraph" w:styleId="49">
    <w:name w:val="footer"/>
    <w:basedOn w:val="1"/>
    <w:link w:val="162"/>
    <w:autoRedefine/>
    <w:qFormat/>
    <w:uiPriority w:val="99"/>
    <w:pPr>
      <w:tabs>
        <w:tab w:val="center" w:pos="4153"/>
        <w:tab w:val="right" w:pos="8306"/>
      </w:tabs>
      <w:snapToGrid w:val="0"/>
      <w:jc w:val="left"/>
    </w:pPr>
    <w:rPr>
      <w:kern w:val="0"/>
      <w:sz w:val="18"/>
      <w:szCs w:val="18"/>
    </w:rPr>
  </w:style>
  <w:style w:type="paragraph" w:styleId="50">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6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64"/>
    <w:autoRedefine/>
    <w:qFormat/>
    <w:uiPriority w:val="99"/>
    <w:pPr>
      <w:ind w:left="100" w:leftChars="2100"/>
    </w:pPr>
    <w:rPr>
      <w:kern w:val="0"/>
      <w:sz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5"/>
    <w:autoRedefine/>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6"/>
    <w:autoRedefine/>
    <w:qFormat/>
    <w:uiPriority w:val="99"/>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link w:val="167"/>
    <w:autoRedefine/>
    <w:qFormat/>
    <w:uiPriority w:val="99"/>
    <w:rPr>
      <w:kern w:val="0"/>
      <w:sz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8"/>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rPr>
  </w:style>
  <w:style w:type="paragraph" w:styleId="68">
    <w:name w:val="HTML Preformatted"/>
    <w:basedOn w:val="1"/>
    <w:link w:val="169"/>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70"/>
    <w:autoRedefine/>
    <w:qFormat/>
    <w:uiPriority w:val="10"/>
    <w:pPr>
      <w:spacing w:before="240" w:after="60" w:line="276" w:lineRule="auto"/>
      <w:jc w:val="center"/>
      <w:outlineLvl w:val="0"/>
    </w:pPr>
    <w:rPr>
      <w:rFonts w:ascii="Cambria" w:hAnsi="Cambria"/>
      <w:b/>
      <w:bCs/>
      <w:kern w:val="0"/>
      <w:sz w:val="32"/>
      <w:szCs w:val="32"/>
    </w:rPr>
  </w:style>
  <w:style w:type="paragraph" w:styleId="72">
    <w:name w:val="annotation subject"/>
    <w:basedOn w:val="25"/>
    <w:next w:val="25"/>
    <w:link w:val="171"/>
    <w:autoRedefine/>
    <w:semiHidden/>
    <w:qFormat/>
    <w:uiPriority w:val="99"/>
    <w:pPr>
      <w:spacing w:after="0" w:line="240" w:lineRule="auto"/>
    </w:pPr>
    <w:rPr>
      <w:rFonts w:ascii="Calibri" w:hAnsi="Calibri"/>
      <w:b/>
      <w:bCs/>
      <w:sz w:val="22"/>
      <w:lang w:eastAsia="en-US"/>
    </w:rPr>
  </w:style>
  <w:style w:type="paragraph" w:styleId="73">
    <w:name w:val="Body Text First Indent"/>
    <w:basedOn w:val="30"/>
    <w:link w:val="172"/>
    <w:autoRedefine/>
    <w:qFormat/>
    <w:uiPriority w:val="99"/>
    <w:pPr>
      <w:spacing w:line="400" w:lineRule="exact"/>
      <w:ind w:firstLine="200" w:firstLineChars="200"/>
    </w:pPr>
    <w:rPr>
      <w:sz w:val="21"/>
    </w:rPr>
  </w:style>
  <w:style w:type="paragraph" w:styleId="74">
    <w:name w:val="Body Text First Indent 2"/>
    <w:basedOn w:val="31"/>
    <w:link w:val="173"/>
    <w:autoRedefine/>
    <w:semiHidden/>
    <w:qFormat/>
    <w:uiPriority w:val="99"/>
    <w:pPr>
      <w:spacing w:after="120" w:line="276" w:lineRule="auto"/>
      <w:ind w:left="420" w:leftChars="200" w:firstLine="420" w:firstLineChars="200"/>
      <w:jc w:val="left"/>
    </w:pPr>
    <w:rPr>
      <w:rFonts w:ascii="Calibri" w:hAnsi="Calibri"/>
      <w:sz w:val="22"/>
      <w:szCs w:val="22"/>
      <w:lang w:eastAsia="en-US"/>
    </w:rPr>
  </w:style>
  <w:style w:type="table" w:styleId="76">
    <w:name w:val="Table Grid"/>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autoRedefine/>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autoRedefine/>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rPr>
      <w:rFonts w:ascii="Calibri" w:hAnsi="Calibri"/>
    </w:r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rFonts w:ascii="Calibri" w:hAnsi="Calibri"/>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rPr>
      <w:rFonts w:ascii="Calibri" w:hAnsi="Calibri"/>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autoRedefine/>
    <w:qFormat/>
    <w:uiPriority w:val="99"/>
    <w:rPr>
      <w:rFonts w:cs="Times New Roman"/>
      <w:b/>
      <w:bCs/>
    </w:rPr>
  </w:style>
  <w:style w:type="character" w:styleId="122">
    <w:name w:val="page number"/>
    <w:autoRedefine/>
    <w:qFormat/>
    <w:uiPriority w:val="99"/>
    <w:rPr>
      <w:rFonts w:cs="Times New Roman"/>
    </w:rPr>
  </w:style>
  <w:style w:type="character" w:styleId="123">
    <w:name w:val="FollowedHyperlink"/>
    <w:basedOn w:val="120"/>
    <w:autoRedefine/>
    <w:unhideWhenUsed/>
    <w:qFormat/>
    <w:uiPriority w:val="99"/>
    <w:rPr>
      <w:color w:val="771CAA"/>
      <w:u w:val="none"/>
    </w:rPr>
  </w:style>
  <w:style w:type="character" w:styleId="124">
    <w:name w:val="Emphasis"/>
    <w:autoRedefine/>
    <w:qFormat/>
    <w:uiPriority w:val="99"/>
    <w:rPr>
      <w:rFonts w:cs="Times New Roman"/>
      <w:color w:val="CC0000"/>
    </w:rPr>
  </w:style>
  <w:style w:type="character" w:styleId="125">
    <w:name w:val="line number"/>
    <w:autoRedefine/>
    <w:qFormat/>
    <w:uiPriority w:val="99"/>
    <w:rPr>
      <w:rFonts w:cs="Times New Roman"/>
    </w:rPr>
  </w:style>
  <w:style w:type="character" w:styleId="126">
    <w:name w:val="HTML Definition"/>
    <w:autoRedefine/>
    <w:semiHidden/>
    <w:qFormat/>
    <w:uiPriority w:val="99"/>
    <w:rPr>
      <w:rFonts w:cs="Times New Roman"/>
      <w:i/>
      <w:iCs/>
    </w:rPr>
  </w:style>
  <w:style w:type="character" w:styleId="127">
    <w:name w:val="HTML Typewriter"/>
    <w:autoRedefine/>
    <w:semiHidden/>
    <w:qFormat/>
    <w:uiPriority w:val="99"/>
    <w:rPr>
      <w:rFonts w:ascii="Courier New" w:hAnsi="Courier New" w:cs="Courier New"/>
      <w:sz w:val="20"/>
      <w:szCs w:val="20"/>
    </w:rPr>
  </w:style>
  <w:style w:type="character" w:styleId="128">
    <w:name w:val="HTML Acronym"/>
    <w:autoRedefine/>
    <w:semiHidden/>
    <w:qFormat/>
    <w:uiPriority w:val="99"/>
    <w:rPr>
      <w:rFonts w:cs="Times New Roman"/>
    </w:rPr>
  </w:style>
  <w:style w:type="character" w:styleId="129">
    <w:name w:val="HTML Variable"/>
    <w:autoRedefine/>
    <w:semiHidden/>
    <w:qFormat/>
    <w:uiPriority w:val="99"/>
    <w:rPr>
      <w:rFonts w:cs="Times New Roman"/>
      <w:i/>
      <w:iCs/>
    </w:rPr>
  </w:style>
  <w:style w:type="character" w:styleId="130">
    <w:name w:val="Hyperlink"/>
    <w:autoRedefine/>
    <w:qFormat/>
    <w:uiPriority w:val="99"/>
    <w:rPr>
      <w:rFonts w:cs="Times New Roman"/>
      <w:color w:val="1F4F88"/>
      <w:u w:val="none"/>
    </w:rPr>
  </w:style>
  <w:style w:type="character" w:styleId="131">
    <w:name w:val="HTML Code"/>
    <w:autoRedefine/>
    <w:semiHidden/>
    <w:qFormat/>
    <w:uiPriority w:val="99"/>
    <w:rPr>
      <w:rFonts w:ascii="Courier New" w:hAnsi="Courier New" w:cs="Courier New"/>
      <w:sz w:val="20"/>
      <w:szCs w:val="20"/>
    </w:rPr>
  </w:style>
  <w:style w:type="character" w:styleId="132">
    <w:name w:val="annotation reference"/>
    <w:autoRedefine/>
    <w:qFormat/>
    <w:uiPriority w:val="99"/>
    <w:rPr>
      <w:rFonts w:cs="Times New Roman"/>
      <w:sz w:val="21"/>
    </w:rPr>
  </w:style>
  <w:style w:type="character" w:styleId="133">
    <w:name w:val="HTML Cite"/>
    <w:autoRedefine/>
    <w:semiHidden/>
    <w:qFormat/>
    <w:uiPriority w:val="99"/>
    <w:rPr>
      <w:rFonts w:cs="Times New Roman"/>
      <w:i/>
      <w:iCs/>
    </w:rPr>
  </w:style>
  <w:style w:type="character" w:styleId="134">
    <w:name w:val="HTML Keyboard"/>
    <w:autoRedefine/>
    <w:semiHidden/>
    <w:qFormat/>
    <w:uiPriority w:val="99"/>
    <w:rPr>
      <w:rFonts w:ascii="Courier New" w:hAnsi="Courier New" w:cs="Courier New"/>
      <w:sz w:val="20"/>
      <w:szCs w:val="20"/>
    </w:rPr>
  </w:style>
  <w:style w:type="character" w:styleId="135">
    <w:name w:val="HTML Sample"/>
    <w:autoRedefine/>
    <w:semiHidden/>
    <w:qFormat/>
    <w:uiPriority w:val="99"/>
    <w:rPr>
      <w:rFonts w:ascii="Courier New" w:hAnsi="Courier New" w:cs="Courier New"/>
    </w:rPr>
  </w:style>
  <w:style w:type="paragraph" w:customStyle="1" w:styleId="136">
    <w:name w:val="列出段落1"/>
    <w:basedOn w:val="1"/>
    <w:link w:val="137"/>
    <w:autoRedefine/>
    <w:qFormat/>
    <w:uiPriority w:val="99"/>
    <w:pPr>
      <w:spacing w:line="360" w:lineRule="auto"/>
      <w:ind w:firstLine="480" w:firstLineChars="200"/>
    </w:pPr>
    <w:rPr>
      <w:color w:val="262626"/>
      <w:kern w:val="0"/>
      <w:sz w:val="20"/>
      <w:szCs w:val="20"/>
    </w:rPr>
  </w:style>
  <w:style w:type="character" w:customStyle="1" w:styleId="137">
    <w:name w:val="List Paragraph Char"/>
    <w:link w:val="136"/>
    <w:autoRedefine/>
    <w:qFormat/>
    <w:locked/>
    <w:uiPriority w:val="99"/>
    <w:rPr>
      <w:rFonts w:eastAsia="宋体" w:cs="Times New Roman"/>
      <w:color w:val="262626"/>
    </w:rPr>
  </w:style>
  <w:style w:type="character" w:customStyle="1" w:styleId="138">
    <w:name w:val="标题 1 Char1"/>
    <w:link w:val="2"/>
    <w:autoRedefine/>
    <w:qFormat/>
    <w:locked/>
    <w:uiPriority w:val="99"/>
    <w:rPr>
      <w:rFonts w:eastAsia="宋体" w:cs="Times New Roman"/>
      <w:b/>
      <w:bCs/>
      <w:kern w:val="44"/>
      <w:sz w:val="44"/>
      <w:szCs w:val="44"/>
    </w:rPr>
  </w:style>
  <w:style w:type="character" w:customStyle="1" w:styleId="139">
    <w:name w:val="标题 2 Char"/>
    <w:link w:val="3"/>
    <w:autoRedefine/>
    <w:qFormat/>
    <w:locked/>
    <w:uiPriority w:val="99"/>
    <w:rPr>
      <w:rFonts w:ascii="Arial" w:hAnsi="Arial" w:eastAsia="黑体" w:cs="Times New Roman"/>
      <w:b/>
      <w:bCs/>
      <w:sz w:val="32"/>
      <w:szCs w:val="32"/>
    </w:rPr>
  </w:style>
  <w:style w:type="character" w:customStyle="1" w:styleId="140">
    <w:name w:val="标题 3 Char"/>
    <w:link w:val="4"/>
    <w:autoRedefine/>
    <w:qFormat/>
    <w:locked/>
    <w:uiPriority w:val="99"/>
    <w:rPr>
      <w:rFonts w:eastAsia="宋体" w:cs="Times New Roman"/>
      <w:b/>
      <w:bCs/>
      <w:sz w:val="32"/>
      <w:szCs w:val="32"/>
    </w:rPr>
  </w:style>
  <w:style w:type="character" w:customStyle="1" w:styleId="141">
    <w:name w:val="标题 4 Char"/>
    <w:link w:val="5"/>
    <w:autoRedefine/>
    <w:qFormat/>
    <w:locked/>
    <w:uiPriority w:val="99"/>
    <w:rPr>
      <w:rFonts w:ascii="Arial" w:hAnsi="Arial" w:eastAsia="黑体" w:cs="Times New Roman"/>
      <w:b/>
      <w:bCs/>
      <w:sz w:val="28"/>
      <w:szCs w:val="28"/>
    </w:rPr>
  </w:style>
  <w:style w:type="character" w:customStyle="1" w:styleId="142">
    <w:name w:val="标题 5 Char"/>
    <w:link w:val="6"/>
    <w:autoRedefine/>
    <w:qFormat/>
    <w:locked/>
    <w:uiPriority w:val="99"/>
    <w:rPr>
      <w:rFonts w:eastAsia="宋体" w:cs="Times New Roman"/>
      <w:b/>
      <w:bCs/>
      <w:sz w:val="28"/>
      <w:szCs w:val="28"/>
    </w:rPr>
  </w:style>
  <w:style w:type="character" w:customStyle="1" w:styleId="143">
    <w:name w:val="标题 6 Char"/>
    <w:link w:val="7"/>
    <w:autoRedefine/>
    <w:qFormat/>
    <w:locked/>
    <w:uiPriority w:val="99"/>
    <w:rPr>
      <w:rFonts w:ascii="Arial" w:hAnsi="Arial" w:eastAsia="黑体" w:cs="Times New Roman"/>
      <w:b/>
      <w:bCs/>
    </w:rPr>
  </w:style>
  <w:style w:type="character" w:customStyle="1" w:styleId="144">
    <w:name w:val="标题 7 Char"/>
    <w:link w:val="8"/>
    <w:autoRedefine/>
    <w:semiHidden/>
    <w:qFormat/>
    <w:uiPriority w:val="9"/>
    <w:rPr>
      <w:b/>
      <w:bCs/>
      <w:sz w:val="24"/>
      <w:szCs w:val="24"/>
    </w:rPr>
  </w:style>
  <w:style w:type="character" w:customStyle="1" w:styleId="145">
    <w:name w:val="标题 8 Char"/>
    <w:link w:val="9"/>
    <w:autoRedefine/>
    <w:semiHidden/>
    <w:qFormat/>
    <w:uiPriority w:val="9"/>
    <w:rPr>
      <w:rFonts w:ascii="Cambria" w:hAnsi="Cambria" w:eastAsia="宋体" w:cs="Times New Roman"/>
      <w:sz w:val="24"/>
      <w:szCs w:val="24"/>
    </w:rPr>
  </w:style>
  <w:style w:type="character" w:customStyle="1" w:styleId="146">
    <w:name w:val="标题 9 Char"/>
    <w:link w:val="10"/>
    <w:autoRedefine/>
    <w:semiHidden/>
    <w:qFormat/>
    <w:uiPriority w:val="9"/>
    <w:rPr>
      <w:rFonts w:ascii="Cambria" w:hAnsi="Cambria" w:eastAsia="宋体" w:cs="Times New Roman"/>
      <w:szCs w:val="21"/>
    </w:rPr>
  </w:style>
  <w:style w:type="character" w:customStyle="1" w:styleId="147">
    <w:name w:val="注释标题 Char"/>
    <w:link w:val="15"/>
    <w:autoRedefine/>
    <w:semiHidden/>
    <w:qFormat/>
    <w:uiPriority w:val="0"/>
    <w:rPr>
      <w:szCs w:val="24"/>
    </w:rPr>
  </w:style>
  <w:style w:type="character" w:customStyle="1" w:styleId="148">
    <w:name w:val="电子邮件签名 Char"/>
    <w:link w:val="17"/>
    <w:autoRedefine/>
    <w:semiHidden/>
    <w:qFormat/>
    <w:uiPriority w:val="99"/>
    <w:rPr>
      <w:szCs w:val="24"/>
    </w:rPr>
  </w:style>
  <w:style w:type="character" w:customStyle="1" w:styleId="149">
    <w:name w:val="正文缩进 Char"/>
    <w:link w:val="19"/>
    <w:autoRedefine/>
    <w:qFormat/>
    <w:locked/>
    <w:uiPriority w:val="99"/>
    <w:rPr>
      <w:rFonts w:eastAsia="宋体" w:cs="Times New Roman"/>
      <w:sz w:val="21"/>
    </w:rPr>
  </w:style>
  <w:style w:type="character" w:customStyle="1" w:styleId="150">
    <w:name w:val="文档结构图 Char"/>
    <w:link w:val="23"/>
    <w:autoRedefine/>
    <w:semiHidden/>
    <w:qFormat/>
    <w:uiPriority w:val="99"/>
    <w:rPr>
      <w:sz w:val="16"/>
      <w:szCs w:val="0"/>
    </w:rPr>
  </w:style>
  <w:style w:type="character" w:customStyle="1" w:styleId="151">
    <w:name w:val="批注文字 Char"/>
    <w:link w:val="25"/>
    <w:autoRedefine/>
    <w:qFormat/>
    <w:uiPriority w:val="99"/>
    <w:rPr>
      <w:szCs w:val="24"/>
    </w:rPr>
  </w:style>
  <w:style w:type="character" w:customStyle="1" w:styleId="152">
    <w:name w:val="称呼 Char"/>
    <w:link w:val="26"/>
    <w:autoRedefine/>
    <w:semiHidden/>
    <w:qFormat/>
    <w:uiPriority w:val="99"/>
    <w:rPr>
      <w:szCs w:val="24"/>
    </w:rPr>
  </w:style>
  <w:style w:type="character" w:customStyle="1" w:styleId="153">
    <w:name w:val="正文文本 3 Char"/>
    <w:link w:val="27"/>
    <w:autoRedefine/>
    <w:semiHidden/>
    <w:qFormat/>
    <w:uiPriority w:val="99"/>
    <w:rPr>
      <w:sz w:val="16"/>
      <w:szCs w:val="16"/>
    </w:rPr>
  </w:style>
  <w:style w:type="character" w:customStyle="1" w:styleId="154">
    <w:name w:val="结束语 Char"/>
    <w:link w:val="28"/>
    <w:autoRedefine/>
    <w:semiHidden/>
    <w:qFormat/>
    <w:uiPriority w:val="99"/>
    <w:rPr>
      <w:szCs w:val="24"/>
    </w:rPr>
  </w:style>
  <w:style w:type="character" w:customStyle="1" w:styleId="155">
    <w:name w:val="正文文本 Char"/>
    <w:link w:val="30"/>
    <w:autoRedefine/>
    <w:semiHidden/>
    <w:qFormat/>
    <w:uiPriority w:val="99"/>
    <w:rPr>
      <w:szCs w:val="24"/>
    </w:rPr>
  </w:style>
  <w:style w:type="character" w:customStyle="1" w:styleId="156">
    <w:name w:val="正文文本缩进 Char"/>
    <w:link w:val="31"/>
    <w:autoRedefine/>
    <w:semiHidden/>
    <w:qFormat/>
    <w:uiPriority w:val="99"/>
    <w:rPr>
      <w:szCs w:val="24"/>
    </w:rPr>
  </w:style>
  <w:style w:type="character" w:customStyle="1" w:styleId="157">
    <w:name w:val="HTML 地址 Char"/>
    <w:link w:val="37"/>
    <w:autoRedefine/>
    <w:semiHidden/>
    <w:qFormat/>
    <w:uiPriority w:val="99"/>
    <w:rPr>
      <w:i/>
      <w:iCs/>
      <w:szCs w:val="24"/>
    </w:rPr>
  </w:style>
  <w:style w:type="character" w:customStyle="1" w:styleId="158">
    <w:name w:val="纯文本 Char"/>
    <w:link w:val="41"/>
    <w:autoRedefine/>
    <w:semiHidden/>
    <w:qFormat/>
    <w:uiPriority w:val="99"/>
    <w:rPr>
      <w:rFonts w:ascii="宋体" w:hAnsi="Courier New" w:cs="Courier New"/>
      <w:szCs w:val="21"/>
    </w:rPr>
  </w:style>
  <w:style w:type="character" w:customStyle="1" w:styleId="159">
    <w:name w:val="日期 Char"/>
    <w:link w:val="45"/>
    <w:autoRedefine/>
    <w:semiHidden/>
    <w:qFormat/>
    <w:uiPriority w:val="99"/>
    <w:rPr>
      <w:szCs w:val="24"/>
    </w:rPr>
  </w:style>
  <w:style w:type="character" w:customStyle="1" w:styleId="160">
    <w:name w:val="正文文本缩进 2 Char"/>
    <w:link w:val="46"/>
    <w:autoRedefine/>
    <w:semiHidden/>
    <w:qFormat/>
    <w:uiPriority w:val="99"/>
    <w:rPr>
      <w:szCs w:val="24"/>
    </w:rPr>
  </w:style>
  <w:style w:type="character" w:customStyle="1" w:styleId="161">
    <w:name w:val="批注框文本 Char"/>
    <w:link w:val="48"/>
    <w:autoRedefine/>
    <w:semiHidden/>
    <w:qFormat/>
    <w:uiPriority w:val="99"/>
    <w:rPr>
      <w:sz w:val="16"/>
      <w:szCs w:val="0"/>
    </w:rPr>
  </w:style>
  <w:style w:type="character" w:customStyle="1" w:styleId="162">
    <w:name w:val="页脚 Char"/>
    <w:link w:val="49"/>
    <w:autoRedefine/>
    <w:semiHidden/>
    <w:qFormat/>
    <w:uiPriority w:val="99"/>
    <w:rPr>
      <w:sz w:val="18"/>
      <w:szCs w:val="18"/>
    </w:rPr>
  </w:style>
  <w:style w:type="character" w:customStyle="1" w:styleId="163">
    <w:name w:val="页眉 Char"/>
    <w:link w:val="51"/>
    <w:autoRedefine/>
    <w:semiHidden/>
    <w:qFormat/>
    <w:uiPriority w:val="99"/>
    <w:rPr>
      <w:sz w:val="18"/>
      <w:szCs w:val="18"/>
    </w:rPr>
  </w:style>
  <w:style w:type="character" w:customStyle="1" w:styleId="164">
    <w:name w:val="签名 Char"/>
    <w:link w:val="52"/>
    <w:autoRedefine/>
    <w:semiHidden/>
    <w:qFormat/>
    <w:uiPriority w:val="99"/>
    <w:rPr>
      <w:szCs w:val="24"/>
    </w:rPr>
  </w:style>
  <w:style w:type="character" w:customStyle="1" w:styleId="165">
    <w:name w:val="副标题 Char"/>
    <w:link w:val="56"/>
    <w:autoRedefine/>
    <w:qFormat/>
    <w:uiPriority w:val="11"/>
    <w:rPr>
      <w:rFonts w:ascii="Cambria" w:hAnsi="Cambria" w:cs="Times New Roman"/>
      <w:b/>
      <w:bCs/>
      <w:kern w:val="28"/>
      <w:sz w:val="32"/>
      <w:szCs w:val="32"/>
    </w:rPr>
  </w:style>
  <w:style w:type="character" w:customStyle="1" w:styleId="166">
    <w:name w:val="正文文本缩进 3 Char"/>
    <w:link w:val="61"/>
    <w:autoRedefine/>
    <w:semiHidden/>
    <w:qFormat/>
    <w:uiPriority w:val="99"/>
    <w:rPr>
      <w:sz w:val="16"/>
      <w:szCs w:val="16"/>
    </w:rPr>
  </w:style>
  <w:style w:type="character" w:customStyle="1" w:styleId="167">
    <w:name w:val="正文文本 2 Char"/>
    <w:link w:val="64"/>
    <w:autoRedefine/>
    <w:semiHidden/>
    <w:qFormat/>
    <w:uiPriority w:val="99"/>
    <w:rPr>
      <w:szCs w:val="24"/>
    </w:rPr>
  </w:style>
  <w:style w:type="character" w:customStyle="1" w:styleId="168">
    <w:name w:val="信息标题 Char"/>
    <w:link w:val="67"/>
    <w:autoRedefine/>
    <w:semiHidden/>
    <w:qFormat/>
    <w:uiPriority w:val="99"/>
    <w:rPr>
      <w:rFonts w:ascii="Cambria" w:hAnsi="Cambria" w:eastAsia="宋体" w:cs="Times New Roman"/>
      <w:sz w:val="24"/>
      <w:szCs w:val="24"/>
      <w:shd w:val="pct20" w:color="auto" w:fill="auto"/>
    </w:rPr>
  </w:style>
  <w:style w:type="character" w:customStyle="1" w:styleId="169">
    <w:name w:val="HTML 预设格式 Char"/>
    <w:link w:val="68"/>
    <w:autoRedefine/>
    <w:semiHidden/>
    <w:qFormat/>
    <w:uiPriority w:val="99"/>
    <w:rPr>
      <w:rFonts w:ascii="Courier New" w:hAnsi="Courier New" w:cs="Courier New"/>
      <w:sz w:val="20"/>
      <w:szCs w:val="20"/>
    </w:rPr>
  </w:style>
  <w:style w:type="character" w:customStyle="1" w:styleId="170">
    <w:name w:val="标题 Char"/>
    <w:link w:val="71"/>
    <w:autoRedefine/>
    <w:qFormat/>
    <w:uiPriority w:val="10"/>
    <w:rPr>
      <w:rFonts w:ascii="Cambria" w:hAnsi="Cambria" w:cs="Times New Roman"/>
      <w:b/>
      <w:bCs/>
      <w:sz w:val="32"/>
      <w:szCs w:val="32"/>
    </w:rPr>
  </w:style>
  <w:style w:type="character" w:customStyle="1" w:styleId="171">
    <w:name w:val="批注主题 Char"/>
    <w:link w:val="72"/>
    <w:autoRedefine/>
    <w:semiHidden/>
    <w:qFormat/>
    <w:uiPriority w:val="99"/>
    <w:rPr>
      <w:rFonts w:ascii="Calibri" w:hAnsi="Calibri" w:eastAsia="宋体"/>
      <w:b/>
      <w:bCs/>
      <w:sz w:val="22"/>
      <w:szCs w:val="24"/>
      <w:lang w:val="en-US" w:eastAsia="en-US"/>
    </w:rPr>
  </w:style>
  <w:style w:type="character" w:customStyle="1" w:styleId="172">
    <w:name w:val="正文首行缩进 Char"/>
    <w:link w:val="73"/>
    <w:autoRedefine/>
    <w:semiHidden/>
    <w:qFormat/>
    <w:uiPriority w:val="99"/>
    <w:rPr>
      <w:rFonts w:eastAsia="宋体" w:cs="Times New Roman"/>
      <w:sz w:val="21"/>
      <w:szCs w:val="24"/>
    </w:rPr>
  </w:style>
  <w:style w:type="character" w:customStyle="1" w:styleId="173">
    <w:name w:val="正文首行缩进 2 Char"/>
    <w:link w:val="74"/>
    <w:autoRedefine/>
    <w:semiHidden/>
    <w:qFormat/>
    <w:uiPriority w:val="99"/>
    <w:rPr>
      <w:szCs w:val="24"/>
    </w:rPr>
  </w:style>
  <w:style w:type="character" w:customStyle="1" w:styleId="174">
    <w:name w:val="Header Char"/>
    <w:autoRedefine/>
    <w:semiHidden/>
    <w:qFormat/>
    <w:locked/>
    <w:uiPriority w:val="99"/>
    <w:rPr>
      <w:rFonts w:eastAsia="宋体" w:cs="Times New Roman"/>
      <w:sz w:val="18"/>
      <w:szCs w:val="18"/>
    </w:rPr>
  </w:style>
  <w:style w:type="character" w:customStyle="1" w:styleId="175">
    <w:name w:val="Document Map Char"/>
    <w:autoRedefine/>
    <w:semiHidden/>
    <w:qFormat/>
    <w:locked/>
    <w:uiPriority w:val="99"/>
    <w:rPr>
      <w:rFonts w:eastAsia="宋体" w:cs="Times New Roman"/>
      <w:sz w:val="21"/>
    </w:rPr>
  </w:style>
  <w:style w:type="character" w:customStyle="1" w:styleId="176">
    <w:name w:val="标题 1 Char"/>
    <w:autoRedefine/>
    <w:qFormat/>
    <w:uiPriority w:val="99"/>
    <w:rPr>
      <w:rFonts w:eastAsia="宋体" w:cs="Times New Roman"/>
      <w:b/>
      <w:bCs/>
      <w:kern w:val="44"/>
      <w:sz w:val="44"/>
      <w:szCs w:val="44"/>
      <w:lang w:val="en-US" w:eastAsia="zh-CN" w:bidi="ar-SA"/>
    </w:rPr>
  </w:style>
  <w:style w:type="character" w:customStyle="1" w:styleId="177">
    <w:name w:val="hover39"/>
    <w:autoRedefine/>
    <w:qFormat/>
    <w:uiPriority w:val="99"/>
    <w:rPr>
      <w:rFonts w:cs="Times New Roman"/>
      <w:color w:val="FFFFFF"/>
      <w:shd w:val="clear" w:color="auto" w:fill="FF6600"/>
    </w:rPr>
  </w:style>
  <w:style w:type="character" w:customStyle="1" w:styleId="178">
    <w:name w:val="param-name1"/>
    <w:autoRedefine/>
    <w:qFormat/>
    <w:uiPriority w:val="99"/>
    <w:rPr>
      <w:rFonts w:cs="Times New Roman"/>
      <w:b/>
    </w:rPr>
  </w:style>
  <w:style w:type="character" w:customStyle="1" w:styleId="179">
    <w:name w:val="hei14"/>
    <w:autoRedefine/>
    <w:semiHidden/>
    <w:qFormat/>
    <w:uiPriority w:val="99"/>
    <w:rPr>
      <w:rFonts w:cs="Times New Roman"/>
    </w:rPr>
  </w:style>
  <w:style w:type="character" w:customStyle="1" w:styleId="180">
    <w:name w:val="apple-converted-space"/>
    <w:autoRedefine/>
    <w:qFormat/>
    <w:uiPriority w:val="99"/>
  </w:style>
  <w:style w:type="character" w:customStyle="1" w:styleId="181">
    <w:name w:val="hover38"/>
    <w:autoRedefine/>
    <w:qFormat/>
    <w:uiPriority w:val="99"/>
    <w:rPr>
      <w:rFonts w:cs="Times New Roman"/>
      <w:color w:val="FF6600"/>
      <w:u w:val="single"/>
    </w:rPr>
  </w:style>
  <w:style w:type="character" w:customStyle="1" w:styleId="182">
    <w:name w:val="hover44"/>
    <w:autoRedefine/>
    <w:qFormat/>
    <w:uiPriority w:val="99"/>
    <w:rPr>
      <w:rFonts w:ascii="微软雅黑" w:hAnsi="微软雅黑" w:eastAsia="微软雅黑" w:cs="微软雅黑"/>
      <w:b/>
      <w:color w:val="FF6600"/>
      <w:sz w:val="22"/>
      <w:szCs w:val="22"/>
      <w:u w:val="single"/>
    </w:rPr>
  </w:style>
  <w:style w:type="character" w:customStyle="1" w:styleId="183">
    <w:name w:val="hover40"/>
    <w:autoRedefine/>
    <w:qFormat/>
    <w:uiPriority w:val="99"/>
    <w:rPr>
      <w:rFonts w:cs="Times New Roman"/>
      <w:color w:val="FF6600"/>
      <w:u w:val="single"/>
    </w:rPr>
  </w:style>
  <w:style w:type="character" w:customStyle="1" w:styleId="184">
    <w:name w:val="Body Text Char"/>
    <w:autoRedefine/>
    <w:qFormat/>
    <w:locked/>
    <w:uiPriority w:val="99"/>
    <w:rPr>
      <w:rFonts w:eastAsia="宋体" w:cs="Times New Roman"/>
      <w:sz w:val="21"/>
    </w:rPr>
  </w:style>
  <w:style w:type="character" w:customStyle="1" w:styleId="185">
    <w:name w:val="hover43"/>
    <w:autoRedefine/>
    <w:qFormat/>
    <w:uiPriority w:val="99"/>
    <w:rPr>
      <w:rFonts w:cs="Times New Roman"/>
      <w:color w:val="FF6600"/>
      <w:u w:val="single"/>
    </w:rPr>
  </w:style>
  <w:style w:type="character" w:customStyle="1" w:styleId="186">
    <w:name w:val="Body Text First Indent Char"/>
    <w:autoRedefine/>
    <w:qFormat/>
    <w:locked/>
    <w:uiPriority w:val="99"/>
    <w:rPr>
      <w:rFonts w:ascii="宋体" w:hAnsi="宋体" w:eastAsia="宋体" w:cs="Times New Roman"/>
      <w:spacing w:val="20"/>
      <w:sz w:val="24"/>
    </w:rPr>
  </w:style>
  <w:style w:type="character" w:customStyle="1" w:styleId="187">
    <w:name w:val="Footer Char"/>
    <w:autoRedefine/>
    <w:semiHidden/>
    <w:qFormat/>
    <w:locked/>
    <w:uiPriority w:val="99"/>
    <w:rPr>
      <w:rFonts w:eastAsia="宋体" w:cs="Times New Roman"/>
      <w:sz w:val="18"/>
      <w:szCs w:val="18"/>
    </w:rPr>
  </w:style>
  <w:style w:type="character" w:customStyle="1" w:styleId="188">
    <w:name w:val="明显引用 Char"/>
    <w:link w:val="189"/>
    <w:autoRedefine/>
    <w:qFormat/>
    <w:locked/>
    <w:uiPriority w:val="99"/>
    <w:rPr>
      <w:b/>
      <w:i/>
      <w:sz w:val="24"/>
    </w:rPr>
  </w:style>
  <w:style w:type="paragraph" w:customStyle="1" w:styleId="189">
    <w:name w:val="明显引用1"/>
    <w:basedOn w:val="1"/>
    <w:next w:val="1"/>
    <w:link w:val="188"/>
    <w:autoRedefine/>
    <w:qFormat/>
    <w:uiPriority w:val="99"/>
    <w:pPr>
      <w:widowControl/>
      <w:ind w:left="720" w:right="720"/>
      <w:jc w:val="left"/>
    </w:pPr>
    <w:rPr>
      <w:b/>
      <w:i/>
      <w:kern w:val="0"/>
      <w:sz w:val="24"/>
      <w:szCs w:val="20"/>
    </w:rPr>
  </w:style>
  <w:style w:type="character" w:customStyle="1" w:styleId="190">
    <w:name w:val="Comment Text Char"/>
    <w:autoRedefine/>
    <w:qFormat/>
    <w:locked/>
    <w:uiPriority w:val="99"/>
    <w:rPr>
      <w:rFonts w:ascii="Calibri" w:hAnsi="Calibri" w:eastAsia="宋体"/>
      <w:sz w:val="22"/>
      <w:lang w:val="en-US" w:eastAsia="en-US"/>
    </w:rPr>
  </w:style>
  <w:style w:type="character" w:customStyle="1" w:styleId="191">
    <w:name w:val="正文（缩进） Char"/>
    <w:link w:val="192"/>
    <w:autoRedefine/>
    <w:qFormat/>
    <w:locked/>
    <w:uiPriority w:val="99"/>
    <w:rPr>
      <w:rFonts w:eastAsia="宋体"/>
      <w:sz w:val="24"/>
    </w:rPr>
  </w:style>
  <w:style w:type="paragraph" w:customStyle="1" w:styleId="192">
    <w:name w:val="正文（缩进）"/>
    <w:basedOn w:val="1"/>
    <w:link w:val="191"/>
    <w:autoRedefine/>
    <w:semiHidden/>
    <w:qFormat/>
    <w:uiPriority w:val="99"/>
    <w:pPr>
      <w:spacing w:beforeLines="50" w:afterLines="50" w:line="360" w:lineRule="auto"/>
      <w:ind w:firstLine="480" w:firstLineChars="200"/>
    </w:pPr>
    <w:rPr>
      <w:kern w:val="0"/>
      <w:sz w:val="24"/>
      <w:szCs w:val="20"/>
    </w:rPr>
  </w:style>
  <w:style w:type="character" w:customStyle="1" w:styleId="193">
    <w:name w:val="font01"/>
    <w:autoRedefine/>
    <w:qFormat/>
    <w:uiPriority w:val="0"/>
    <w:rPr>
      <w:rFonts w:hint="eastAsia" w:ascii="宋体" w:hAnsi="宋体" w:eastAsia="宋体"/>
      <w:color w:val="000000"/>
      <w:sz w:val="21"/>
      <w:szCs w:val="21"/>
      <w:u w:val="none"/>
    </w:rPr>
  </w:style>
  <w:style w:type="character" w:customStyle="1" w:styleId="194">
    <w:name w:val="font21"/>
    <w:autoRedefine/>
    <w:qFormat/>
    <w:uiPriority w:val="0"/>
    <w:rPr>
      <w:rFonts w:hint="default" w:ascii="Times New Roman" w:hAnsi="Times New Roman" w:cs="Times New Roman"/>
      <w:color w:val="000000"/>
      <w:sz w:val="21"/>
      <w:szCs w:val="21"/>
      <w:u w:val="none"/>
    </w:rPr>
  </w:style>
  <w:style w:type="character" w:customStyle="1" w:styleId="195">
    <w:name w:val="hover42"/>
    <w:autoRedefine/>
    <w:qFormat/>
    <w:uiPriority w:val="99"/>
    <w:rPr>
      <w:rFonts w:cs="Times New Roman"/>
      <w:color w:val="FFFFFF"/>
      <w:shd w:val="clear" w:color="auto" w:fill="FF6600"/>
    </w:rPr>
  </w:style>
  <w:style w:type="character" w:customStyle="1" w:styleId="196">
    <w:name w:val="访问过的超链接1"/>
    <w:autoRedefine/>
    <w:semiHidden/>
    <w:qFormat/>
    <w:uiPriority w:val="99"/>
    <w:rPr>
      <w:rFonts w:cs="Times New Roman"/>
      <w:color w:val="1F4F88"/>
      <w:u w:val="none"/>
    </w:rPr>
  </w:style>
  <w:style w:type="character" w:customStyle="1" w:styleId="197">
    <w:name w:val="段 Char"/>
    <w:link w:val="198"/>
    <w:autoRedefine/>
    <w:qFormat/>
    <w:locked/>
    <w:uiPriority w:val="99"/>
    <w:rPr>
      <w:rFonts w:ascii="宋体"/>
      <w:sz w:val="21"/>
      <w:lang w:val="en-US" w:eastAsia="zh-CN" w:bidi="ar-SA"/>
    </w:rPr>
  </w:style>
  <w:style w:type="paragraph" w:customStyle="1" w:styleId="198">
    <w:name w:val="段"/>
    <w:link w:val="197"/>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9">
    <w:name w:val="Char Char3"/>
    <w:autoRedefine/>
    <w:qFormat/>
    <w:uiPriority w:val="99"/>
    <w:rPr>
      <w:rFonts w:ascii="Calibri" w:hAnsi="Calibri" w:eastAsia="宋体" w:cs="Times New Roman"/>
      <w:sz w:val="22"/>
      <w:szCs w:val="22"/>
      <w:lang w:eastAsia="en-US"/>
    </w:rPr>
  </w:style>
  <w:style w:type="character" w:customStyle="1" w:styleId="200">
    <w:name w:val="bds_more"/>
    <w:autoRedefine/>
    <w:qFormat/>
    <w:uiPriority w:val="99"/>
    <w:rPr>
      <w:rFonts w:ascii="Arial" w:hAnsi="Arial" w:cs="Arial"/>
    </w:rPr>
  </w:style>
  <w:style w:type="paragraph" w:customStyle="1" w:styleId="201">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2">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3">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204">
    <w:name w:val="正文居中"/>
    <w:basedOn w:val="1"/>
    <w:next w:val="73"/>
    <w:autoRedefine/>
    <w:qFormat/>
    <w:uiPriority w:val="99"/>
    <w:pPr>
      <w:jc w:val="center"/>
    </w:pPr>
    <w:rPr>
      <w:sz w:val="24"/>
      <w:szCs w:val="20"/>
    </w:rPr>
  </w:style>
  <w:style w:type="paragraph" w:customStyle="1" w:styleId="205">
    <w:name w:val="Char Char Char Char"/>
    <w:basedOn w:val="1"/>
    <w:autoRedefine/>
    <w:qFormat/>
    <w:uiPriority w:val="99"/>
    <w:rPr>
      <w:rFonts w:ascii="Tahoma" w:hAnsi="Tahoma"/>
      <w:sz w:val="24"/>
      <w:szCs w:val="20"/>
    </w:rPr>
  </w:style>
  <w:style w:type="paragraph" w:customStyle="1" w:styleId="206">
    <w:name w:val="列出段落11"/>
    <w:basedOn w:val="1"/>
    <w:autoRedefine/>
    <w:semiHidden/>
    <w:qFormat/>
    <w:uiPriority w:val="99"/>
    <w:pPr>
      <w:ind w:firstLine="420" w:firstLineChars="200"/>
    </w:pPr>
    <w:rPr>
      <w:szCs w:val="20"/>
    </w:rPr>
  </w:style>
  <w:style w:type="paragraph" w:customStyle="1" w:styleId="207">
    <w:name w:val="五级无标题条"/>
    <w:basedOn w:val="1"/>
    <w:autoRedefine/>
    <w:qFormat/>
    <w:uiPriority w:val="99"/>
    <w:pPr>
      <w:tabs>
        <w:tab w:val="left" w:pos="840"/>
      </w:tabs>
      <w:ind w:left="840" w:hanging="630"/>
    </w:pPr>
    <w:rPr>
      <w:szCs w:val="20"/>
    </w:rPr>
  </w:style>
  <w:style w:type="paragraph" w:customStyle="1" w:styleId="208">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0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10">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1">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2">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3">
    <w:name w:val="Char"/>
    <w:basedOn w:val="1"/>
    <w:autoRedefine/>
    <w:qFormat/>
    <w:uiPriority w:val="99"/>
    <w:pPr>
      <w:tabs>
        <w:tab w:val="left" w:pos="708"/>
      </w:tabs>
      <w:ind w:firstLine="420"/>
    </w:pPr>
    <w:rPr>
      <w:rFonts w:ascii="仿宋_GB2312" w:eastAsia="仿宋_GB2312"/>
      <w:sz w:val="24"/>
    </w:rPr>
  </w:style>
  <w:style w:type="paragraph" w:customStyle="1" w:styleId="214">
    <w:name w:val="xl43"/>
    <w:basedOn w:val="215"/>
    <w:autoRedefine/>
    <w:qFormat/>
    <w:uiPriority w:val="99"/>
    <w:pPr>
      <w:pBdr>
        <w:bottom w:val="single" w:color="auto" w:sz="4" w:space="0"/>
        <w:right w:val="single" w:color="auto" w:sz="4" w:space="0"/>
      </w:pBdr>
      <w:jc w:val="center"/>
    </w:pPr>
    <w:rPr>
      <w:sz w:val="21"/>
      <w:szCs w:val="21"/>
    </w:rPr>
  </w:style>
  <w:style w:type="paragraph" w:customStyle="1" w:styleId="215">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7">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8">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9">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2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21">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样式1"/>
    <w:basedOn w:val="5"/>
    <w:autoRedefine/>
    <w:qFormat/>
    <w:uiPriority w:val="99"/>
    <w:pPr>
      <w:autoSpaceDE w:val="0"/>
      <w:autoSpaceDN w:val="0"/>
      <w:adjustRightInd w:val="0"/>
      <w:spacing w:line="500" w:lineRule="exact"/>
      <w:ind w:firstLine="490" w:firstLineChars="204"/>
      <w:jc w:val="left"/>
    </w:pPr>
    <w:rPr>
      <w:rFonts w:ascii="宋体" w:hAnsi="宋体"/>
      <w:bCs w:val="0"/>
      <w:sz w:val="24"/>
      <w:szCs w:val="20"/>
    </w:rPr>
  </w:style>
  <w:style w:type="paragraph" w:customStyle="1" w:styleId="223">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sz w:val="24"/>
    </w:rPr>
  </w:style>
  <w:style w:type="paragraph" w:styleId="224">
    <w:name w:val="List Paragraph"/>
    <w:basedOn w:val="1"/>
    <w:autoRedefine/>
    <w:qFormat/>
    <w:uiPriority w:val="34"/>
    <w:pPr>
      <w:ind w:firstLine="420" w:firstLineChars="200"/>
    </w:pPr>
  </w:style>
  <w:style w:type="paragraph" w:customStyle="1" w:styleId="225">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6">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7">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8">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9">
    <w:name w:val="111111"/>
    <w:basedOn w:val="71"/>
    <w:autoRedefine/>
    <w:qFormat/>
    <w:uiPriority w:val="99"/>
    <w:pPr>
      <w:jc w:val="both"/>
    </w:pPr>
  </w:style>
  <w:style w:type="paragraph" w:customStyle="1" w:styleId="230">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1">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2">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3">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4">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样式4"/>
    <w:basedOn w:val="236"/>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36">
    <w:name w:val="样式2"/>
    <w:basedOn w:val="6"/>
    <w:autoRedefine/>
    <w:qFormat/>
    <w:uiPriority w:val="99"/>
    <w:pPr>
      <w:autoSpaceDE w:val="0"/>
      <w:autoSpaceDN w:val="0"/>
      <w:adjustRightInd w:val="0"/>
      <w:spacing w:before="240" w:after="240" w:line="500" w:lineRule="exact"/>
      <w:ind w:firstLine="204" w:firstLineChars="204"/>
      <w:jc w:val="left"/>
    </w:pPr>
    <w:rPr>
      <w:rFonts w:ascii="宋体" w:hAnsi="宋体"/>
      <w:bCs w:val="0"/>
      <w:sz w:val="24"/>
      <w:szCs w:val="20"/>
    </w:rPr>
  </w:style>
  <w:style w:type="paragraph" w:customStyle="1" w:styleId="237">
    <w:name w:val="Char Char Char"/>
    <w:basedOn w:val="1"/>
    <w:autoRedefine/>
    <w:qFormat/>
    <w:uiPriority w:val="99"/>
    <w:rPr>
      <w:rFonts w:ascii="宋体" w:hAnsi="宋体"/>
      <w:b/>
      <w:sz w:val="28"/>
      <w:szCs w:val="28"/>
    </w:rPr>
  </w:style>
  <w:style w:type="paragraph" w:customStyle="1" w:styleId="238">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9">
    <w:name w:val="xl33"/>
    <w:basedOn w:val="215"/>
    <w:autoRedefine/>
    <w:qFormat/>
    <w:uiPriority w:val="99"/>
    <w:pPr>
      <w:pBdr>
        <w:bottom w:val="single" w:color="auto" w:sz="4" w:space="0"/>
        <w:right w:val="single" w:color="auto" w:sz="4" w:space="0"/>
      </w:pBdr>
      <w:jc w:val="center"/>
    </w:pPr>
    <w:rPr>
      <w:sz w:val="20"/>
      <w:szCs w:val="20"/>
    </w:rPr>
  </w:style>
  <w:style w:type="paragraph" w:customStyle="1" w:styleId="240">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2">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3">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4">
    <w:name w:val="List Paragraph1"/>
    <w:basedOn w:val="1"/>
    <w:autoRedefine/>
    <w:qFormat/>
    <w:uiPriority w:val="34"/>
    <w:pPr>
      <w:ind w:firstLine="420" w:firstLineChars="200"/>
    </w:pPr>
  </w:style>
  <w:style w:type="paragraph" w:customStyle="1" w:styleId="24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6">
    <w:name w:val="t4_2"/>
    <w:basedOn w:val="1"/>
    <w:autoRedefine/>
    <w:qFormat/>
    <w:uiPriority w:val="99"/>
    <w:pPr>
      <w:widowControl/>
      <w:tabs>
        <w:tab w:val="left" w:pos="360"/>
      </w:tabs>
      <w:spacing w:line="360" w:lineRule="auto"/>
      <w:ind w:left="420"/>
      <w:jc w:val="left"/>
    </w:pPr>
    <w:rPr>
      <w:b/>
    </w:rPr>
  </w:style>
  <w:style w:type="paragraph" w:customStyle="1" w:styleId="24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48">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50">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52">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3">
    <w:name w:val="表题"/>
    <w:basedOn w:val="41"/>
    <w:autoRedefine/>
    <w:qFormat/>
    <w:uiPriority w:val="99"/>
    <w:pPr>
      <w:adjustRightInd w:val="0"/>
      <w:spacing w:line="480" w:lineRule="auto"/>
      <w:jc w:val="center"/>
    </w:pPr>
    <w:rPr>
      <w:rFonts w:ascii="Times New Roman" w:hAnsi="Times New Roman" w:eastAsia="黑体"/>
      <w:sz w:val="18"/>
    </w:rPr>
  </w:style>
  <w:style w:type="paragraph" w:customStyle="1" w:styleId="254">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55">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56">
    <w:name w:val="标题 4（绿盟科技）"/>
    <w:basedOn w:val="5"/>
    <w:next w:val="1"/>
    <w:autoRedefine/>
    <w:semiHidden/>
    <w:qFormat/>
    <w:uiPriority w:val="99"/>
    <w:pPr>
      <w:widowControl/>
      <w:tabs>
        <w:tab w:val="left" w:pos="360"/>
      </w:tabs>
      <w:ind w:left="1447" w:hanging="1021"/>
      <w:jc w:val="left"/>
    </w:pPr>
    <w:rPr>
      <w:bCs w:val="0"/>
    </w:rPr>
  </w:style>
  <w:style w:type="paragraph" w:customStyle="1" w:styleId="257">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8">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61">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2">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3">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4">
    <w:name w:val="样式目录三"/>
    <w:basedOn w:val="40"/>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5">
    <w:name w:val="标题 3（绿盟科技）"/>
    <w:basedOn w:val="4"/>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66">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67">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68">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9">
    <w:name w:val="表格标注（绿盟科技）"/>
    <w:basedOn w:val="270"/>
    <w:next w:val="1"/>
    <w:autoRedefine/>
    <w:semiHidden/>
    <w:qFormat/>
    <w:uiPriority w:val="99"/>
    <w:pPr>
      <w:numPr>
        <w:ilvl w:val="4"/>
      </w:numPr>
      <w:tabs>
        <w:tab w:val="left" w:pos="1620"/>
        <w:tab w:val="left" w:pos="1680"/>
      </w:tabs>
      <w:ind w:left="1620" w:hanging="360"/>
    </w:pPr>
  </w:style>
  <w:style w:type="paragraph" w:customStyle="1" w:styleId="270">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71">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7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3">
    <w:name w:val="简单回函地址"/>
    <w:basedOn w:val="1"/>
    <w:autoRedefine/>
    <w:qFormat/>
    <w:uiPriority w:val="99"/>
  </w:style>
  <w:style w:type="paragraph" w:customStyle="1" w:styleId="274">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示例"/>
    <w:autoRedefine/>
    <w:qFormat/>
    <w:uiPriority w:val="99"/>
    <w:pPr>
      <w:jc w:val="both"/>
    </w:pPr>
    <w:rPr>
      <w:rFonts w:ascii="宋体" w:hAnsi="Times New Roman" w:eastAsia="宋体" w:cs="Times New Roman"/>
      <w:sz w:val="18"/>
      <w:lang w:val="en-US" w:eastAsia="zh-CN" w:bidi="ar-SA"/>
    </w:rPr>
  </w:style>
  <w:style w:type="paragraph" w:customStyle="1" w:styleId="276">
    <w:name w:val="PP 行"/>
    <w:basedOn w:val="52"/>
    <w:autoRedefine/>
    <w:qFormat/>
    <w:uiPriority w:val="99"/>
  </w:style>
  <w:style w:type="paragraph" w:customStyle="1" w:styleId="277">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78">
    <w:name w:val="标题 2（绿盟科技）"/>
    <w:basedOn w:val="3"/>
    <w:next w:val="1"/>
    <w:autoRedefine/>
    <w:semiHidden/>
    <w:qFormat/>
    <w:uiPriority w:val="99"/>
    <w:pPr>
      <w:numPr>
        <w:ilvl w:val="1"/>
        <w:numId w:val="1"/>
      </w:numPr>
      <w:tabs>
        <w:tab w:val="left" w:pos="1440"/>
      </w:tabs>
      <w:spacing w:line="415" w:lineRule="auto"/>
      <w:jc w:val="left"/>
    </w:pPr>
    <w:rPr>
      <w:bCs w:val="0"/>
    </w:rPr>
  </w:style>
  <w:style w:type="paragraph" w:customStyle="1" w:styleId="279">
    <w:name w:val="列出段落2"/>
    <w:basedOn w:val="1"/>
    <w:autoRedefine/>
    <w:qFormat/>
    <w:uiPriority w:val="34"/>
    <w:pPr>
      <w:ind w:firstLine="420" w:firstLineChars="200"/>
    </w:pPr>
  </w:style>
  <w:style w:type="paragraph" w:customStyle="1" w:styleId="28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样式5"/>
    <w:basedOn w:val="1"/>
    <w:next w:val="40"/>
    <w:autoRedefine/>
    <w:qFormat/>
    <w:uiPriority w:val="99"/>
    <w:pPr>
      <w:tabs>
        <w:tab w:val="left" w:pos="980"/>
      </w:tabs>
      <w:spacing w:line="360" w:lineRule="auto"/>
      <w:ind w:left="140" w:right="-20"/>
      <w:outlineLvl w:val="0"/>
    </w:pPr>
    <w:rPr>
      <w:b/>
      <w:bCs/>
      <w:kern w:val="0"/>
      <w:sz w:val="28"/>
      <w:szCs w:val="28"/>
    </w:rPr>
  </w:style>
  <w:style w:type="paragraph" w:customStyle="1" w:styleId="282">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8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87">
    <w:name w:val="正文2"/>
    <w:basedOn w:val="1"/>
    <w:autoRedefine/>
    <w:semiHidden/>
    <w:qFormat/>
    <w:uiPriority w:val="99"/>
    <w:pPr>
      <w:spacing w:before="156" w:line="360" w:lineRule="auto"/>
      <w:ind w:firstLine="510" w:firstLineChars="200"/>
    </w:pPr>
    <w:rPr>
      <w:sz w:val="24"/>
      <w:szCs w:val="20"/>
    </w:rPr>
  </w:style>
  <w:style w:type="character" w:customStyle="1" w:styleId="288">
    <w:name w:val="hover"/>
    <w:basedOn w:val="120"/>
    <w:autoRedefine/>
    <w:qFormat/>
    <w:uiPriority w:val="0"/>
  </w:style>
  <w:style w:type="character" w:customStyle="1" w:styleId="289">
    <w:name w:val="hover1"/>
    <w:basedOn w:val="120"/>
    <w:autoRedefine/>
    <w:qFormat/>
    <w:uiPriority w:val="0"/>
    <w:rPr>
      <w:color w:val="315EFB"/>
    </w:rPr>
  </w:style>
  <w:style w:type="character" w:customStyle="1" w:styleId="290">
    <w:name w:val="c-icon"/>
    <w:basedOn w:val="120"/>
    <w:autoRedefine/>
    <w:qFormat/>
    <w:uiPriority w:val="0"/>
  </w:style>
  <w:style w:type="paragraph" w:customStyle="1" w:styleId="291">
    <w:name w:val="Other|1"/>
    <w:basedOn w:val="1"/>
    <w:autoRedefine/>
    <w:qFormat/>
    <w:uiPriority w:val="0"/>
    <w:pPr>
      <w:widowControl w:val="0"/>
      <w:shd w:val="clear" w:color="auto" w:fill="auto"/>
      <w:spacing w:line="480" w:lineRule="auto"/>
    </w:pPr>
    <w:rPr>
      <w:rFonts w:ascii="宋体" w:hAnsi="宋体" w:eastAsia="宋体" w:cs="宋体"/>
      <w:sz w:val="26"/>
      <w:szCs w:val="26"/>
      <w:u w:val="none"/>
      <w:shd w:val="clear" w:color="auto" w:fill="auto"/>
      <w:lang w:val="zh-TW" w:eastAsia="zh-TW" w:bidi="zh-TW"/>
    </w:rPr>
  </w:style>
  <w:style w:type="paragraph" w:customStyle="1" w:styleId="292">
    <w:name w:val="表格内文字"/>
    <w:basedOn w:val="1"/>
    <w:next w:val="1"/>
    <w:autoRedefine/>
    <w:qFormat/>
    <w:uiPriority w:val="0"/>
    <w:pPr>
      <w:tabs>
        <w:tab w:val="left" w:pos="1134"/>
        <w:tab w:val="left" w:pos="5481"/>
        <w:tab w:val="left" w:pos="5859"/>
      </w:tabs>
      <w:spacing w:line="360" w:lineRule="exact"/>
      <w:jc w:val="center"/>
    </w:pPr>
    <w:rPr>
      <w:rFonts w:hint="eastAsia" w:ascii="宋体" w:hAnsi="宋体" w:eastAsia="宋体" w:cs="Times New Roman"/>
      <w:color w:val="000000"/>
      <w:sz w:val="21"/>
      <w:szCs w:val="48"/>
    </w:rPr>
  </w:style>
  <w:style w:type="character" w:customStyle="1" w:styleId="293">
    <w:name w:val="NormalCharacter"/>
    <w:autoRedefine/>
    <w:qFormat/>
    <w:uiPriority w:val="0"/>
  </w:style>
  <w:style w:type="paragraph" w:customStyle="1" w:styleId="294">
    <w:name w:val="正文格式"/>
    <w:basedOn w:val="30"/>
    <w:next w:val="1"/>
    <w:autoRedefine/>
    <w:qFormat/>
    <w:uiPriority w:val="0"/>
    <w:pPr>
      <w:spacing w:line="360" w:lineRule="auto"/>
      <w:ind w:firstLine="200"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64</Pages>
  <Words>28807</Words>
  <Characters>31255</Characters>
  <Lines>305</Lines>
  <Paragraphs>86</Paragraphs>
  <TotalTime>1</TotalTime>
  <ScaleCrop>false</ScaleCrop>
  <LinksUpToDate>false</LinksUpToDate>
  <CharactersWithSpaces>33286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2020-04-28T10:32:00Z</dcterms:created>
  <dc:creator>USER</dc:creator>
  <cp:lastModifiedBy>田飞飞</cp:lastModifiedBy>
  <cp:lastPrinted>2020-11-03T01:30:00Z</cp:lastPrinted>
  <dcterms:modified xsi:type="dcterms:W3CDTF">2024-09-23T09:22:33Z</dcterms:modified>
  <dc:title>招标文件目录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16E0DC74D0BC4AA4AFC307BF9327D2C0_13</vt:lpwstr>
  </property>
</Properties>
</file>