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4K荧光腹腔内窥镜系统采购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招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项目编号：TCZX-HW-2021-058</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rPr>
      </w:pPr>
      <w:r>
        <w:rPr>
          <w:rFonts w:hint="eastAsia" w:ascii="华文中宋" w:hAnsi="华文中宋" w:eastAsia="华文中宋" w:cs="华文中宋"/>
          <w:spacing w:val="80"/>
          <w:kern w:val="0"/>
          <w:sz w:val="32"/>
          <w:szCs w:val="32"/>
          <w:fitText w:val="1280" w:id="1277978666"/>
          <w:lang w:val="en-US" w:eastAsia="zh-CN"/>
        </w:rPr>
        <w:t>采购</w:t>
      </w:r>
      <w:r>
        <w:rPr>
          <w:rFonts w:hint="eastAsia" w:ascii="华文中宋" w:hAnsi="华文中宋" w:eastAsia="华文中宋" w:cs="华文中宋"/>
          <w:spacing w:val="0"/>
          <w:kern w:val="0"/>
          <w:sz w:val="32"/>
          <w:szCs w:val="32"/>
          <w:fitText w:val="1280" w:id="1277978666"/>
          <w:lang w:val="en-US" w:eastAsia="zh-CN"/>
        </w:rPr>
        <w:t>人</w:t>
      </w:r>
      <w:r>
        <w:rPr>
          <w:rFonts w:hint="eastAsia" w:ascii="华文中宋" w:hAnsi="华文中宋" w:eastAsia="华文中宋" w:cs="华文中宋"/>
          <w:spacing w:val="11"/>
          <w:sz w:val="32"/>
          <w:szCs w:val="32"/>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0"/>
          <w:kern w:val="0"/>
          <w:sz w:val="32"/>
          <w:szCs w:val="32"/>
          <w:fitText w:val="1280" w:id="1672817252"/>
          <w:lang w:val="en-US" w:eastAsia="zh-CN"/>
        </w:rPr>
        <w:t>代理机构</w:t>
      </w:r>
      <w:r>
        <w:rPr>
          <w:rFonts w:hint="eastAsia" w:ascii="华文中宋" w:hAnsi="华文中宋" w:eastAsia="华文中宋" w:cs="华文中宋"/>
          <w:spacing w:val="11"/>
          <w:sz w:val="32"/>
          <w:szCs w:val="32"/>
          <w:lang w:val="en-US" w:eastAsia="zh-CN"/>
        </w:rPr>
        <w:t>：同诚工程咨询集团股份有限公司</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lang w:val="en-US" w:eastAsia="zh-CN"/>
        </w:rPr>
      </w:pPr>
      <w:r>
        <w:rPr>
          <w:rFonts w:hint="eastAsia" w:ascii="华文中宋" w:hAnsi="华文中宋" w:eastAsia="华文中宋" w:cs="华文中宋"/>
          <w:spacing w:val="320"/>
          <w:kern w:val="0"/>
          <w:sz w:val="32"/>
          <w:szCs w:val="32"/>
          <w:fitText w:val="1280" w:id="666510277"/>
          <w:lang w:val="en-US" w:eastAsia="zh-CN"/>
        </w:rPr>
        <w:t>日</w:t>
      </w:r>
      <w:r>
        <w:rPr>
          <w:rFonts w:hint="eastAsia" w:ascii="华文中宋" w:hAnsi="华文中宋" w:eastAsia="华文中宋" w:cs="华文中宋"/>
          <w:spacing w:val="0"/>
          <w:kern w:val="0"/>
          <w:sz w:val="32"/>
          <w:szCs w:val="32"/>
          <w:fitText w:val="1280" w:id="666510277"/>
          <w:lang w:val="en-US" w:eastAsia="zh-CN"/>
        </w:rPr>
        <w:t>期</w:t>
      </w:r>
      <w:r>
        <w:rPr>
          <w:rFonts w:hint="eastAsia" w:ascii="华文中宋" w:hAnsi="华文中宋" w:eastAsia="华文中宋" w:cs="华文中宋"/>
          <w:spacing w:val="11"/>
          <w:sz w:val="32"/>
          <w:szCs w:val="32"/>
          <w:lang w:val="en-US" w:eastAsia="zh-CN"/>
        </w:rPr>
        <w:t>：2021年10月</w:t>
      </w:r>
    </w:p>
    <w:p>
      <w:pPr>
        <w:rPr>
          <w:rFonts w:hint="eastAsia"/>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44"/>
          <w:szCs w:val="44"/>
          <w:lang w:val="en-US" w:eastAsia="zh-CN" w:bidi="ar-SA"/>
        </w:rPr>
        <w:id w:val="147461592"/>
        <w15:color w:val="DBDBDB"/>
        <w:docPartObj>
          <w:docPartGallery w:val="Table of Contents"/>
          <w:docPartUnique/>
        </w:docPartObj>
      </w:sdtPr>
      <w:sdtEndPr>
        <w:rPr>
          <w:rFonts w:ascii="宋体" w:hAnsi="宋体" w:eastAsia="宋体" w:cstheme="minorBidi"/>
          <w:b w:val="0"/>
          <w:bCs w:val="0"/>
          <w:kern w:val="2"/>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11"/>
            <w:tabs>
              <w:tab w:val="right" w:leader="dot" w:pos="8306"/>
            </w:tabs>
            <w:spacing w:line="360" w:lineRule="auto"/>
            <w:rPr>
              <w:rFonts w:hint="eastAsia" w:ascii="仿宋" w:hAnsi="仿宋" w:eastAsia="仿宋" w:cs="仿宋"/>
              <w:sz w:val="24"/>
              <w:szCs w:val="32"/>
            </w:rPr>
          </w:pPr>
          <w:r>
            <w:rPr>
              <w:b w:val="0"/>
              <w:bCs w:val="0"/>
            </w:rPr>
            <w:fldChar w:fldCharType="begin"/>
          </w:r>
          <w:r>
            <w:rPr>
              <w:b w:val="0"/>
              <w:bCs w:val="0"/>
            </w:rPr>
            <w:instrText xml:space="preserve">TOC \o "1-3" \h \u </w:instrText>
          </w:r>
          <w:r>
            <w:rPr>
              <w:b w:val="0"/>
              <w:bCs w:val="0"/>
            </w:rPr>
            <w:fldChar w:fldCharType="separate"/>
          </w: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_Toc21713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第一部分 招标公告</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_Toc21713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_Toc25958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项目基本情况</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_Toc25958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_Toc23673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供应商资格要求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_Toc23673 \h </w:instrText>
          </w:r>
          <w:r>
            <w:rPr>
              <w:rFonts w:hint="eastAsia" w:ascii="仿宋" w:hAnsi="仿宋" w:eastAsia="仿宋" w:cs="仿宋"/>
              <w:sz w:val="24"/>
              <w:szCs w:val="32"/>
            </w:rPr>
            <w:fldChar w:fldCharType="separate"/>
          </w:r>
          <w:r>
            <w:rPr>
              <w:rFonts w:hint="eastAsia" w:ascii="仿宋" w:hAnsi="仿宋" w:eastAsia="仿宋" w:cs="仿宋"/>
              <w:sz w:val="24"/>
              <w:szCs w:val="32"/>
            </w:rPr>
            <w:t>- 1 -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_Toc16954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投标参与（报名）及招标文件获取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_Toc16954 \h </w:instrText>
          </w:r>
          <w:r>
            <w:rPr>
              <w:rFonts w:hint="eastAsia" w:ascii="仿宋" w:hAnsi="仿宋" w:eastAsia="仿宋" w:cs="仿宋"/>
              <w:sz w:val="24"/>
              <w:szCs w:val="32"/>
            </w:rPr>
            <w:fldChar w:fldCharType="separate"/>
          </w:r>
          <w:r>
            <w:rPr>
              <w:rFonts w:hint="eastAsia" w:ascii="仿宋" w:hAnsi="仿宋" w:eastAsia="仿宋" w:cs="仿宋"/>
              <w:sz w:val="24"/>
              <w:szCs w:val="32"/>
            </w:rPr>
            <w:t>- 2 -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_Toc8125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四、 投标文件的递交</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_Toc8125 \h </w:instrText>
          </w:r>
          <w:r>
            <w:rPr>
              <w:rFonts w:hint="eastAsia" w:ascii="仿宋" w:hAnsi="仿宋" w:eastAsia="仿宋" w:cs="仿宋"/>
              <w:sz w:val="24"/>
              <w:szCs w:val="32"/>
            </w:rPr>
            <w:fldChar w:fldCharType="separate"/>
          </w:r>
          <w:r>
            <w:rPr>
              <w:rFonts w:hint="eastAsia" w:ascii="仿宋" w:hAnsi="仿宋" w:eastAsia="仿宋" w:cs="仿宋"/>
              <w:sz w:val="24"/>
              <w:szCs w:val="32"/>
            </w:rPr>
            <w:t>- 3 -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_Toc19407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五、 公告期限</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_Toc19407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_Toc26363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六、 其他补充事宜</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_Toc26363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_Toc12221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七、 对本次招标提出询问，请按以下方式联系</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_Toc12221 \h </w:instrText>
          </w:r>
          <w:r>
            <w:rPr>
              <w:rFonts w:hint="eastAsia" w:ascii="仿宋" w:hAnsi="仿宋" w:eastAsia="仿宋" w:cs="仿宋"/>
              <w:sz w:val="24"/>
              <w:szCs w:val="32"/>
            </w:rPr>
            <w:fldChar w:fldCharType="separate"/>
          </w:r>
          <w:r>
            <w:rPr>
              <w:rFonts w:hint="eastAsia" w:ascii="仿宋" w:hAnsi="仿宋" w:eastAsia="仿宋" w:cs="仿宋"/>
              <w:sz w:val="24"/>
              <w:szCs w:val="32"/>
            </w:rPr>
            <w:t>- 4 -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_Toc23894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第二章 投标须知</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_Toc23894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_Toc30943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供应商须知前附表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_Toc30943 \h </w:instrText>
          </w:r>
          <w:r>
            <w:rPr>
              <w:rFonts w:hint="eastAsia" w:ascii="仿宋" w:hAnsi="仿宋" w:eastAsia="仿宋" w:cs="仿宋"/>
              <w:sz w:val="24"/>
              <w:szCs w:val="32"/>
            </w:rPr>
            <w:fldChar w:fldCharType="separate"/>
          </w:r>
          <w:r>
            <w:rPr>
              <w:rFonts w:hint="eastAsia" w:ascii="仿宋" w:hAnsi="仿宋" w:eastAsia="仿宋" w:cs="仿宋"/>
              <w:sz w:val="24"/>
              <w:szCs w:val="32"/>
            </w:rPr>
            <w:t>- 6 -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_Toc17782 </w:instrText>
          </w:r>
          <w:r>
            <w:rPr>
              <w:rFonts w:hint="eastAsia" w:ascii="仿宋" w:hAnsi="仿宋" w:eastAsia="仿宋" w:cs="仿宋"/>
              <w:bCs w:val="0"/>
              <w:sz w:val="24"/>
              <w:szCs w:val="32"/>
            </w:rPr>
            <w:fldChar w:fldCharType="separate"/>
          </w:r>
          <w:r>
            <w:rPr>
              <w:rFonts w:hint="eastAsia" w:ascii="仿宋" w:hAnsi="仿宋" w:eastAsia="仿宋" w:cs="仿宋"/>
              <w:sz w:val="24"/>
              <w:szCs w:val="52"/>
              <w:lang w:val="en-US" w:eastAsia="zh-CN"/>
            </w:rPr>
            <w:t>供应商须知正文</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_Toc17782 \h </w:instrText>
          </w:r>
          <w:r>
            <w:rPr>
              <w:rFonts w:hint="eastAsia" w:ascii="仿宋" w:hAnsi="仿宋" w:eastAsia="仿宋" w:cs="仿宋"/>
              <w:sz w:val="24"/>
              <w:szCs w:val="32"/>
            </w:rPr>
            <w:fldChar w:fldCharType="separate"/>
          </w:r>
          <w:r>
            <w:rPr>
              <w:rFonts w:hint="eastAsia" w:ascii="仿宋" w:hAnsi="仿宋" w:eastAsia="仿宋" w:cs="仿宋"/>
              <w:sz w:val="24"/>
              <w:szCs w:val="32"/>
            </w:rPr>
            <w:t>- 22 -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_Toc2534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第三章 评分办法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_Toc2534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_Toc19583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一、 评标方法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_Toc19583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_Toc4998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二、 评审细则</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_Toc4998 \h </w:instrText>
          </w:r>
          <w:r>
            <w:rPr>
              <w:rFonts w:hint="eastAsia" w:ascii="仿宋" w:hAnsi="仿宋" w:eastAsia="仿宋" w:cs="仿宋"/>
              <w:sz w:val="24"/>
              <w:szCs w:val="32"/>
            </w:rPr>
            <w:fldChar w:fldCharType="separate"/>
          </w:r>
          <w:r>
            <w:rPr>
              <w:rFonts w:hint="eastAsia" w:ascii="仿宋" w:hAnsi="仿宋" w:eastAsia="仿宋" w:cs="仿宋"/>
              <w:sz w:val="24"/>
              <w:szCs w:val="32"/>
            </w:rPr>
            <w:t>- 48 -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_Toc23021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三、 评审执行的政府采购政策</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_Toc23021 \h </w:instrText>
          </w:r>
          <w:r>
            <w:rPr>
              <w:rFonts w:hint="eastAsia" w:ascii="仿宋" w:hAnsi="仿宋" w:eastAsia="仿宋" w:cs="仿宋"/>
              <w:sz w:val="24"/>
              <w:szCs w:val="32"/>
            </w:rPr>
            <w:fldChar w:fldCharType="separate"/>
          </w:r>
          <w:r>
            <w:rPr>
              <w:rFonts w:hint="eastAsia" w:ascii="仿宋" w:hAnsi="仿宋" w:eastAsia="仿宋" w:cs="仿宋"/>
              <w:sz w:val="24"/>
              <w:szCs w:val="32"/>
            </w:rPr>
            <w:t>- 51 -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_Toc22715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第四章 采购内容及项目要求</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_Toc22715 \h </w:instrText>
          </w:r>
          <w:r>
            <w:rPr>
              <w:rFonts w:hint="eastAsia" w:ascii="仿宋" w:hAnsi="仿宋" w:eastAsia="仿宋" w:cs="仿宋"/>
              <w:sz w:val="24"/>
              <w:szCs w:val="32"/>
            </w:rPr>
            <w:fldChar w:fldCharType="separate"/>
          </w:r>
          <w:r>
            <w:rPr>
              <w:rFonts w:hint="eastAsia" w:ascii="仿宋" w:hAnsi="仿宋" w:eastAsia="仿宋" w:cs="仿宋"/>
              <w:sz w:val="24"/>
              <w:szCs w:val="32"/>
            </w:rPr>
            <w:t>- 53 -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_Toc28115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第五章 合同格式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_Toc28115 \h </w:instrText>
          </w:r>
          <w:r>
            <w:rPr>
              <w:rFonts w:hint="eastAsia" w:ascii="仿宋" w:hAnsi="仿宋" w:eastAsia="仿宋" w:cs="仿宋"/>
              <w:sz w:val="24"/>
              <w:szCs w:val="32"/>
            </w:rPr>
            <w:fldChar w:fldCharType="separate"/>
          </w:r>
          <w:r>
            <w:rPr>
              <w:rFonts w:hint="eastAsia" w:ascii="仿宋" w:hAnsi="仿宋" w:eastAsia="仿宋" w:cs="仿宋"/>
              <w:sz w:val="24"/>
              <w:szCs w:val="32"/>
            </w:rPr>
            <w:t>- 75 -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1"/>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_Toc29975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第六章 投标文件格式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_Toc29975 \h </w:instrText>
          </w:r>
          <w:r>
            <w:rPr>
              <w:rFonts w:hint="eastAsia" w:ascii="仿宋" w:hAnsi="仿宋" w:eastAsia="仿宋" w:cs="仿宋"/>
              <w:sz w:val="24"/>
              <w:szCs w:val="32"/>
            </w:rPr>
            <w:fldChar w:fldCharType="separate"/>
          </w:r>
          <w:r>
            <w:rPr>
              <w:rFonts w:hint="eastAsia" w:ascii="仿宋" w:hAnsi="仿宋" w:eastAsia="仿宋" w:cs="仿宋"/>
              <w:sz w:val="24"/>
              <w:szCs w:val="32"/>
            </w:rPr>
            <w:t>- 80 -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_Toc3606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附件一：投标函</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_Toc3606 \h </w:instrText>
          </w:r>
          <w:r>
            <w:rPr>
              <w:rFonts w:hint="eastAsia" w:ascii="仿宋" w:hAnsi="仿宋" w:eastAsia="仿宋" w:cs="仿宋"/>
              <w:sz w:val="24"/>
              <w:szCs w:val="32"/>
            </w:rPr>
            <w:fldChar w:fldCharType="separate"/>
          </w:r>
          <w:r>
            <w:rPr>
              <w:rFonts w:hint="eastAsia" w:ascii="仿宋" w:hAnsi="仿宋" w:eastAsia="仿宋" w:cs="仿宋"/>
              <w:sz w:val="24"/>
              <w:szCs w:val="32"/>
            </w:rPr>
            <w:t>- 81 -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_Toc15950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附件二：法定代表人身份证明</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_Toc15950 \h </w:instrText>
          </w:r>
          <w:r>
            <w:rPr>
              <w:rFonts w:hint="eastAsia" w:ascii="仿宋" w:hAnsi="仿宋" w:eastAsia="仿宋" w:cs="仿宋"/>
              <w:sz w:val="24"/>
              <w:szCs w:val="32"/>
            </w:rPr>
            <w:fldChar w:fldCharType="separate"/>
          </w:r>
          <w:r>
            <w:rPr>
              <w:rFonts w:hint="eastAsia" w:ascii="仿宋" w:hAnsi="仿宋" w:eastAsia="仿宋" w:cs="仿宋"/>
              <w:sz w:val="24"/>
              <w:szCs w:val="32"/>
            </w:rPr>
            <w:t>- 82 -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_Toc24503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附件三：法定代表人授权委托书</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_Toc24503 \h </w:instrText>
          </w:r>
          <w:r>
            <w:rPr>
              <w:rFonts w:hint="eastAsia" w:ascii="仿宋" w:hAnsi="仿宋" w:eastAsia="仿宋" w:cs="仿宋"/>
              <w:sz w:val="24"/>
              <w:szCs w:val="32"/>
            </w:rPr>
            <w:fldChar w:fldCharType="separate"/>
          </w:r>
          <w:r>
            <w:rPr>
              <w:rFonts w:hint="eastAsia" w:ascii="仿宋" w:hAnsi="仿宋" w:eastAsia="仿宋" w:cs="仿宋"/>
              <w:sz w:val="24"/>
              <w:szCs w:val="32"/>
            </w:rPr>
            <w:t>- 83 -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_Toc14908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附件四：开标一览表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_Toc14908 \h </w:instrText>
          </w:r>
          <w:r>
            <w:rPr>
              <w:rFonts w:hint="eastAsia" w:ascii="仿宋" w:hAnsi="仿宋" w:eastAsia="仿宋" w:cs="仿宋"/>
              <w:sz w:val="24"/>
              <w:szCs w:val="32"/>
            </w:rPr>
            <w:fldChar w:fldCharType="separate"/>
          </w:r>
          <w:r>
            <w:rPr>
              <w:rFonts w:hint="eastAsia" w:ascii="仿宋" w:hAnsi="仿宋" w:eastAsia="仿宋" w:cs="仿宋"/>
              <w:sz w:val="24"/>
              <w:szCs w:val="32"/>
            </w:rPr>
            <w:t>- 84 -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_Toc12194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附件五：主要设备及配件报价明细表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_Toc12194 \h </w:instrText>
          </w:r>
          <w:r>
            <w:rPr>
              <w:rFonts w:hint="eastAsia" w:ascii="仿宋" w:hAnsi="仿宋" w:eastAsia="仿宋" w:cs="仿宋"/>
              <w:sz w:val="24"/>
              <w:szCs w:val="32"/>
            </w:rPr>
            <w:fldChar w:fldCharType="separate"/>
          </w:r>
          <w:r>
            <w:rPr>
              <w:rFonts w:hint="eastAsia" w:ascii="仿宋" w:hAnsi="仿宋" w:eastAsia="仿宋" w:cs="仿宋"/>
              <w:sz w:val="24"/>
              <w:szCs w:val="32"/>
            </w:rPr>
            <w:t>- 85 -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_Toc15617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附件六：设备维保明细表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_Toc15617 \h </w:instrText>
          </w:r>
          <w:r>
            <w:rPr>
              <w:rFonts w:hint="eastAsia" w:ascii="仿宋" w:hAnsi="仿宋" w:eastAsia="仿宋" w:cs="仿宋"/>
              <w:sz w:val="24"/>
              <w:szCs w:val="32"/>
            </w:rPr>
            <w:fldChar w:fldCharType="separate"/>
          </w:r>
          <w:r>
            <w:rPr>
              <w:rFonts w:hint="eastAsia" w:ascii="仿宋" w:hAnsi="仿宋" w:eastAsia="仿宋" w:cs="仿宋"/>
              <w:sz w:val="24"/>
              <w:szCs w:val="32"/>
            </w:rPr>
            <w:t>- 86 -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_Toc5851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附件七：质保期内供应的备品备件、易损件、耗材、专用工具价格表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_Toc5851 \h </w:instrText>
          </w:r>
          <w:r>
            <w:rPr>
              <w:rFonts w:hint="eastAsia" w:ascii="仿宋" w:hAnsi="仿宋" w:eastAsia="仿宋" w:cs="仿宋"/>
              <w:sz w:val="24"/>
              <w:szCs w:val="32"/>
            </w:rPr>
            <w:fldChar w:fldCharType="separate"/>
          </w:r>
          <w:r>
            <w:rPr>
              <w:rFonts w:hint="eastAsia" w:ascii="仿宋" w:hAnsi="仿宋" w:eastAsia="仿宋" w:cs="仿宋"/>
              <w:sz w:val="24"/>
              <w:szCs w:val="32"/>
            </w:rPr>
            <w:t>- 87 -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_Toc25433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附件八：质保期满后长期供应的备品备件、易损件、耗材、专用工具价格表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_Toc25433 \h </w:instrText>
          </w:r>
          <w:r>
            <w:rPr>
              <w:rFonts w:hint="eastAsia" w:ascii="仿宋" w:hAnsi="仿宋" w:eastAsia="仿宋" w:cs="仿宋"/>
              <w:sz w:val="24"/>
              <w:szCs w:val="32"/>
            </w:rPr>
            <w:fldChar w:fldCharType="separate"/>
          </w:r>
          <w:r>
            <w:rPr>
              <w:rFonts w:hint="eastAsia" w:ascii="仿宋" w:hAnsi="仿宋" w:eastAsia="仿宋" w:cs="仿宋"/>
              <w:sz w:val="24"/>
              <w:szCs w:val="32"/>
            </w:rPr>
            <w:t>- 88 -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_Toc4081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附件九：商务响应一览表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_Toc4081 \h </w:instrText>
          </w:r>
          <w:r>
            <w:rPr>
              <w:rFonts w:hint="eastAsia" w:ascii="仿宋" w:hAnsi="仿宋" w:eastAsia="仿宋" w:cs="仿宋"/>
              <w:sz w:val="24"/>
              <w:szCs w:val="32"/>
            </w:rPr>
            <w:fldChar w:fldCharType="separate"/>
          </w:r>
          <w:r>
            <w:rPr>
              <w:rFonts w:hint="eastAsia" w:ascii="仿宋" w:hAnsi="仿宋" w:eastAsia="仿宋" w:cs="仿宋"/>
              <w:sz w:val="24"/>
              <w:szCs w:val="32"/>
            </w:rPr>
            <w:t>- 89 -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_Toc13157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附件十：技术响应一览表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_Toc13157 \h </w:instrText>
          </w:r>
          <w:r>
            <w:rPr>
              <w:rFonts w:hint="eastAsia" w:ascii="仿宋" w:hAnsi="仿宋" w:eastAsia="仿宋" w:cs="仿宋"/>
              <w:sz w:val="24"/>
              <w:szCs w:val="32"/>
            </w:rPr>
            <w:fldChar w:fldCharType="separate"/>
          </w:r>
          <w:r>
            <w:rPr>
              <w:rFonts w:hint="eastAsia" w:ascii="仿宋" w:hAnsi="仿宋" w:eastAsia="仿宋" w:cs="仿宋"/>
              <w:sz w:val="24"/>
              <w:szCs w:val="32"/>
            </w:rPr>
            <w:t>- 90 -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_Toc28417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附件十一：近年业绩一览表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_Toc28417 \h </w:instrText>
          </w:r>
          <w:r>
            <w:rPr>
              <w:rFonts w:hint="eastAsia" w:ascii="仿宋" w:hAnsi="仿宋" w:eastAsia="仿宋" w:cs="仿宋"/>
              <w:sz w:val="24"/>
              <w:szCs w:val="32"/>
            </w:rPr>
            <w:fldChar w:fldCharType="separate"/>
          </w:r>
          <w:r>
            <w:rPr>
              <w:rFonts w:hint="eastAsia" w:ascii="仿宋" w:hAnsi="仿宋" w:eastAsia="仿宋" w:cs="仿宋"/>
              <w:sz w:val="24"/>
              <w:szCs w:val="32"/>
            </w:rPr>
            <w:t>- 91 -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_Toc9521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附件十二：中小企业声明函（如有）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_Toc9521 \h </w:instrText>
          </w:r>
          <w:r>
            <w:rPr>
              <w:rFonts w:hint="eastAsia" w:ascii="仿宋" w:hAnsi="仿宋" w:eastAsia="仿宋" w:cs="仿宋"/>
              <w:sz w:val="24"/>
              <w:szCs w:val="32"/>
            </w:rPr>
            <w:fldChar w:fldCharType="separate"/>
          </w:r>
          <w:r>
            <w:rPr>
              <w:rFonts w:hint="eastAsia" w:ascii="仿宋" w:hAnsi="仿宋" w:eastAsia="仿宋" w:cs="仿宋"/>
              <w:sz w:val="24"/>
              <w:szCs w:val="32"/>
            </w:rPr>
            <w:t>- 92 -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_Toc30411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附件十三：残疾人福利性单位声明函（如有）</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_Toc30411 \h </w:instrText>
          </w:r>
          <w:r>
            <w:rPr>
              <w:rFonts w:hint="eastAsia" w:ascii="仿宋" w:hAnsi="仿宋" w:eastAsia="仿宋" w:cs="仿宋"/>
              <w:sz w:val="24"/>
              <w:szCs w:val="32"/>
            </w:rPr>
            <w:fldChar w:fldCharType="separate"/>
          </w:r>
          <w:r>
            <w:rPr>
              <w:rFonts w:hint="eastAsia" w:ascii="仿宋" w:hAnsi="仿宋" w:eastAsia="仿宋" w:cs="仿宋"/>
              <w:sz w:val="24"/>
              <w:szCs w:val="32"/>
            </w:rPr>
            <w:t>- 93 -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_Toc22511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附件十四：环境标志产品明细表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_Toc22511 \h </w:instrText>
          </w:r>
          <w:r>
            <w:rPr>
              <w:rFonts w:hint="eastAsia" w:ascii="仿宋" w:hAnsi="仿宋" w:eastAsia="仿宋" w:cs="仿宋"/>
              <w:sz w:val="24"/>
              <w:szCs w:val="32"/>
            </w:rPr>
            <w:fldChar w:fldCharType="separate"/>
          </w:r>
          <w:r>
            <w:rPr>
              <w:rFonts w:hint="eastAsia" w:ascii="仿宋" w:hAnsi="仿宋" w:eastAsia="仿宋" w:cs="仿宋"/>
              <w:sz w:val="24"/>
              <w:szCs w:val="32"/>
            </w:rPr>
            <w:t>- 94 -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_Toc23388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附件十五：节能产品明细表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_Toc23388 \h </w:instrText>
          </w:r>
          <w:r>
            <w:rPr>
              <w:rFonts w:hint="eastAsia" w:ascii="仿宋" w:hAnsi="仿宋" w:eastAsia="仿宋" w:cs="仿宋"/>
              <w:sz w:val="24"/>
              <w:szCs w:val="32"/>
            </w:rPr>
            <w:fldChar w:fldCharType="separate"/>
          </w:r>
          <w:r>
            <w:rPr>
              <w:rFonts w:hint="eastAsia" w:ascii="仿宋" w:hAnsi="仿宋" w:eastAsia="仿宋" w:cs="仿宋"/>
              <w:sz w:val="24"/>
              <w:szCs w:val="32"/>
            </w:rPr>
            <w:t>- 95 -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_Toc8827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附件十六：政府强制采购节能产品明细表</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_Toc8827 \h </w:instrText>
          </w:r>
          <w:r>
            <w:rPr>
              <w:rFonts w:hint="eastAsia" w:ascii="仿宋" w:hAnsi="仿宋" w:eastAsia="仿宋" w:cs="仿宋"/>
              <w:sz w:val="24"/>
              <w:szCs w:val="32"/>
            </w:rPr>
            <w:fldChar w:fldCharType="separate"/>
          </w:r>
          <w:r>
            <w:rPr>
              <w:rFonts w:hint="eastAsia" w:ascii="仿宋" w:hAnsi="仿宋" w:eastAsia="仿宋" w:cs="仿宋"/>
              <w:sz w:val="24"/>
              <w:szCs w:val="32"/>
            </w:rPr>
            <w:t>- 96 -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rPr>
              <w:rFonts w:hint="eastAsia" w:ascii="仿宋" w:hAnsi="仿宋" w:eastAsia="仿宋" w:cs="仿宋"/>
              <w:sz w:val="24"/>
              <w:szCs w:val="32"/>
            </w:rPr>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_Toc18203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附件十七：资格证明材料格式（参考）</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_Toc18203 \h </w:instrText>
          </w:r>
          <w:r>
            <w:rPr>
              <w:rFonts w:hint="eastAsia" w:ascii="仿宋" w:hAnsi="仿宋" w:eastAsia="仿宋" w:cs="仿宋"/>
              <w:sz w:val="24"/>
              <w:szCs w:val="32"/>
            </w:rPr>
            <w:fldChar w:fldCharType="separate"/>
          </w:r>
          <w:r>
            <w:rPr>
              <w:rFonts w:hint="eastAsia" w:ascii="仿宋" w:hAnsi="仿宋" w:eastAsia="仿宋" w:cs="仿宋"/>
              <w:sz w:val="24"/>
              <w:szCs w:val="32"/>
            </w:rPr>
            <w:t>- 97 -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pStyle w:val="12"/>
            <w:tabs>
              <w:tab w:val="right" w:leader="dot" w:pos="8306"/>
            </w:tabs>
            <w:spacing w:line="360" w:lineRule="auto"/>
          </w:pPr>
          <w:r>
            <w:rPr>
              <w:rFonts w:hint="eastAsia" w:ascii="仿宋" w:hAnsi="仿宋" w:eastAsia="仿宋" w:cs="仿宋"/>
              <w:bCs w:val="0"/>
              <w:sz w:val="24"/>
              <w:szCs w:val="32"/>
            </w:rPr>
            <w:fldChar w:fldCharType="begin"/>
          </w:r>
          <w:r>
            <w:rPr>
              <w:rFonts w:hint="eastAsia" w:ascii="仿宋" w:hAnsi="仿宋" w:eastAsia="仿宋" w:cs="仿宋"/>
              <w:bCs w:val="0"/>
              <w:sz w:val="24"/>
              <w:szCs w:val="32"/>
            </w:rPr>
            <w:instrText xml:space="preserve"> HYPERLINK \l _Toc19709 </w:instrText>
          </w:r>
          <w:r>
            <w:rPr>
              <w:rFonts w:hint="eastAsia" w:ascii="仿宋" w:hAnsi="仿宋" w:eastAsia="仿宋" w:cs="仿宋"/>
              <w:bCs w:val="0"/>
              <w:sz w:val="24"/>
              <w:szCs w:val="32"/>
            </w:rPr>
            <w:fldChar w:fldCharType="separate"/>
          </w:r>
          <w:r>
            <w:rPr>
              <w:rFonts w:hint="eastAsia" w:ascii="仿宋" w:hAnsi="仿宋" w:eastAsia="仿宋" w:cs="仿宋"/>
              <w:sz w:val="24"/>
              <w:szCs w:val="32"/>
              <w:lang w:val="en-US" w:eastAsia="zh-CN"/>
            </w:rPr>
            <w:t>附件十八：投标文件密封封套标记格式</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_Toc19709 \h </w:instrText>
          </w:r>
          <w:r>
            <w:rPr>
              <w:rFonts w:hint="eastAsia" w:ascii="仿宋" w:hAnsi="仿宋" w:eastAsia="仿宋" w:cs="仿宋"/>
              <w:sz w:val="24"/>
              <w:szCs w:val="32"/>
            </w:rPr>
            <w:fldChar w:fldCharType="separate"/>
          </w:r>
          <w:r>
            <w:rPr>
              <w:rFonts w:hint="eastAsia" w:ascii="仿宋" w:hAnsi="仿宋" w:eastAsia="仿宋" w:cs="仿宋"/>
              <w:sz w:val="24"/>
              <w:szCs w:val="32"/>
            </w:rPr>
            <w:t>- 109 -</w:t>
          </w:r>
          <w:r>
            <w:rPr>
              <w:rFonts w:hint="eastAsia" w:ascii="仿宋" w:hAnsi="仿宋" w:eastAsia="仿宋" w:cs="仿宋"/>
              <w:sz w:val="24"/>
              <w:szCs w:val="32"/>
            </w:rPr>
            <w:fldChar w:fldCharType="end"/>
          </w:r>
          <w:r>
            <w:rPr>
              <w:rFonts w:hint="eastAsia" w:ascii="仿宋" w:hAnsi="仿宋" w:eastAsia="仿宋" w:cs="仿宋"/>
              <w:bCs w:val="0"/>
              <w:sz w:val="24"/>
              <w:szCs w:val="32"/>
            </w:rPr>
            <w:fldChar w:fldCharType="end"/>
          </w:r>
        </w:p>
        <w:p>
          <w:pPr>
            <w:rPr>
              <w:b w:val="0"/>
              <w:bCs w:val="0"/>
            </w:rPr>
          </w:pPr>
          <w:r>
            <w:rPr>
              <w:bCs w:val="0"/>
            </w:rPr>
            <w:fldChar w:fldCharType="end"/>
          </w:r>
        </w:p>
      </w:sdtContent>
    </w:sdt>
    <w:p>
      <w:pPr>
        <w:pStyle w:val="3"/>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numPr>
          <w:ilvl w:val="0"/>
          <w:numId w:val="1"/>
        </w:numPr>
        <w:bidi w:val="0"/>
        <w:rPr>
          <w:rFonts w:hint="eastAsia"/>
          <w:lang w:val="en-US" w:eastAsia="zh-CN"/>
        </w:rPr>
      </w:pPr>
      <w:r>
        <w:rPr>
          <w:rFonts w:hint="eastAsia"/>
          <w:lang w:val="en-US" w:eastAsia="zh-CN"/>
        </w:rPr>
        <w:t xml:space="preserve"> </w:t>
      </w:r>
      <w:bookmarkStart w:id="0" w:name="_Toc16040"/>
      <w:bookmarkStart w:id="1" w:name="_Toc21713"/>
      <w:bookmarkStart w:id="2" w:name="_Toc12214"/>
      <w:r>
        <w:rPr>
          <w:rFonts w:hint="eastAsia"/>
          <w:lang w:val="en-US" w:eastAsia="zh-CN"/>
        </w:rPr>
        <w:t>招标公告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sz w:val="44"/>
          <w:szCs w:val="44"/>
          <w:lang w:val="en-US" w:eastAsia="zh-CN"/>
        </w:rPr>
      </w:pPr>
      <w:r>
        <w:rPr>
          <w:rFonts w:hint="eastAsia"/>
          <w:sz w:val="40"/>
          <w:szCs w:val="40"/>
          <w:lang w:eastAsia="zh-CN"/>
        </w:rPr>
        <w:t>山东大学第二医院4K荧光腹腔内窥镜系统采购</w:t>
      </w:r>
      <w:r>
        <w:rPr>
          <w:rFonts w:hint="eastAsia"/>
          <w:sz w:val="44"/>
          <w:szCs w:val="44"/>
          <w:lang w:val="en-US" w:eastAsia="zh-CN"/>
        </w:rPr>
        <w:t>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山东大学第二医院4K荧光腹腔内窥镜系统采购</w:t>
            </w:r>
            <w:r>
              <w:rPr>
                <w:rFonts w:hint="eastAsia" w:ascii="仿宋" w:hAnsi="仿宋" w:eastAsia="仿宋" w:cs="仿宋"/>
                <w:sz w:val="28"/>
                <w:szCs w:val="28"/>
                <w:vertAlign w:val="baseline"/>
                <w:lang w:val="en-US" w:eastAsia="zh-CN"/>
              </w:rPr>
              <w:t>招标项目的潜在供应商应在</w:t>
            </w:r>
            <w:r>
              <w:rPr>
                <w:rFonts w:hint="eastAsia" w:ascii="仿宋" w:hAnsi="仿宋" w:eastAsia="仿宋" w:cs="仿宋"/>
                <w:sz w:val="28"/>
                <w:szCs w:val="28"/>
                <w:u w:val="single"/>
                <w:vertAlign w:val="baseline"/>
                <w:lang w:val="en-US" w:eastAsia="zh-CN"/>
              </w:rPr>
              <w:t>济南市历城区万科海右府8号楼102</w:t>
            </w:r>
            <w:r>
              <w:rPr>
                <w:rFonts w:hint="eastAsia" w:ascii="仿宋" w:hAnsi="仿宋" w:eastAsia="仿宋" w:cs="仿宋"/>
                <w:sz w:val="28"/>
                <w:szCs w:val="28"/>
                <w:vertAlign w:val="baseline"/>
                <w:lang w:val="en-US" w:eastAsia="zh-CN"/>
              </w:rPr>
              <w:t>获取招标文件，并于</w:t>
            </w:r>
            <w:r>
              <w:rPr>
                <w:rFonts w:hint="eastAsia" w:ascii="仿宋" w:hAnsi="仿宋" w:eastAsia="仿宋" w:cs="仿宋"/>
                <w:sz w:val="28"/>
                <w:szCs w:val="28"/>
                <w:highlight w:val="none"/>
                <w:u w:val="single"/>
                <w:vertAlign w:val="baseline"/>
                <w:lang w:val="en-US" w:eastAsia="zh-CN"/>
              </w:rPr>
              <w:t>2021年11月24日9点00</w:t>
            </w:r>
            <w:r>
              <w:rPr>
                <w:rFonts w:hint="eastAsia" w:ascii="仿宋" w:hAnsi="仿宋" w:eastAsia="仿宋" w:cs="仿宋"/>
                <w:sz w:val="28"/>
                <w:szCs w:val="28"/>
                <w:u w:val="single"/>
                <w:vertAlign w:val="baseline"/>
                <w:lang w:val="en-US" w:eastAsia="zh-CN"/>
              </w:rPr>
              <w:t>分</w:t>
            </w:r>
            <w:r>
              <w:rPr>
                <w:rFonts w:hint="eastAsia" w:ascii="仿宋" w:hAnsi="仿宋" w:eastAsia="仿宋" w:cs="仿宋"/>
                <w:sz w:val="28"/>
                <w:szCs w:val="28"/>
                <w:vertAlign w:val="baseline"/>
                <w:lang w:val="en-US" w:eastAsia="zh-CN"/>
              </w:rPr>
              <w:t>（北京时间）前递交投标文件。</w:t>
            </w:r>
          </w:p>
        </w:tc>
      </w:tr>
    </w:tbl>
    <w:p>
      <w:pPr>
        <w:pStyle w:val="4"/>
        <w:numPr>
          <w:ilvl w:val="0"/>
          <w:numId w:val="2"/>
        </w:numPr>
        <w:bidi w:val="0"/>
        <w:rPr>
          <w:rFonts w:hint="eastAsia"/>
          <w:sz w:val="36"/>
          <w:szCs w:val="28"/>
          <w:lang w:val="en-US" w:eastAsia="zh-CN"/>
        </w:rPr>
      </w:pPr>
      <w:bookmarkStart w:id="3" w:name="_Toc25958"/>
      <w:r>
        <w:rPr>
          <w:rFonts w:hint="eastAsia"/>
          <w:sz w:val="36"/>
          <w:szCs w:val="28"/>
          <w:lang w:val="en-US" w:eastAsia="zh-CN"/>
        </w:rPr>
        <w:t>项目基本情况</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项目编号：（TCZX-HW-2021-058）</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项目名称：山东大学第二医院4K荧光腹腔内窥镜系统采购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预算金额：200万元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最高限价：200万元</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采购需求：本项目采购4K荧光腹腔内窥镜系统一批，用于在内窥镜手术中提供实时的4K荧光图像。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标段划分：1个标段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合同履行期限（质保期）：质保期不少于2年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本项目（不接受）联合体投标。</w:t>
      </w:r>
    </w:p>
    <w:p>
      <w:pPr>
        <w:pStyle w:val="4"/>
        <w:numPr>
          <w:ilvl w:val="0"/>
          <w:numId w:val="2"/>
        </w:numPr>
        <w:bidi w:val="0"/>
        <w:rPr>
          <w:rFonts w:hint="eastAsia"/>
          <w:sz w:val="36"/>
          <w:szCs w:val="28"/>
          <w:lang w:val="en-US" w:eastAsia="zh-CN"/>
        </w:rPr>
      </w:pPr>
      <w:bookmarkStart w:id="4" w:name="_Toc23673"/>
      <w:r>
        <w:rPr>
          <w:rFonts w:hint="eastAsia"/>
          <w:sz w:val="36"/>
          <w:szCs w:val="28"/>
          <w:lang w:val="en-US" w:eastAsia="zh-CN"/>
        </w:rPr>
        <w:t>申请人的资格要求</w:t>
      </w:r>
      <w:bookmarkEnd w:id="4"/>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落实政府采购政策需满足的资格要求：本项目不属于专门面向中小企业、监狱企业、残疾人福利性单位采购的项目；</w:t>
      </w:r>
    </w:p>
    <w:p>
      <w:pPr>
        <w:keepNext w:val="0"/>
        <w:keepLines w:val="0"/>
        <w:pageBreakBefore w:val="0"/>
        <w:widowControl w:val="0"/>
        <w:numPr>
          <w:ilvl w:val="0"/>
          <w:numId w:val="3"/>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信用中国”（www.creditchina.gov.cn）、中国政府采购网（www.ccgp.gov.cn）等网站中被列入失信被执行人、重大税收违法案件当事人名单、政府采购严重违法失信行为记录名单的供应商，不得参加本次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单位负责人为同一人或者存在直接控股、管理关系的不同供应商，不得参加同一合同项下（同一包号）的政府采购活动；</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为制造商的，应按照《医疗器械生产监督管理办法》（国家食品药品监督管理总局令第7号）的规定提供医疗器械生产许可证或生产备案凭证；供应商为代理商或经销商的应按照《医疗器械经营监督管理办法》（国家食品药品监督管理总局令第8号）的规定提供有效的医疗器械产品经营许可证或经营备案凭证。供应商须按照《医疗器械注册管理办法》（国家食品药品监督管理总局令第4号）的规定提供所投设备的医疗器械注册证（如有附表，需提供附表）或产品备案表。</w:t>
      </w:r>
    </w:p>
    <w:p>
      <w:pPr>
        <w:pStyle w:val="4"/>
        <w:numPr>
          <w:ilvl w:val="0"/>
          <w:numId w:val="2"/>
        </w:numPr>
        <w:bidi w:val="0"/>
        <w:rPr>
          <w:rFonts w:hint="default"/>
          <w:sz w:val="36"/>
          <w:szCs w:val="28"/>
          <w:lang w:val="en-US" w:eastAsia="zh-CN"/>
        </w:rPr>
      </w:pPr>
      <w:bookmarkStart w:id="5" w:name="_Toc16954"/>
      <w:r>
        <w:rPr>
          <w:rFonts w:hint="eastAsia"/>
          <w:sz w:val="36"/>
          <w:szCs w:val="28"/>
          <w:lang w:val="en-US" w:eastAsia="zh-CN"/>
        </w:rPr>
        <w:t>获取招标文件</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时间：2021年11月01日09:00至2021年11月05日17:00止。</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w:t>
      </w:r>
      <w:r>
        <w:rPr>
          <w:rFonts w:hint="eastAsia" w:ascii="仿宋" w:hAnsi="仿宋" w:eastAsia="仿宋" w:cs="仿宋"/>
          <w:b/>
          <w:bCs/>
          <w:sz w:val="28"/>
          <w:szCs w:val="28"/>
          <w:highlight w:val="none"/>
          <w:lang w:val="en-US" w:eastAsia="zh-CN"/>
        </w:rPr>
        <w:t>（疫情期间不需到现场获取招标文件）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sz w:val="28"/>
          <w:szCs w:val="28"/>
          <w:highlight w:val="none"/>
          <w:lang w:val="en-US" w:eastAsia="zh-CN"/>
        </w:rPr>
        <w:t xml:space="preserve">凡有意参加本次采购的供应商须在获取招标文件的期限内联系代理机构（联系人：张文龙  0531-85819159  15165115618  </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lang w:val="en-US" w:eastAsia="zh-CN"/>
        </w:rPr>
        <w:t>，并明确所投项目名称及项目确认，并在邮件中注明单位名称，联系人，联系电话</w:t>
      </w:r>
      <w:r>
        <w:rPr>
          <w:rFonts w:hint="eastAsia" w:ascii="仿宋" w:hAnsi="仿宋" w:eastAsia="仿宋" w:cs="仿宋"/>
          <w:color w:val="auto"/>
          <w:sz w:val="28"/>
          <w:szCs w:val="28"/>
          <w:highlight w:val="none"/>
          <w:u w:val="none"/>
          <w:lang w:val="en-US" w:eastAsia="zh-CN"/>
        </w:rPr>
        <w:t>。</w:t>
      </w:r>
      <w:bookmarkStart w:id="69" w:name="_GoBack"/>
      <w:bookmarkEnd w:id="69"/>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请供应商在项目确认后，缴纳招标文件工本费至下列账户：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供应商在汇款时须</w:t>
      </w:r>
      <w:r>
        <w:rPr>
          <w:rFonts w:hint="eastAsia" w:ascii="仿宋" w:hAnsi="仿宋" w:eastAsia="仿宋" w:cs="仿宋"/>
          <w:b/>
          <w:bCs/>
          <w:sz w:val="28"/>
          <w:szCs w:val="28"/>
          <w:highlight w:val="none"/>
          <w:lang w:val="en-US" w:eastAsia="zh-CN"/>
        </w:rPr>
        <w:t>注明项目编号</w:t>
      </w:r>
      <w:r>
        <w:rPr>
          <w:rFonts w:hint="eastAsia" w:ascii="仿宋" w:hAnsi="仿宋" w:eastAsia="仿宋" w:cs="仿宋"/>
          <w:sz w:val="28"/>
          <w:szCs w:val="28"/>
          <w:highlight w:val="none"/>
          <w:lang w:val="en-US" w:eastAsia="zh-CN"/>
        </w:rPr>
        <w:t>，并电话通知代理机构确认，招标文件售后不退。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注：（1）本项目实行资格后审，获取招标文件成功不代表资格后审的通过。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984" w:firstLineChars="350"/>
        <w:textAlignment w:val="auto"/>
        <w:rPr>
          <w:rFonts w:hint="eastAsia"/>
          <w:lang w:val="en-US" w:eastAsia="zh-CN"/>
        </w:rPr>
      </w:pPr>
      <w:r>
        <w:rPr>
          <w:rFonts w:hint="eastAsia" w:ascii="仿宋" w:hAnsi="仿宋" w:eastAsia="仿宋" w:cs="仿宋"/>
          <w:b/>
          <w:bCs/>
          <w:sz w:val="28"/>
          <w:szCs w:val="28"/>
          <w:highlight w:val="none"/>
          <w:lang w:val="en-US" w:eastAsia="zh-CN"/>
        </w:rPr>
        <w:t>（2）本采购项目的变更、修改、澄清、补遗内容及对项目的暂停、延期通知等情况均在“中国政府采购网”发布。潜在供应商自行查阅网站信息，未按要求查阅者自行承担相应后果。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售价：300元/份，本公告包含的招标文件售价总和</w:t>
      </w:r>
    </w:p>
    <w:p>
      <w:pPr>
        <w:pStyle w:val="4"/>
        <w:numPr>
          <w:ilvl w:val="0"/>
          <w:numId w:val="2"/>
        </w:numPr>
        <w:bidi w:val="0"/>
        <w:rPr>
          <w:rFonts w:hint="eastAsia"/>
          <w:sz w:val="36"/>
          <w:szCs w:val="28"/>
          <w:lang w:val="en-US" w:eastAsia="zh-CN"/>
        </w:rPr>
      </w:pPr>
      <w:bookmarkStart w:id="6" w:name="_Toc8125"/>
      <w:r>
        <w:rPr>
          <w:rFonts w:hint="eastAsia"/>
          <w:sz w:val="36"/>
          <w:szCs w:val="28"/>
          <w:lang w:val="en-US" w:eastAsia="zh-CN"/>
        </w:rPr>
        <w:t>提交投标文件</w:t>
      </w:r>
      <w:bookmarkEnd w:id="6"/>
      <w:r>
        <w:rPr>
          <w:rFonts w:hint="eastAsia"/>
          <w:sz w:val="36"/>
          <w:szCs w:val="28"/>
          <w:lang w:val="en-US" w:eastAsia="zh-CN"/>
        </w:rPr>
        <w:t>截止时间、开标时间和地点</w:t>
      </w:r>
    </w:p>
    <w:p>
      <w:pPr>
        <w:keepNext w:val="0"/>
        <w:keepLines w:val="0"/>
        <w:pageBreakBefore w:val="0"/>
        <w:widowControl w:val="0"/>
        <w:numPr>
          <w:ilvl w:val="0"/>
          <w:numId w:val="5"/>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投标文件递交的截止时间及开标时间：</w:t>
      </w:r>
      <w:r>
        <w:rPr>
          <w:rFonts w:hint="eastAsia" w:ascii="仿宋" w:hAnsi="仿宋" w:eastAsia="仿宋" w:cs="仿宋"/>
          <w:sz w:val="28"/>
          <w:szCs w:val="28"/>
          <w:highlight w:val="none"/>
          <w:u w:val="single"/>
          <w:vertAlign w:val="baseline"/>
          <w:lang w:val="en-US" w:eastAsia="zh-CN"/>
        </w:rPr>
        <w:t>2021年11月24日9点00分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投标文件递交的地点：山东大学第二医院办公楼五楼会议室（地址：济南市天桥区北园大街247号），逾期送达的或者未送达指定地点的投标文件，采购人不予受理。</w:t>
      </w:r>
    </w:p>
    <w:p>
      <w:pPr>
        <w:pStyle w:val="4"/>
        <w:numPr>
          <w:ilvl w:val="0"/>
          <w:numId w:val="2"/>
        </w:numPr>
        <w:bidi w:val="0"/>
        <w:rPr>
          <w:rFonts w:hint="default"/>
          <w:sz w:val="36"/>
          <w:szCs w:val="28"/>
          <w:lang w:val="en-US" w:eastAsia="zh-CN"/>
        </w:rPr>
      </w:pPr>
      <w:bookmarkStart w:id="7" w:name="_Toc19407"/>
      <w:r>
        <w:rPr>
          <w:rFonts w:hint="eastAsia"/>
          <w:sz w:val="36"/>
          <w:szCs w:val="28"/>
          <w:lang w:val="en-US" w:eastAsia="zh-CN"/>
        </w:rPr>
        <w:t>公告期限</w:t>
      </w:r>
      <w:bookmarkEnd w:id="7"/>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自本公告发布之日起五个工作日。</w:t>
      </w:r>
    </w:p>
    <w:p>
      <w:pPr>
        <w:pStyle w:val="4"/>
        <w:numPr>
          <w:ilvl w:val="0"/>
          <w:numId w:val="2"/>
        </w:numPr>
        <w:bidi w:val="0"/>
        <w:rPr>
          <w:rFonts w:hint="eastAsia"/>
          <w:sz w:val="36"/>
          <w:szCs w:val="28"/>
          <w:lang w:val="en-US" w:eastAsia="zh-CN"/>
        </w:rPr>
      </w:pPr>
      <w:bookmarkStart w:id="8" w:name="_Toc26363"/>
      <w:r>
        <w:rPr>
          <w:rFonts w:hint="eastAsia"/>
          <w:sz w:val="36"/>
          <w:szCs w:val="28"/>
          <w:lang w:val="en-US" w:eastAsia="zh-CN"/>
        </w:rPr>
        <w:t>其他补充事宜</w:t>
      </w:r>
      <w:bookmarkEnd w:id="8"/>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采购项目需要落实的政府采购政策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中小微型企业政府采购政策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监狱企业政府采购政策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促进残疾人就业政府采购政策</w:t>
      </w:r>
    </w:p>
    <w:p>
      <w:pPr>
        <w:keepNext w:val="0"/>
        <w:keepLines w:val="0"/>
        <w:pageBreakBefore w:val="0"/>
        <w:widowControl w:val="0"/>
        <w:numPr>
          <w:ilvl w:val="0"/>
          <w:numId w:val="6"/>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节能、环保产品政府采购政策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详见招标文件</w:t>
      </w:r>
    </w:p>
    <w:p>
      <w:pPr>
        <w:pStyle w:val="4"/>
        <w:numPr>
          <w:ilvl w:val="0"/>
          <w:numId w:val="2"/>
        </w:numPr>
        <w:bidi w:val="0"/>
        <w:rPr>
          <w:rFonts w:hint="eastAsia"/>
          <w:sz w:val="36"/>
          <w:szCs w:val="28"/>
          <w:lang w:val="en-US" w:eastAsia="zh-CN"/>
        </w:rPr>
      </w:pPr>
      <w:bookmarkStart w:id="9" w:name="_Toc12221"/>
      <w:r>
        <w:rPr>
          <w:rFonts w:hint="eastAsia"/>
          <w:sz w:val="36"/>
          <w:szCs w:val="28"/>
          <w:lang w:val="en-US" w:eastAsia="zh-CN"/>
        </w:rPr>
        <w:t>对本次招标提出询问，请按以下方式联系</w:t>
      </w:r>
      <w:bookmarkEnd w:id="9"/>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联系方式：0531-85875076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2、代理机构信息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联系方式：0531-85819159</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1120" w:firstLineChars="4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话：15165115618</w:t>
      </w:r>
    </w:p>
    <w:p>
      <w:pPr>
        <w:rPr>
          <w:rFonts w:hint="default"/>
          <w:sz w:val="22"/>
          <w:szCs w:val="28"/>
          <w:highlight w:val="none"/>
          <w:lang w:val="en-US" w:eastAsia="zh-CN"/>
        </w:rPr>
      </w:pPr>
      <w:r>
        <w:rPr>
          <w:rFonts w:hint="default"/>
          <w:sz w:val="22"/>
          <w:szCs w:val="28"/>
          <w:highlight w:val="none"/>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10" w:name="_Toc23894"/>
      <w:r>
        <w:rPr>
          <w:rFonts w:hint="eastAsia"/>
          <w:sz w:val="44"/>
          <w:szCs w:val="24"/>
          <w:lang w:val="en-US" w:eastAsia="zh-CN"/>
        </w:rPr>
        <w:t>投标须知</w:t>
      </w:r>
      <w:bookmarkEnd w:id="10"/>
    </w:p>
    <w:p>
      <w:pPr>
        <w:pStyle w:val="4"/>
        <w:bidi w:val="0"/>
        <w:jc w:val="center"/>
        <w:rPr>
          <w:rFonts w:hint="eastAsia" w:ascii="宋体" w:hAnsi="宋体" w:eastAsia="宋体" w:cs="宋体"/>
          <w:sz w:val="44"/>
          <w:szCs w:val="44"/>
          <w:lang w:val="en-US" w:eastAsia="zh-CN"/>
        </w:rPr>
      </w:pPr>
      <w:bookmarkStart w:id="11" w:name="_Toc30943"/>
      <w:r>
        <w:rPr>
          <w:rFonts w:hint="eastAsia" w:ascii="宋体" w:hAnsi="宋体" w:eastAsia="宋体" w:cs="宋体"/>
          <w:sz w:val="44"/>
          <w:szCs w:val="44"/>
          <w:lang w:val="en-US" w:eastAsia="zh-CN"/>
        </w:rPr>
        <w:t>供应商须知前附表</w:t>
      </w:r>
      <w:bookmarkEnd w:id="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本表是对“供应商须知”正文的具体补充和修改，如有不一致，以“前附表”为准。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422"/>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序号</w:t>
            </w: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内容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项目信息</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项目编号：（TCZX-HW-2021-058）</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项目名称：山东大学第二医院4K荧光腹腔内窥镜系统采购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名称：山东大学第二医院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地址：济南市天桥区北园大街247号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代理机构</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名称：同诚工程咨询集团股份有限公司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地址：济南市历城区万科海右府8号楼102</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联系人：张文龙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联系方式：0531-85819159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与采购预算</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资金来源：医院自筹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预算金额：200万元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最高限价：200万元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highlight w:val="none"/>
                <w:vertAlign w:val="baseline"/>
                <w:lang w:val="en-US" w:eastAsia="zh-CN"/>
              </w:rPr>
            </w:pPr>
            <w:r>
              <w:rPr>
                <w:rFonts w:hint="default" w:ascii="仿宋" w:hAnsi="仿宋" w:eastAsia="仿宋" w:cs="仿宋"/>
                <w:b/>
                <w:bCs/>
                <w:sz w:val="28"/>
                <w:szCs w:val="28"/>
                <w:highlight w:val="none"/>
                <w:vertAlign w:val="baseline"/>
                <w:lang w:val="en-US" w:eastAsia="zh-CN"/>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的资格证明材料</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供应商资格要求：详见第一章招标公告。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供应商应提供能够证明符合资格条件的下列材料：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（1）供应商须具有独立承担民事责任的能力，向采购人提供服务的法人、其他组织或自然人，须提供相关证明材料，其中：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供应商是企业（包括合伙企业）的，应提供其在市场监督管理局注册的有效“企业法人营业执照”或“营业执照”的复印件；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供应商是事业单位的，应提供其有效的“事业单位法人证书”复印件；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供应商是非企业专业服务机构的，应提供其有效的执业许可证复印件；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供应商是个体工商户的，应提供其有效的“个体工商户营业执照”复印件；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供应商是自然人的，应提供其有效的自然人身份证明。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（2）供应商须具有良好的商业信誉和健全的财务会计制度，须提供相关证明材料，其中：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供应商是法人的，应提供2020年度财务状况或其基本开户银行出具的资信证明原件；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供应商是其他组织或自然人的，应提供银行出具的2020年度资信证明原件。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（3）供应商须具有履行合同所必需的设备和专业技术能力，须附相关证明材料或书面声明。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（4）供应商须具有依法缴纳税收和社会保障资金的良好记录，须提供相关证明材料，其中：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供应商是法人的，缴纳税收的证明材料，应提供开标前三个月内任意一个月的依法缴税凭据复印件；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供应商是法人的，缴纳社会保障资金的证明材料，应提供开标前三个月内任意一个月的缴纳社会保险的凭据（专用收据或社会保险缴纳清单）复印件；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供应商是其他组织和自然人的，需要提供开标前三个月内任意一个月的缴纳税收和社会保险的凭据。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注：依法免税或不需要缴纳社会保障资金的供应商，须提供相应文件证明其依法免税或不需要缴纳社会保障资金。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（5）近三年内（本项目投标截止日前）供应商在经营活动中没有重大违法记录，其中：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供应商须提供参与本采购活动前三年内在经营活动中没有重大违法记录的书面声明。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（8）供应商为制造商的，应按照《医疗器械生产监督管理办法》（国家食品药品监督管理总局令第7号）的规定提供医疗器械生产许可证或生产备案凭证；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供应商为代理商或经销商的应按照《医疗器械经营监督管理办法》（国家食品药品监督管理总局令第8号）的规定提供有效的医疗器械产品经营许可证或经营备案凭证。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供应商须按照《医疗器械注册管理办法》（国家食品药品监督管理总局令第4号）的规定提供所投设备的医疗器械注册证（如有附表，需提供附表）或产品备案表。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对招标文件的疑问</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提交疑问时间：截止时间2021年11月08日上午11:00前。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提交疑问方式：发电子邮件至</w:t>
            </w:r>
            <w:r>
              <w:rPr>
                <w:rFonts w:hint="eastAsia" w:ascii="仿宋" w:hAnsi="仿宋" w:eastAsia="仿宋" w:cs="仿宋"/>
                <w:color w:val="auto"/>
                <w:sz w:val="28"/>
                <w:szCs w:val="28"/>
                <w:highlight w:val="none"/>
                <w:u w:val="none"/>
                <w:lang w:val="en-US" w:eastAsia="zh-CN"/>
              </w:rPr>
              <w:t>tongchengjn@163.com</w:t>
            </w:r>
            <w:r>
              <w:rPr>
                <w:rFonts w:hint="eastAsia" w:ascii="仿宋" w:hAnsi="仿宋" w:eastAsia="仿宋" w:cs="仿宋"/>
                <w:sz w:val="28"/>
                <w:szCs w:val="28"/>
                <w:highlight w:val="none"/>
                <w:vertAlign w:val="baseline"/>
                <w:lang w:val="en-US" w:eastAsia="zh-CN"/>
              </w:rPr>
              <w:t>（word文档及加盖公章的扫描件各一份）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招标文件澄清</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澄清和修改文件发送时间（如有）：2021年11月08日16:00前；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投标文件份数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纸质投标文件4份，其中正本1份和副本3份；电子版投标文件1份（U盘，可编辑word版本和PDF版本各一份）；开标一览表一式3份。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电子版内容应包含投标文件的全部商务、报价、技术内容及技术资料，其中有英文资料的还应提供中、英文对照文本。</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开标一览表一式3份单独密封。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0" w:firstLineChars="0"/>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纸质投标文件的装订：供应商须将投标文件（正本、副本）按照投标文件组成的顺序胶装成册，并在首页编制“目录”，正反双面打印，每页均应标注页码，装订应牢固、不易拆散和换页。装订要求：①每份投标文件的厚度不超过4.5cm，若超过4.5cm，可分册装订，每页标准页码；②为节约成本，投标文件封皮请勿使用硬版纸；③投标文件封装背脊须打印：（XXX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投标文件密封和标记</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供应商应将投标文件正本、副本、电子版及开标一览表密封，并在封套明显处注明以下内容：</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项目编号、项目名称、包号；</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正本或副本或电子版或开标一览表；</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供应商名称（加盖公章）、地址、电话；</w:t>
            </w:r>
          </w:p>
          <w:p>
            <w:pPr>
              <w:keepNext w:val="0"/>
              <w:keepLines w:val="0"/>
              <w:pageBreakBefore w:val="0"/>
              <w:widowControl w:val="0"/>
              <w:numPr>
                <w:ilvl w:val="0"/>
                <w:numId w:val="9"/>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每一密封件在封口处注明“于__年__月__日__时__分之前不准启封”字样。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投标文件的签署</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金额：40000.00元整(大写：肆万元整）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投标保证金缴纳形式：网银转账或电汇，银行保函或第三方担保。</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开户银行及账号如下：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开户名：同诚工程咨询集团股份有限公司济南分公司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开户行：威海市商业银行股份有限公司济南燕山支行</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行  号：313451000125</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账  号：817972201421003546</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投标保证金到账截止时间为投标截止时间，逾期到账的，被视为“未按规定交纳投标保证金”，其投标文件将按无效投标处理；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投标保证金必须从投标单位基本账户转出，否则无效；未按上述规定递交投标保证金的供应商，其投标文件将按无效投标处理；</w:t>
            </w:r>
          </w:p>
          <w:p>
            <w:pPr>
              <w:keepNext w:val="0"/>
              <w:keepLines w:val="0"/>
              <w:pageBreakBefore w:val="0"/>
              <w:widowControl w:val="0"/>
              <w:numPr>
                <w:ilvl w:val="0"/>
                <w:numId w:val="1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供应商应充分考虑银行信息交换时间，由此带来的保证金不能按时到账的责任由供应商自行承担。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采用支票、汇票、本票或者金融机构、担保机构出具的保函等形式的上述保证金应附在投标文件中，原件需到期退还的，可以单独密封在包封中。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投标有效期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投标文件递交截止时间：详见招标公告；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投标文件递交地点：详见招标公告。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开标时间：同投标文件递交截止时间；</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证明材料</w:t>
            </w:r>
          </w:p>
        </w:tc>
        <w:tc>
          <w:tcPr>
            <w:tcW w:w="5230" w:type="dxa"/>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执行政府采购优惠政策的有效的证明材料：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①《中小企业声明函》；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②省级以上监狱管理局、戒毒管理局（含新疆生产建设兵团）出具的属于监狱企业的证明文件；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③《残疾人福利性单位声明函》；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560" w:firstLineChars="20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④《国家节能产品认证证书》、《中国环境标志产品认证证书》。</w:t>
            </w:r>
          </w:p>
          <w:p>
            <w:pPr>
              <w:keepNext w:val="0"/>
              <w:keepLines w:val="0"/>
              <w:pageBreakBefore w:val="0"/>
              <w:widowControl w:val="0"/>
              <w:numPr>
                <w:ilvl w:val="0"/>
                <w:numId w:val="1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评分办法涉及的业绩合同、信誉或荣誉证书、获奖证书等证明材料（详见评分办法）。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年份要求</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近三年：2018年10月1日至今；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核心产品</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本项目核心产品为：无。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交货期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90日历日，供应商可自报最快交货（交付）时间。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质量保证期</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自设备交付验收合格之日起2年（不少于2年，可竞报），</w:t>
            </w:r>
            <w:r>
              <w:rPr>
                <w:rFonts w:hint="eastAsia" w:ascii="仿宋" w:hAnsi="仿宋" w:eastAsia="仿宋" w:cs="仿宋"/>
                <w:sz w:val="28"/>
                <w:szCs w:val="28"/>
                <w:highlight w:val="none"/>
                <w:lang w:val="en-US" w:eastAsia="zh-CN"/>
              </w:rPr>
              <w:t>提供原厂质保函</w:t>
            </w:r>
            <w:r>
              <w:rPr>
                <w:rFonts w:hint="eastAsia" w:ascii="仿宋" w:hAnsi="仿宋" w:eastAsia="仿宋" w:cs="仿宋"/>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付款方式</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货物经双方验收合格签字确认交付后，甲方收到发票且财务入账三个月内，支付合同总金额90%，余款作为质量保证金，自财务入账之日起满12个月后，无质量问题，付总金额的10%。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评标委员会组成</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评标方法</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是否授权评标委员会确定中标人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相关费用</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中标服务费：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√本项目中标服务费按</w:t>
            </w:r>
            <w:r>
              <w:rPr>
                <w:rFonts w:hint="eastAsia" w:ascii="仿宋" w:hAnsi="仿宋" w:eastAsia="仿宋" w:cs="仿宋"/>
                <w:sz w:val="28"/>
                <w:szCs w:val="28"/>
                <w:vertAlign w:val="baseline"/>
                <w:lang w:val="en-US" w:eastAsia="zh-CN"/>
              </w:rPr>
              <w:t>国家发展改革委员会办公厅发改办[2003]857号文、国家发展计划委员会计价格[2002]1980号文件规定的“货物类”收费标准</w:t>
            </w:r>
            <w:r>
              <w:rPr>
                <w:rFonts w:hint="eastAsia" w:ascii="仿宋" w:hAnsi="仿宋" w:eastAsia="仿宋" w:cs="仿宋"/>
                <w:sz w:val="28"/>
                <w:szCs w:val="28"/>
                <w:highlight w:val="none"/>
                <w:vertAlign w:val="baseline"/>
                <w:lang w:val="en-US" w:eastAsia="zh-CN"/>
              </w:rPr>
              <w:t>下浮40%计取，中标服务费由中标人支付。投标人报价时应考虑上述费用，但不得单列。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进口产品投标</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52"/>
            </w:r>
            <w:r>
              <w:rPr>
                <w:rFonts w:hint="eastAsia" w:ascii="仿宋" w:hAnsi="仿宋" w:eastAsia="仿宋" w:cs="仿宋"/>
                <w:sz w:val="28"/>
                <w:szCs w:val="28"/>
                <w:highlight w:val="none"/>
                <w:vertAlign w:val="baseline"/>
                <w:lang w:val="en-US" w:eastAsia="zh-CN"/>
              </w:rPr>
              <w:t>不允许</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A3"/>
            </w:r>
            <w:r>
              <w:rPr>
                <w:rFonts w:hint="eastAsia" w:ascii="仿宋" w:hAnsi="仿宋" w:eastAsia="仿宋" w:cs="仿宋"/>
                <w:sz w:val="28"/>
                <w:szCs w:val="28"/>
                <w:highlight w:val="none"/>
                <w:vertAlign w:val="baseline"/>
                <w:lang w:val="en-US" w:eastAsia="zh-CN"/>
              </w:rPr>
              <w:t>允许，产品清单：详见第四章。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履约保证金</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√不需要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sym w:font="Wingdings 2" w:char="00A3"/>
            </w:r>
            <w:r>
              <w:rPr>
                <w:rFonts w:hint="eastAsia" w:ascii="仿宋" w:hAnsi="仿宋" w:eastAsia="仿宋" w:cs="仿宋"/>
                <w:sz w:val="28"/>
                <w:szCs w:val="28"/>
                <w:highlight w:val="none"/>
                <w:vertAlign w:val="baseline"/>
                <w:lang w:val="en-US" w:eastAsia="zh-CN"/>
              </w:rPr>
              <w:t>需要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金额：中标金额的__%</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形式：现金（电汇）、银行保函、专业担保机构出具的保函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是否统一踏勘现场</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采购标的对应的中小企业划分标准所属行业</w:t>
            </w:r>
          </w:p>
        </w:tc>
        <w:tc>
          <w:tcPr>
            <w:tcW w:w="5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√零售业，具体划分标准详见本章附表1</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300" w:lineRule="auto"/>
              <w:ind w:left="420" w:leftChars="0" w:firstLine="0" w:firstLineChars="0"/>
              <w:jc w:val="center"/>
              <w:textAlignment w:val="auto"/>
              <w:rPr>
                <w:rFonts w:hint="eastAsia" w:ascii="仿宋" w:hAnsi="仿宋" w:eastAsia="仿宋" w:cs="仿宋"/>
                <w:sz w:val="28"/>
                <w:szCs w:val="28"/>
                <w:highlight w:val="none"/>
                <w:vertAlign w:val="baseline"/>
                <w:lang w:val="en-US" w:eastAsia="zh-CN"/>
              </w:rPr>
            </w:pPr>
          </w:p>
        </w:tc>
        <w:tc>
          <w:tcPr>
            <w:tcW w:w="2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说明</w:t>
            </w:r>
          </w:p>
        </w:tc>
        <w:tc>
          <w:tcPr>
            <w:tcW w:w="5230" w:type="dxa"/>
            <w:vAlign w:val="center"/>
          </w:tcPr>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招标文件标有“★”号条款要求的内容是实质性要求，不允许有负偏离，否则，该投标文件有可能因未响应招标文件规定的实质性要求而被否决；</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招标文件标有“#”号条款要求的内容是重要技术参数,不做废标项；</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招标文件各章节中，有加粗的文字，表示是重要的内容，应引起供应商的注意。</w:t>
            </w:r>
          </w:p>
          <w:p>
            <w:pPr>
              <w:keepNext w:val="0"/>
              <w:keepLines w:val="0"/>
              <w:pageBreakBefore w:val="0"/>
              <w:widowControl w:val="0"/>
              <w:numPr>
                <w:ilvl w:val="0"/>
                <w:numId w:val="1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采购人认为具备相关条件的，将在签订合同时对中小企业在资金支付期限、预付款比例等方面提供明确的优惠措施。</w:t>
            </w:r>
          </w:p>
        </w:tc>
      </w:tr>
    </w:tbl>
    <w:p>
      <w:pPr>
        <w:rPr>
          <w:rFonts w:hint="default"/>
          <w:sz w:val="22"/>
          <w:szCs w:val="28"/>
          <w:highlight w:val="none"/>
          <w:lang w:val="en-US" w:eastAsia="zh-CN"/>
        </w:rPr>
      </w:pPr>
      <w:r>
        <w:rPr>
          <w:rFonts w:hint="default"/>
          <w:sz w:val="2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sz w:val="48"/>
          <w:szCs w:val="48"/>
          <w:highlight w:val="none"/>
          <w:lang w:val="en-US" w:eastAsia="zh-CN"/>
        </w:rPr>
      </w:pPr>
      <w:r>
        <w:rPr>
          <w:rFonts w:hint="default"/>
          <w:sz w:val="48"/>
          <w:szCs w:val="48"/>
          <w:highlight w:val="none"/>
          <w:lang w:val="en-US" w:eastAsia="zh-CN"/>
        </w:rPr>
        <w:t>关于印发中小企业划型标准规定的通知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工信部联企业〔2011〕300号</w:t>
      </w:r>
    </w:p>
    <w:p>
      <w:pPr>
        <w:numPr>
          <w:ilvl w:val="0"/>
          <w:numId w:val="0"/>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各省、自治区、直辖市人民政府，国务院各部委、各直属机构及有关单位：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工业和信息化部   国家统计局</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国家发展和改革委员会 财政部</w:t>
      </w:r>
    </w:p>
    <w:p>
      <w:pPr>
        <w:numPr>
          <w:ilvl w:val="0"/>
          <w:numId w:val="0"/>
        </w:numPr>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二○一一年六月十八日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default"/>
          <w:sz w:val="48"/>
          <w:szCs w:val="48"/>
          <w:highlight w:val="none"/>
          <w:lang w:val="en-US" w:eastAsia="zh-CN"/>
        </w:rPr>
      </w:pPr>
      <w:r>
        <w:rPr>
          <w:rFonts w:hint="default"/>
          <w:sz w:val="48"/>
          <w:szCs w:val="48"/>
          <w:highlight w:val="none"/>
          <w:lang w:val="en-US" w:eastAsia="zh-CN"/>
        </w:rPr>
        <w:t>中小企业划型标准规定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一、根据《中华人民共和国中小企业促进法》和《国务院关于进一步促进中小企业发展的若干意见》(国发〔2009〕36号)，制定本规定。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二、中小企业划分为中型、小型、微型三种类型，具体标准根据企业从业人员、营业收入、资产总额等指标，结合行业特点制定。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四、各行业划型标准为：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五、企业类型的划分以统计部门的统计数据为依据。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八、本规定由工业和信息化部、国家统计局会同有关部门根据《国民经济行业分类》修订情况和企业发展变化情况适时修订。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九、本规定由工业和信息化部、国家统计局会同有关部门负责解释。</w:t>
      </w:r>
    </w:p>
    <w:p>
      <w:pPr>
        <w:rPr>
          <w:rFonts w:hint="eastAsia"/>
          <w:sz w:val="22"/>
          <w:szCs w:val="28"/>
          <w:lang w:val="en-US" w:eastAsia="zh-CN"/>
        </w:rPr>
      </w:pPr>
      <w:r>
        <w:rPr>
          <w:rFonts w:hint="eastAsia"/>
          <w:sz w:val="22"/>
          <w:szCs w:val="28"/>
          <w:lang w:val="en-US" w:eastAsia="zh-CN"/>
        </w:rPr>
        <w:br w:type="page"/>
      </w:r>
    </w:p>
    <w:p>
      <w:pPr>
        <w:pStyle w:val="4"/>
        <w:bidi w:val="0"/>
        <w:jc w:val="center"/>
        <w:rPr>
          <w:rFonts w:hint="eastAsia" w:ascii="宋体" w:hAnsi="宋体" w:eastAsia="宋体" w:cs="宋体"/>
          <w:sz w:val="44"/>
          <w:szCs w:val="44"/>
          <w:lang w:val="en-US" w:eastAsia="zh-CN"/>
        </w:rPr>
      </w:pPr>
      <w:bookmarkStart w:id="12" w:name="_Toc17782"/>
      <w:r>
        <w:rPr>
          <w:rFonts w:hint="eastAsia" w:ascii="宋体" w:hAnsi="宋体" w:eastAsia="宋体" w:cs="宋体"/>
          <w:sz w:val="44"/>
          <w:szCs w:val="44"/>
          <w:lang w:val="en-US" w:eastAsia="zh-CN"/>
        </w:rPr>
        <w:t>供应商须知正文</w:t>
      </w:r>
      <w:bookmarkEnd w:id="12"/>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eastAsia" w:ascii="黑体" w:hAnsi="黑体" w:eastAsia="黑体" w:cs="黑体"/>
          <w:b w:val="0"/>
          <w:bCs/>
          <w:sz w:val="36"/>
          <w:szCs w:val="36"/>
          <w:lang w:val="en-US" w:eastAsia="zh-CN"/>
        </w:rPr>
      </w:pPr>
      <w:bookmarkStart w:id="13" w:name="_Toc7569"/>
      <w:r>
        <w:rPr>
          <w:rFonts w:hint="eastAsia" w:ascii="黑体" w:hAnsi="黑体" w:eastAsia="黑体" w:cs="黑体"/>
          <w:b w:val="0"/>
          <w:bCs/>
          <w:sz w:val="36"/>
          <w:szCs w:val="36"/>
          <w:lang w:val="en-US" w:eastAsia="zh-CN"/>
        </w:rPr>
        <w:t>说明</w:t>
      </w:r>
      <w:bookmarkEnd w:id="13"/>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合格供应商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无论投标过程中的方法和结果如何，供应商自行承担所有与参加投标有关费用。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4" w:name="_Toc18768"/>
      <w:r>
        <w:rPr>
          <w:rFonts w:hint="default" w:ascii="黑体" w:hAnsi="黑体" w:eastAsia="黑体" w:cs="黑体"/>
          <w:b w:val="0"/>
          <w:bCs/>
          <w:sz w:val="36"/>
          <w:szCs w:val="36"/>
          <w:lang w:val="en-US" w:eastAsia="zh-CN"/>
        </w:rPr>
        <w:t>招标文件</w:t>
      </w:r>
      <w:bookmarkEnd w:id="14"/>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本招标文件由招标文件目录所列内容及按本招标文件要求发出的澄清、答疑和修改组成。</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招标文件答疑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24小时内书面回执。</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招标文件澄清和修改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7.1代理机构对招标文件有澄清或修改的内容，将以书面补充文件形式通知已获取招标文件的所有供应商。补充文件作为招标文件的组成部分，对所有供应商具有约束力。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7.2为使供应商有足够的时间按招标文件的要求修改投标文件，代理机构可酌情推迟投标的截止时间与开标时间，并将此变更书面通知各供应商。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7.3供应商须在收到代理机构的澄清、修改或变更后24小时内书面回执。</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5" w:name="_Toc8401"/>
      <w:r>
        <w:rPr>
          <w:rFonts w:hint="default" w:ascii="黑体" w:hAnsi="黑体" w:eastAsia="黑体" w:cs="黑体"/>
          <w:b w:val="0"/>
          <w:bCs/>
          <w:sz w:val="36"/>
          <w:szCs w:val="36"/>
          <w:lang w:val="en-US" w:eastAsia="zh-CN"/>
        </w:rPr>
        <w:t>投标文件编写</w:t>
      </w:r>
      <w:bookmarkEnd w:id="15"/>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投标语言及计量单位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8.1供应商和代理机构就招投标交换的文件和来往信函均使用中文。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8.2除招标文件的技术要求中另有规定外，投标文件中所使用的计量单位应使用中华人民共和国法定计量单位。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投标文件由商务文件、技术文件、资格证明文件三部分组成。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9.1商务文件</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投标函；</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法定代表人身份证明；</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法定代表人授权委托书；</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开标一览表；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分项报价表；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主要设备及配件报价明细表；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设备维保明细表；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质保期满后长期供应的备品备件、易损件、耗材、专用工具价格表；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商务响应一览表；</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近年类似业绩一览表，附相关证明材料；</w:t>
      </w:r>
    </w:p>
    <w:p>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供应商认为需要加以说明的其他内容。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9.2技术文件：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投标货物的详细供货范围清单（包括配置情况、主要部件、配套件、备品备件及专用工具等的名称、品牌、型号规格、主要技术参数及性能、数量、单价、制造商全称及制造地点等）及技术响应一览表；</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投标货物的制造、调试、验收标准/方案计划；</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投标货物的包装、运输方案；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投标货物安装或指导安装方案，安装或指导安装组织机构及人员情况；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供应商对招标人操作、维护人员培训方案（包括培训人数、时间、地点、目的、内容、培训程度等）；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质保期内的售后服务方案：供应商对中标货物在质保期内的售后服务具体内容及承诺，机构设置和人员配置情况；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质保期满后的售后服务方案：卖方对中标货物在质保期满后，维保的范围、内容、价格及承诺，机构设置和人员配置情况，以及买方不委托卖方维保的情况下卖方的售后服务具体内容及承诺；</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投标货物交货时可提供的技术资料清单；</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供应商关于投标货物知识产权的承诺书（如有）；</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需招标人配合的工作和条件；</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供应商和制造商的基本情况；</w:t>
      </w:r>
    </w:p>
    <w:p>
      <w:pPr>
        <w:keepNext w:val="0"/>
        <w:keepLines w:val="0"/>
        <w:pageBreakBefore w:val="0"/>
        <w:widowControl w:val="0"/>
        <w:numPr>
          <w:ilvl w:val="0"/>
          <w:numId w:val="16"/>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供应商认为需说明的其他内容。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投标文件应按上述目录顺序、内容逐一列出，如内容不全，由评标委员会综合认定。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9.3资格、资质证明部分：</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按《政府采购法实施条例》第十七条的规定，应提供的基本资格条件证明材料，详见供应商须知前附表</w:t>
      </w:r>
      <w:r>
        <w:rPr>
          <w:rFonts w:hint="eastAsia" w:ascii="仿宋" w:hAnsi="仿宋" w:eastAsia="仿宋" w:cs="仿宋"/>
          <w:sz w:val="28"/>
          <w:szCs w:val="28"/>
          <w:lang w:val="en-US" w:eastAsia="zh-CN"/>
        </w:rPr>
        <w:t>第5条</w:t>
      </w:r>
      <w:r>
        <w:rPr>
          <w:rFonts w:hint="default" w:ascii="仿宋" w:hAnsi="仿宋" w:eastAsia="仿宋" w:cs="仿宋"/>
          <w:sz w:val="28"/>
          <w:szCs w:val="28"/>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供应商认为需要提交的其他相关证明文件。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具体内容详见供应商须知前附表。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9.4投标文件应按上述目录顺序、内容逐一列出，如内容不全，由评标委员会综合认定。招标文件中未提供格式，供应商可自拟格式。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供应商可将上述三个部分按上述顺序胶装装订在一起，并在首页编制连续页码。因未按上述顺序装订或投标文件未胶装散页导致无法评审等，由此造成的评审问题由供应商自行承担责任。</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投标报价</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10.1供应商的投标报价应包括设备及附件备件费、包装费、运输费、卸车费、保管费、检验费、验收费、安装费及其他附带服务的费用、利润、税金以及质保期内的售后服务及其它相关费用等全部费用。报价币种为人民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10.2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10.3供应商应按照招标文件附件提供的报价表格格式填写。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10.4供应商提供的软/硬件产品要求在中华人民共和国境内拥有合法的使用权和版权，采购人应拥有合法的软件使用许可。供应商应在投标文件中对此予以响应。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10.5供应商的投标报价明显低于其他通过符合性审查供应商的报价，有可能影响商品质量和不能诚信履约的，评标委员会有权要求其在规定的时间内提供书面文件予以解释说明，并提交相关证明材料；否则，</w:t>
      </w:r>
      <w:r>
        <w:rPr>
          <w:rFonts w:hint="default" w:ascii="仿宋" w:hAnsi="仿宋" w:eastAsia="仿宋" w:cs="仿宋"/>
          <w:b/>
          <w:bCs/>
          <w:sz w:val="28"/>
          <w:szCs w:val="28"/>
          <w:lang w:val="en-US" w:eastAsia="zh-CN"/>
        </w:rPr>
        <w:t>评标委员会可以将其按无效投标处理。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10.6单独密封的开标一览表与投标文件正本不符，以开标一览表为准，但开标一览表有明显文字错误的除外。正本与副本有不一致之处，以正本为准。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10.7如果大写金额和小写金额不一致时，以大写金额为准。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投标文件编写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11.1投标文件应按“投标文件组成”进行编写，如有必要，可以增加附页，作为投标文件的组成部分。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11.2投标文件应用不褪色的材料打印或复印。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11.3投标文件应尽量避免涂改、行间插字或删除。如果出现上述情况，改动之处应加盖单位章或由供应商的法定代表人或其委托代理人签字确认。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11.4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11.5供应商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11.6若投标文件中供应商针对商务、技术响应表的响应情况与制造商提供的证明材料不相符，有可能导致其技术响应不满足招标文件要求的，评标委员会有权作出不利于供应商的认定。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11.7供应商提供的支持资料和已印刷的文献（如有关货物/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投标文件密封和标记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13.1供应商应准备的投标文件份数见供应商须知前附表，供应商应在每一份投标文件上注明“正本”或“副本”字样。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13.2投标文件的密封和标记详见供应商须知前附表。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13.3如果供应商未按上述要求对投标文件密封及加写标记，采购人及招标代理对投标文件的误投和提前启封概不负责。对由此造成提前开封的投标文件，采购人及招标代理有权予以拒绝，并退回供应商。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投标文件装订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详见供应商须知前附表。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15.1供应商应按前附表的规定提交投标保证金，作为其投标文件的一部分。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15.2如供应商有下列情况，投标保证金不予退还，给采购代理机构及采购人造成损失的，应予以赔偿：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1）开标后，供应商在投标有效期内撤回投标的；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3）与采购人、其他供应商或者代理机构恶意串通的；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4）向采购人、代理机构行贿或者提供其他不正当利益的；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5）供应商在投标文件中提供虚假材料的；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6）中标人无正当理由未能按规定与采购人签订合同的；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15.3保证金的退还：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1）未中标人的投标保证金在中标通知书发出后5个工作日内退还；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2）中标人的投标保证金在签订合同后5个工作日内予以退还。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投标有效期</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★16.1本项目投标有效期见供应商须知前附表。投标函的有效期比本须知规定的有效期短的，将被视为非响应性投标，采购人有权拒绝。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16.2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6" w:name="_Toc25926"/>
      <w:r>
        <w:rPr>
          <w:rFonts w:hint="default" w:ascii="黑体" w:hAnsi="黑体" w:eastAsia="黑体" w:cs="黑体"/>
          <w:b w:val="0"/>
          <w:bCs/>
          <w:sz w:val="36"/>
          <w:szCs w:val="36"/>
          <w:lang w:val="en-US" w:eastAsia="zh-CN"/>
        </w:rPr>
        <w:t>投标文件递交</w:t>
      </w:r>
      <w:bookmarkEnd w:id="16"/>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投标文件递交时间和地点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17.1投标文件递交截止时间及递交地点详见供应商须知前附表。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17.2供应商代表必须在投标截止时间前将投标文件送达指定地点。如因招标文件的修改推迟投标截止日期的，则按代理机构另行通知规定的时间递交。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17.3代理机构不接收投标截止时间后送达的投标文件。</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投标文件签收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18.1本项目只接受书面形式的投标，其他形式的投标不予接收。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18.2投标截止时间后对供应商已提交的投标文件不予退还。</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投标文件修改与撤回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19.1供应商在招标文件要求提交投标文件的截止时间前，可以修改或者撤回已提交的投标文件，并书面形式通知代理机构。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19.2任何修改内容必须由供应商的法定代表人或其委托代理人签字，不得涂抹。经法定代表人或其委托代理人正式签署的修改文件组成投标文件的一部分，份数和密封要求同投标文件一致。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19.3投标截止时间后不允许对投标文件做实质性修改。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19.4投标有效期内不得撤回投标，否则其投标保证金不予退还。</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7" w:name="_Toc25964"/>
      <w:r>
        <w:rPr>
          <w:rFonts w:hint="default" w:ascii="黑体" w:hAnsi="黑体" w:eastAsia="黑体" w:cs="黑体"/>
          <w:b w:val="0"/>
          <w:bCs/>
          <w:sz w:val="36"/>
          <w:szCs w:val="36"/>
          <w:lang w:val="en-US" w:eastAsia="zh-CN"/>
        </w:rPr>
        <w:t>开标与评标</w:t>
      </w:r>
      <w:bookmarkEnd w:id="1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本次招标的开标、评标由采购人委托的采购代理机构依法组织实施。</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开标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20.1本项目开标时间和地点见供应商须知前附表。开标会议由代理机构组织并主持。参加供应商代表应签名报到，以证明其出席开标会议，未出席开标会议的视同为默认开标结果。采购人授权代理人、供应商授权代理人及有关工作人员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20.2供应商或供应商推选的代表对投标文件的密封情况进行检查，并现场宣布检查结果。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20.3经检查无误后，由代理机构工作人员现场拆封，由唱标员宣读开标一览表，投标单位授权代表现场。确认供应商若有报价和优惠未被唱出，应在开标时及时声明或提请注意，否则采购代理机构对此不承担任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20.4唱标记录表由参加开标的各供应商代表和相关工作人员签字确认。</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评标委员会由五人及以上单数组成，其中评审专家不少于三分之二。评标委员会的组成见供应商须知前附表，评标委员会负责对投标文件进行审查、评审，提出书面评标报告，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“客观、公正、审慎”为本次评标的基本原则，评标小组将按照这一原则公正、平等地对待各供应商，同时在评标过程中遵守以下原则：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22.1客观性原则；评标委员会将严格按照采购文件的规定，对投标文件的评审仅依据投标文件本身，而不依据投标文件以外的任何因素。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22.2公正性原则；评标委员会依据招标文件规定的评标程序、评标方法和评标标准按统一方法、同一标准进行独立评审，并对投标文件的各项指标进行综合分析和比较，而不以单项指标的优劣进行评审。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22.3审慎性原则：评标委员会独立对招标文件进行审阅，依据招标文件规定的评审标准审慎评审。评标委员会的评审不受外界任何因素的干扰和影响，评标委员会成员对出具的评标意见承担个人责任。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22.4保密性原则：评标委员会及有关工作人员，应当对评标过程及供应商的商业和技术秘密予以保密。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评标方法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本项目评标方法见供应商须知前附表。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初步评审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24.1初步评审是对投标文件的资格和符合性进行审查。在评审活动开始前，采购代理机构宣布政府采购评审工作纪律。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24.2公开招标采购项目开标结束后，</w:t>
      </w:r>
      <w:r>
        <w:rPr>
          <w:rFonts w:hint="eastAsia" w:ascii="仿宋" w:hAnsi="仿宋" w:eastAsia="仿宋" w:cs="仿宋"/>
          <w:sz w:val="28"/>
          <w:szCs w:val="28"/>
          <w:lang w:val="en-US" w:eastAsia="zh-CN"/>
        </w:rPr>
        <w:t>由</w:t>
      </w:r>
      <w:r>
        <w:rPr>
          <w:rFonts w:hint="default" w:ascii="仿宋" w:hAnsi="仿宋" w:eastAsia="仿宋" w:cs="仿宋"/>
          <w:sz w:val="28"/>
          <w:szCs w:val="28"/>
          <w:lang w:val="en-US" w:eastAsia="zh-CN"/>
        </w:rPr>
        <w:t>采购代理机构依法对供应商的资格进行审查。资格审查后，合格供应商不足3家的，不得评标。供应商的资格审查应依据招标文件和相关法律、法规进行审查。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24.3对于通过资格评审的供应商，评标委员会将进行符合性评审，以确定每一供应商投标文件的有效性、完整性和对招标文件的响应情况，看其是否对招标文件的要求做出了实质性的响应，而没有重大偏离。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★24.4如出现下列情形之一的，视为对招标文件没有做出实质性响应，按照无效投标处理。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1）投标文件未经法定代表人签署且未提供有效的法定代表人授权委托书的；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2）未按招标文件规定要求签署、盖章的；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3）未按规定交纳投标保证金的；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4）招标文件未明确说明允许投报进口产品，而投报了进口产品的；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5）不符合招标文件中任一带★号条款的；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6）投标文件内容不全或未按规定填写或字迹模糊、辨认不清或涂改未加盖公章确认也未经法定代表人或其委托代理人签字确认的；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7）不按照招标文件规定报价、有多个报价（招标文件另有规定的除外）、有选择性报价、附有条件的报价或者拒绝修正报价的；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8）评标委员会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9）投标报价超过采购预算或最高限价的；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10）应提供而未提供政府强制采购节能产品的；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11）投标有效期不满足招标文件要求的；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12）投标文件含有采购人不能接受的附加条件的</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13）以他人名义投标或者在投标文件中提供虚假材料的；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14）未响应招标文件规定的其他实质性要求的；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15）法律法规和招标文件规定的其他情形。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对投标无效的认定，必须经评标委员会集体做出决定并出具书面意见。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24.5评标委员会将否决被确定为非实质性响应的投标文件，供应商不能通过修正或撤销投标文件中的不符之处而使其投标成为实质性响应的投标。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24.6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24.7评标委员会通过上述评审，确定通过初步评审的供应商名单，只有通过初步评审的供应商，才能进入综合评审。符合性审查后，合格供应商不足3家的，不得继续评标.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24.8提供相同品牌产品的不同供应商参加同一合同项下投标的评审办法执行《中华人民共和国财政部令第87号》第31条规定。</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投标不一致时的修正和处理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★（5）供应商所投同一个包中，两个或以上开标一览表不一致的，视为投报两个或多个方案，除非招标文件明确规定接受备选方案外，均按未实质性响应招标文件处理。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lang w:val="en-US" w:eastAsia="zh-CN"/>
        </w:rPr>
        <w:t>（6）</w:t>
      </w:r>
      <w:r>
        <w:rPr>
          <w:rFonts w:hint="eastAsia" w:ascii="仿宋" w:hAnsi="仿宋" w:eastAsia="仿宋" w:cs="仿宋"/>
          <w:sz w:val="28"/>
          <w:szCs w:val="28"/>
          <w:highlight w:val="none"/>
          <w:lang w:val="en-US" w:eastAsia="zh-CN"/>
        </w:rPr>
        <w:t>由评标委员会认定的</w:t>
      </w:r>
      <w:r>
        <w:rPr>
          <w:rFonts w:hint="default" w:ascii="仿宋" w:hAnsi="仿宋" w:eastAsia="仿宋" w:cs="仿宋"/>
          <w:sz w:val="28"/>
          <w:szCs w:val="28"/>
          <w:highlight w:val="none"/>
          <w:lang w:val="en-US" w:eastAsia="zh-CN"/>
        </w:rPr>
        <w:t>偏离项与</w:t>
      </w:r>
      <w:r>
        <w:rPr>
          <w:rFonts w:hint="eastAsia" w:ascii="仿宋" w:hAnsi="仿宋" w:eastAsia="仿宋" w:cs="仿宋"/>
          <w:sz w:val="28"/>
          <w:szCs w:val="28"/>
          <w:highlight w:val="none"/>
          <w:lang w:val="en-US" w:eastAsia="zh-CN"/>
        </w:rPr>
        <w:t>投标文件中“商务响应一览表”、“</w:t>
      </w:r>
      <w:r>
        <w:rPr>
          <w:rFonts w:hint="default" w:ascii="仿宋" w:hAnsi="仿宋" w:eastAsia="仿宋" w:cs="仿宋"/>
          <w:sz w:val="28"/>
          <w:szCs w:val="28"/>
          <w:highlight w:val="none"/>
          <w:lang w:val="en-US" w:eastAsia="zh-CN"/>
        </w:rPr>
        <w:t>技术响应一览表</w:t>
      </w:r>
      <w:r>
        <w:rPr>
          <w:rFonts w:hint="eastAsia" w:ascii="仿宋" w:hAnsi="仿宋" w:eastAsia="仿宋" w:cs="仿宋"/>
          <w:sz w:val="28"/>
          <w:szCs w:val="28"/>
          <w:highlight w:val="none"/>
          <w:lang w:val="en-US" w:eastAsia="zh-CN"/>
        </w:rPr>
        <w:t>”中</w:t>
      </w:r>
      <w:r>
        <w:rPr>
          <w:rFonts w:hint="default" w:ascii="仿宋" w:hAnsi="仿宋" w:eastAsia="仿宋" w:cs="仿宋"/>
          <w:sz w:val="28"/>
          <w:szCs w:val="28"/>
          <w:highlight w:val="none"/>
          <w:lang w:val="en-US" w:eastAsia="zh-CN"/>
        </w:rPr>
        <w:t>偏离项不一致</w:t>
      </w:r>
      <w:r>
        <w:rPr>
          <w:rFonts w:hint="eastAsia" w:ascii="仿宋" w:hAnsi="仿宋" w:eastAsia="仿宋" w:cs="仿宋"/>
          <w:sz w:val="28"/>
          <w:szCs w:val="28"/>
          <w:highlight w:val="none"/>
          <w:lang w:val="en-US" w:eastAsia="zh-CN"/>
        </w:rPr>
        <w:t>时</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评标委员会按实际情况打分，并</w:t>
      </w:r>
      <w:r>
        <w:rPr>
          <w:rFonts w:hint="default" w:ascii="仿宋" w:hAnsi="仿宋" w:eastAsia="仿宋" w:cs="仿宋"/>
          <w:sz w:val="28"/>
          <w:szCs w:val="28"/>
          <w:highlight w:val="none"/>
          <w:lang w:val="en-US" w:eastAsia="zh-CN"/>
        </w:rPr>
        <w:t>在投标文件正本标注</w:t>
      </w:r>
      <w:r>
        <w:rPr>
          <w:rFonts w:hint="eastAsia" w:ascii="仿宋" w:hAnsi="仿宋" w:eastAsia="仿宋" w:cs="仿宋"/>
          <w:sz w:val="28"/>
          <w:szCs w:val="28"/>
          <w:highlight w:val="none"/>
          <w:lang w:val="en-US" w:eastAsia="zh-CN"/>
        </w:rPr>
        <w:t>明细</w:t>
      </w:r>
      <w:r>
        <w:rPr>
          <w:rFonts w:hint="default"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投标文件的正本与副本不一致的，以正本为准；对不同文字文本投标文件的解释发生异议的，以中文文本为准。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同时出现两种以上不一致的，按照上述规定的顺序修正。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★评标委员会应要求供应商法定代表人或其委托代理人对修正后的报价签字确认，供应商不确认的，其投标无效。</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投标文件的澄清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26.1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26.2评标委员会不接受供应商主动提出的澄清，采购人也不接受供应商主动承诺给予采购人赠品、回扣或者与采购无关的其他商品、服务。</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27.1对通过初步评审的供应商，由评标委员会根据招标文件“评标办法”进行综合评审。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27.2评标委员会应当按照招标文件中规定的评标方法和标准，对通过初步评审的投标文件进行商务和技术评估，综合比较与评价。按照汇总得分由高到低的顺序对各供应商进行排序，提出书面评标报告，</w:t>
      </w:r>
      <w:r>
        <w:rPr>
          <w:rFonts w:hint="eastAsia" w:ascii="仿宋" w:hAnsi="仿宋" w:eastAsia="仿宋" w:cs="仿宋"/>
          <w:sz w:val="28"/>
          <w:szCs w:val="28"/>
          <w:lang w:val="en-US" w:eastAsia="zh-CN"/>
        </w:rPr>
        <w:t>确定</w:t>
      </w:r>
      <w:r>
        <w:rPr>
          <w:rFonts w:hint="default" w:ascii="仿宋" w:hAnsi="仿宋" w:eastAsia="仿宋" w:cs="仿宋"/>
          <w:sz w:val="28"/>
          <w:szCs w:val="28"/>
          <w:lang w:val="en-US" w:eastAsia="zh-CN"/>
        </w:rPr>
        <w:t>中标人。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27.3评标结果汇总完成后，除下列情形外，任何人不得修改评标结果：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）分值汇总计算错误的；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）分项评分超出评分标准范围的；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）评标委员会成员对客观评审因素评分不一致的；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）经评标委员会认定评分畸高、畸低的。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28.1中小企业优惠办法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28.1.3供应商提供的货物、工程或者服务符合下列情形，享受上述小微企业价格扣除的优惠政策：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28.1.5在货物采购项目中，供应商提供的货物既有小微企业制造货物，也有大中型企业制造的，不享受本办法规定的小微企业价格优惠政策。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28.1.7中标、成交供应商享受本办法规定的中小企业扶持政策的，采购人、采购代理机构应当随中标、成交结果公开中标、成交供应商的《中小企业声明函》。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28.2政府采购支持监狱企业发展的政策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2）参加政府采购活动的监狱企业应当在投标文件中提供监狱企业证明复印件，否则不予认定。监狱企业证明须由省级或以上监狱管理局、戒毒管理局（含新疆生产建设兵团）出具。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28.3促进残疾人就业政府采购政策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依据《三部门联合发布关于促进残疾人就业政府采购政策的通知》(财库〔2017〕141号)文件规定，残疾人福利性单位视同小型、微型企业，对残疾人福利性单位的报价给予6%-10%的扣除，用扣除后的评标价格参与价格得分的计算及评审，具体扣除比例见招标文件评标办法；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残疾人福利性单位评标价格的计算：残疾人福利性单位的评标价格=投标报价×（1—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①</w:t>
      </w:r>
      <w:r>
        <w:rPr>
          <w:rFonts w:hint="default" w:ascii="仿宋" w:hAnsi="仿宋" w:eastAsia="仿宋" w:cs="仿宋"/>
          <w:sz w:val="28"/>
          <w:szCs w:val="28"/>
          <w:lang w:val="en-US" w:eastAsia="zh-CN"/>
        </w:rPr>
        <w:t>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②</w:t>
      </w:r>
      <w:r>
        <w:rPr>
          <w:rFonts w:hint="default" w:ascii="仿宋" w:hAnsi="仿宋" w:eastAsia="仿宋" w:cs="仿宋"/>
          <w:sz w:val="28"/>
          <w:szCs w:val="28"/>
          <w:lang w:val="en-US" w:eastAsia="zh-CN"/>
        </w:rPr>
        <w:t>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③</w:t>
      </w:r>
      <w:r>
        <w:rPr>
          <w:rFonts w:hint="default" w:ascii="仿宋" w:hAnsi="仿宋" w:eastAsia="仿宋" w:cs="仿宋"/>
          <w:sz w:val="28"/>
          <w:szCs w:val="28"/>
          <w:lang w:val="en-US" w:eastAsia="zh-CN"/>
        </w:rPr>
        <w:t>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④</w:t>
      </w:r>
      <w:r>
        <w:rPr>
          <w:rFonts w:hint="default" w:ascii="仿宋" w:hAnsi="仿宋" w:eastAsia="仿宋" w:cs="仿宋"/>
          <w:sz w:val="28"/>
          <w:szCs w:val="28"/>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⑤</w:t>
      </w:r>
      <w:r>
        <w:rPr>
          <w:rFonts w:hint="default" w:ascii="仿宋" w:hAnsi="仿宋" w:eastAsia="仿宋" w:cs="仿宋"/>
          <w:sz w:val="28"/>
          <w:szCs w:val="28"/>
          <w:lang w:val="en-US" w:eastAsia="zh-CN"/>
        </w:rPr>
        <w:t>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4）符合条件的残疾人福利性单位在参加政府采购活动时，应当提供《残疾人福利性单位声明函》（见附件），并对声明的真实性负责。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5）中标、成交供应商为残疾人福利性单位的，采购代理机构应当随中标、成交结果同时公告其《残疾人福利性单位声明函》，接受社会监督。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28.4环保节能产品执行政府采购优惠政策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default" w:ascii="仿宋" w:hAnsi="仿宋" w:eastAsia="仿宋" w:cs="仿宋"/>
          <w:b/>
          <w:bCs/>
          <w:sz w:val="28"/>
          <w:szCs w:val="28"/>
          <w:lang w:val="en-US" w:eastAsia="zh-CN"/>
        </w:rPr>
        <w:t>★其中，所报产品为政府强制采购产品的（《节能产品政府采购品目清单》中以“★”标注的产品品目）而未提供国家节能产品认证证书的，按无效投标处理。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28.5执行政府采购政策对投标报价进行扣除后的评标价格仅用于评标过程的报价得分计算或评标价格的比较，不作为最终的中标价格。</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违法情形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特殊情况处置程序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在评标过程中，评标委员会发生分歧或者评审结论有异议需表决的，按照少数服从多数的原则，由评标委员会全体成员以记名投票方式表决。</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废标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有下列情形之一，本项目将予以废标：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1）在投标截止时间结束后参加投标的供应商不足3家的；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2）符合招标文件规定条件的供应商不足3家或者对招标文件作实质性响应的供应商不足3家的；使用综合评分法的采购项目，提供相同品牌产品且通过资格审查、符合性审查的不同供应商参加同一合同项下投标的，按一家供应商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4）供应商的报价均超过采购预算的；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5）因重大变故，采购任务取消的；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6）法律、法规及招标文件规定的其他情况。</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32.1确定中标人后，采购代理机构将在发布招标公告的同一媒体发布中标公告。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32.2中标公告内容包括采购人和采购代理机构的名称、地址、联系方式，项目名称和项目编号，中标人名称、地址和中标金额，主要中标标的的名称、规格型号、数量、单价、服务要求以及评审专家名单。</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8" w:name="_Toc12568"/>
      <w:r>
        <w:rPr>
          <w:rFonts w:hint="default" w:ascii="黑体" w:hAnsi="黑体" w:eastAsia="黑体" w:cs="黑体"/>
          <w:b w:val="0"/>
          <w:bCs/>
          <w:sz w:val="36"/>
          <w:szCs w:val="36"/>
          <w:lang w:val="en-US" w:eastAsia="zh-CN"/>
        </w:rPr>
        <w:t>询问和质疑</w:t>
      </w:r>
      <w:bookmarkEnd w:id="18"/>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询问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bCs/>
          <w:sz w:val="28"/>
          <w:szCs w:val="28"/>
          <w:lang w:val="en-US" w:eastAsia="zh-CN"/>
        </w:rPr>
      </w:pPr>
      <w:r>
        <w:rPr>
          <w:rFonts w:hint="default" w:ascii="仿宋" w:hAnsi="仿宋" w:eastAsia="仿宋" w:cs="仿宋"/>
          <w:sz w:val="28"/>
          <w:szCs w:val="28"/>
          <w:lang w:val="en-US" w:eastAsia="zh-CN"/>
        </w:rPr>
        <w:t>34.1供应商认为采购文件、采购过程和中标结果使自己的权益受到损害的，可以在知道或者应知其权益受到损害之日起七个工作日内，以书面形式向采购代理机构提出询问或质疑。</w:t>
      </w:r>
      <w:r>
        <w:rPr>
          <w:rFonts w:hint="default" w:ascii="仿宋" w:hAnsi="仿宋" w:eastAsia="仿宋" w:cs="仿宋"/>
          <w:b/>
          <w:bCs/>
          <w:sz w:val="28"/>
          <w:szCs w:val="28"/>
          <w:lang w:val="en-US" w:eastAsia="zh-CN"/>
        </w:rPr>
        <w:t>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供应商应知其权益受到损害之日，是指：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34.2采购代理机构应当在收到供应商的书面质疑后七个工作日内作出答复，并以书面形式通知质疑供应商和其他有关供应商，但答复的内容不得涉及商业秘密。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34.3采购代理机构接收质疑函的联系人、联系电话和通讯地址等信息详见本招标文件“供应商须知附表”中载明的采购人、采购代理机构联系方式和联系人。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34.4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34.5提出质疑的供应商应当是参与所质疑项目采购活动的供应商。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34.6潜在供应商已依法获取其可质疑的招标文件的，可以对该文件提出质疑。对招标文件提出质疑的，应当在获取采购文件或者采购文件公告期限届满之日起7个工作日内提出。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34.7供应商提出质疑应当提交质疑函和必要的证明材料。质疑函应当包括下列内容：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（2）质疑项目的名称、编号；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（4）事实依据；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（5）必要的法律依据；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（6）提出质疑的日期。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34.8采购人、采购代理机构认为供应商质疑不成立，或者成立但未对中标、成交结果构成影响的，继续开展采购活动；认为供应商质疑成立且影响或者可能影响中标、成交结果的，按照下列情况处理：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（1）对采购文件提出的质疑，依法通过澄清或者修改可以继续开展采购活动的，澄清或者修改招标文件后继续开展采购活动；否则应当修改招标文件后重新开展采购活动。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（2）对采购过程、中标或者成交结果提出的质疑，合格供应商符合法定数量时，可以从合格的中标候选人中另行确定中标候选人的，应当依法另行确定中标候选人；否则应当重新开展采购活动。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34.9质疑供应商对采购人、采购代理机构的答复不满意或者采购人、采购代理机构未在规定的时间内作出答复的，可以在答复期满后十五个工作日内向同级政府采购监督管理部门投诉。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19" w:name="_Toc2982"/>
      <w:r>
        <w:rPr>
          <w:rFonts w:hint="default" w:ascii="黑体" w:hAnsi="黑体" w:eastAsia="黑体" w:cs="黑体"/>
          <w:b w:val="0"/>
          <w:bCs/>
          <w:sz w:val="36"/>
          <w:szCs w:val="36"/>
          <w:lang w:val="en-US" w:eastAsia="zh-CN"/>
        </w:rPr>
        <w:t>授予合同</w:t>
      </w:r>
      <w:bookmarkEnd w:id="19"/>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35.1在发布中标结果的同时，采购代理机构向中标人签发《中标通知书》。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35.2中标通知书是合同的一个组成部分。</w:t>
      </w:r>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36.1中标通知书发出之日起30日内，按照招标文件确定的事项签订合同。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36.2中标通知书对采购人和中标供应商均具有法律效力。中标通知书发出后，采购人违法改变中标结果的，或者中标供应商无正当理由放弃中标项目的，应当依法承担法律责任。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36.3招标文件、中标人的投标文件以及评标过程中的有关澄清、承诺文件均为合同的组成部分。</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0" w:name="_Toc13556"/>
      <w:r>
        <w:rPr>
          <w:rFonts w:hint="default" w:ascii="黑体" w:hAnsi="黑体" w:eastAsia="黑体" w:cs="黑体"/>
          <w:b w:val="0"/>
          <w:bCs/>
          <w:sz w:val="36"/>
          <w:szCs w:val="36"/>
          <w:lang w:val="en-US" w:eastAsia="zh-CN"/>
        </w:rPr>
        <w:t>中标服务费</w:t>
      </w:r>
      <w:bookmarkEnd w:id="20"/>
    </w:p>
    <w:p>
      <w:pPr>
        <w:keepNext w:val="0"/>
        <w:keepLines w:val="0"/>
        <w:pageBreakBefore w:val="0"/>
        <w:widowControl w:val="0"/>
        <w:numPr>
          <w:ilvl w:val="0"/>
          <w:numId w:val="14"/>
        </w:numPr>
        <w:kinsoku/>
        <w:wordWrap/>
        <w:overflowPunct/>
        <w:topLinePunct w:val="0"/>
        <w:autoSpaceDE/>
        <w:autoSpaceDN/>
        <w:bidi w:val="0"/>
        <w:adjustRightInd/>
        <w:snapToGrid/>
        <w:ind w:firstLine="643" w:firstLineChars="200"/>
        <w:textAlignment w:val="auto"/>
        <w:outlineLvl w:val="3"/>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中标服务费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本项目中标服务费由采购代理机构向中标人收取。中标服务费的计算标准详见招标文件“供应商须知前附表”。</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1" w:name="_Toc13138"/>
      <w:r>
        <w:rPr>
          <w:rFonts w:hint="default" w:ascii="黑体" w:hAnsi="黑体" w:eastAsia="黑体" w:cs="黑体"/>
          <w:b w:val="0"/>
          <w:bCs/>
          <w:sz w:val="36"/>
          <w:szCs w:val="36"/>
          <w:lang w:val="en-US" w:eastAsia="zh-CN"/>
        </w:rPr>
        <w:t>其他</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3</w:t>
      </w:r>
      <w:r>
        <w:rPr>
          <w:rFonts w:hint="eastAsia" w:ascii="仿宋" w:hAnsi="仿宋" w:eastAsia="仿宋" w:cs="仿宋"/>
          <w:b/>
          <w:bCs/>
          <w:sz w:val="28"/>
          <w:szCs w:val="28"/>
          <w:lang w:val="en-US" w:eastAsia="zh-CN"/>
        </w:rPr>
        <w:t>8</w:t>
      </w:r>
      <w:r>
        <w:rPr>
          <w:rFonts w:hint="default" w:ascii="仿宋" w:hAnsi="仿宋" w:eastAsia="仿宋" w:cs="仿宋"/>
          <w:b/>
          <w:bCs/>
          <w:sz w:val="28"/>
          <w:szCs w:val="28"/>
          <w:lang w:val="en-US" w:eastAsia="zh-CN"/>
        </w:rPr>
        <w:t>、供应商有下列情形之一的，依照政府采购法第七十七条第一款、第七十九条的规定追究法律责任：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（1）提供虚假材料谋取中标、成交的；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（2）采取不正当手段诋毁、排挤其他供应商的；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（5）在招标采购过程中与采购人进行协商谈判的；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（6）拒绝有关部门监督检查或者提供虚假情况的；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（7）向评标委员会行贿或者提供其他不正当利益；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（8）中标后无正当理由拒不与采购人签订政府采购合同；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（9）未按照采购文件确定的事项签订政府采购合同；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（10）将政府采购合同转包；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（11）提供假冒伪劣产品；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（12）擅自变更、中止或者终止政府采购合同。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供应商有前款第（1）至（5）项、第（7）项情形之一的，中标无效。</w:t>
      </w:r>
    </w:p>
    <w:p>
      <w:pPr>
        <w:pStyle w:val="5"/>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firstLine="0" w:firstLineChars="0"/>
        <w:textAlignment w:val="auto"/>
        <w:outlineLvl w:val="2"/>
        <w:rPr>
          <w:rFonts w:hint="default" w:ascii="黑体" w:hAnsi="黑体" w:eastAsia="黑体" w:cs="黑体"/>
          <w:b w:val="0"/>
          <w:bCs/>
          <w:sz w:val="36"/>
          <w:szCs w:val="36"/>
          <w:lang w:val="en-US" w:eastAsia="zh-CN"/>
        </w:rPr>
      </w:pPr>
      <w:bookmarkStart w:id="22" w:name="_Toc9927"/>
      <w:r>
        <w:rPr>
          <w:rFonts w:hint="default" w:ascii="黑体" w:hAnsi="黑体" w:eastAsia="黑体" w:cs="黑体"/>
          <w:b w:val="0"/>
          <w:bCs/>
          <w:sz w:val="36"/>
          <w:szCs w:val="36"/>
          <w:lang w:val="en-US" w:eastAsia="zh-CN"/>
        </w:rPr>
        <w:t>解释权</w:t>
      </w:r>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r>
        <w:rPr>
          <w:rFonts w:hint="default" w:ascii="仿宋" w:hAnsi="仿宋" w:eastAsia="仿宋" w:cs="仿宋"/>
          <w:sz w:val="28"/>
          <w:szCs w:val="28"/>
          <w:lang w:val="en-US" w:eastAsia="zh-CN"/>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23" w:name="_Toc2534"/>
      <w:r>
        <w:rPr>
          <w:rFonts w:hint="eastAsia"/>
          <w:sz w:val="44"/>
          <w:szCs w:val="24"/>
          <w:lang w:val="en-US" w:eastAsia="zh-CN"/>
        </w:rPr>
        <w:t>评分办法</w:t>
      </w:r>
      <w:bookmarkEnd w:id="23"/>
    </w:p>
    <w:p>
      <w:pPr>
        <w:pStyle w:val="4"/>
        <w:numPr>
          <w:ilvl w:val="0"/>
          <w:numId w:val="18"/>
        </w:numPr>
        <w:bidi w:val="0"/>
        <w:rPr>
          <w:rFonts w:hint="default"/>
          <w:sz w:val="36"/>
          <w:szCs w:val="28"/>
          <w:lang w:val="en-US" w:eastAsia="zh-CN"/>
        </w:rPr>
      </w:pPr>
      <w:bookmarkStart w:id="24" w:name="_Toc19583"/>
      <w:r>
        <w:rPr>
          <w:rFonts w:hint="default"/>
          <w:sz w:val="36"/>
          <w:szCs w:val="28"/>
          <w:lang w:val="en-US" w:eastAsia="zh-CN"/>
        </w:rPr>
        <w:t>评标方法</w:t>
      </w:r>
      <w:bookmarkEnd w:id="24"/>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1.1本项目评标方法采用综合评分法。评标委员会将依据各供应商投标文件，对其商务、技术、价格、服务等各项因素进行评价并按评分细则进行打分。每一供应商的最终得分为所有评委评分的算术平均值。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4"/>
        <w:numPr>
          <w:ilvl w:val="0"/>
          <w:numId w:val="18"/>
        </w:numPr>
        <w:bidi w:val="0"/>
        <w:rPr>
          <w:rFonts w:hint="eastAsia"/>
          <w:sz w:val="36"/>
          <w:szCs w:val="28"/>
          <w:lang w:val="en-US" w:eastAsia="zh-CN"/>
        </w:rPr>
      </w:pPr>
      <w:bookmarkStart w:id="25" w:name="_Toc4998"/>
      <w:r>
        <w:rPr>
          <w:rFonts w:hint="eastAsia"/>
          <w:sz w:val="36"/>
          <w:szCs w:val="28"/>
          <w:lang w:val="en-US" w:eastAsia="zh-CN"/>
        </w:rPr>
        <w:t>评审细则</w:t>
      </w:r>
      <w:bookmarkEnd w:id="25"/>
    </w:p>
    <w:tbl>
      <w:tblPr>
        <w:tblStyle w:val="1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36"/>
        <w:gridCol w:w="1190"/>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评分项目</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分值</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报价部分</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技术条款</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响应情况</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满足招标文件要求得40分。</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与重要技术参数（标记“#”或“▲”的技术参数）每有一条（本表述“一条”并非指每一条款序号，应为每一条参数）存在负偏离的每有1条扣4分，扣完为止；</w:t>
            </w:r>
          </w:p>
          <w:p>
            <w:pPr>
              <w:keepNext w:val="0"/>
              <w:keepLines w:val="0"/>
              <w:pageBreakBefore w:val="0"/>
              <w:widowControl w:val="0"/>
              <w:numPr>
                <w:ilvl w:val="0"/>
                <w:numId w:val="2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与一般技术或配置要求（未标记“#”或“▲”的技术参数）每有一条（本表述“一条”并非指每一条款序号，应为每一条参数）存在负偏离的每有1条扣2分，扣完为止。</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供应商须提供所报产品彩页及相应技术参数白皮书、检测报告等作为技术证明文件佐证材料，否则评标委员会有权视相应技术参数为负偏离。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按期交货</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的保证措施</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由评委根据供应商提供的按期交货的保证措施情况进行评审：</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描述清晰、详细、保证措施完善，得5分；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1"/>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安装调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试方案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由评委根据供应商提供的安装调试方案进行评审：</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方案描述清晰、详细、切实可行、保障措施健全、有针对性，得5分；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方案描述清晰、保障措施得当，得4分；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2"/>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验收方案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供应商能提供详细的验收标准和验收手册，并能提供有针对性、符合用户使用需求和特点的验收方案：</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描述清晰、详细、保证措施健全、有针对性，得5分；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描述清晰、保证措施得当，得4分；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内容不全、有所欠缺，得2分；</w:t>
            </w:r>
          </w:p>
          <w:p>
            <w:pPr>
              <w:keepNext w:val="0"/>
              <w:keepLines w:val="0"/>
              <w:pageBreakBefore w:val="0"/>
              <w:widowControl w:val="0"/>
              <w:numPr>
                <w:ilvl w:val="0"/>
                <w:numId w:val="23"/>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1.质保期在满足招标文件最低要求情况下，原厂质保每增加一年的2分，最多得4分；（提供原厂质保函，否则不得分）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2.由评委根据供应商提供的维保方案进行评审（本条最高得2分）：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维保方案描述清晰、详细、保障措施健全，定期检测周期合理不影响设备正常使用，得2分；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维保方案描述内容不全、有所欠缺，得1分；</w:t>
            </w:r>
          </w:p>
          <w:p>
            <w:pPr>
              <w:keepNext w:val="0"/>
              <w:keepLines w:val="0"/>
              <w:pageBreakBefore w:val="0"/>
              <w:widowControl w:val="0"/>
              <w:numPr>
                <w:ilvl w:val="0"/>
                <w:numId w:val="24"/>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售后服务</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4分</w:t>
            </w:r>
          </w:p>
        </w:tc>
        <w:tc>
          <w:tcPr>
            <w:tcW w:w="507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根据招标文件要求和投标文件技术响应情况，对供应商提供的售后服务方案进行评价，其中：</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技术培训服务：承诺提供免费系统技术培训，培训方案可行的得2分，未提供不得分。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应急响应时间：供应商承诺在1小时内响应，在接到通知4小时内到现场的得1分，不满足不得分。</w:t>
            </w:r>
          </w:p>
          <w:p>
            <w:pPr>
              <w:keepNext w:val="0"/>
              <w:keepLines w:val="0"/>
              <w:pageBreakBefore w:val="0"/>
              <w:widowControl w:val="0"/>
              <w:numPr>
                <w:ilvl w:val="0"/>
                <w:numId w:val="25"/>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承诺设备故障24小时内排除故障的得1分。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业绩</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供应商近三年所投产品的业绩，每个项目得1分，最多得3分，没有业绩不得分。(在投标文件中提供合同复印件)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注：合同复印件要求提供完整合同，含首页、报价产品明细页、签字或盖章页，未提供或提供不全的不得分。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6" w:type="dxa"/>
            <w:vAlign w:val="center"/>
          </w:tcPr>
          <w:p>
            <w:pPr>
              <w:keepNext w:val="0"/>
              <w:keepLines w:val="0"/>
              <w:pageBreakBefore w:val="0"/>
              <w:widowControl w:val="0"/>
              <w:numPr>
                <w:ilvl w:val="0"/>
                <w:numId w:val="19"/>
              </w:numPr>
              <w:kinsoku/>
              <w:wordWrap/>
              <w:overflowPunct/>
              <w:topLinePunct w:val="0"/>
              <w:autoSpaceDE/>
              <w:autoSpaceDN/>
              <w:bidi w:val="0"/>
              <w:adjustRightInd/>
              <w:snapToGrid w:val="0"/>
              <w:spacing w:line="300" w:lineRule="auto"/>
              <w:ind w:left="425" w:leftChars="0" w:hanging="425" w:firstLineChars="0"/>
              <w:jc w:val="right"/>
              <w:textAlignment w:val="auto"/>
              <w:rPr>
                <w:rFonts w:hint="eastAsia" w:ascii="仿宋" w:hAnsi="仿宋" w:eastAsia="仿宋" w:cs="仿宋"/>
                <w:sz w:val="28"/>
                <w:szCs w:val="28"/>
                <w:vertAlign w:val="baseline"/>
                <w:lang w:val="en-US" w:eastAsia="zh-CN"/>
              </w:rPr>
            </w:pPr>
            <w:bookmarkStart w:id="26" w:name="_Toc23021"/>
          </w:p>
        </w:tc>
        <w:tc>
          <w:tcPr>
            <w:tcW w:w="16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优惠条款</w:t>
            </w:r>
          </w:p>
        </w:tc>
        <w:tc>
          <w:tcPr>
            <w:tcW w:w="11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w:t>
            </w:r>
          </w:p>
        </w:tc>
        <w:tc>
          <w:tcPr>
            <w:tcW w:w="50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由评标委员会认可的实质性优惠条款，每提供一条得1分，最高得2分，无不得分。</w:t>
            </w:r>
          </w:p>
        </w:tc>
      </w:tr>
    </w:tbl>
    <w:p>
      <w:pPr>
        <w:pStyle w:val="4"/>
        <w:numPr>
          <w:ilvl w:val="0"/>
          <w:numId w:val="18"/>
        </w:numPr>
        <w:bidi w:val="0"/>
        <w:rPr>
          <w:rFonts w:hint="default"/>
          <w:sz w:val="36"/>
          <w:szCs w:val="28"/>
          <w:lang w:val="en-US" w:eastAsia="zh-CN"/>
        </w:rPr>
      </w:pPr>
      <w:r>
        <w:rPr>
          <w:rFonts w:hint="default"/>
          <w:sz w:val="36"/>
          <w:szCs w:val="28"/>
          <w:lang w:val="en-US" w:eastAsia="zh-CN"/>
        </w:rPr>
        <w:t>评审执行的政府采购政策</w:t>
      </w:r>
      <w:bookmarkEnd w:id="26"/>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7" w:name="_Toc7284"/>
      <w:r>
        <w:rPr>
          <w:rFonts w:hint="default"/>
          <w:sz w:val="32"/>
          <w:szCs w:val="28"/>
          <w:lang w:val="en-US" w:eastAsia="zh-CN"/>
        </w:rPr>
        <w:t>中小微型企业政府采购政策</w:t>
      </w:r>
      <w:bookmarkEnd w:id="2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了发挥政府采购的政策功能，促进符合国家经济和社会发展政策目标，产品、服务、信誉较好的中小企业发展，按照《政府采购促进中小企业发展管理办法》规定，对符合规定的小型和微型企业的价格给予6%的扣除，用扣除后的价格参与评审。评审价格仅为评定价格，不作为最终的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2%的价格扣除。如果联合体各方均为小型、微型企业的，联合体视同为小型、微型企业，但联合体各方均应按招标文件要求提供中小企业声明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3、评审价格的计算：评审价格=投标报价×（1-扣除幅度）。</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8" w:name="_Toc6941"/>
      <w:r>
        <w:rPr>
          <w:rFonts w:hint="default"/>
          <w:sz w:val="32"/>
          <w:szCs w:val="28"/>
          <w:lang w:val="en-US" w:eastAsia="zh-CN"/>
        </w:rPr>
        <w:t>监狱企业政府采购政策</w:t>
      </w:r>
      <w:bookmarkEnd w:id="2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对监狱企业的价格给予[6%×（监狱企业产品合计报价/总报价）]的扣除，用扣除后的价格参与评审；参加政府采购活动的监狱企业应当在投标文件中提供监狱企业证明，否则不予认定。</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29" w:name="_Toc30230"/>
      <w:r>
        <w:rPr>
          <w:rFonts w:hint="default"/>
          <w:sz w:val="32"/>
          <w:szCs w:val="28"/>
          <w:lang w:val="en-US" w:eastAsia="zh-CN"/>
        </w:rPr>
        <w:t>残疾人福利性单位政府采购政策</w:t>
      </w:r>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对残疾人福利性单位的价格给予[</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5"/>
        <w:keepNext w:val="0"/>
        <w:keepLines w:val="0"/>
        <w:pageBreakBefore w:val="0"/>
        <w:widowControl w:val="0"/>
        <w:numPr>
          <w:ilvl w:val="0"/>
          <w:numId w:val="26"/>
        </w:numPr>
        <w:kinsoku/>
        <w:wordWrap/>
        <w:overflowPunct/>
        <w:topLinePunct w:val="0"/>
        <w:autoSpaceDE/>
        <w:autoSpaceDN/>
        <w:bidi w:val="0"/>
        <w:adjustRightInd/>
        <w:snapToGrid w:val="0"/>
        <w:spacing w:line="360" w:lineRule="auto"/>
        <w:textAlignment w:val="auto"/>
        <w:rPr>
          <w:rFonts w:hint="default"/>
          <w:sz w:val="32"/>
          <w:szCs w:val="28"/>
          <w:lang w:val="en-US" w:eastAsia="zh-CN"/>
        </w:rPr>
      </w:pPr>
      <w:bookmarkStart w:id="30" w:name="_Toc9022"/>
      <w:r>
        <w:rPr>
          <w:rFonts w:hint="default"/>
          <w:sz w:val="32"/>
          <w:szCs w:val="28"/>
          <w:lang w:val="en-US" w:eastAsia="zh-CN"/>
        </w:rPr>
        <w:t>节能、环保产品</w:t>
      </w:r>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如供应商提供的产品属于《环境标志产品政府采购品目清单》（《财政部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生态环境部关于印发环境标志产品政府采购品目清单的通知》（财库〔2019〕18号））、《节能产品政府采购品目清单》（财政部</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发展改革委《关于印发节能产品政府采购品目清单的通知》（财库〔2019〕19 号）范围的环保、节能产品，应在投标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投标处理。</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sz w:val="44"/>
          <w:szCs w:val="24"/>
          <w:lang w:val="en-US" w:eastAsia="zh-CN"/>
        </w:rPr>
      </w:pPr>
      <w:r>
        <w:rPr>
          <w:rFonts w:hint="eastAsia"/>
          <w:sz w:val="44"/>
          <w:szCs w:val="24"/>
          <w:lang w:val="en-US" w:eastAsia="zh-CN"/>
        </w:rPr>
        <w:t xml:space="preserve"> </w:t>
      </w:r>
      <w:bookmarkStart w:id="31" w:name="_Toc22715"/>
      <w:r>
        <w:rPr>
          <w:rFonts w:hint="eastAsia"/>
          <w:sz w:val="44"/>
          <w:szCs w:val="24"/>
          <w:lang w:val="en-US" w:eastAsia="zh-CN"/>
        </w:rPr>
        <w:t>采购内容及项目要求</w:t>
      </w:r>
      <w:bookmarkEnd w:id="31"/>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本系统可作为白光4K 超清腹腔镜使用，同时与医用内窥镜、荧光造影剂吲哚菁绿（ICG）配合使用，适用于在内窥镜手术中提供实时的4K荧光图像。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一、</w:t>
      </w:r>
      <w:r>
        <w:rPr>
          <w:rFonts w:hint="eastAsia" w:ascii="仿宋" w:hAnsi="仿宋" w:eastAsia="仿宋" w:cs="仿宋"/>
          <w:b/>
          <w:bCs/>
          <w:color w:val="000000"/>
          <w:kern w:val="0"/>
          <w:sz w:val="28"/>
          <w:szCs w:val="28"/>
          <w:highlight w:val="none"/>
        </w:rPr>
        <w:t>摄像主机与摄像头</w:t>
      </w:r>
      <w:r>
        <w:rPr>
          <w:rFonts w:hint="eastAsia" w:ascii="仿宋" w:hAnsi="仿宋" w:eastAsia="仿宋" w:cs="仿宋"/>
          <w:b/>
          <w:bCs/>
          <w:color w:val="000000"/>
          <w:kern w:val="0"/>
          <w:sz w:val="28"/>
          <w:szCs w:val="28"/>
          <w:highlight w:val="none"/>
          <w:lang w:val="en-US" w:eastAsia="zh-CN"/>
        </w:rPr>
        <w:t>1套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1. 摄像系统主机可兼4K</w:t>
      </w:r>
      <w:r>
        <w:rPr>
          <w:rFonts w:hint="eastAsia" w:ascii="仿宋" w:hAnsi="仿宋" w:eastAsia="仿宋" w:cs="仿宋"/>
          <w:strike w:val="0"/>
          <w:dstrike w:val="0"/>
          <w:color w:val="000000"/>
          <w:kern w:val="0"/>
          <w:sz w:val="28"/>
          <w:szCs w:val="28"/>
          <w:highlight w:val="none"/>
        </w:rPr>
        <w:t>分辨率超高清荧光摄像头</w:t>
      </w:r>
      <w:r>
        <w:rPr>
          <w:rFonts w:hint="eastAsia" w:ascii="仿宋" w:hAnsi="仿宋" w:eastAsia="仿宋" w:cs="仿宋"/>
          <w:color w:val="000000"/>
          <w:kern w:val="0"/>
          <w:sz w:val="28"/>
          <w:szCs w:val="28"/>
          <w:highlight w:val="none"/>
        </w:rPr>
        <w:t>，具</w:t>
      </w:r>
      <w:r>
        <w:rPr>
          <w:rFonts w:hint="eastAsia" w:ascii="仿宋" w:hAnsi="仿宋" w:eastAsia="仿宋" w:cs="仿宋"/>
          <w:color w:val="000000"/>
          <w:kern w:val="0"/>
          <w:sz w:val="28"/>
          <w:szCs w:val="28"/>
          <w:highlight w:val="none"/>
          <w:lang w:val="en-US" w:eastAsia="zh-CN"/>
        </w:rPr>
        <w:t>有</w:t>
      </w:r>
      <w:r>
        <w:rPr>
          <w:rFonts w:hint="eastAsia" w:ascii="仿宋" w:hAnsi="仿宋" w:eastAsia="仿宋" w:cs="仿宋"/>
          <w:color w:val="000000"/>
          <w:kern w:val="0"/>
          <w:sz w:val="28"/>
          <w:szCs w:val="28"/>
          <w:highlight w:val="none"/>
        </w:rPr>
        <w:t>4K 图像处理性能，输出≥3840*2160P ≥60Hz 动态图像</w:t>
      </w:r>
      <w:r>
        <w:rPr>
          <w:rFonts w:hint="eastAsia" w:ascii="仿宋" w:hAnsi="仿宋" w:eastAsia="仿宋" w:cs="仿宋"/>
          <w:color w:val="000000"/>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2. 摄像系统主机</w:t>
      </w:r>
      <w:r>
        <w:rPr>
          <w:rFonts w:hint="eastAsia" w:ascii="仿宋" w:hAnsi="仿宋" w:eastAsia="仿宋" w:cs="仿宋"/>
          <w:color w:val="000000"/>
          <w:kern w:val="0"/>
          <w:sz w:val="28"/>
          <w:szCs w:val="28"/>
          <w:highlight w:val="none"/>
          <w:lang w:val="en-US" w:eastAsia="zh-CN"/>
        </w:rPr>
        <w:t>至少具备</w:t>
      </w:r>
      <w:r>
        <w:rPr>
          <w:rFonts w:hint="eastAsia" w:ascii="仿宋" w:hAnsi="仿宋" w:eastAsia="仿宋" w:cs="仿宋"/>
          <w:color w:val="000000"/>
          <w:kern w:val="0"/>
          <w:sz w:val="28"/>
          <w:szCs w:val="28"/>
          <w:highlight w:val="none"/>
        </w:rPr>
        <w:t>白光、亮荧光、暗荧光、三分屏和二分屏五种图像模式</w:t>
      </w:r>
      <w:r>
        <w:rPr>
          <w:rFonts w:hint="eastAsia" w:ascii="仿宋" w:hAnsi="仿宋" w:eastAsia="仿宋" w:cs="仿宋"/>
          <w:color w:val="000000"/>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 采用触摸屏设计，屏幕尺寸≥7英寸；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 摄像主机内置刻录功能，可进行静态和动态图像采集功能，并通过USB 端口进行录像和图片输出，主机内置≥3个USB接口；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 摄像主机具备USB 移动设备识别功能，可读取移动设备并在触摸屏上显示移动设备状态和可录制剩余时间；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 能够同时具备4K 和全高清输出能力。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7. 具备≥4个够同时输出的4K超高清信号，信号输出方式包括12G-SDI或HDMI。</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8. 具备≥2个能够同时输出的全高清信号，信号输出方式包括3G-SDI或DVI；</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9. </w:t>
      </w:r>
      <w:r>
        <w:rPr>
          <w:rFonts w:hint="eastAsia" w:ascii="仿宋" w:hAnsi="仿宋" w:eastAsia="仿宋" w:cs="仿宋"/>
          <w:color w:val="000000"/>
          <w:kern w:val="0"/>
          <w:sz w:val="28"/>
          <w:szCs w:val="28"/>
          <w:highlight w:val="none"/>
          <w:lang w:val="en-US" w:eastAsia="zh-CN"/>
        </w:rPr>
        <w:t>具有</w:t>
      </w:r>
      <w:r>
        <w:rPr>
          <w:rFonts w:hint="eastAsia" w:ascii="仿宋" w:hAnsi="仿宋" w:eastAsia="仿宋" w:cs="仿宋"/>
          <w:color w:val="000000"/>
          <w:kern w:val="0"/>
          <w:sz w:val="28"/>
          <w:szCs w:val="28"/>
          <w:highlight w:val="none"/>
        </w:rPr>
        <w:t>手术模式选择，满足胸腹腔镜、宫腔镜、膀胱镜等常见镜种的手术；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10. 摄像头可连接目镜杯卡口直径为32mm的各类光学视管；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11. 摄像头可进行白平衡、拍照、录像、切换图像模式等功能设置，自定义按钮≥2 个；</w:t>
      </w:r>
    </w:p>
    <w:p>
      <w:pPr>
        <w:pStyle w:val="2"/>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12. 具备≥2倍光学齐变焦技术</w:t>
      </w:r>
      <w:r>
        <w:rPr>
          <w:rFonts w:hint="eastAsia" w:ascii="仿宋" w:hAnsi="仿宋" w:eastAsia="仿宋" w:cs="仿宋"/>
          <w:color w:val="000000"/>
          <w:kern w:val="0"/>
          <w:sz w:val="28"/>
          <w:szCs w:val="28"/>
          <w:highlight w:val="none"/>
          <w:lang w:val="en-US" w:eastAsia="zh-CN"/>
        </w:rPr>
        <w:t>和</w:t>
      </w:r>
      <w:r>
        <w:rPr>
          <w:rFonts w:hint="eastAsia" w:ascii="仿宋" w:hAnsi="仿宋" w:eastAsia="仿宋" w:cs="仿宋"/>
          <w:color w:val="000000"/>
          <w:kern w:val="0"/>
          <w:sz w:val="28"/>
          <w:szCs w:val="28"/>
          <w:highlight w:val="none"/>
        </w:rPr>
        <w:t>电子变焦，最大可实现4倍图像放大；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二、</w:t>
      </w:r>
      <w:r>
        <w:rPr>
          <w:rFonts w:hint="eastAsia" w:ascii="仿宋" w:hAnsi="仿宋" w:eastAsia="仿宋" w:cs="仿宋"/>
          <w:b/>
          <w:bCs/>
          <w:color w:val="000000"/>
          <w:kern w:val="0"/>
          <w:sz w:val="28"/>
          <w:szCs w:val="28"/>
          <w:highlight w:val="none"/>
        </w:rPr>
        <w:t>LED 光源</w:t>
      </w:r>
      <w:r>
        <w:rPr>
          <w:rFonts w:hint="eastAsia" w:ascii="仿宋" w:hAnsi="仿宋" w:eastAsia="仿宋" w:cs="仿宋"/>
          <w:b/>
          <w:bCs/>
          <w:color w:val="000000"/>
          <w:kern w:val="0"/>
          <w:sz w:val="28"/>
          <w:szCs w:val="28"/>
          <w:highlight w:val="none"/>
          <w:lang w:val="en-US" w:eastAsia="zh-CN"/>
        </w:rPr>
        <w:t>1套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 xml:space="preserve">1. </w:t>
      </w:r>
      <w:r>
        <w:rPr>
          <w:rFonts w:hint="eastAsia" w:ascii="仿宋" w:hAnsi="仿宋" w:eastAsia="仿宋" w:cs="仿宋"/>
          <w:color w:val="000000"/>
          <w:kern w:val="0"/>
          <w:sz w:val="30"/>
          <w:szCs w:val="30"/>
          <w:highlight w:val="none"/>
          <w:lang w:val="en-US" w:eastAsia="zh-CN"/>
        </w:rPr>
        <w:t>具有</w:t>
      </w:r>
      <w:r>
        <w:rPr>
          <w:rFonts w:hint="eastAsia" w:ascii="仿宋" w:hAnsi="仿宋" w:eastAsia="仿宋" w:cs="仿宋"/>
          <w:color w:val="000000"/>
          <w:kern w:val="0"/>
          <w:sz w:val="30"/>
          <w:szCs w:val="30"/>
          <w:highlight w:val="none"/>
        </w:rPr>
        <w:t>同时输出近红外激光和白光，且激光为3R级医用激光光源；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 xml:space="preserve">2. </w:t>
      </w:r>
      <w:r>
        <w:rPr>
          <w:rFonts w:hint="eastAsia" w:ascii="仿宋" w:hAnsi="仿宋" w:eastAsia="仿宋" w:cs="仿宋"/>
          <w:color w:val="000000"/>
          <w:kern w:val="0"/>
          <w:sz w:val="30"/>
          <w:szCs w:val="30"/>
          <w:highlight w:val="none"/>
          <w:lang w:val="en-US" w:eastAsia="zh-CN"/>
        </w:rPr>
        <w:t>具有</w:t>
      </w:r>
      <w:r>
        <w:rPr>
          <w:rFonts w:hint="eastAsia" w:ascii="仿宋" w:hAnsi="仿宋" w:eastAsia="仿宋" w:cs="仿宋"/>
          <w:color w:val="000000"/>
          <w:kern w:val="0"/>
          <w:sz w:val="30"/>
          <w:szCs w:val="30"/>
          <w:highlight w:val="none"/>
        </w:rPr>
        <w:t>触摸屏设计，屏幕尺寸≥7英寸；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3</w:t>
      </w:r>
      <w:r>
        <w:rPr>
          <w:rFonts w:hint="eastAsia" w:ascii="仿宋" w:hAnsi="仿宋" w:eastAsia="仿宋" w:cs="仿宋"/>
          <w:color w:val="000000"/>
          <w:kern w:val="0"/>
          <w:sz w:val="30"/>
          <w:szCs w:val="30"/>
          <w:highlight w:val="none"/>
        </w:rPr>
        <w:t>. 白光冷光源的输出总光通量应≥2000lm；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4</w:t>
      </w:r>
      <w:r>
        <w:rPr>
          <w:rFonts w:hint="eastAsia" w:ascii="仿宋" w:hAnsi="仿宋" w:eastAsia="仿宋" w:cs="仿宋"/>
          <w:color w:val="000000"/>
          <w:kern w:val="0"/>
          <w:sz w:val="30"/>
          <w:szCs w:val="30"/>
          <w:highlight w:val="none"/>
        </w:rPr>
        <w:t>. LED 灯泡工作寿命≥60000小时；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5</w:t>
      </w:r>
      <w:r>
        <w:rPr>
          <w:rFonts w:hint="eastAsia" w:ascii="仿宋" w:hAnsi="仿宋" w:eastAsia="仿宋" w:cs="仿宋"/>
          <w:color w:val="000000"/>
          <w:kern w:val="0"/>
          <w:sz w:val="30"/>
          <w:szCs w:val="30"/>
          <w:highlight w:val="none"/>
        </w:rPr>
        <w:t xml:space="preserve">. </w:t>
      </w:r>
      <w:r>
        <w:rPr>
          <w:rFonts w:hint="eastAsia" w:ascii="仿宋" w:hAnsi="仿宋" w:eastAsia="仿宋" w:cs="仿宋"/>
          <w:color w:val="000000"/>
          <w:kern w:val="0"/>
          <w:sz w:val="30"/>
          <w:szCs w:val="30"/>
          <w:highlight w:val="none"/>
          <w:lang w:val="en-US" w:eastAsia="zh-CN"/>
        </w:rPr>
        <w:t>具有</w:t>
      </w:r>
      <w:r>
        <w:rPr>
          <w:rFonts w:hint="eastAsia" w:ascii="仿宋" w:hAnsi="仿宋" w:eastAsia="仿宋" w:cs="仿宋"/>
          <w:color w:val="000000"/>
          <w:kern w:val="0"/>
          <w:sz w:val="30"/>
          <w:szCs w:val="30"/>
          <w:highlight w:val="none"/>
        </w:rPr>
        <w:t>多级亮度调节；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rPr>
        <w:t>6</w:t>
      </w:r>
      <w:r>
        <w:rPr>
          <w:rFonts w:hint="eastAsia" w:ascii="仿宋" w:hAnsi="仿宋" w:eastAsia="仿宋" w:cs="仿宋"/>
          <w:color w:val="000000"/>
          <w:kern w:val="0"/>
          <w:sz w:val="30"/>
          <w:szCs w:val="30"/>
          <w:highlight w:val="none"/>
        </w:rPr>
        <w:t>. 冷光源的最大噪音≤55dB（A）</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三、</w:t>
      </w:r>
      <w:r>
        <w:rPr>
          <w:rFonts w:hint="eastAsia" w:ascii="仿宋" w:hAnsi="仿宋" w:eastAsia="仿宋" w:cs="仿宋"/>
          <w:b/>
          <w:bCs/>
          <w:color w:val="000000"/>
          <w:kern w:val="0"/>
          <w:sz w:val="28"/>
          <w:szCs w:val="28"/>
          <w:highlight w:val="none"/>
        </w:rPr>
        <w:t>高流速气腹机</w:t>
      </w:r>
      <w:r>
        <w:rPr>
          <w:rFonts w:hint="eastAsia" w:ascii="仿宋" w:hAnsi="仿宋" w:eastAsia="仿宋" w:cs="仿宋"/>
          <w:b/>
          <w:bCs/>
          <w:color w:val="000000"/>
          <w:kern w:val="0"/>
          <w:sz w:val="28"/>
          <w:szCs w:val="28"/>
          <w:highlight w:val="none"/>
          <w:lang w:val="en-US" w:eastAsia="zh-CN"/>
        </w:rPr>
        <w:t>1台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1.流速≥</w:t>
      </w:r>
      <w:r>
        <w:rPr>
          <w:rFonts w:hint="eastAsia" w:ascii="仿宋" w:hAnsi="仿宋" w:eastAsia="仿宋" w:cs="仿宋"/>
          <w:color w:val="000000"/>
          <w:kern w:val="0"/>
          <w:sz w:val="28"/>
          <w:szCs w:val="28"/>
          <w:highlight w:val="none"/>
          <w:lang w:val="en-US" w:eastAsia="zh-CN"/>
        </w:rPr>
        <w:t>40</w:t>
      </w:r>
      <w:r>
        <w:rPr>
          <w:rFonts w:hint="eastAsia" w:ascii="仿宋" w:hAnsi="仿宋" w:eastAsia="仿宋" w:cs="仿宋"/>
          <w:color w:val="000000"/>
          <w:kern w:val="0"/>
          <w:sz w:val="28"/>
          <w:szCs w:val="28"/>
          <w:highlight w:val="none"/>
        </w:rPr>
        <w:t>升/分钟，流量调节范围≥0.1-</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0L/min</w:t>
      </w:r>
      <w:r>
        <w:rPr>
          <w:rFonts w:hint="eastAsia" w:ascii="仿宋" w:hAnsi="仿宋" w:eastAsia="仿宋" w:cs="仿宋"/>
          <w:color w:val="000000"/>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2.压力范围：≥</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mmHg-</w:t>
      </w:r>
      <w:r>
        <w:rPr>
          <w:rFonts w:hint="eastAsia" w:ascii="仿宋" w:hAnsi="仿宋" w:eastAsia="仿宋" w:cs="仿宋"/>
          <w:color w:val="000000"/>
          <w:kern w:val="0"/>
          <w:sz w:val="28"/>
          <w:szCs w:val="28"/>
          <w:highlight w:val="none"/>
          <w:lang w:val="en-US" w:eastAsia="zh-CN"/>
        </w:rPr>
        <w:t>25</w:t>
      </w:r>
      <w:r>
        <w:rPr>
          <w:rFonts w:hint="eastAsia" w:ascii="仿宋" w:hAnsi="仿宋" w:eastAsia="仿宋" w:cs="仿宋"/>
          <w:color w:val="000000"/>
          <w:kern w:val="0"/>
          <w:sz w:val="28"/>
          <w:szCs w:val="28"/>
          <w:highlight w:val="none"/>
        </w:rPr>
        <w:t>mmHg，气压显示准确性±2mmHg；</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lang w:val="en-US" w:eastAsia="zh-CN"/>
        </w:rPr>
        <w:t>具有</w:t>
      </w:r>
      <w:r>
        <w:rPr>
          <w:rFonts w:hint="eastAsia" w:ascii="仿宋" w:hAnsi="仿宋" w:eastAsia="仿宋" w:cs="仿宋"/>
          <w:color w:val="000000"/>
          <w:kern w:val="0"/>
          <w:sz w:val="28"/>
          <w:szCs w:val="28"/>
          <w:highlight w:val="none"/>
        </w:rPr>
        <w:t>触摸屏</w:t>
      </w:r>
      <w:r>
        <w:rPr>
          <w:rFonts w:hint="eastAsia" w:ascii="仿宋" w:hAnsi="仿宋" w:eastAsia="仿宋" w:cs="仿宋"/>
          <w:strike w:val="0"/>
          <w:color w:val="000000"/>
          <w:kern w:val="0"/>
          <w:sz w:val="28"/>
          <w:szCs w:val="28"/>
          <w:highlight w:val="none"/>
        </w:rPr>
        <w:t>显示参数和故障信息</w:t>
      </w:r>
      <w:r>
        <w:rPr>
          <w:rFonts w:hint="eastAsia" w:ascii="仿宋" w:hAnsi="仿宋" w:eastAsia="仿宋" w:cs="仿宋"/>
          <w:color w:val="000000"/>
          <w:kern w:val="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.具有声音提醒</w:t>
      </w:r>
      <w:r>
        <w:rPr>
          <w:rFonts w:hint="eastAsia" w:ascii="仿宋" w:hAnsi="仿宋" w:eastAsia="仿宋" w:cs="仿宋"/>
          <w:color w:val="000000"/>
          <w:kern w:val="0"/>
          <w:sz w:val="28"/>
          <w:szCs w:val="28"/>
          <w:highlight w:val="none"/>
          <w:lang w:val="en-US" w:eastAsia="zh-CN"/>
        </w:rPr>
        <w:t>和</w:t>
      </w:r>
      <w:r>
        <w:rPr>
          <w:rFonts w:hint="eastAsia" w:ascii="仿宋" w:hAnsi="仿宋" w:eastAsia="仿宋" w:cs="仿宋"/>
          <w:color w:val="000000"/>
          <w:kern w:val="0"/>
          <w:sz w:val="28"/>
          <w:szCs w:val="28"/>
          <w:highlight w:val="none"/>
        </w:rPr>
        <w:t>文字提示双重报警系统，</w:t>
      </w:r>
      <w:r>
        <w:rPr>
          <w:rFonts w:hint="eastAsia" w:ascii="仿宋" w:hAnsi="仿宋" w:eastAsia="仿宋" w:cs="仿宋"/>
          <w:color w:val="000000"/>
          <w:kern w:val="0"/>
          <w:sz w:val="28"/>
          <w:szCs w:val="28"/>
          <w:highlight w:val="none"/>
          <w:lang w:val="en-US" w:eastAsia="zh-CN"/>
        </w:rPr>
        <w:t>可对</w:t>
      </w:r>
      <w:r>
        <w:rPr>
          <w:rFonts w:hint="eastAsia" w:ascii="仿宋" w:hAnsi="仿宋" w:eastAsia="仿宋" w:cs="仿宋"/>
          <w:color w:val="000000"/>
          <w:kern w:val="0"/>
          <w:sz w:val="28"/>
          <w:szCs w:val="28"/>
          <w:highlight w:val="none"/>
        </w:rPr>
        <w:t>气压过高、管道堵塞、供气不足、自检失败、温度过高</w:t>
      </w:r>
      <w:r>
        <w:rPr>
          <w:rFonts w:hint="eastAsia" w:ascii="仿宋" w:hAnsi="仿宋" w:eastAsia="仿宋" w:cs="仿宋"/>
          <w:strike w:val="0"/>
          <w:color w:val="000000"/>
          <w:kern w:val="0"/>
          <w:sz w:val="28"/>
          <w:szCs w:val="28"/>
          <w:highlight w:val="none"/>
        </w:rPr>
        <w:t>等情况</w:t>
      </w:r>
      <w:r>
        <w:rPr>
          <w:rFonts w:hint="eastAsia" w:ascii="仿宋" w:hAnsi="仿宋" w:eastAsia="仿宋" w:cs="仿宋"/>
          <w:strike w:val="0"/>
          <w:color w:val="000000"/>
          <w:kern w:val="0"/>
          <w:sz w:val="28"/>
          <w:szCs w:val="28"/>
          <w:highlight w:val="none"/>
          <w:lang w:val="en-US" w:eastAsia="zh-CN"/>
        </w:rPr>
        <w:t>报警提示；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.气压过高时，具有自动排气功能；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.具有排烟功能，在负压吸力为0.04-0.06MPa的情况下，最大排烟流量≥8L/min；</w:t>
      </w:r>
    </w:p>
    <w:p>
      <w:pPr>
        <w:pStyle w:val="2"/>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具有</w:t>
      </w:r>
      <w:r>
        <w:rPr>
          <w:rFonts w:hint="eastAsia" w:ascii="仿宋" w:hAnsi="仿宋" w:eastAsia="仿宋" w:cs="仿宋"/>
          <w:color w:val="000000"/>
          <w:kern w:val="0"/>
          <w:sz w:val="28"/>
          <w:szCs w:val="28"/>
          <w:highlight w:val="none"/>
        </w:rPr>
        <w:t>气腹机末端CO2 气体加热功能;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四、</w:t>
      </w:r>
      <w:r>
        <w:rPr>
          <w:rFonts w:hint="eastAsia" w:ascii="仿宋" w:hAnsi="仿宋" w:eastAsia="仿宋" w:cs="仿宋"/>
          <w:b/>
          <w:bCs/>
          <w:color w:val="000000"/>
          <w:kern w:val="0"/>
          <w:sz w:val="28"/>
          <w:szCs w:val="28"/>
          <w:highlight w:val="none"/>
        </w:rPr>
        <w:t>高清腹腔镜镜头</w:t>
      </w:r>
      <w:r>
        <w:rPr>
          <w:rFonts w:hint="eastAsia" w:ascii="仿宋" w:hAnsi="仿宋" w:eastAsia="仿宋" w:cs="仿宋"/>
          <w:b/>
          <w:bCs/>
          <w:color w:val="000000"/>
          <w:kern w:val="0"/>
          <w:sz w:val="28"/>
          <w:szCs w:val="28"/>
          <w:highlight w:val="none"/>
          <w:lang w:val="en-US" w:eastAsia="zh-CN"/>
        </w:rPr>
        <w:t>3条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1</w:t>
      </w:r>
      <w:r>
        <w:rPr>
          <w:rFonts w:hint="eastAsia" w:ascii="仿宋" w:hAnsi="仿宋" w:eastAsia="仿宋" w:cs="仿宋"/>
          <w:color w:val="000000"/>
          <w:kern w:val="0"/>
          <w:sz w:val="28"/>
          <w:szCs w:val="28"/>
          <w:highlight w:val="none"/>
        </w:rPr>
        <w:t>. 直径</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10mm，视野方向≥30°，视野角度≥</w:t>
      </w:r>
      <w:r>
        <w:rPr>
          <w:rFonts w:hint="eastAsia" w:ascii="仿宋" w:hAnsi="仿宋" w:eastAsia="仿宋" w:cs="仿宋"/>
          <w:color w:val="000000"/>
          <w:kern w:val="0"/>
          <w:sz w:val="28"/>
          <w:szCs w:val="28"/>
          <w:highlight w:val="none"/>
          <w:lang w:val="en-US" w:eastAsia="zh-CN"/>
        </w:rPr>
        <w:t>7</w:t>
      </w:r>
      <w:r>
        <w:rPr>
          <w:rFonts w:hint="eastAsia" w:ascii="仿宋" w:hAnsi="仿宋" w:eastAsia="仿宋" w:cs="仿宋"/>
          <w:color w:val="000000"/>
          <w:kern w:val="0"/>
          <w:sz w:val="28"/>
          <w:szCs w:val="28"/>
          <w:highlight w:val="none"/>
        </w:rPr>
        <w:t>0°，工作长度≥3</w:t>
      </w:r>
      <w:r>
        <w:rPr>
          <w:rFonts w:hint="eastAsia" w:ascii="仿宋" w:hAnsi="仿宋" w:eastAsia="仿宋" w:cs="仿宋"/>
          <w:color w:val="000000"/>
          <w:kern w:val="0"/>
          <w:sz w:val="28"/>
          <w:szCs w:val="28"/>
          <w:highlight w:val="none"/>
          <w:lang w:val="en-US" w:eastAsia="zh-CN"/>
        </w:rPr>
        <w:t>0</w:t>
      </w:r>
      <w:r>
        <w:rPr>
          <w:rFonts w:hint="eastAsia" w:ascii="仿宋" w:hAnsi="仿宋" w:eastAsia="仿宋" w:cs="仿宋"/>
          <w:color w:val="000000"/>
          <w:kern w:val="0"/>
          <w:sz w:val="28"/>
          <w:szCs w:val="28"/>
          <w:highlight w:val="none"/>
        </w:rPr>
        <w:t>0mm；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 光学视管有效景深≥</w:t>
      </w:r>
      <w:r>
        <w:rPr>
          <w:rFonts w:hint="eastAsia" w:ascii="仿宋" w:hAnsi="仿宋" w:eastAsia="仿宋" w:cs="仿宋"/>
          <w:color w:val="000000"/>
          <w:kern w:val="0"/>
          <w:sz w:val="28"/>
          <w:szCs w:val="28"/>
          <w:highlight w:val="none"/>
          <w:lang w:val="en-US" w:eastAsia="zh-CN"/>
        </w:rPr>
        <w:t>25</w:t>
      </w:r>
      <w:r>
        <w:rPr>
          <w:rFonts w:hint="eastAsia" w:ascii="仿宋" w:hAnsi="仿宋" w:eastAsia="仿宋" w:cs="仿宋"/>
          <w:color w:val="000000"/>
          <w:kern w:val="0"/>
          <w:sz w:val="28"/>
          <w:szCs w:val="28"/>
          <w:highlight w:val="none"/>
        </w:rPr>
        <w:t>mm-1</w:t>
      </w: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0mm；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 镜头</w:t>
      </w:r>
      <w:r>
        <w:rPr>
          <w:rFonts w:hint="eastAsia" w:ascii="仿宋" w:hAnsi="仿宋" w:eastAsia="仿宋" w:cs="仿宋"/>
          <w:color w:val="000000"/>
          <w:kern w:val="0"/>
          <w:sz w:val="28"/>
          <w:szCs w:val="28"/>
          <w:highlight w:val="none"/>
          <w:lang w:val="en-US" w:eastAsia="zh-CN"/>
        </w:rPr>
        <w:t>具有</w:t>
      </w:r>
      <w:r>
        <w:rPr>
          <w:rFonts w:hint="eastAsia" w:ascii="仿宋" w:hAnsi="仿宋" w:eastAsia="仿宋" w:cs="仿宋"/>
          <w:color w:val="000000"/>
          <w:kern w:val="0"/>
          <w:sz w:val="28"/>
          <w:szCs w:val="28"/>
          <w:highlight w:val="none"/>
        </w:rPr>
        <w:t>降低畸变现象</w:t>
      </w:r>
      <w:r>
        <w:rPr>
          <w:rFonts w:hint="eastAsia" w:ascii="仿宋" w:hAnsi="仿宋" w:eastAsia="仿宋" w:cs="仿宋"/>
          <w:color w:val="000000"/>
          <w:kern w:val="0"/>
          <w:sz w:val="28"/>
          <w:szCs w:val="28"/>
          <w:highlight w:val="none"/>
          <w:lang w:val="en-US" w:eastAsia="zh-CN"/>
        </w:rPr>
        <w:t>功能；</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 可进行高温高压、等离子等灭菌。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五、</w:t>
      </w:r>
      <w:r>
        <w:rPr>
          <w:rFonts w:hint="eastAsia" w:ascii="仿宋" w:hAnsi="仿宋" w:eastAsia="仿宋" w:cs="仿宋"/>
          <w:b/>
          <w:bCs/>
          <w:color w:val="000000"/>
          <w:kern w:val="0"/>
          <w:sz w:val="28"/>
          <w:szCs w:val="28"/>
          <w:highlight w:val="none"/>
        </w:rPr>
        <w:t>医用监视器</w:t>
      </w:r>
      <w:r>
        <w:rPr>
          <w:rFonts w:hint="eastAsia" w:ascii="仿宋" w:hAnsi="仿宋" w:eastAsia="仿宋" w:cs="仿宋"/>
          <w:b/>
          <w:bCs/>
          <w:color w:val="000000"/>
          <w:kern w:val="0"/>
          <w:sz w:val="28"/>
          <w:szCs w:val="28"/>
          <w:highlight w:val="none"/>
          <w:lang w:val="en-US" w:eastAsia="zh-CN"/>
        </w:rPr>
        <w:t>1个</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 医用监视器≥31 英寸；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2. </w:t>
      </w:r>
      <w:r>
        <w:rPr>
          <w:rFonts w:hint="eastAsia" w:ascii="仿宋" w:hAnsi="仿宋" w:eastAsia="仿宋" w:cs="仿宋"/>
          <w:color w:val="000000"/>
          <w:kern w:val="0"/>
          <w:sz w:val="28"/>
          <w:szCs w:val="28"/>
          <w:highlight w:val="none"/>
          <w:lang w:val="en-US" w:eastAsia="zh-CN"/>
        </w:rPr>
        <w:t>分辨率</w:t>
      </w:r>
      <w:r>
        <w:rPr>
          <w:rFonts w:hint="eastAsia" w:ascii="仿宋" w:hAnsi="仿宋" w:eastAsia="仿宋" w:cs="仿宋"/>
          <w:color w:val="000000"/>
          <w:kern w:val="0"/>
          <w:sz w:val="28"/>
          <w:szCs w:val="28"/>
          <w:highlight w:val="none"/>
        </w:rPr>
        <w:t>支持≥3840*2160P 50/60Hz；</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3.具有HDMI 或12G-SDI 的4K 超高清接口</w:t>
      </w:r>
      <w:r>
        <w:rPr>
          <w:rFonts w:hint="eastAsia" w:ascii="仿宋" w:hAnsi="仿宋" w:eastAsia="仿宋" w:cs="仿宋"/>
          <w:color w:val="000000"/>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4.具有3G-SDI 或DVI 的全高清接口，可满足全高清图像显示；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5.最大背光亮度≥700cd/</w:t>
      </w:r>
      <w:r>
        <w:rPr>
          <w:rFonts w:hint="eastAsia" w:ascii="仿宋" w:hAnsi="仿宋" w:eastAsia="仿宋" w:cs="仿宋"/>
          <w:color w:val="000000"/>
          <w:kern w:val="0"/>
          <w:sz w:val="28"/>
          <w:szCs w:val="28"/>
          <w:highlight w:val="none"/>
          <w:lang w:val="en-US" w:eastAsia="zh-CN"/>
        </w:rPr>
        <w:t>㎡；</w:t>
      </w:r>
    </w:p>
    <w:p>
      <w:pPr>
        <w:pStyle w:val="2"/>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6.具有≥17</w:t>
      </w:r>
      <w:r>
        <w:rPr>
          <w:rFonts w:hint="eastAsia" w:ascii="仿宋" w:hAnsi="仿宋" w:eastAsia="仿宋" w:cs="仿宋"/>
          <w:color w:val="000000"/>
          <w:kern w:val="0"/>
          <w:sz w:val="28"/>
          <w:szCs w:val="28"/>
          <w:highlight w:val="none"/>
          <w:lang w:val="en-US" w:eastAsia="zh-CN"/>
        </w:rPr>
        <w:t>0</w:t>
      </w:r>
      <w:r>
        <w:rPr>
          <w:rFonts w:hint="eastAsia" w:ascii="仿宋" w:hAnsi="仿宋" w:eastAsia="仿宋" w:cs="仿宋"/>
          <w:color w:val="000000"/>
          <w:kern w:val="0"/>
          <w:sz w:val="28"/>
          <w:szCs w:val="28"/>
          <w:highlight w:val="none"/>
        </w:rPr>
        <w:t>°可视角度；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lang w:val="en-US" w:eastAsia="zh-CN"/>
        </w:rPr>
        <w:t>六、</w:t>
      </w:r>
      <w:r>
        <w:rPr>
          <w:rFonts w:hint="eastAsia" w:ascii="仿宋" w:hAnsi="仿宋" w:eastAsia="仿宋" w:cs="仿宋"/>
          <w:b/>
          <w:bCs/>
          <w:color w:val="000000"/>
          <w:kern w:val="0"/>
          <w:sz w:val="28"/>
          <w:szCs w:val="28"/>
          <w:highlight w:val="none"/>
        </w:rPr>
        <w:t>医用台车</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医用台车一个可放置31英寸医用4K 医用监视器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jc w:val="left"/>
        <w:textAlignment w:val="auto"/>
        <w:rPr>
          <w:rFonts w:hint="eastAsia" w:ascii="仿宋" w:hAnsi="仿宋" w:eastAsia="仿宋" w:cs="仿宋"/>
          <w:color w:val="000000"/>
          <w:kern w:val="0"/>
          <w:sz w:val="28"/>
          <w:szCs w:val="28"/>
          <w:highlight w:val="none"/>
          <w:lang w:eastAsia="zh-CN"/>
        </w:rPr>
      </w:pPr>
      <w:r>
        <w:rPr>
          <w:rFonts w:hint="eastAsia" w:ascii="仿宋" w:hAnsi="仿宋" w:eastAsia="仿宋" w:cs="仿宋"/>
          <w:b/>
          <w:bCs/>
          <w:color w:val="000000"/>
          <w:kern w:val="0"/>
          <w:sz w:val="28"/>
          <w:szCs w:val="28"/>
          <w:highlight w:val="none"/>
          <w:lang w:val="en-US" w:eastAsia="zh-CN"/>
        </w:rPr>
        <w:t>七、</w:t>
      </w:r>
      <w:r>
        <w:rPr>
          <w:rFonts w:hint="eastAsia" w:ascii="仿宋" w:hAnsi="仿宋" w:eastAsia="仿宋" w:cs="仿宋"/>
          <w:b/>
          <w:bCs/>
          <w:color w:val="000000"/>
          <w:kern w:val="0"/>
          <w:sz w:val="28"/>
          <w:szCs w:val="28"/>
          <w:highlight w:val="none"/>
        </w:rPr>
        <w:t>腹腔镜器械一批</w:t>
      </w:r>
      <w:r>
        <w:rPr>
          <w:rFonts w:hint="eastAsia" w:ascii="仿宋" w:hAnsi="仿宋" w:eastAsia="仿宋" w:cs="仿宋"/>
          <w:b/>
          <w:bCs/>
          <w:color w:val="000000"/>
          <w:kern w:val="0"/>
          <w:sz w:val="28"/>
          <w:szCs w:val="28"/>
          <w:highlight w:val="none"/>
          <w:lang w:eastAsia="zh-CN"/>
        </w:rPr>
        <w:t>（</w:t>
      </w:r>
      <w:r>
        <w:rPr>
          <w:rFonts w:hint="eastAsia" w:ascii="仿宋" w:hAnsi="仿宋" w:eastAsia="仿宋" w:cs="仿宋"/>
          <w:strike w:val="0"/>
          <w:color w:val="000000"/>
          <w:kern w:val="0"/>
          <w:sz w:val="28"/>
          <w:szCs w:val="28"/>
          <w:highlight w:val="none"/>
        </w:rPr>
        <w:t>可高温高压灭菌</w:t>
      </w:r>
      <w:r>
        <w:rPr>
          <w:rFonts w:hint="eastAsia" w:ascii="仿宋" w:hAnsi="仿宋" w:eastAsia="仿宋" w:cs="仿宋"/>
          <w:b/>
          <w:bCs/>
          <w:color w:val="000000"/>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1、</w:t>
      </w:r>
      <w:r>
        <w:rPr>
          <w:rFonts w:hint="eastAsia" w:ascii="仿宋" w:hAnsi="仿宋" w:eastAsia="仿宋" w:cs="仿宋"/>
          <w:color w:val="000000"/>
          <w:kern w:val="0"/>
          <w:sz w:val="28"/>
          <w:szCs w:val="28"/>
          <w:highlight w:val="none"/>
        </w:rPr>
        <w:t>镜头消毒盒一个</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、手术器械一批：</w:t>
      </w:r>
    </w:p>
    <w:p>
      <w:pPr>
        <w:pStyle w:val="2"/>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导光束一根</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可加温气腹管一根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左弯分离钳1 把（22mm）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左弯分离钳1 把（16mm）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肠抓钳1 把（带孔横齿，37mm）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粗齿无损伤抓钳1 把（24mm）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大直角分离钳1 把（26mm）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直角分离钳1 把（16mm）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无创鸭嘴抓钳1 把（带孔，18mm）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弯剪1 把（15mm）</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左弯直V 型持针器1 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rPr>
        <w:t>10mm 冲洗吸引管1 把</w:t>
      </w:r>
    </w:p>
    <w:p>
      <w:pPr>
        <w:spacing w:line="360" w:lineRule="auto"/>
        <w:ind w:firstLine="420" w:firstLineChars="200"/>
        <w:rPr>
          <w:rFonts w:hint="eastAsia"/>
          <w:lang w:val="en-US" w:eastAsia="zh-CN"/>
        </w:rPr>
      </w:pPr>
      <w:r>
        <w:rPr>
          <w:rFonts w:hint="eastAsia"/>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32" w:name="_Toc28115"/>
      <w:r>
        <w:rPr>
          <w:rFonts w:hint="eastAsia"/>
          <w:lang w:val="en-US" w:eastAsia="zh-CN"/>
        </w:rPr>
        <w:t>合同格式</w:t>
      </w:r>
      <w:bookmarkEnd w:id="32"/>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合同编号：</w:t>
      </w: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0" w:rightChars="1000"/>
        <w:jc w:val="right"/>
        <w:textAlignment w:val="auto"/>
        <w:rPr>
          <w:rFonts w:hint="eastAsia" w:ascii="华文中宋" w:hAnsi="华文中宋" w:eastAsia="华文中宋" w:cs="华文中宋"/>
          <w:sz w:val="28"/>
          <w:szCs w:val="28"/>
          <w:lang w:val="en-US" w:eastAsia="zh-CN"/>
        </w:rPr>
      </w:pPr>
    </w:p>
    <w:p>
      <w:pPr>
        <w:numPr>
          <w:ilvl w:val="0"/>
          <w:numId w:val="0"/>
        </w:numPr>
        <w:ind w:leftChars="0"/>
        <w:jc w:val="center"/>
        <w:rPr>
          <w:rFonts w:hint="eastAsia" w:ascii="华文中宋" w:hAnsi="华文中宋" w:eastAsia="华文中宋" w:cs="华文中宋"/>
          <w:sz w:val="64"/>
          <w:szCs w:val="64"/>
          <w:lang w:val="en-US" w:eastAsia="zh-CN"/>
        </w:rPr>
      </w:pPr>
      <w:r>
        <w:rPr>
          <w:rFonts w:hint="eastAsia" w:ascii="华文中宋" w:hAnsi="华文中宋" w:eastAsia="华文中宋" w:cs="华文中宋"/>
          <w:spacing w:val="64"/>
          <w:kern w:val="0"/>
          <w:sz w:val="64"/>
          <w:szCs w:val="64"/>
          <w:fitText w:val="4480" w:id="291841352"/>
          <w:lang w:val="en-US" w:eastAsia="zh-CN"/>
        </w:rPr>
        <w:t>政府采购合</w:t>
      </w:r>
      <w:r>
        <w:rPr>
          <w:rFonts w:hint="eastAsia" w:ascii="华文中宋" w:hAnsi="华文中宋" w:eastAsia="华文中宋" w:cs="华文中宋"/>
          <w:spacing w:val="0"/>
          <w:kern w:val="0"/>
          <w:sz w:val="64"/>
          <w:szCs w:val="64"/>
          <w:fitText w:val="4480" w:id="291841352"/>
          <w:lang w:val="en-US" w:eastAsia="zh-CN"/>
        </w:rPr>
        <w:t>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华文中宋" w:hAnsi="华文中宋" w:eastAsia="华文中宋" w:cs="华文中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采购编号：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乙方：</w:t>
      </w: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840" w:firstLineChars="300"/>
        <w:textAlignment w:val="auto"/>
        <w:rPr>
          <w:rFonts w:hint="eastAsia" w:ascii="仿宋" w:hAnsi="仿宋" w:eastAsia="仿宋" w:cs="仿宋"/>
          <w:sz w:val="28"/>
          <w:szCs w:val="28"/>
          <w:lang w:val="en-US" w:eastAsia="zh-CN"/>
        </w:rPr>
      </w:pPr>
      <w:r>
        <w:rPr>
          <w:rFonts w:hint="eastAsia" w:ascii="微软雅黑" w:hAnsi="微软雅黑" w:eastAsia="微软雅黑" w:cs="微软雅黑"/>
          <w:sz w:val="28"/>
          <w:szCs w:val="28"/>
          <w:u w:val="none"/>
          <w:lang w:val="en-US" w:eastAsia="zh-CN"/>
        </w:rPr>
        <w:t>____________________</w:t>
      </w:r>
      <w:r>
        <w:rPr>
          <w:rFonts w:hint="eastAsia" w:ascii="仿宋" w:hAnsi="仿宋" w:eastAsia="仿宋" w:cs="仿宋"/>
          <w:sz w:val="28"/>
          <w:szCs w:val="28"/>
          <w:u w:val="none"/>
          <w:lang w:val="en-US" w:eastAsia="zh-CN"/>
        </w:rPr>
        <w:t>（甲方）</w:t>
      </w:r>
      <w:r>
        <w:rPr>
          <w:rFonts w:hint="eastAsia" w:ascii="仿宋" w:hAnsi="仿宋" w:eastAsia="仿宋" w:cs="仿宋"/>
          <w:sz w:val="28"/>
          <w:szCs w:val="28"/>
          <w:lang w:val="en-US" w:eastAsia="zh-CN"/>
        </w:rPr>
        <w:t>所需</w:t>
      </w:r>
      <w:r>
        <w:rPr>
          <w:rFonts w:hint="eastAsia" w:ascii="微软雅黑" w:hAnsi="微软雅黑" w:eastAsia="微软雅黑" w:cs="微软雅黑"/>
          <w:sz w:val="28"/>
          <w:szCs w:val="28"/>
          <w:u w:val="none"/>
          <w:lang w:val="en-US" w:eastAsia="zh-CN"/>
        </w:rPr>
        <w:t>_______________________</w:t>
      </w:r>
      <w:r>
        <w:rPr>
          <w:rFonts w:hint="eastAsia" w:ascii="仿宋" w:hAnsi="仿宋" w:eastAsia="仿宋" w:cs="仿宋"/>
          <w:sz w:val="28"/>
          <w:szCs w:val="28"/>
          <w:lang w:val="en-US" w:eastAsia="zh-CN"/>
        </w:rPr>
        <w:t>(货物名称)经同诚工程咨询集团股份有限公司以</w:t>
      </w:r>
      <w:r>
        <w:rPr>
          <w:rFonts w:hint="eastAsia" w:ascii="微软雅黑" w:hAnsi="微软雅黑" w:eastAsia="微软雅黑" w:cs="微软雅黑"/>
          <w:sz w:val="28"/>
          <w:szCs w:val="28"/>
          <w:u w:val="none"/>
          <w:lang w:val="en-US" w:eastAsia="zh-CN"/>
        </w:rPr>
        <w:t>__________________</w:t>
      </w:r>
      <w:r>
        <w:rPr>
          <w:rFonts w:hint="eastAsia" w:ascii="仿宋" w:hAnsi="仿宋" w:eastAsia="仿宋" w:cs="仿宋"/>
          <w:sz w:val="28"/>
          <w:szCs w:val="28"/>
          <w:lang w:val="en-US" w:eastAsia="zh-CN"/>
        </w:rPr>
        <w:t>（采购编号）招标文件在国内以公开招标方式进行采购。经评标委员会确定</w:t>
      </w:r>
      <w:r>
        <w:rPr>
          <w:rFonts w:hint="eastAsia" w:ascii="微软雅黑" w:hAnsi="微软雅黑" w:eastAsia="微软雅黑" w:cs="微软雅黑"/>
          <w:sz w:val="28"/>
          <w:szCs w:val="28"/>
          <w:u w:val="none"/>
          <w:lang w:val="en-US" w:eastAsia="zh-CN"/>
        </w:rPr>
        <w:t>________________________</w:t>
      </w:r>
      <w:r>
        <w:rPr>
          <w:rFonts w:hint="eastAsia" w:ascii="仿宋" w:hAnsi="仿宋" w:eastAsia="仿宋" w:cs="仿宋"/>
          <w:sz w:val="28"/>
          <w:szCs w:val="28"/>
          <w:lang w:val="en-US" w:eastAsia="zh-CN"/>
        </w:rPr>
        <w:t>（乙方）为中标人。甲、乙双方根据《中华人民共和国政府采购法》、《中华人民共和国民法典》和其他法律、法规的规定，并按照公正、平等、自愿、诚实信用的原则，同意按照以下条款和条件，签署本合同。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3" w:name="_Toc6202"/>
      <w:r>
        <w:rPr>
          <w:rFonts w:hint="default"/>
          <w:sz w:val="36"/>
          <w:szCs w:val="28"/>
          <w:lang w:val="en-US" w:eastAsia="zh-CN"/>
        </w:rPr>
        <w:t>一、合同文件</w:t>
      </w:r>
      <w:bookmarkEnd w:id="3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本合同所附下列文件是构成本合同不可分割的部分：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（一）本项目招标文件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（二）中标人投标文件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（三）合同格式及合同条款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（四）中标人在评标过程中做出的有关澄清、说明或者补正文件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（五）中标通知书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（六）本合同附件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4" w:name="_Toc22929"/>
      <w:r>
        <w:rPr>
          <w:rFonts w:hint="default"/>
          <w:sz w:val="36"/>
          <w:szCs w:val="28"/>
          <w:lang w:val="en-US" w:eastAsia="zh-CN"/>
        </w:rPr>
        <w:t>二、合同的范围和条件</w:t>
      </w:r>
      <w:bookmarkEnd w:id="3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本合同的范围和条件应与上述合同文件的规定相一致。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5" w:name="_Toc23763"/>
      <w:r>
        <w:rPr>
          <w:rFonts w:hint="default"/>
          <w:sz w:val="36"/>
          <w:szCs w:val="28"/>
          <w:lang w:val="en-US" w:eastAsia="zh-CN"/>
        </w:rPr>
        <w:t>三、货物、数量及规格</w:t>
      </w:r>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本合同所提供的货物、数量及规格详见合同货物清单（附件一）（同投标文件中投标报价明细表，下同）。</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6" w:name="_Toc8807"/>
      <w:r>
        <w:rPr>
          <w:rFonts w:hint="default"/>
          <w:sz w:val="36"/>
          <w:szCs w:val="28"/>
          <w:lang w:val="en-US" w:eastAsia="zh-CN"/>
        </w:rPr>
        <w:t>四、合同金额</w:t>
      </w:r>
      <w:bookmarkEnd w:id="3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根据上述合同文件要求，合同金额为人民币</w:t>
      </w:r>
      <w:r>
        <w:rPr>
          <w:rFonts w:hint="eastAsia" w:ascii="微软雅黑" w:hAnsi="微软雅黑" w:eastAsia="微软雅黑" w:cs="微软雅黑"/>
          <w:sz w:val="28"/>
          <w:szCs w:val="28"/>
          <w:u w:val="none"/>
          <w:lang w:val="en-US" w:eastAsia="zh-CN"/>
        </w:rPr>
        <w:t>______________</w:t>
      </w:r>
      <w:r>
        <w:rPr>
          <w:rFonts w:hint="default" w:ascii="仿宋" w:hAnsi="仿宋" w:eastAsia="仿宋" w:cs="仿宋"/>
          <w:sz w:val="28"/>
          <w:szCs w:val="28"/>
          <w:lang w:val="en-US" w:eastAsia="zh-CN"/>
        </w:rPr>
        <w:t>元，大写：</w:t>
      </w:r>
      <w:r>
        <w:rPr>
          <w:rFonts w:hint="eastAsia" w:ascii="微软雅黑" w:hAnsi="微软雅黑" w:eastAsia="微软雅黑" w:cs="微软雅黑"/>
          <w:sz w:val="28"/>
          <w:szCs w:val="28"/>
          <w:u w:val="none"/>
          <w:lang w:val="en-US" w:eastAsia="zh-CN"/>
        </w:rPr>
        <w:t>________________________</w:t>
      </w:r>
      <w:r>
        <w:rPr>
          <w:rFonts w:hint="default" w:ascii="仿宋" w:hAnsi="仿宋" w:eastAsia="仿宋" w:cs="仿宋"/>
          <w:sz w:val="28"/>
          <w:szCs w:val="28"/>
          <w:lang w:val="en-US" w:eastAsia="zh-CN"/>
        </w:rPr>
        <w:t>。（分项价格详见合同货物清单，详见附件一）。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乙方开户单位：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账</w:t>
      </w:r>
      <w:r>
        <w:rPr>
          <w:rFonts w:hint="default" w:ascii="仿宋" w:hAnsi="仿宋" w:eastAsia="仿宋" w:cs="仿宋"/>
          <w:sz w:val="28"/>
          <w:szCs w:val="28"/>
          <w:lang w:val="en-US" w:eastAsia="zh-CN"/>
        </w:rPr>
        <w:t>号：</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7" w:name="_Toc13328"/>
      <w:r>
        <w:rPr>
          <w:rFonts w:hint="default"/>
          <w:sz w:val="36"/>
          <w:szCs w:val="28"/>
          <w:lang w:val="en-US" w:eastAsia="zh-CN"/>
        </w:rPr>
        <w:t>五、付款途径</w:t>
      </w:r>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□国库集中支付（预算内资金：人民币_______元，预算外资金：人民币_______元）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□甲方支付（人民币元，大写：）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□国库（预算内资金：人民币_______元，预算外资金：人民币_______元）与甲方（人民币_______元）共同支付</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8" w:name="_Toc9881"/>
      <w:r>
        <w:rPr>
          <w:rFonts w:hint="default"/>
          <w:sz w:val="36"/>
          <w:szCs w:val="28"/>
          <w:lang w:val="en-US" w:eastAsia="zh-CN"/>
        </w:rPr>
        <w:t>六、付款方式</w:t>
      </w:r>
      <w:bookmarkEnd w:id="3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□分期支付方式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□一次性支付方式，即人民币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none"/>
          <w:lang w:val="en-US" w:eastAsia="zh-CN"/>
        </w:rPr>
        <w:t>______________________</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□其他支付方式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39" w:name="_Toc11362"/>
      <w:r>
        <w:rPr>
          <w:rFonts w:hint="default"/>
          <w:sz w:val="36"/>
          <w:szCs w:val="28"/>
          <w:lang w:val="en-US" w:eastAsia="zh-CN"/>
        </w:rPr>
        <w:t>七、交货日期、地点</w:t>
      </w:r>
      <w:bookmarkEnd w:id="39"/>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1、交货日期：合同生效之日起</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w:t>
      </w:r>
      <w:r>
        <w:rPr>
          <w:rFonts w:hint="eastAsia" w:ascii="仿宋" w:hAnsi="仿宋" w:eastAsia="仿宋" w:cs="仿宋"/>
          <w:sz w:val="28"/>
          <w:szCs w:val="28"/>
          <w:u w:val="none"/>
          <w:lang w:val="en-US" w:eastAsia="zh-CN"/>
        </w:rPr>
        <w:t>_________________________。</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0" w:name="_Toc18187"/>
      <w:r>
        <w:rPr>
          <w:rFonts w:hint="default"/>
          <w:sz w:val="36"/>
          <w:szCs w:val="28"/>
          <w:lang w:val="en-US" w:eastAsia="zh-CN"/>
        </w:rPr>
        <w:t>八、质量标准和验收</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2、乙方提供的合同货物应通过货物制造厂商的出厂检验，并提供质量合格证书</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3、货物到达指定地点后，甲乙双方联合组织验收，必要时可邀请第三方机构或专业人员协助组织。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1" w:name="_Toc26222"/>
      <w:r>
        <w:rPr>
          <w:rFonts w:hint="default"/>
          <w:sz w:val="36"/>
          <w:szCs w:val="28"/>
          <w:lang w:val="en-US" w:eastAsia="zh-CN"/>
        </w:rPr>
        <w:t>九、履约保证金</w:t>
      </w:r>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乙方在收到《中标通知书》后，应按照招标文件的规定，向甲方提交履约保证金。</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2" w:name="_Toc8157"/>
      <w:r>
        <w:rPr>
          <w:rFonts w:hint="default"/>
          <w:sz w:val="36"/>
          <w:szCs w:val="28"/>
          <w:lang w:val="en-US" w:eastAsia="zh-CN"/>
        </w:rPr>
        <w:t>十、违约责任</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1、合同一方违约，违约方向对方支付违约金，违约金额为 。乙方违约，直接从质保金中扣除；甲方违约，从采购款项中扣除。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2、给对方造成的实际损失高于违约金的，对高出违约金的部分应予以赔偿。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3、乙方迟延履行合同、不完全履行合同或提供的服务不符合招标文件的要求，除支付违约金外，仍应实际履行合同或重新提供符合要求的服务。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4、其它未尽事宜，以《中华人民共和国民法典》规定为准。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3" w:name="_Toc15291"/>
      <w:r>
        <w:rPr>
          <w:rFonts w:hint="default"/>
          <w:sz w:val="36"/>
          <w:szCs w:val="28"/>
          <w:lang w:val="en-US" w:eastAsia="zh-CN"/>
        </w:rPr>
        <w:t>十一、争议解决</w:t>
      </w:r>
      <w:bookmarkEnd w:id="43"/>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合同双方应通过友好协商解决因解释﹑执行本合同所发生的和本合同有关的一切争议。如果经协商不能达成协议，双方约定采用下列第</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种方式解决：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仲裁委员会提起仲裁；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2、向</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法院提起诉讼。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4" w:name="_Toc8912"/>
      <w:r>
        <w:rPr>
          <w:rFonts w:hint="default"/>
          <w:sz w:val="36"/>
          <w:szCs w:val="28"/>
          <w:lang w:val="en-US" w:eastAsia="zh-CN"/>
        </w:rPr>
        <w:t>十二、合同生效</w:t>
      </w:r>
      <w:bookmarkEnd w:id="44"/>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本合同经甲乙双方签字盖章后生效。</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5" w:name="_Toc17395"/>
      <w:r>
        <w:rPr>
          <w:rFonts w:hint="default"/>
          <w:sz w:val="36"/>
          <w:szCs w:val="28"/>
          <w:lang w:val="en-US" w:eastAsia="zh-CN"/>
        </w:rPr>
        <w:t>十三、其他</w:t>
      </w:r>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sz w:val="36"/>
          <w:szCs w:val="28"/>
          <w:lang w:val="en-US" w:eastAsia="zh-CN"/>
        </w:rPr>
      </w:pPr>
      <w:bookmarkStart w:id="46" w:name="_Toc2577"/>
      <w:r>
        <w:rPr>
          <w:rFonts w:hint="default"/>
          <w:sz w:val="36"/>
          <w:szCs w:val="28"/>
          <w:lang w:val="en-US" w:eastAsia="zh-CN"/>
        </w:rPr>
        <w:t>十四、合同保存</w:t>
      </w:r>
      <w:bookmarkEnd w:id="46"/>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本合同一式</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份，甲方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份，乙方</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同诚工程咨询集团股份</w:t>
      </w:r>
      <w:r>
        <w:rPr>
          <w:rFonts w:hint="default" w:ascii="仿宋" w:hAnsi="仿宋" w:eastAsia="仿宋" w:cs="仿宋"/>
          <w:sz w:val="28"/>
          <w:szCs w:val="28"/>
          <w:lang w:val="en-US" w:eastAsia="zh-CN"/>
        </w:rPr>
        <w:t>有限公司</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份</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甲方（盖章）：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1226195048"/>
                <w:vertAlign w:val="baseline"/>
                <w:lang w:val="en-US" w:eastAsia="zh-CN"/>
              </w:rPr>
              <w:t>授权代表</w:t>
            </w:r>
            <w:r>
              <w:rPr>
                <w:rFonts w:hint="eastAsia" w:ascii="仿宋" w:hAnsi="仿宋" w:eastAsia="仿宋" w:cs="仿宋"/>
                <w:sz w:val="28"/>
                <w:szCs w:val="28"/>
                <w:vertAlign w:val="baseline"/>
                <w:lang w:val="en-US" w:eastAsia="zh-CN"/>
              </w:rPr>
              <w:t>（签字或盖章）：</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0"/>
                <w:sz w:val="28"/>
                <w:szCs w:val="28"/>
                <w:vertAlign w:val="baseline"/>
                <w:lang w:val="en-US" w:eastAsia="zh-CN"/>
              </w:rPr>
              <w:t>或</w:t>
            </w:r>
            <w:r>
              <w:rPr>
                <w:rFonts w:hint="eastAsia" w:ascii="仿宋" w:hAnsi="仿宋" w:eastAsia="仿宋" w:cs="仿宋"/>
                <w:spacing w:val="1"/>
                <w:w w:val="93"/>
                <w:kern w:val="0"/>
                <w:sz w:val="28"/>
                <w:szCs w:val="28"/>
                <w:fitText w:val="1050" w:id="37888106"/>
                <w:vertAlign w:val="baseline"/>
                <w:lang w:val="en-US" w:eastAsia="zh-CN"/>
              </w:rPr>
              <w:t>授权代表</w:t>
            </w:r>
            <w:r>
              <w:rPr>
                <w:rFonts w:hint="eastAsia" w:ascii="仿宋" w:hAnsi="仿宋" w:eastAsia="仿宋" w:cs="仿宋"/>
                <w:sz w:val="28"/>
                <w:szCs w:val="28"/>
                <w:vertAlign w:val="baseli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w:t>
            </w:r>
          </w:p>
        </w:tc>
        <w:tc>
          <w:tcPr>
            <w:tcW w:w="4261"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住所：</w:t>
            </w:r>
          </w:p>
        </w:tc>
      </w:tr>
    </w:tbl>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签订日期：    年   月   日</w:t>
      </w:r>
    </w:p>
    <w:p>
      <w:pPr>
        <w:rPr>
          <w:rFonts w:hint="default"/>
          <w:sz w:val="22"/>
          <w:szCs w:val="28"/>
          <w:lang w:val="en-US" w:eastAsia="zh-CN"/>
        </w:rPr>
      </w:pPr>
      <w:r>
        <w:rPr>
          <w:rFonts w:hint="default"/>
          <w:sz w:val="22"/>
          <w:szCs w:val="28"/>
          <w:lang w:val="en-US" w:eastAsia="zh-CN"/>
        </w:rPr>
        <w:br w:type="page"/>
      </w:r>
    </w:p>
    <w:p>
      <w:pPr>
        <w:pStyle w:val="3"/>
        <w:numPr>
          <w:ilvl w:val="0"/>
          <w:numId w:val="7"/>
        </w:numPr>
        <w:bidi w:val="0"/>
        <w:rPr>
          <w:rFonts w:hint="eastAsia"/>
          <w:lang w:val="en-US" w:eastAsia="zh-CN"/>
        </w:rPr>
      </w:pPr>
      <w:r>
        <w:rPr>
          <w:rFonts w:hint="eastAsia"/>
          <w:lang w:val="en-US" w:eastAsia="zh-CN"/>
        </w:rPr>
        <w:t xml:space="preserve"> </w:t>
      </w:r>
      <w:bookmarkStart w:id="47" w:name="_Toc29975"/>
      <w:r>
        <w:rPr>
          <w:rFonts w:hint="eastAsia"/>
          <w:lang w:val="en-US" w:eastAsia="zh-CN"/>
        </w:rPr>
        <w:t>投标文件格式</w:t>
      </w:r>
      <w:bookmarkEnd w:id="47"/>
    </w:p>
    <w:p>
      <w:pPr>
        <w:rPr>
          <w:rFonts w:hint="eastAsia" w:ascii="华文中宋" w:hAnsi="华文中宋" w:eastAsia="华文中宋" w:cs="华文中宋"/>
        </w:rPr>
      </w:pPr>
    </w:p>
    <w:p>
      <w:pPr>
        <w:jc w:val="righ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正/副本</w:t>
      </w:r>
    </w:p>
    <w:p>
      <w:pPr>
        <w:rPr>
          <w:rFonts w:hint="eastAsia" w:ascii="华文中宋" w:hAnsi="华文中宋" w:eastAsia="华文中宋" w:cs="华文中宋"/>
        </w:rPr>
      </w:pPr>
    </w:p>
    <w:p>
      <w:pPr>
        <w:jc w:val="center"/>
        <w:rPr>
          <w:rFonts w:hint="eastAsia" w:ascii="华文中宋" w:hAnsi="华文中宋" w:eastAsia="华文中宋" w:cs="华文中宋"/>
          <w:spacing w:val="11"/>
          <w:sz w:val="48"/>
          <w:szCs w:val="48"/>
        </w:rPr>
      </w:pPr>
      <w:r>
        <w:rPr>
          <w:rFonts w:hint="eastAsia" w:ascii="华文中宋" w:hAnsi="华文中宋" w:eastAsia="华文中宋" w:cs="华文中宋"/>
          <w:spacing w:val="11"/>
          <w:sz w:val="48"/>
          <w:szCs w:val="48"/>
        </w:rPr>
        <w:t>山东大学第二医院</w:t>
      </w:r>
    </w:p>
    <w:p>
      <w:pPr>
        <w:jc w:val="center"/>
        <w:rPr>
          <w:rFonts w:hint="default" w:ascii="华文中宋" w:hAnsi="华文中宋" w:eastAsia="华文中宋" w:cs="华文中宋"/>
          <w:spacing w:val="11"/>
          <w:sz w:val="48"/>
          <w:szCs w:val="48"/>
          <w:lang w:val="en-US"/>
        </w:rPr>
      </w:pPr>
      <w:r>
        <w:rPr>
          <w:rFonts w:hint="eastAsia" w:ascii="华文中宋" w:hAnsi="华文中宋" w:eastAsia="华文中宋" w:cs="华文中宋"/>
          <w:spacing w:val="11"/>
          <w:sz w:val="48"/>
          <w:szCs w:val="48"/>
          <w:lang w:val="en-US" w:eastAsia="zh-CN"/>
        </w:rPr>
        <w:t>4K荧光腹腔内窥镜系统采购</w:t>
      </w:r>
    </w:p>
    <w:p>
      <w:pPr>
        <w:jc w:val="center"/>
        <w:rPr>
          <w:rFonts w:hint="eastAsia" w:ascii="华文中宋" w:hAnsi="华文中宋" w:eastAsia="华文中宋" w:cs="华文中宋"/>
          <w:sz w:val="52"/>
          <w:szCs w:val="52"/>
          <w:lang w:val="en-US" w:eastAsia="zh-CN"/>
        </w:rPr>
      </w:pPr>
    </w:p>
    <w:p>
      <w:pPr>
        <w:jc w:val="center"/>
        <w:rPr>
          <w:rFonts w:hint="eastAsia" w:ascii="华文中宋" w:hAnsi="华文中宋" w:eastAsia="华文中宋" w:cs="华文中宋"/>
          <w:sz w:val="72"/>
          <w:szCs w:val="72"/>
          <w:lang w:val="en-US" w:eastAsia="zh-CN"/>
        </w:rPr>
      </w:pPr>
      <w:r>
        <w:rPr>
          <w:rFonts w:hint="eastAsia" w:ascii="华文中宋" w:hAnsi="华文中宋" w:eastAsia="华文中宋" w:cs="华文中宋"/>
          <w:sz w:val="72"/>
          <w:szCs w:val="72"/>
          <w:lang w:val="en-US" w:eastAsia="zh-CN"/>
        </w:rPr>
        <w:t>投 标 文 件</w:t>
      </w:r>
    </w:p>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项目编号：TCZX-HW-2021-058</w:t>
      </w:r>
    </w:p>
    <w:p>
      <w:pPr>
        <w:jc w:val="center"/>
        <w:rPr>
          <w:rFonts w:hint="eastAsia" w:ascii="华文中宋" w:hAnsi="华文中宋" w:eastAsia="华文中宋" w:cs="华文中宋"/>
          <w:sz w:val="28"/>
          <w:szCs w:val="28"/>
          <w:lang w:val="en-US" w:eastAsia="zh-CN"/>
        </w:rPr>
      </w:pPr>
    </w:p>
    <w:p>
      <w:pPr>
        <w:jc w:val="center"/>
        <w:rPr>
          <w:rFonts w:hint="default" w:ascii="华文中宋" w:hAnsi="华文中宋" w:eastAsia="华文中宋" w:cs="华文中宋"/>
          <w:sz w:val="28"/>
          <w:szCs w:val="28"/>
          <w:lang w:val="en-US" w:eastAsia="zh-CN"/>
        </w:rPr>
      </w:pPr>
    </w:p>
    <w:p>
      <w:pPr>
        <w:jc w:val="cente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rPr>
          <w:rFonts w:hint="eastAsia" w:ascii="华文中宋" w:hAnsi="华文中宋" w:eastAsia="华文中宋" w:cs="华文中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default" w:ascii="华文中宋" w:hAnsi="华文中宋" w:eastAsia="华文中宋" w:cs="华文中宋"/>
          <w:spacing w:val="11"/>
          <w:sz w:val="32"/>
          <w:szCs w:val="32"/>
          <w:u w:val="single"/>
          <w:lang w:val="en-US"/>
        </w:rPr>
      </w:pPr>
      <w:r>
        <w:rPr>
          <w:rFonts w:hint="eastAsia" w:ascii="华文中宋" w:hAnsi="华文中宋" w:eastAsia="华文中宋" w:cs="华文中宋"/>
          <w:kern w:val="0"/>
          <w:sz w:val="32"/>
          <w:szCs w:val="32"/>
          <w:lang w:val="en-US" w:eastAsia="zh-CN"/>
        </w:rPr>
        <w:t>供应商（盖章）</w:t>
      </w:r>
      <w:r>
        <w:rPr>
          <w:rFonts w:hint="eastAsia" w:ascii="华文中宋" w:hAnsi="华文中宋" w:eastAsia="华文中宋" w:cs="华文中宋"/>
          <w:spacing w:val="11"/>
          <w:sz w:val="32"/>
          <w:szCs w:val="32"/>
          <w:lang w:val="en-US" w:eastAsia="zh-CN"/>
        </w:rPr>
        <w:t>：</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20" w:leftChars="200" w:firstLine="0" w:firstLineChars="0"/>
        <w:textAlignment w:val="auto"/>
        <w:rPr>
          <w:rFonts w:hint="default" w:ascii="华文中宋" w:hAnsi="华文中宋" w:eastAsia="华文中宋" w:cs="华文中宋"/>
          <w:spacing w:val="11"/>
          <w:sz w:val="32"/>
          <w:szCs w:val="32"/>
          <w:u w:val="single"/>
          <w:lang w:val="en-US" w:eastAsia="zh-CN"/>
        </w:rPr>
      </w:pPr>
      <w:r>
        <w:rPr>
          <w:rFonts w:hint="eastAsia" w:ascii="华文中宋" w:hAnsi="华文中宋" w:eastAsia="华文中宋" w:cs="华文中宋"/>
          <w:spacing w:val="11"/>
          <w:sz w:val="32"/>
          <w:szCs w:val="32"/>
          <w:lang w:val="en-US" w:eastAsia="zh-CN"/>
        </w:rPr>
        <w:t>法定代表人或授权代表（签字）：</w:t>
      </w:r>
      <w:r>
        <w:rPr>
          <w:rFonts w:hint="eastAsia" w:ascii="华文中宋" w:hAnsi="华文中宋" w:eastAsia="华文中宋" w:cs="华文中宋"/>
          <w:spacing w:val="1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华文中宋" w:hAnsi="华文中宋" w:eastAsia="华文中宋" w:cs="华文中宋"/>
          <w:spacing w:val="11"/>
          <w:sz w:val="32"/>
          <w:szCs w:val="32"/>
          <w:lang w:val="en-US" w:eastAsia="zh-CN"/>
        </w:rPr>
      </w:pPr>
      <w:r>
        <w:rPr>
          <w:rFonts w:hint="eastAsia" w:ascii="华文中宋" w:hAnsi="华文中宋" w:eastAsia="华文中宋" w:cs="华文中宋"/>
          <w:spacing w:val="11"/>
          <w:sz w:val="32"/>
          <w:szCs w:val="32"/>
          <w:lang w:val="en-US" w:eastAsia="zh-CN"/>
        </w:rPr>
        <w:t>日期：</w:t>
      </w:r>
      <w:r>
        <w:rPr>
          <w:rFonts w:hint="eastAsia" w:ascii="华文中宋" w:hAnsi="华文中宋" w:eastAsia="华文中宋" w:cs="华文中宋"/>
          <w:spacing w:val="11"/>
          <w:sz w:val="32"/>
          <w:szCs w:val="32"/>
          <w:u w:val="single"/>
          <w:lang w:val="en-US" w:eastAsia="zh-CN"/>
        </w:rPr>
        <w:t>2021</w:t>
      </w:r>
      <w:r>
        <w:rPr>
          <w:rFonts w:hint="eastAsia" w:ascii="华文中宋" w:hAnsi="华文中宋" w:eastAsia="华文中宋" w:cs="华文中宋"/>
          <w:spacing w:val="11"/>
          <w:sz w:val="32"/>
          <w:szCs w:val="32"/>
          <w:lang w:val="en-US" w:eastAsia="zh-CN"/>
        </w:rPr>
        <w:t>年</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月</w:t>
      </w:r>
      <w:r>
        <w:rPr>
          <w:rFonts w:hint="eastAsia" w:ascii="华文中宋" w:hAnsi="华文中宋" w:eastAsia="华文中宋" w:cs="华文中宋"/>
          <w:spacing w:val="11"/>
          <w:sz w:val="32"/>
          <w:szCs w:val="32"/>
          <w:u w:val="single"/>
          <w:lang w:val="en-US" w:eastAsia="zh-CN"/>
        </w:rPr>
        <w:t xml:space="preserve">   </w:t>
      </w:r>
      <w:r>
        <w:rPr>
          <w:rFonts w:hint="eastAsia" w:ascii="华文中宋" w:hAnsi="华文中宋" w:eastAsia="华文中宋" w:cs="华文中宋"/>
          <w:spacing w:val="11"/>
          <w:sz w:val="32"/>
          <w:szCs w:val="32"/>
          <w:lang w:val="en-US" w:eastAsia="zh-CN"/>
        </w:rPr>
        <w:t>日</w:t>
      </w:r>
    </w:p>
    <w:p>
      <w:pPr>
        <w:rPr>
          <w:rFonts w:hint="default"/>
          <w:lang w:val="en-US" w:eastAsia="zh-CN"/>
        </w:rPr>
      </w:pPr>
      <w:r>
        <w:rPr>
          <w:rFonts w:hint="default"/>
          <w:lang w:val="en-US" w:eastAsia="zh-CN"/>
        </w:rPr>
        <w:br w:type="page"/>
      </w:r>
    </w:p>
    <w:p>
      <w:pPr>
        <w:pStyle w:val="4"/>
        <w:keepNext w:val="0"/>
        <w:keepLines w:val="0"/>
        <w:pageBreakBefore w:val="0"/>
        <w:widowControl w:val="0"/>
        <w:kinsoku/>
        <w:wordWrap/>
        <w:overflowPunct/>
        <w:topLinePunct w:val="0"/>
        <w:autoSpaceDE/>
        <w:autoSpaceDN/>
        <w:bidi w:val="0"/>
        <w:adjustRightInd/>
        <w:spacing w:line="348" w:lineRule="auto"/>
        <w:textAlignment w:val="auto"/>
        <w:rPr>
          <w:rFonts w:hint="eastAsia"/>
          <w:sz w:val="36"/>
          <w:szCs w:val="28"/>
          <w:lang w:val="en-US" w:eastAsia="zh-CN"/>
        </w:rPr>
      </w:pPr>
      <w:bookmarkStart w:id="48" w:name="_Toc3606"/>
      <w:r>
        <w:rPr>
          <w:rFonts w:hint="eastAsia"/>
          <w:sz w:val="36"/>
          <w:szCs w:val="28"/>
          <w:lang w:val="en-US" w:eastAsia="zh-CN"/>
        </w:rPr>
        <w:t>附件一：投标函</w:t>
      </w:r>
      <w:bookmarkEnd w:id="48"/>
    </w:p>
    <w:p>
      <w:pPr>
        <w:keepNext w:val="0"/>
        <w:keepLines w:val="0"/>
        <w:pageBreakBefore w:val="0"/>
        <w:widowControl w:val="0"/>
        <w:kinsoku/>
        <w:wordWrap/>
        <w:overflowPunct/>
        <w:topLinePunct w:val="0"/>
        <w:autoSpaceDE/>
        <w:autoSpaceDN/>
        <w:bidi w:val="0"/>
        <w:adjustRightInd/>
        <w:snapToGrid w:val="0"/>
        <w:spacing w:line="348"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经研究，我方决定参加项目编号为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的____________________采购（项目名称）项目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（包）并投标。为此，我方郑重声明以下几点，并负法律责任：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1、我方提交的投标文件，正本</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份，副本</w:t>
      </w:r>
      <w:r>
        <w:rPr>
          <w:rFonts w:hint="eastAsia" w:ascii="仿宋" w:hAnsi="仿宋" w:eastAsia="仿宋" w:cs="仿宋"/>
          <w:sz w:val="28"/>
          <w:szCs w:val="28"/>
          <w:u w:val="single"/>
          <w:lang w:val="en-US" w:eastAsia="zh-CN"/>
        </w:rPr>
        <w:t xml:space="preserve"> 3 </w:t>
      </w:r>
      <w:r>
        <w:rPr>
          <w:rFonts w:hint="eastAsia" w:ascii="仿宋" w:hAnsi="仿宋" w:eastAsia="仿宋" w:cs="仿宋"/>
          <w:sz w:val="28"/>
          <w:szCs w:val="28"/>
          <w:lang w:val="en-US" w:eastAsia="zh-CN"/>
        </w:rPr>
        <w:t>份，电子版</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lang w:val="en-US" w:eastAsia="zh-CN"/>
        </w:rPr>
        <w:t>份。</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2、如果我方的投标文件被接受，我方将履行招标文件中规定的每一项要求，并按我方投标文件中的承诺按期、保质、保量提供货物。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4、我方愿按《中华人民共和国民法典》履行自己的全部责任。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6、我方同意本投标文件在招标文件规定的提交投标文件截止时间后，在招标文件规定的投标有效期期满前对我方具有约束力，且随时准备接受你方发出的中标通知书。</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供应商代表姓名、职务（印刷体）：</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供应商名称（公章）：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开户银行名称：</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开户银行账号：</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val="0"/>
        <w:spacing w:line="348"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p>
      <w:pPr>
        <w:keepNext w:val="0"/>
        <w:keepLines w:val="0"/>
        <w:pageBreakBefore w:val="0"/>
        <w:widowControl w:val="0"/>
        <w:kinsoku/>
        <w:wordWrap/>
        <w:overflowPunct/>
        <w:topLinePunct w:val="0"/>
        <w:autoSpaceDE/>
        <w:autoSpaceDN/>
        <w:bidi w:val="0"/>
        <w:adjustRightInd/>
        <w:snapToGrid w:val="0"/>
        <w:spacing w:line="348"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年   月   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49" w:name="_Toc15950"/>
      <w:r>
        <w:rPr>
          <w:rFonts w:hint="eastAsia"/>
          <w:sz w:val="36"/>
          <w:szCs w:val="28"/>
          <w:lang w:val="en-US" w:eastAsia="zh-CN"/>
        </w:rPr>
        <w:t>附件二：法定代表人身份证明</w:t>
      </w:r>
      <w:bookmarkEnd w:id="4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单位性质：</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经营期限：</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系__________________________（供应商名称）的法定代表人。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0" w:name="_Toc24503"/>
      <w:r>
        <w:rPr>
          <w:rFonts w:hint="eastAsia"/>
          <w:sz w:val="36"/>
          <w:szCs w:val="28"/>
          <w:lang w:val="en-US" w:eastAsia="zh-CN"/>
        </w:rPr>
        <w:t>附件三：法定代表人授权委托书</w:t>
      </w:r>
      <w:bookmarkEnd w:id="50"/>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山东大学第二医院：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特此授权。</w:t>
      </w:r>
    </w:p>
    <w:tbl>
      <w:tblPr>
        <w:tblStyle w:val="1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人像面</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（附法</w:t>
            </w:r>
            <w:r>
              <w:rPr>
                <w:rFonts w:hint="eastAsia" w:ascii="仿宋" w:hAnsi="仿宋" w:eastAsia="仿宋" w:cs="仿宋"/>
                <w:color w:val="auto"/>
                <w:sz w:val="28"/>
                <w:szCs w:val="28"/>
                <w:highlight w:val="none"/>
                <w:lang w:val="en-US" w:eastAsia="zh-CN"/>
              </w:rPr>
              <w:t>定代表人</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c>
          <w:tcPr>
            <w:tcW w:w="4309" w:type="dxa"/>
            <w:vAlign w:val="center"/>
          </w:tcPr>
          <w:p>
            <w:pPr>
              <w:tabs>
                <w:tab w:val="left" w:pos="4581"/>
              </w:tabs>
              <w:spacing w:line="520" w:lineRule="exact"/>
              <w:jc w:val="center"/>
              <w:rPr>
                <w:rFonts w:hint="eastAsia" w:ascii="仿宋" w:hAnsi="仿宋" w:eastAsia="仿宋" w:cs="仿宋"/>
                <w:sz w:val="22"/>
                <w:szCs w:val="28"/>
                <w:vertAlign w:val="baseline"/>
                <w:lang w:val="en-US" w:eastAsia="zh-CN"/>
              </w:rPr>
            </w:pPr>
            <w:r>
              <w:rPr>
                <w:rFonts w:hint="eastAsia" w:ascii="仿宋" w:hAnsi="仿宋" w:eastAsia="仿宋" w:cs="仿宋"/>
                <w:color w:val="auto"/>
                <w:sz w:val="28"/>
                <w:szCs w:val="28"/>
                <w:highlight w:val="none"/>
              </w:rPr>
              <w:t>（附授权代</w:t>
            </w:r>
            <w:r>
              <w:rPr>
                <w:rFonts w:hint="eastAsia" w:ascii="仿宋" w:hAnsi="仿宋" w:eastAsia="仿宋" w:cs="仿宋"/>
                <w:color w:val="auto"/>
                <w:sz w:val="28"/>
                <w:szCs w:val="28"/>
                <w:highlight w:val="none"/>
                <w:lang w:val="en-US" w:eastAsia="zh-CN"/>
              </w:rPr>
              <w:t>表</w:t>
            </w:r>
            <w:r>
              <w:rPr>
                <w:rFonts w:hint="eastAsia" w:ascii="仿宋" w:hAnsi="仿宋" w:eastAsia="仿宋" w:cs="仿宋"/>
                <w:color w:val="auto"/>
                <w:sz w:val="28"/>
                <w:szCs w:val="28"/>
                <w:highlight w:val="none"/>
              </w:rPr>
              <w:t>身份证复印件</w:t>
            </w:r>
            <w:r>
              <w:rPr>
                <w:rFonts w:hint="eastAsia" w:ascii="仿宋" w:hAnsi="仿宋" w:eastAsia="仿宋" w:cs="仿宋"/>
                <w:color w:val="auto"/>
                <w:sz w:val="28"/>
                <w:szCs w:val="28"/>
                <w:highlight w:val="none"/>
                <w:lang w:val="en-US" w:eastAsia="zh-CN"/>
              </w:rPr>
              <w:t>国徽面</w:t>
            </w:r>
            <w:r>
              <w:rPr>
                <w:rFonts w:hint="eastAsia" w:ascii="仿宋" w:hAnsi="仿宋" w:eastAsia="仿宋" w:cs="仿宋"/>
                <w:color w:val="auto"/>
                <w:sz w:val="28"/>
                <w:szCs w:val="28"/>
                <w:highlight w:val="none"/>
              </w:rPr>
              <w:t>）</w:t>
            </w:r>
          </w:p>
        </w:tc>
      </w:tr>
    </w:tbl>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pacing w:val="46"/>
          <w:kern w:val="0"/>
          <w:sz w:val="28"/>
          <w:szCs w:val="28"/>
          <w:fitText w:val="1400" w:id="725709872"/>
          <w:lang w:val="en-US" w:eastAsia="zh-CN"/>
        </w:rPr>
        <w:t>授权代</w:t>
      </w:r>
      <w:r>
        <w:rPr>
          <w:rFonts w:hint="eastAsia" w:ascii="仿宋" w:hAnsi="仿宋" w:eastAsia="仿宋" w:cs="仿宋"/>
          <w:spacing w:val="2"/>
          <w:kern w:val="0"/>
          <w:sz w:val="28"/>
          <w:szCs w:val="28"/>
          <w:fitText w:val="1400" w:id="725709872"/>
          <w:lang w:val="en-US" w:eastAsia="zh-CN"/>
        </w:rPr>
        <w:t>表</w:t>
      </w:r>
      <w:r>
        <w:rPr>
          <w:rFonts w:hint="default" w:ascii="仿宋" w:hAnsi="仿宋" w:eastAsia="仿宋" w:cs="仿宋"/>
          <w:sz w:val="28"/>
          <w:szCs w:val="28"/>
          <w:lang w:val="en-US" w:eastAsia="zh-CN"/>
        </w:rPr>
        <w:t>（签字或盖章）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1" w:name="_Toc14908"/>
      <w:r>
        <w:rPr>
          <w:rFonts w:hint="eastAsia"/>
          <w:sz w:val="36"/>
          <w:szCs w:val="28"/>
          <w:lang w:val="en-US" w:eastAsia="zh-CN"/>
        </w:rPr>
        <w:t>附件四：开标一览表</w:t>
      </w:r>
      <w:bookmarkEnd w:id="5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供应商名称</w:t>
            </w:r>
          </w:p>
        </w:tc>
        <w:tc>
          <w:tcPr>
            <w:tcW w:w="6703" w:type="dxa"/>
            <w:vAlign w:val="center"/>
          </w:tcPr>
          <w:p>
            <w:p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总报价</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设备描述</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交货期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对招标文件的认同程度（是否完全认同）</w:t>
            </w:r>
          </w:p>
        </w:tc>
        <w:tc>
          <w:tcPr>
            <w:tcW w:w="6703"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小微企业</w:t>
            </w:r>
          </w:p>
        </w:tc>
        <w:tc>
          <w:tcPr>
            <w:tcW w:w="6703"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本单位</w:t>
            </w:r>
            <w:r>
              <w:rPr>
                <w:rFonts w:hint="eastAsia" w:ascii="仿宋" w:hAnsi="仿宋" w:eastAsia="仿宋" w:cs="仿宋"/>
                <w:sz w:val="28"/>
                <w:szCs w:val="28"/>
                <w:u w:val="single"/>
                <w:vertAlign w:val="baseline"/>
                <w:lang w:val="en-US" w:eastAsia="zh-CN"/>
              </w:rPr>
              <w:t xml:space="preserve">  （是否）</w:t>
            </w:r>
            <w:r>
              <w:rPr>
                <w:rFonts w:hint="eastAsia" w:ascii="仿宋" w:hAnsi="仿宋" w:eastAsia="仿宋" w:cs="仿宋"/>
                <w:sz w:val="28"/>
                <w:szCs w:val="28"/>
                <w:vertAlign w:val="baseline"/>
                <w:lang w:val="en-US" w:eastAsia="zh-CN"/>
              </w:rPr>
              <w:t>提供小微企业产品</w:t>
            </w:r>
          </w:p>
          <w:p>
            <w:pPr>
              <w:jc w:val="both"/>
              <w:rPr>
                <w:rFonts w:hint="default"/>
                <w:lang w:val="en-US" w:eastAsia="zh-CN"/>
              </w:rPr>
            </w:pPr>
            <w:r>
              <w:rPr>
                <w:rFonts w:hint="eastAsia" w:ascii="仿宋" w:hAnsi="仿宋" w:eastAsia="仿宋" w:cs="仿宋"/>
                <w:sz w:val="28"/>
                <w:szCs w:val="28"/>
                <w:vertAlign w:val="baseline"/>
                <w:lang w:val="en-US" w:eastAsia="zh-CN"/>
              </w:rPr>
              <w:t>提供小微小微企业产品总金额为</w:t>
            </w:r>
            <w:r>
              <w:rPr>
                <w:rFonts w:hint="eastAsia" w:ascii="仿宋" w:hAnsi="仿宋" w:eastAsia="仿宋" w:cs="仿宋"/>
                <w:sz w:val="28"/>
                <w:szCs w:val="28"/>
                <w:u w:val="single"/>
                <w:vertAlign w:val="baseline"/>
                <w:lang w:val="en-US" w:eastAsia="zh-CN"/>
              </w:rPr>
              <w:t xml:space="preserve">        </w:t>
            </w:r>
            <w:r>
              <w:rPr>
                <w:rFonts w:hint="eastAsia" w:ascii="仿宋" w:hAnsi="仿宋" w:eastAsia="仿宋" w:cs="仿宋"/>
                <w:sz w:val="28"/>
                <w:szCs w:val="28"/>
                <w:vertAlign w:val="baseline"/>
                <w:lang w:val="en-US" w:eastAsia="zh-CN"/>
              </w:rPr>
              <w:t>元</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注：1、本表除需在投标文件中装订外，还需另外一式三份单独密封，以便于唱标。</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2、本表必须按给定格式填写完整，不允许空白，如无相应内容，填“无”。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4"/>
        <w:bidi w:val="0"/>
        <w:rPr>
          <w:rFonts w:hint="eastAsia"/>
          <w:sz w:val="36"/>
          <w:szCs w:val="28"/>
          <w:lang w:val="en-US" w:eastAsia="zh-CN"/>
        </w:rPr>
      </w:pPr>
      <w:bookmarkStart w:id="52" w:name="_Toc12194"/>
      <w:r>
        <w:rPr>
          <w:rFonts w:hint="eastAsia"/>
          <w:sz w:val="36"/>
          <w:szCs w:val="28"/>
          <w:lang w:val="en-US" w:eastAsia="zh-CN"/>
        </w:rPr>
        <w:t>附件五：主要设备及配件报价明细表</w:t>
      </w:r>
      <w:bookmarkEnd w:id="5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657"/>
        <w:gridCol w:w="1005"/>
        <w:gridCol w:w="1850"/>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6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65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（详细配置）</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18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制造商及产地</w:t>
            </w:r>
          </w:p>
        </w:tc>
        <w:tc>
          <w:tcPr>
            <w:tcW w:w="13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9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（元）</w:t>
            </w:r>
          </w:p>
        </w:tc>
        <w:tc>
          <w:tcPr>
            <w:tcW w:w="13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0"/>
                <w:sz w:val="28"/>
                <w:szCs w:val="28"/>
                <w:vertAlign w:val="baseline"/>
                <w:lang w:val="en-US" w:eastAsia="zh-CN"/>
              </w:rPr>
              <w:t>是否属于小微企业生产</w:t>
            </w:r>
          </w:p>
        </w:tc>
        <w:tc>
          <w:tcPr>
            <w:tcW w:w="146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27"/>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694" w:type="dxa"/>
          </w:tcPr>
          <w:p>
            <w:pPr>
              <w:jc w:val="center"/>
              <w:rPr>
                <w:rFonts w:hint="eastAsia" w:ascii="仿宋" w:hAnsi="仿宋" w:eastAsia="仿宋" w:cs="仿宋"/>
                <w:sz w:val="28"/>
                <w:szCs w:val="28"/>
                <w:vertAlign w:val="baseline"/>
                <w:lang w:val="en-US" w:eastAsia="zh-CN"/>
              </w:rPr>
            </w:pPr>
          </w:p>
        </w:tc>
        <w:tc>
          <w:tcPr>
            <w:tcW w:w="919" w:type="dxa"/>
          </w:tcPr>
          <w:p>
            <w:pPr>
              <w:jc w:val="center"/>
              <w:rPr>
                <w:rFonts w:hint="eastAsia" w:ascii="仿宋" w:hAnsi="仿宋" w:eastAsia="仿宋" w:cs="仿宋"/>
                <w:sz w:val="28"/>
                <w:szCs w:val="28"/>
                <w:vertAlign w:val="baseline"/>
                <w:lang w:val="en-US" w:eastAsia="zh-CN"/>
              </w:rPr>
            </w:pPr>
          </w:p>
        </w:tc>
        <w:tc>
          <w:tcPr>
            <w:tcW w:w="1657" w:type="dxa"/>
          </w:tcPr>
          <w:p>
            <w:pPr>
              <w:jc w:val="center"/>
              <w:rPr>
                <w:rFonts w:hint="eastAsia" w:ascii="仿宋" w:hAnsi="仿宋" w:eastAsia="仿宋" w:cs="仿宋"/>
                <w:sz w:val="28"/>
                <w:szCs w:val="28"/>
                <w:vertAlign w:val="baseline"/>
                <w:lang w:val="en-US" w:eastAsia="zh-CN"/>
              </w:rPr>
            </w:pPr>
          </w:p>
        </w:tc>
        <w:tc>
          <w:tcPr>
            <w:tcW w:w="1005" w:type="dxa"/>
          </w:tcPr>
          <w:p>
            <w:pPr>
              <w:jc w:val="center"/>
              <w:rPr>
                <w:rFonts w:hint="eastAsia" w:ascii="仿宋" w:hAnsi="仿宋" w:eastAsia="仿宋" w:cs="仿宋"/>
                <w:sz w:val="28"/>
                <w:szCs w:val="28"/>
                <w:vertAlign w:val="baseline"/>
                <w:lang w:val="en-US" w:eastAsia="zh-CN"/>
              </w:rPr>
            </w:pPr>
          </w:p>
        </w:tc>
        <w:tc>
          <w:tcPr>
            <w:tcW w:w="1850" w:type="dxa"/>
          </w:tcPr>
          <w:p>
            <w:pPr>
              <w:jc w:val="center"/>
              <w:rPr>
                <w:rFonts w:hint="eastAsia" w:ascii="仿宋" w:hAnsi="仿宋" w:eastAsia="仿宋" w:cs="仿宋"/>
                <w:sz w:val="28"/>
                <w:szCs w:val="28"/>
                <w:vertAlign w:val="baseline"/>
                <w:lang w:val="en-US" w:eastAsia="zh-CN"/>
              </w:rPr>
            </w:pPr>
          </w:p>
        </w:tc>
        <w:tc>
          <w:tcPr>
            <w:tcW w:w="1313" w:type="dxa"/>
          </w:tcPr>
          <w:p>
            <w:pPr>
              <w:jc w:val="center"/>
              <w:rPr>
                <w:rFonts w:hint="eastAsia" w:ascii="仿宋" w:hAnsi="仿宋" w:eastAsia="仿宋" w:cs="仿宋"/>
                <w:sz w:val="28"/>
                <w:szCs w:val="28"/>
                <w:vertAlign w:val="baseline"/>
                <w:lang w:val="en-US" w:eastAsia="zh-CN"/>
              </w:rPr>
            </w:pPr>
          </w:p>
        </w:tc>
        <w:tc>
          <w:tcPr>
            <w:tcW w:w="987" w:type="dxa"/>
          </w:tcPr>
          <w:p>
            <w:pPr>
              <w:jc w:val="center"/>
              <w:rPr>
                <w:rFonts w:hint="eastAsia" w:ascii="仿宋" w:hAnsi="仿宋" w:eastAsia="仿宋" w:cs="仿宋"/>
                <w:sz w:val="28"/>
                <w:szCs w:val="28"/>
                <w:vertAlign w:val="baseline"/>
                <w:lang w:val="en-US" w:eastAsia="zh-CN"/>
              </w:rPr>
            </w:pPr>
          </w:p>
        </w:tc>
        <w:tc>
          <w:tcPr>
            <w:tcW w:w="1063" w:type="dxa"/>
          </w:tcPr>
          <w:p>
            <w:pPr>
              <w:jc w:val="center"/>
              <w:rPr>
                <w:rFonts w:hint="eastAsia" w:ascii="仿宋" w:hAnsi="仿宋" w:eastAsia="仿宋" w:cs="仿宋"/>
                <w:sz w:val="28"/>
                <w:szCs w:val="28"/>
                <w:vertAlign w:val="baseline"/>
                <w:lang w:val="en-US" w:eastAsia="zh-CN"/>
              </w:rPr>
            </w:pPr>
          </w:p>
        </w:tc>
        <w:tc>
          <w:tcPr>
            <w:tcW w:w="1337" w:type="dxa"/>
          </w:tcPr>
          <w:p>
            <w:pPr>
              <w:jc w:val="center"/>
              <w:rPr>
                <w:rFonts w:hint="eastAsia" w:ascii="仿宋" w:hAnsi="仿宋" w:eastAsia="仿宋" w:cs="仿宋"/>
                <w:sz w:val="28"/>
                <w:szCs w:val="28"/>
                <w:vertAlign w:val="baseline"/>
                <w:lang w:val="en-US" w:eastAsia="zh-CN"/>
              </w:rPr>
            </w:pPr>
          </w:p>
        </w:tc>
        <w:tc>
          <w:tcPr>
            <w:tcW w:w="1467" w:type="dxa"/>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hint="eastAsia" w:ascii="仿宋" w:hAnsi="仿宋" w:eastAsia="仿宋" w:cs="仿宋"/>
                <w:sz w:val="28"/>
                <w:szCs w:val="28"/>
                <w:vertAlign w:val="baseline"/>
                <w:lang w:val="en-US" w:eastAsia="zh-CN"/>
              </w:rPr>
            </w:pPr>
          </w:p>
        </w:tc>
        <w:tc>
          <w:tcPr>
            <w:tcW w:w="11598" w:type="dxa"/>
            <w:gridSpan w:val="9"/>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注：1、本表可按相同形式扩展，每包一张，单独填写，装订在投标文件中。2、投标总价须与开标一览表中投标总价一致。</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3" w:name="_Toc15617"/>
      <w:r>
        <w:rPr>
          <w:rFonts w:hint="eastAsia"/>
          <w:sz w:val="36"/>
          <w:szCs w:val="28"/>
          <w:lang w:val="en-US" w:eastAsia="zh-CN"/>
        </w:rPr>
        <w:t>附件六：设备维保明细表</w:t>
      </w:r>
      <w:bookmarkEnd w:id="5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3412"/>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w:t>
            </w:r>
          </w:p>
        </w:tc>
        <w:tc>
          <w:tcPr>
            <w:tcW w:w="6743" w:type="dxa"/>
            <w:gridSpan w:val="2"/>
          </w:tcPr>
          <w:p>
            <w:pP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（请按设备分别报价）</w:t>
            </w: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质保期满后    年</w:t>
            </w:r>
          </w:p>
        </w:tc>
        <w:tc>
          <w:tcPr>
            <w:tcW w:w="3331"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5年总报价</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Merge w:val="continue"/>
            <w:vAlign w:val="center"/>
          </w:tcPr>
          <w:p>
            <w:pPr>
              <w:jc w:val="center"/>
              <w:rPr>
                <w:rFonts w:hint="default" w:ascii="仿宋" w:hAnsi="仿宋" w:eastAsia="仿宋" w:cs="仿宋"/>
                <w:sz w:val="28"/>
                <w:szCs w:val="28"/>
                <w:vertAlign w:val="baseline"/>
                <w:lang w:val="en-US" w:eastAsia="zh-CN"/>
              </w:rPr>
            </w:pPr>
          </w:p>
        </w:tc>
        <w:tc>
          <w:tcPr>
            <w:tcW w:w="3412"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其他方案</w:t>
            </w:r>
          </w:p>
        </w:tc>
        <w:tc>
          <w:tcPr>
            <w:tcW w:w="3331"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优惠条件</w:t>
            </w:r>
          </w:p>
        </w:tc>
        <w:tc>
          <w:tcPr>
            <w:tcW w:w="6743" w:type="dxa"/>
            <w:gridSpan w:val="2"/>
          </w:tcPr>
          <w:p>
            <w:pPr>
              <w:jc w:val="center"/>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注：本表可选填，若设备有维保费用，请在此表中明确维保费用。</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4" w:name="_Toc5851"/>
      <w:r>
        <w:rPr>
          <w:rFonts w:hint="eastAsia"/>
          <w:sz w:val="36"/>
          <w:szCs w:val="28"/>
          <w:lang w:val="en-US" w:eastAsia="zh-CN"/>
        </w:rPr>
        <w:t>附件七：质保期内供应的备品备件、易损件、耗材、专用工具价格表</w:t>
      </w:r>
      <w:bookmarkEnd w:id="54"/>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8"/>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55" w:name="_Toc25433"/>
      <w:r>
        <w:rPr>
          <w:rFonts w:hint="eastAsia"/>
          <w:sz w:val="36"/>
          <w:szCs w:val="28"/>
          <w:lang w:val="en-US" w:eastAsia="zh-CN"/>
        </w:rPr>
        <w:t>附件八：质保期满后长期供应的备品备件、易损件、耗材、专用工具价格表</w:t>
      </w:r>
      <w:bookmarkEnd w:id="55"/>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1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备品备件/易损件/耗材/专用工具/名称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型号规格</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总价</w:t>
            </w:r>
          </w:p>
        </w:tc>
        <w:tc>
          <w:tcPr>
            <w:tcW w:w="15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29"/>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c>
          <w:tcPr>
            <w:tcW w:w="1575"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合计</w:t>
            </w: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hint="eastAsia" w:ascii="仿宋" w:hAnsi="仿宋" w:eastAsia="仿宋" w:cs="仿宋"/>
                <w:sz w:val="28"/>
                <w:szCs w:val="28"/>
                <w:vertAlign w:val="baseline"/>
                <w:lang w:val="en-US" w:eastAsia="zh-CN"/>
              </w:rPr>
            </w:pPr>
          </w:p>
        </w:tc>
        <w:tc>
          <w:tcPr>
            <w:tcW w:w="12600" w:type="dxa"/>
            <w:gridSpan w:val="8"/>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大写：</w:t>
            </w: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说明：本表费用应包含在投标总价中。</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pStyle w:val="4"/>
        <w:bidi w:val="0"/>
        <w:rPr>
          <w:rFonts w:hint="eastAsia"/>
          <w:sz w:val="36"/>
          <w:szCs w:val="28"/>
          <w:lang w:val="en-US" w:eastAsia="zh-CN"/>
        </w:rPr>
      </w:pPr>
      <w:bookmarkStart w:id="56" w:name="_Toc4081"/>
      <w:r>
        <w:rPr>
          <w:rFonts w:hint="eastAsia"/>
          <w:sz w:val="36"/>
          <w:szCs w:val="28"/>
          <w:lang w:val="en-US" w:eastAsia="zh-CN"/>
        </w:rPr>
        <w:t>附件九：商务响应一览表</w:t>
      </w:r>
      <w:bookmarkEnd w:id="56"/>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请填写招标文件已列明并要求供应商响应的如付款方式、交货期、质保期、培训方式、售后服务等商务条款，并逐一作出承诺。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请供应商在填写本表时，对应招标文件要求如实填写,并必须用具体数字或文字来表述，不能复制招标文件要求或仅填写“（不）偏离”或虚假应标。若供应商自行承诺的售后服务承诺与此表不一致的，则评标委员会有权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57" w:name="_Toc13157"/>
      <w:r>
        <w:rPr>
          <w:rFonts w:hint="eastAsia"/>
          <w:sz w:val="36"/>
          <w:szCs w:val="28"/>
          <w:lang w:val="en-US" w:eastAsia="zh-CN"/>
        </w:rPr>
        <w:t>附件十：技术响应一览表</w:t>
      </w:r>
      <w:bookmarkEnd w:id="5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招标文件条目号</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招标文件要求</w:t>
            </w:r>
          </w:p>
        </w:tc>
        <w:tc>
          <w:tcPr>
            <w:tcW w:w="130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投标文件实际情况</w:t>
            </w:r>
          </w:p>
        </w:tc>
        <w:tc>
          <w:tcPr>
            <w:tcW w:w="130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投标文件</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pacing w:val="-23"/>
                <w:sz w:val="28"/>
                <w:szCs w:val="28"/>
                <w:vertAlign w:val="baseline"/>
                <w:lang w:val="en-US" w:eastAsia="zh-CN"/>
              </w:rPr>
            </w:pPr>
            <w:r>
              <w:rPr>
                <w:rFonts w:hint="eastAsia" w:ascii="仿宋" w:hAnsi="仿宋" w:eastAsia="仿宋" w:cs="仿宋"/>
                <w:spacing w:val="-23"/>
                <w:sz w:val="28"/>
                <w:szCs w:val="28"/>
                <w:vertAlign w:val="baseline"/>
                <w:lang w:val="en-US" w:eastAsia="zh-CN"/>
              </w:rPr>
              <w:t>对应的页码</w:t>
            </w:r>
          </w:p>
        </w:tc>
        <w:tc>
          <w:tcPr>
            <w:tcW w:w="1571"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偏差内容</w:t>
            </w:r>
          </w:p>
        </w:tc>
        <w:tc>
          <w:tcPr>
            <w:tcW w:w="86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7"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1571"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sz w:val="28"/>
                <w:szCs w:val="28"/>
                <w:vertAlign w:val="baseline"/>
                <w:lang w:val="en-US" w:eastAsia="zh-CN"/>
              </w:rPr>
            </w:pPr>
          </w:p>
        </w:tc>
      </w:tr>
    </w:tbl>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说明：</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供应商请按招标文件中各包的技术要求逐一填写，供应商不得自行增减或删除、修改任何指标，也不能直接复制粘贴招标文件中的要求，必须填写真实数据，否则评标委员会将作出不利于供应商的认定。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此表后还须附设备主要技术指标、规格和性能、技术参数值的详细说明，并提供制造商的印刷资料或者检测机构出具的检测报告作为佐证，否则评标委员会将作出不利于供应商的认定。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default"/>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8" w:name="_Toc28417"/>
      <w:r>
        <w:rPr>
          <w:rFonts w:hint="eastAsia"/>
          <w:sz w:val="36"/>
          <w:szCs w:val="28"/>
          <w:lang w:val="en-US" w:eastAsia="zh-CN"/>
        </w:rPr>
        <w:t>附件十一：近年业绩一览表</w:t>
      </w:r>
      <w:bookmarkEnd w:id="58"/>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2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型号</w:t>
            </w:r>
          </w:p>
        </w:tc>
        <w:tc>
          <w:tcPr>
            <w:tcW w:w="9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c>
          <w:tcPr>
            <w:tcW w:w="14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合同签</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订时间</w:t>
            </w:r>
          </w:p>
        </w:tc>
        <w:tc>
          <w:tcPr>
            <w:tcW w:w="20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购买单位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联系人</w:t>
            </w:r>
          </w:p>
        </w:tc>
        <w:tc>
          <w:tcPr>
            <w:tcW w:w="141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numPr>
                <w:ilvl w:val="0"/>
                <w:numId w:val="3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sz w:val="28"/>
                <w:szCs w:val="28"/>
                <w:vertAlign w:val="baseline"/>
                <w:lang w:val="en-US" w:eastAsia="zh-CN"/>
              </w:rPr>
            </w:pPr>
          </w:p>
        </w:tc>
        <w:tc>
          <w:tcPr>
            <w:tcW w:w="1929"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950" w:type="dxa"/>
            <w:vAlign w:val="center"/>
          </w:tcPr>
          <w:p>
            <w:pPr>
              <w:jc w:val="center"/>
              <w:rPr>
                <w:rFonts w:hint="eastAsia" w:ascii="仿宋" w:hAnsi="仿宋" w:eastAsia="仿宋" w:cs="仿宋"/>
                <w:sz w:val="28"/>
                <w:szCs w:val="28"/>
                <w:vertAlign w:val="baseline"/>
                <w:lang w:val="en-US" w:eastAsia="zh-CN"/>
              </w:rPr>
            </w:pPr>
          </w:p>
        </w:tc>
        <w:tc>
          <w:tcPr>
            <w:tcW w:w="1225" w:type="dxa"/>
            <w:vAlign w:val="center"/>
          </w:tcPr>
          <w:p>
            <w:pPr>
              <w:jc w:val="center"/>
              <w:rPr>
                <w:rFonts w:hint="eastAsia" w:ascii="仿宋" w:hAnsi="仿宋" w:eastAsia="仿宋" w:cs="仿宋"/>
                <w:sz w:val="28"/>
                <w:szCs w:val="28"/>
                <w:vertAlign w:val="baseline"/>
                <w:lang w:val="en-US" w:eastAsia="zh-CN"/>
              </w:rPr>
            </w:pPr>
          </w:p>
        </w:tc>
        <w:tc>
          <w:tcPr>
            <w:tcW w:w="1475" w:type="dxa"/>
            <w:vAlign w:val="center"/>
          </w:tcPr>
          <w:p>
            <w:pPr>
              <w:jc w:val="center"/>
              <w:rPr>
                <w:rFonts w:hint="eastAsia" w:ascii="仿宋" w:hAnsi="仿宋" w:eastAsia="仿宋" w:cs="仿宋"/>
                <w:sz w:val="28"/>
                <w:szCs w:val="28"/>
                <w:vertAlign w:val="baseline"/>
                <w:lang w:val="en-US" w:eastAsia="zh-CN"/>
              </w:rPr>
            </w:pPr>
          </w:p>
        </w:tc>
        <w:tc>
          <w:tcPr>
            <w:tcW w:w="2018"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请在此表后附合同或其他相关证明材料，具体要求详见评标办法，近年年份要求详见供应商须知前附表。</w:t>
      </w:r>
    </w:p>
    <w:p>
      <w:pP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sz w:val="22"/>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59" w:name="_Toc9521"/>
      <w:r>
        <w:rPr>
          <w:rFonts w:hint="eastAsia"/>
          <w:sz w:val="36"/>
          <w:szCs w:val="28"/>
          <w:lang w:val="en-US" w:eastAsia="zh-CN"/>
        </w:rPr>
        <w:t>附件十二：中小企业声明函（如有）</w:t>
      </w:r>
      <w:bookmarkEnd w:id="5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本公司（联合体）郑重声明，根据《政府采购促进中小企业发展管理办法》（财库﹝2020﹞46号）的规定，本公司（联合体）参加</w:t>
      </w:r>
      <w:r>
        <w:rPr>
          <w:rFonts w:hint="default" w:ascii="仿宋" w:hAnsi="仿宋" w:eastAsia="仿宋" w:cs="仿宋"/>
          <w:sz w:val="28"/>
          <w:szCs w:val="28"/>
          <w:u w:val="single"/>
          <w:lang w:val="en-US" w:eastAsia="zh-CN"/>
        </w:rPr>
        <w:t>（单位名称）</w:t>
      </w:r>
      <w:r>
        <w:rPr>
          <w:rFonts w:hint="default" w:ascii="仿宋" w:hAnsi="仿宋" w:eastAsia="仿宋" w:cs="仿宋"/>
          <w:sz w:val="28"/>
          <w:szCs w:val="28"/>
          <w:lang w:val="en-US" w:eastAsia="zh-CN"/>
        </w:rPr>
        <w:t>的</w:t>
      </w:r>
      <w:r>
        <w:rPr>
          <w:rFonts w:hint="default" w:ascii="仿宋" w:hAnsi="仿宋" w:eastAsia="仿宋" w:cs="仿宋"/>
          <w:sz w:val="28"/>
          <w:szCs w:val="28"/>
          <w:u w:val="single"/>
          <w:lang w:val="en-US" w:eastAsia="zh-CN"/>
        </w:rPr>
        <w:t>（项目名称）</w:t>
      </w:r>
      <w:r>
        <w:rPr>
          <w:rFonts w:hint="default" w:ascii="仿宋" w:hAnsi="仿宋" w:eastAsia="仿宋" w:cs="仿宋"/>
          <w:sz w:val="28"/>
          <w:szCs w:val="28"/>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default" w:ascii="仿宋" w:hAnsi="仿宋" w:eastAsia="仿宋" w:cs="仿宋"/>
          <w:sz w:val="28"/>
          <w:szCs w:val="28"/>
          <w:u w:val="single"/>
          <w:lang w:val="en-US" w:eastAsia="zh-CN"/>
        </w:rPr>
        <w:t>（标的名称）</w:t>
      </w:r>
      <w:r>
        <w:rPr>
          <w:rFonts w:hint="default" w:ascii="仿宋" w:hAnsi="仿宋" w:eastAsia="仿宋" w:cs="仿宋"/>
          <w:sz w:val="28"/>
          <w:szCs w:val="28"/>
          <w:lang w:val="en-US" w:eastAsia="zh-CN"/>
        </w:rPr>
        <w:t>，属于</w:t>
      </w:r>
      <w:r>
        <w:rPr>
          <w:rFonts w:hint="default" w:ascii="仿宋" w:hAnsi="仿宋" w:eastAsia="仿宋" w:cs="仿宋"/>
          <w:sz w:val="28"/>
          <w:szCs w:val="28"/>
          <w:u w:val="single"/>
          <w:lang w:val="en-US" w:eastAsia="zh-CN"/>
        </w:rPr>
        <w:t>（采购文件中明确的所属行业）</w:t>
      </w:r>
      <w:r>
        <w:rPr>
          <w:rFonts w:hint="default" w:ascii="仿宋" w:hAnsi="仿宋" w:eastAsia="仿宋" w:cs="仿宋"/>
          <w:sz w:val="28"/>
          <w:szCs w:val="28"/>
          <w:lang w:val="en-US" w:eastAsia="zh-CN"/>
        </w:rPr>
        <w:t>行业；制造商为</w:t>
      </w:r>
      <w:r>
        <w:rPr>
          <w:rFonts w:hint="default" w:ascii="仿宋" w:hAnsi="仿宋" w:eastAsia="仿宋" w:cs="仿宋"/>
          <w:sz w:val="28"/>
          <w:szCs w:val="28"/>
          <w:u w:val="single"/>
          <w:lang w:val="en-US" w:eastAsia="zh-CN"/>
        </w:rPr>
        <w:t>（企业名称）</w:t>
      </w:r>
      <w:r>
        <w:rPr>
          <w:rFonts w:hint="default" w:ascii="仿宋" w:hAnsi="仿宋" w:eastAsia="仿宋" w:cs="仿宋"/>
          <w:sz w:val="28"/>
          <w:szCs w:val="28"/>
          <w:lang w:val="en-US" w:eastAsia="zh-CN"/>
        </w:rPr>
        <w:t>，从业人员</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人，营业收入为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万元，资产总额为</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lang w:val="en-US" w:eastAsia="zh-CN"/>
        </w:rPr>
        <w:t>万元，属于</w:t>
      </w:r>
      <w:r>
        <w:rPr>
          <w:rFonts w:hint="default" w:ascii="仿宋" w:hAnsi="仿宋" w:eastAsia="仿宋" w:cs="仿宋"/>
          <w:sz w:val="28"/>
          <w:szCs w:val="28"/>
          <w:u w:val="single"/>
          <w:lang w:val="en-US" w:eastAsia="zh-CN"/>
        </w:rPr>
        <w:t>（中型企业、小型企业、微型企业）</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本企业对上述声明内容的真实性负责。如有虚假，</w:t>
      </w:r>
      <w:r>
        <w:rPr>
          <w:rFonts w:hint="default" w:ascii="仿宋" w:hAnsi="仿宋" w:eastAsia="仿宋" w:cs="仿宋"/>
          <w:spacing w:val="-11"/>
          <w:sz w:val="28"/>
          <w:szCs w:val="28"/>
          <w:lang w:val="en-US" w:eastAsia="zh-CN"/>
        </w:rPr>
        <w:t>将依法承担相应责任。</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企业名称（盖章）：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注：</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default" w:ascii="仿宋" w:hAnsi="仿宋" w:eastAsia="仿宋" w:cs="仿宋"/>
          <w:b/>
          <w:bCs/>
          <w:sz w:val="24"/>
          <w:szCs w:val="24"/>
          <w:lang w:val="en-US" w:eastAsia="zh-CN"/>
        </w:rPr>
        <w:t>不符合相应条件的供应商无需提供。</w:t>
      </w:r>
    </w:p>
    <w:p>
      <w:pPr>
        <w:rPr>
          <w:rFonts w:hint="default"/>
          <w:sz w:val="22"/>
          <w:szCs w:val="28"/>
          <w:lang w:val="en-US" w:eastAsia="zh-CN"/>
        </w:rPr>
      </w:pPr>
      <w:r>
        <w:rPr>
          <w:rFonts w:hint="default"/>
          <w:sz w:val="22"/>
          <w:szCs w:val="28"/>
          <w:lang w:val="en-US" w:eastAsia="zh-CN"/>
        </w:rPr>
        <w:br w:type="page"/>
      </w:r>
    </w:p>
    <w:p>
      <w:pPr>
        <w:pStyle w:val="4"/>
        <w:bidi w:val="0"/>
        <w:rPr>
          <w:rFonts w:hint="eastAsia"/>
          <w:sz w:val="36"/>
          <w:szCs w:val="28"/>
          <w:lang w:val="en-US" w:eastAsia="zh-CN"/>
        </w:rPr>
      </w:pPr>
      <w:bookmarkStart w:id="60" w:name="_Toc30411"/>
      <w:r>
        <w:rPr>
          <w:rFonts w:hint="eastAsia"/>
          <w:sz w:val="36"/>
          <w:szCs w:val="28"/>
          <w:lang w:val="en-US" w:eastAsia="zh-CN"/>
        </w:rPr>
        <w:t>附件十三：残疾人福利性单位声明函（如有）</w:t>
      </w:r>
      <w:bookmarkEnd w:id="6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注：不符合相应条件的供应商无需提供</w:t>
      </w:r>
    </w:p>
    <w:p>
      <w:pPr>
        <w:rPr>
          <w:rFonts w:hint="eastAsia"/>
          <w:sz w:val="22"/>
          <w:szCs w:val="28"/>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1" w:name="_Toc22511"/>
      <w:r>
        <w:rPr>
          <w:rFonts w:hint="eastAsia"/>
          <w:sz w:val="36"/>
          <w:szCs w:val="28"/>
          <w:lang w:val="en-US" w:eastAsia="zh-CN"/>
        </w:rPr>
        <w:t>附件十四：环境标志产品明细表</w:t>
      </w:r>
      <w:bookmarkEnd w:id="61"/>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中国环境标志认证证书编号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有效截止期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说明：所报产品属于《环境标志产品政府采购品目清单》（财库〔2019〕18 号）内的品目，应附《中国环境标志产品认证证书》；并按规定格式逐项填写，否则评审时不予加分。</w:t>
      </w:r>
      <w:r>
        <w:rPr>
          <w:rFonts w:hint="eastAsia" w:ascii="仿宋" w:hAnsi="仿宋" w:eastAsia="仿宋" w:cs="仿宋"/>
          <w:b/>
          <w:bCs/>
          <w:sz w:val="28"/>
          <w:szCs w:val="28"/>
          <w:lang w:val="en-US" w:eastAsia="zh-CN"/>
        </w:rPr>
        <w:t>如所投产品不是环境标志产品，则不需填写本表。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r>
        <w:rPr>
          <w:rFonts w:hint="eastAsia"/>
          <w:sz w:val="22"/>
          <w:szCs w:val="28"/>
          <w:lang w:val="en-US" w:eastAsia="zh-CN"/>
        </w:rPr>
        <w:br w:type="page"/>
      </w:r>
    </w:p>
    <w:p>
      <w:pPr>
        <w:pStyle w:val="4"/>
        <w:bidi w:val="0"/>
        <w:rPr>
          <w:rFonts w:hint="eastAsia"/>
          <w:sz w:val="36"/>
          <w:szCs w:val="28"/>
          <w:lang w:val="en-US" w:eastAsia="zh-CN"/>
        </w:rPr>
      </w:pPr>
      <w:bookmarkStart w:id="62" w:name="_Toc23388"/>
      <w:r>
        <w:rPr>
          <w:rFonts w:hint="eastAsia"/>
          <w:sz w:val="36"/>
          <w:szCs w:val="28"/>
          <w:lang w:val="en-US" w:eastAsia="zh-CN"/>
        </w:rPr>
        <w:t>附件十五：节能产品明细表</w:t>
      </w:r>
      <w:bookmarkEnd w:id="62"/>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2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c>
          <w:tcPr>
            <w:tcW w:w="4130"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hint="eastAsia" w:ascii="仿宋" w:hAnsi="仿宋" w:eastAsia="仿宋" w:cs="仿宋"/>
                <w:sz w:val="28"/>
                <w:szCs w:val="28"/>
                <w:vertAlign w:val="baseline"/>
                <w:lang w:val="en-US" w:eastAsia="zh-CN"/>
              </w:rPr>
            </w:pPr>
          </w:p>
        </w:tc>
        <w:tc>
          <w:tcPr>
            <w:tcW w:w="2028" w:type="dxa"/>
            <w:vMerge w:val="continue"/>
            <w:vAlign w:val="center"/>
          </w:tcPr>
          <w:p>
            <w:pPr>
              <w:jc w:val="center"/>
              <w:rPr>
                <w:rFonts w:hint="eastAsia" w:ascii="仿宋" w:hAnsi="仿宋" w:eastAsia="仿宋" w:cs="仿宋"/>
                <w:sz w:val="28"/>
                <w:szCs w:val="28"/>
                <w:vertAlign w:val="baseline"/>
                <w:lang w:val="en-US" w:eastAsia="zh-CN"/>
              </w:rPr>
            </w:pPr>
          </w:p>
        </w:tc>
        <w:tc>
          <w:tcPr>
            <w:tcW w:w="1922"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112"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418"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hint="eastAsia" w:ascii="仿宋" w:hAnsi="仿宋" w:eastAsia="仿宋" w:cs="仿宋"/>
                <w:sz w:val="28"/>
                <w:szCs w:val="28"/>
                <w:vertAlign w:val="baseline"/>
                <w:lang w:val="en-US" w:eastAsia="zh-CN"/>
              </w:rPr>
            </w:pPr>
          </w:p>
        </w:tc>
        <w:tc>
          <w:tcPr>
            <w:tcW w:w="2028" w:type="dxa"/>
            <w:vAlign w:val="center"/>
          </w:tcPr>
          <w:p>
            <w:pPr>
              <w:jc w:val="center"/>
              <w:rPr>
                <w:rFonts w:hint="eastAsia" w:ascii="仿宋" w:hAnsi="仿宋" w:eastAsia="仿宋" w:cs="仿宋"/>
                <w:sz w:val="28"/>
                <w:szCs w:val="28"/>
                <w:vertAlign w:val="baseline"/>
                <w:lang w:val="en-US" w:eastAsia="zh-CN"/>
              </w:rPr>
            </w:pPr>
          </w:p>
        </w:tc>
        <w:tc>
          <w:tcPr>
            <w:tcW w:w="1922"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c>
          <w:tcPr>
            <w:tcW w:w="1600" w:type="dxa"/>
            <w:vAlign w:val="center"/>
          </w:tcPr>
          <w:p>
            <w:pPr>
              <w:jc w:val="center"/>
              <w:rPr>
                <w:rFonts w:hint="eastAsia" w:ascii="仿宋" w:hAnsi="仿宋" w:eastAsia="仿宋" w:cs="仿宋"/>
                <w:sz w:val="28"/>
                <w:szCs w:val="28"/>
                <w:vertAlign w:val="baseline"/>
                <w:lang w:val="en-US" w:eastAsia="zh-CN"/>
              </w:rPr>
            </w:pPr>
          </w:p>
        </w:tc>
        <w:tc>
          <w:tcPr>
            <w:tcW w:w="1112" w:type="dxa"/>
            <w:vAlign w:val="center"/>
          </w:tcPr>
          <w:p>
            <w:pPr>
              <w:jc w:val="center"/>
              <w:rPr>
                <w:rFonts w:hint="eastAsia" w:ascii="仿宋" w:hAnsi="仿宋" w:eastAsia="仿宋" w:cs="仿宋"/>
                <w:sz w:val="28"/>
                <w:szCs w:val="28"/>
                <w:vertAlign w:val="baseline"/>
                <w:lang w:val="en-US" w:eastAsia="zh-CN"/>
              </w:rPr>
            </w:pPr>
          </w:p>
        </w:tc>
        <w:tc>
          <w:tcPr>
            <w:tcW w:w="1418"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说明：所报产品属于《节能产品政府采购品目清单》（财库〔2019〕19 号）内的品目，应附《国家节能产品认证证书》，并按规定格式逐项填写，否则评审时不予加分。。</w:t>
      </w:r>
      <w:r>
        <w:rPr>
          <w:rFonts w:hint="eastAsia" w:ascii="仿宋" w:hAnsi="仿宋" w:eastAsia="仿宋" w:cs="仿宋"/>
          <w:b/>
          <w:bCs/>
          <w:sz w:val="28"/>
          <w:szCs w:val="28"/>
          <w:lang w:val="en-US" w:eastAsia="zh-CN"/>
        </w:rPr>
        <w:t>如所投产品不是节能产品，则不需填写本表。</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供应商</w:t>
      </w:r>
      <w:r>
        <w:rPr>
          <w:rFonts w:hint="default" w:ascii="仿宋" w:hAnsi="仿宋" w:eastAsia="仿宋" w:cs="仿宋"/>
          <w:sz w:val="28"/>
          <w:szCs w:val="28"/>
          <w:lang w:val="en-US" w:eastAsia="zh-CN"/>
        </w:rPr>
        <w:t>名称（盖章）：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法定代表人</w:t>
      </w:r>
      <w:r>
        <w:rPr>
          <w:rFonts w:hint="eastAsia" w:ascii="仿宋" w:hAnsi="仿宋" w:eastAsia="仿宋" w:cs="仿宋"/>
          <w:sz w:val="28"/>
          <w:szCs w:val="28"/>
          <w:lang w:val="en-US" w:eastAsia="zh-CN"/>
        </w:rPr>
        <w:t>或授权代表</w:t>
      </w:r>
      <w:r>
        <w:rPr>
          <w:rFonts w:hint="default" w:ascii="仿宋" w:hAnsi="仿宋" w:eastAsia="仿宋" w:cs="仿宋"/>
          <w:sz w:val="28"/>
          <w:szCs w:val="28"/>
          <w:lang w:val="en-US" w:eastAsia="zh-CN"/>
        </w:rPr>
        <w:t>（签字或盖章）：</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 xml:space="preserve">日期：      年    月    </w:t>
      </w:r>
      <w:r>
        <w:rPr>
          <w:rFonts w:hint="eastAsia" w:ascii="仿宋" w:hAnsi="仿宋" w:eastAsia="仿宋" w:cs="仿宋"/>
          <w:sz w:val="28"/>
          <w:szCs w:val="28"/>
          <w:lang w:val="en-US" w:eastAsia="zh-CN"/>
        </w:rPr>
        <w:t>日</w:t>
      </w:r>
    </w:p>
    <w:p>
      <w:pPr>
        <w:rPr>
          <w:rFonts w:hint="eastAsia"/>
          <w:sz w:val="22"/>
          <w:szCs w:val="28"/>
          <w:lang w:val="en-US" w:eastAsia="zh-CN"/>
        </w:rPr>
      </w:pPr>
    </w:p>
    <w:p>
      <w:pPr>
        <w:rPr>
          <w:rFonts w:hint="eastAsia"/>
          <w:sz w:val="22"/>
          <w:szCs w:val="28"/>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4"/>
        <w:bidi w:val="0"/>
        <w:rPr>
          <w:rFonts w:hint="eastAsia"/>
          <w:sz w:val="36"/>
          <w:szCs w:val="28"/>
          <w:lang w:val="en-US" w:eastAsia="zh-CN"/>
        </w:rPr>
      </w:pPr>
      <w:bookmarkStart w:id="63" w:name="_Toc8827"/>
      <w:r>
        <w:rPr>
          <w:rFonts w:hint="eastAsia"/>
          <w:sz w:val="36"/>
          <w:szCs w:val="28"/>
          <w:lang w:val="en-US" w:eastAsia="zh-CN"/>
        </w:rPr>
        <w:t>附件十六：政府强制采购节能产品明细表</w:t>
      </w:r>
      <w:bookmarkEnd w:id="63"/>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p>
      <w:pPr>
        <w:tabs>
          <w:tab w:val="left" w:pos="12562"/>
        </w:tabs>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13"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制造商</w:t>
            </w:r>
          </w:p>
        </w:tc>
        <w:tc>
          <w:tcPr>
            <w:tcW w:w="91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产品型号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节能标志认证证书编    号</w:t>
            </w:r>
          </w:p>
        </w:tc>
        <w:tc>
          <w:tcPr>
            <w:tcW w:w="1542"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2" w:type="dxa"/>
            <w:vMerge w:val="continue"/>
            <w:vAlign w:val="center"/>
          </w:tcPr>
          <w:p>
            <w:pPr>
              <w:jc w:val="center"/>
              <w:rPr>
                <w:rFonts w:hint="eastAsia" w:ascii="仿宋" w:hAnsi="仿宋" w:eastAsia="仿宋" w:cs="仿宋"/>
                <w:sz w:val="28"/>
                <w:szCs w:val="28"/>
                <w:vertAlign w:val="baseline"/>
                <w:lang w:val="en-US" w:eastAsia="zh-CN"/>
              </w:rPr>
            </w:pPr>
          </w:p>
        </w:tc>
        <w:tc>
          <w:tcPr>
            <w:tcW w:w="1513" w:type="dxa"/>
            <w:vMerge w:val="continue"/>
            <w:vAlign w:val="center"/>
          </w:tcPr>
          <w:p>
            <w:pPr>
              <w:jc w:val="center"/>
              <w:rPr>
                <w:rFonts w:hint="eastAsia" w:ascii="仿宋" w:hAnsi="仿宋" w:eastAsia="仿宋" w:cs="仿宋"/>
                <w:sz w:val="28"/>
                <w:szCs w:val="28"/>
                <w:vertAlign w:val="baseline"/>
                <w:lang w:val="en-US" w:eastAsia="zh-CN"/>
              </w:rPr>
            </w:pPr>
          </w:p>
        </w:tc>
        <w:tc>
          <w:tcPr>
            <w:tcW w:w="1208" w:type="dxa"/>
            <w:vMerge w:val="continue"/>
            <w:vAlign w:val="center"/>
          </w:tcPr>
          <w:p>
            <w:pPr>
              <w:jc w:val="center"/>
              <w:rPr>
                <w:rFonts w:hint="eastAsia" w:ascii="仿宋" w:hAnsi="仿宋" w:eastAsia="仿宋" w:cs="仿宋"/>
                <w:sz w:val="28"/>
                <w:szCs w:val="28"/>
                <w:vertAlign w:val="baseline"/>
                <w:lang w:val="en-US" w:eastAsia="zh-CN"/>
              </w:rPr>
            </w:pPr>
          </w:p>
        </w:tc>
        <w:tc>
          <w:tcPr>
            <w:tcW w:w="912"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417" w:type="dxa"/>
            <w:vMerge w:val="continue"/>
            <w:vAlign w:val="center"/>
          </w:tcPr>
          <w:p>
            <w:pPr>
              <w:jc w:val="center"/>
              <w:rPr>
                <w:rFonts w:hint="eastAsia" w:ascii="仿宋" w:hAnsi="仿宋" w:eastAsia="仿宋" w:cs="仿宋"/>
                <w:sz w:val="28"/>
                <w:szCs w:val="28"/>
                <w:vertAlign w:val="baseline"/>
                <w:lang w:val="en-US" w:eastAsia="zh-CN"/>
              </w:rPr>
            </w:pPr>
          </w:p>
        </w:tc>
        <w:tc>
          <w:tcPr>
            <w:tcW w:w="1542" w:type="dxa"/>
            <w:vMerge w:val="continue"/>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hint="eastAsia" w:ascii="仿宋" w:hAnsi="仿宋" w:eastAsia="仿宋" w:cs="仿宋"/>
                <w:sz w:val="28"/>
                <w:szCs w:val="28"/>
                <w:vertAlign w:val="baseline"/>
                <w:lang w:val="en-US" w:eastAsia="zh-CN"/>
              </w:rPr>
            </w:pPr>
          </w:p>
        </w:tc>
        <w:tc>
          <w:tcPr>
            <w:tcW w:w="1513" w:type="dxa"/>
            <w:vAlign w:val="center"/>
          </w:tcPr>
          <w:p>
            <w:pPr>
              <w:jc w:val="center"/>
              <w:rPr>
                <w:rFonts w:hint="eastAsia" w:ascii="仿宋" w:hAnsi="仿宋" w:eastAsia="仿宋" w:cs="仿宋"/>
                <w:sz w:val="28"/>
                <w:szCs w:val="28"/>
                <w:vertAlign w:val="baseline"/>
                <w:lang w:val="en-US" w:eastAsia="zh-CN"/>
              </w:rPr>
            </w:pPr>
          </w:p>
        </w:tc>
        <w:tc>
          <w:tcPr>
            <w:tcW w:w="1208" w:type="dxa"/>
            <w:vAlign w:val="center"/>
          </w:tcPr>
          <w:p>
            <w:pPr>
              <w:jc w:val="center"/>
              <w:rPr>
                <w:rFonts w:hint="eastAsia" w:ascii="仿宋" w:hAnsi="仿宋" w:eastAsia="仿宋" w:cs="仿宋"/>
                <w:sz w:val="28"/>
                <w:szCs w:val="28"/>
                <w:vertAlign w:val="baseline"/>
                <w:lang w:val="en-US" w:eastAsia="zh-CN"/>
              </w:rPr>
            </w:pPr>
          </w:p>
        </w:tc>
        <w:tc>
          <w:tcPr>
            <w:tcW w:w="912"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417" w:type="dxa"/>
            <w:vAlign w:val="center"/>
          </w:tcPr>
          <w:p>
            <w:pPr>
              <w:jc w:val="center"/>
              <w:rPr>
                <w:rFonts w:hint="eastAsia" w:ascii="仿宋" w:hAnsi="仿宋" w:eastAsia="仿宋" w:cs="仿宋"/>
                <w:sz w:val="28"/>
                <w:szCs w:val="28"/>
                <w:vertAlign w:val="baseline"/>
                <w:lang w:val="en-US" w:eastAsia="zh-CN"/>
              </w:rPr>
            </w:pPr>
          </w:p>
        </w:tc>
        <w:tc>
          <w:tcPr>
            <w:tcW w:w="1542" w:type="dxa"/>
            <w:vAlign w:val="center"/>
          </w:tcPr>
          <w:p>
            <w:pPr>
              <w:jc w:val="center"/>
              <w:rPr>
                <w:rFonts w:hint="eastAsia" w:ascii="仿宋" w:hAnsi="仿宋" w:eastAsia="仿宋" w:cs="仿宋"/>
                <w:sz w:val="28"/>
                <w:szCs w:val="28"/>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说明：1、政府采购强制节能产品根据《节能产品政府采购品目清单》（财库〔2019〕19号）内的品目确定。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★2、如所投产品为政府强制采购节能产品，必须按规定格式逐项填写，且提供《国家节能产品认证证书》，否则按无效投标处理。</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6"/>
          <w:szCs w:val="26"/>
          <w:lang w:val="en-US" w:eastAsia="zh-CN"/>
        </w:rPr>
      </w:pPr>
      <w:r>
        <w:rPr>
          <w:rFonts w:hint="eastAsia" w:ascii="仿宋" w:hAnsi="仿宋" w:eastAsia="仿宋" w:cs="仿宋"/>
          <w:sz w:val="28"/>
          <w:szCs w:val="28"/>
          <w:lang w:val="en-US" w:eastAsia="zh-CN"/>
        </w:rPr>
        <w:t>日期：     年   月   日</w:t>
      </w:r>
    </w:p>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lang w:val="en-US" w:eastAsia="zh-CN"/>
        </w:rPr>
      </w:pPr>
      <w:bookmarkStart w:id="64" w:name="_Toc18203"/>
      <w:r>
        <w:rPr>
          <w:rFonts w:hint="eastAsia" w:ascii="仿宋" w:hAnsi="仿宋" w:eastAsia="仿宋" w:cs="仿宋"/>
          <w:sz w:val="28"/>
          <w:szCs w:val="28"/>
          <w:lang w:val="en-US" w:eastAsia="zh-CN"/>
        </w:rPr>
        <w:t>附表1：</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rPr>
        <w:t>节能产品政府采购品目清单</w:t>
      </w:r>
    </w:p>
    <w:tbl>
      <w:tblPr>
        <w:tblStyle w:val="13"/>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17"/>
              <w:spacing w:before="94" w:line="266" w:lineRule="auto"/>
              <w:ind w:left="64" w:right="55"/>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品目序号</w:t>
            </w:r>
          </w:p>
        </w:tc>
        <w:tc>
          <w:tcPr>
            <w:tcW w:w="4884" w:type="dxa"/>
            <w:gridSpan w:val="3"/>
            <w:vAlign w:val="center"/>
          </w:tcPr>
          <w:p>
            <w:pPr>
              <w:pStyle w:val="17"/>
              <w:spacing w:before="1"/>
              <w:ind w:left="2199" w:right="2193"/>
              <w:jc w:val="center"/>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名称</w:t>
            </w:r>
          </w:p>
        </w:tc>
        <w:tc>
          <w:tcPr>
            <w:tcW w:w="296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 w:hAnsi="仿宋" w:eastAsia="仿宋" w:cs="仿宋"/>
                <w:b/>
                <w:spacing w:val="0"/>
                <w:w w:val="100"/>
                <w:sz w:val="22"/>
                <w:szCs w:val="24"/>
              </w:rPr>
            </w:pPr>
            <w:r>
              <w:rPr>
                <w:rFonts w:hint="eastAsia" w:ascii="仿宋" w:hAnsi="仿宋" w:eastAsia="仿宋" w:cs="仿宋"/>
                <w:b/>
                <w:spacing w:val="0"/>
                <w:w w:val="100"/>
                <w:sz w:val="22"/>
                <w:szCs w:val="24"/>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w:t>
            </w:r>
          </w:p>
        </w:tc>
        <w:tc>
          <w:tcPr>
            <w:tcW w:w="1167" w:type="dxa"/>
            <w:vMerge w:val="restart"/>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计算机设备</w:t>
            </w:r>
          </w:p>
        </w:tc>
        <w:tc>
          <w:tcPr>
            <w:tcW w:w="1801" w:type="dxa"/>
            <w:vAlign w:val="center"/>
          </w:tcPr>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★A02010104</w:t>
            </w:r>
          </w:p>
          <w:p>
            <w:pPr>
              <w:pStyle w:val="17"/>
              <w:spacing w:before="126"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台式计算机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★A02010105</w:t>
            </w:r>
          </w:p>
          <w:p>
            <w:pPr>
              <w:pStyle w:val="17"/>
              <w:spacing w:before="24" w:line="310" w:lineRule="atLeast"/>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便携式计算机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24"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★A02010107</w:t>
            </w:r>
          </w:p>
          <w:p>
            <w:pPr>
              <w:pStyle w:val="17"/>
              <w:spacing w:before="97"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平板式微型计算机</w:t>
            </w: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9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2</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A020106输入输出设备</w:t>
            </w: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A02010601打印设备</w:t>
            </w: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A0201060101</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喷墨打印机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★A0201060102</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激光打印机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★A0201060104</w:t>
            </w:r>
          </w:p>
          <w:p>
            <w:pPr>
              <w:pStyle w:val="17"/>
              <w:spacing w:before="85"/>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针式打印机</w:t>
            </w:r>
          </w:p>
        </w:tc>
        <w:tc>
          <w:tcPr>
            <w:tcW w:w="2967" w:type="dxa"/>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A02010604显示设备</w:t>
            </w:r>
          </w:p>
        </w:tc>
        <w:tc>
          <w:tcPr>
            <w:tcW w:w="1916" w:type="dxa"/>
            <w:vAlign w:val="center"/>
          </w:tcPr>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★A0201060401</w:t>
            </w:r>
          </w:p>
          <w:p>
            <w:pPr>
              <w:pStyle w:val="17"/>
              <w:spacing w:before="102"/>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液晶显示器</w:t>
            </w:r>
          </w:p>
        </w:tc>
        <w:tc>
          <w:tcPr>
            <w:tcW w:w="2967" w:type="dxa"/>
            <w:vAlign w:val="center"/>
          </w:tcPr>
          <w:p>
            <w:pPr>
              <w:pStyle w:val="17"/>
              <w:spacing w:before="10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39"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A02010609图形图像输入设备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A0201060901扫描仪</w:t>
            </w:r>
          </w:p>
        </w:tc>
        <w:tc>
          <w:tcPr>
            <w:tcW w:w="2967" w:type="dxa"/>
            <w:vAlign w:val="center"/>
          </w:tcPr>
          <w:p>
            <w:pPr>
              <w:pStyle w:val="17"/>
              <w:spacing w:before="83"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参照《复印机、打印机和传真机能效限定值及能效等级》（GB21521</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中打印速度为15页/分的针式打</w:t>
            </w:r>
          </w:p>
          <w:p>
            <w:pPr>
              <w:pStyle w:val="17"/>
              <w:spacing w:before="55"/>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3</w:t>
            </w:r>
          </w:p>
        </w:tc>
        <w:tc>
          <w:tcPr>
            <w:tcW w:w="1167" w:type="dxa"/>
            <w:vAlign w:val="center"/>
          </w:tcPr>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A020202</w:t>
            </w:r>
          </w:p>
          <w:p>
            <w:pPr>
              <w:pStyle w:val="17"/>
              <w:spacing w:before="56"/>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投影仪</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4</w:t>
            </w:r>
          </w:p>
        </w:tc>
        <w:tc>
          <w:tcPr>
            <w:tcW w:w="1167" w:type="dxa"/>
            <w:vAlign w:val="center"/>
          </w:tcPr>
          <w:p>
            <w:pPr>
              <w:pStyle w:val="17"/>
              <w:spacing w:before="10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A020204多功能一体机</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00"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《复印机、打印机和传真机能效限定值及能效等级》（GB21521）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5</w:t>
            </w:r>
          </w:p>
        </w:tc>
        <w:tc>
          <w:tcPr>
            <w:tcW w:w="1167" w:type="dxa"/>
            <w:tcBorders>
              <w:bottom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A020519泵</w:t>
            </w:r>
          </w:p>
        </w:tc>
        <w:tc>
          <w:tcPr>
            <w:tcW w:w="1801" w:type="dxa"/>
            <w:tcBorders>
              <w:bottom w:val="single" w:color="auto" w:sz="4" w:space="0"/>
            </w:tcBorders>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A02051901离心泵</w:t>
            </w:r>
          </w:p>
        </w:tc>
        <w:tc>
          <w:tcPr>
            <w:tcW w:w="1916" w:type="dxa"/>
            <w:tcBorders>
              <w:bottom w:val="single" w:color="auto" w:sz="4" w:space="0"/>
            </w:tcBorders>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3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17"/>
              <w:spacing w:before="135"/>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6</w:t>
            </w:r>
          </w:p>
        </w:tc>
        <w:tc>
          <w:tcPr>
            <w:tcW w:w="1167" w:type="dxa"/>
            <w:vMerge w:val="restart"/>
            <w:tcBorders>
              <w:top w:val="single" w:color="auto" w:sz="4" w:space="0"/>
              <w:left w:val="single" w:color="auto" w:sz="4" w:space="0"/>
              <w:right w:val="single" w:color="auto" w:sz="4" w:space="0"/>
            </w:tcBorders>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★A02052301</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w:t>
            </w:r>
          </w:p>
        </w:tc>
        <w:tc>
          <w:tcPr>
            <w:tcW w:w="2967" w:type="dxa"/>
            <w:tcBorders>
              <w:left w:val="single" w:color="auto" w:sz="4" w:space="0"/>
            </w:tcBorders>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水源热泵机组</w:t>
            </w:r>
          </w:p>
        </w:tc>
        <w:tc>
          <w:tcPr>
            <w:tcW w:w="2967" w:type="dxa"/>
            <w:tcBorders>
              <w:left w:val="single" w:color="auto" w:sz="4" w:space="0"/>
            </w:tcBorders>
            <w:vAlign w:val="center"/>
          </w:tcPr>
          <w:p>
            <w:pPr>
              <w:pStyle w:val="17"/>
              <w:spacing w:before="85"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167"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801" w:type="dxa"/>
            <w:vMerge w:val="continue"/>
            <w:tcBorders>
              <w:left w:val="single" w:color="auto" w:sz="4" w:space="0"/>
              <w:right w:val="single" w:color="auto" w:sz="4" w:space="0"/>
            </w:tcBorders>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spacing w:before="126" w:line="292" w:lineRule="auto"/>
              <w:ind w:left="9" w:righ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w:t>
            </w:r>
          </w:p>
        </w:tc>
        <w:tc>
          <w:tcPr>
            <w:tcW w:w="2967" w:type="dxa"/>
            <w:vAlign w:val="center"/>
          </w:tcPr>
          <w:p>
            <w:pPr>
              <w:pStyle w:val="17"/>
              <w:spacing w:before="126"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★A02052305</w:t>
            </w:r>
          </w:p>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空调机组</w:t>
            </w: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多联式空调（热泵）机组(制冷&gt;14000W)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单元式空气调节机(制冷量&gt;14000W)</w:t>
            </w:r>
          </w:p>
        </w:tc>
        <w:tc>
          <w:tcPr>
            <w:tcW w:w="2967" w:type="dxa"/>
            <w:vAlign w:val="center"/>
          </w:tcPr>
          <w:p>
            <w:pPr>
              <w:pStyle w:val="17"/>
              <w:spacing w:before="42"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16" w:line="290"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★A02052309专用制冷、空调设备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机房空调</w:t>
            </w:r>
          </w:p>
        </w:tc>
        <w:tc>
          <w:tcPr>
            <w:tcW w:w="2967" w:type="dxa"/>
            <w:vAlign w:val="center"/>
          </w:tcPr>
          <w:p>
            <w:pPr>
              <w:pStyle w:val="17"/>
              <w:spacing w:before="116" w:line="290"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167" w:type="dxa"/>
            <w:vMerge w:val="continue"/>
            <w:tcBorders>
              <w:left w:val="single" w:color="auto" w:sz="4" w:space="0"/>
              <w:right w:val="single" w:color="auto" w:sz="4" w:space="0"/>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A02052399其他制冷空调设备</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冷却塔</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《机械通风冷却塔第1部分：中小型开式冷却塔》（GB/T7190.1）</w:t>
            </w:r>
          </w:p>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7</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A020601电机</w:t>
            </w:r>
          </w:p>
        </w:tc>
        <w:tc>
          <w:tcPr>
            <w:tcW w:w="1801" w:type="dxa"/>
            <w:vAlign w:val="center"/>
          </w:tcPr>
          <w:p>
            <w:pPr>
              <w:pStyle w:val="17"/>
              <w:jc w:val="center"/>
              <w:rPr>
                <w:rFonts w:hint="eastAsia" w:ascii="仿宋" w:hAnsi="仿宋" w:eastAsia="仿宋" w:cs="仿宋"/>
                <w:spacing w:val="0"/>
                <w:w w:val="100"/>
                <w:sz w:val="21"/>
                <w:szCs w:val="32"/>
              </w:rPr>
            </w:pP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17"/>
              <w:spacing w:before="1"/>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8</w:t>
            </w:r>
          </w:p>
        </w:tc>
        <w:tc>
          <w:tcPr>
            <w:tcW w:w="1167" w:type="dxa"/>
            <w:vAlign w:val="center"/>
          </w:tcPr>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A020602</w:t>
            </w:r>
          </w:p>
          <w:p>
            <w:pPr>
              <w:pStyle w:val="17"/>
              <w:spacing w:before="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变压器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配电变压器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 w:line="310" w:lineRule="atLeast"/>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17"/>
              <w:ind w:left="5"/>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9</w:t>
            </w:r>
          </w:p>
        </w:tc>
        <w:tc>
          <w:tcPr>
            <w:tcW w:w="1167" w:type="dxa"/>
            <w:vAlign w:val="center"/>
          </w:tcPr>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★A020609</w:t>
            </w:r>
          </w:p>
          <w:p>
            <w:pPr>
              <w:pStyle w:val="17"/>
              <w:spacing w:before="160"/>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镇流器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管型荧光灯镇流器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0"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10</w:t>
            </w:r>
          </w:p>
        </w:tc>
        <w:tc>
          <w:tcPr>
            <w:tcW w:w="1167" w:type="dxa"/>
            <w:vMerge w:val="restart"/>
            <w:vAlign w:val="center"/>
          </w:tcPr>
          <w:p>
            <w:pPr>
              <w:pStyle w:val="17"/>
              <w:spacing w:before="16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A020618生活用电器</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A0206180101电冰箱</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tabs>
                <w:tab w:val="left" w:pos="1410"/>
              </w:tabs>
              <w:spacing w:before="8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《家用电冰箱耗电量限定值及能效等级》（GB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restart"/>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★A0206180203</w:t>
            </w:r>
          </w:p>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空调机</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房间空气调节器</w:t>
            </w:r>
          </w:p>
        </w:tc>
        <w:tc>
          <w:tcPr>
            <w:tcW w:w="2967" w:type="dxa"/>
            <w:vAlign w:val="center"/>
          </w:tcPr>
          <w:p>
            <w:pPr>
              <w:pStyle w:val="17"/>
              <w:spacing w:before="37" w:line="292" w:lineRule="auto"/>
              <w:ind w:left="9" w:right="2"/>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《转速可控型房间空气调节器能效限定值及能效等级》（GB21455-2013），待2019年修订发布后，按《房间空气调节器能效限定值及能效等级》（GB21455-2019</w:t>
            </w:r>
            <w:r>
              <w:rPr>
                <w:rFonts w:hint="eastAsia" w:ascii="仿宋" w:hAnsi="仿宋" w:eastAsia="仿宋" w:cs="仿宋"/>
                <w:spacing w:val="0"/>
                <w:w w:val="100"/>
                <w:sz w:val="22"/>
                <w:szCs w:val="32"/>
                <w:lang w:eastAsia="zh-CN"/>
              </w:rPr>
              <w:t>）</w:t>
            </w:r>
            <w:r>
              <w:rPr>
                <w:rFonts w:hint="eastAsia" w:ascii="仿宋" w:hAnsi="仿宋" w:eastAsia="仿宋" w:cs="仿宋"/>
                <w:spacing w:val="0"/>
                <w:w w:val="100"/>
                <w:sz w:val="22"/>
                <w:szCs w:val="32"/>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3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多联式空调（热泵）机组（制冷量≤14000W）</w:t>
            </w: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lang w:eastAsia="zh-CN"/>
              </w:rPr>
            </w:pPr>
            <w:r>
              <w:rPr>
                <w:rFonts w:hint="eastAsia" w:ascii="仿宋" w:hAnsi="仿宋" w:eastAsia="仿宋" w:cs="仿宋"/>
                <w:spacing w:val="0"/>
                <w:w w:val="100"/>
                <w:sz w:val="22"/>
                <w:szCs w:val="32"/>
              </w:rPr>
              <w:t>《多联式空调（热泵）机组能效限定值及能源效率等级》（GB21454</w:t>
            </w:r>
            <w:r>
              <w:rPr>
                <w:rFonts w:hint="eastAsia" w:ascii="仿宋" w:hAnsi="仿宋" w:eastAsia="仿宋" w:cs="仿宋"/>
                <w:spacing w:val="0"/>
                <w:w w:val="100"/>
                <w:sz w:val="22"/>
                <w:szCs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w:t>
            </w:r>
          </w:p>
          <w:p>
            <w:pPr>
              <w:pStyle w:val="17"/>
              <w:spacing w:before="56"/>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(制冷量≤14000W)</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A0206180301洗衣机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39"/>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《电动洗衣机能效水效限定值及</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17"/>
              <w:jc w:val="center"/>
              <w:rPr>
                <w:rFonts w:hint="eastAsia" w:ascii="仿宋" w:hAnsi="仿宋" w:eastAsia="仿宋" w:cs="仿宋"/>
                <w:spacing w:val="0"/>
                <w:w w:val="100"/>
                <w:sz w:val="21"/>
                <w:szCs w:val="32"/>
              </w:rPr>
            </w:pPr>
          </w:p>
        </w:tc>
        <w:tc>
          <w:tcPr>
            <w:tcW w:w="1167" w:type="dxa"/>
            <w:vMerge w:val="continue"/>
            <w:vAlign w:val="center"/>
          </w:tcPr>
          <w:p>
            <w:pPr>
              <w:pStyle w:val="17"/>
              <w:jc w:val="center"/>
              <w:rPr>
                <w:rFonts w:hint="eastAsia" w:ascii="仿宋" w:hAnsi="仿宋" w:eastAsia="仿宋" w:cs="仿宋"/>
                <w:spacing w:val="0"/>
                <w:w w:val="100"/>
                <w:sz w:val="21"/>
                <w:szCs w:val="32"/>
              </w:rPr>
            </w:pPr>
          </w:p>
        </w:tc>
        <w:tc>
          <w:tcPr>
            <w:tcW w:w="1801" w:type="dxa"/>
            <w:vMerge w:val="restart"/>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A02061808热水器</w:t>
            </w: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★电热水器</w:t>
            </w:r>
          </w:p>
        </w:tc>
        <w:tc>
          <w:tcPr>
            <w:tcW w:w="2967" w:type="dxa"/>
            <w:vAlign w:val="center"/>
          </w:tcPr>
          <w:p>
            <w:pPr>
              <w:pStyle w:val="17"/>
              <w:tabs>
                <w:tab w:val="left" w:pos="1609"/>
              </w:tabs>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《储水式电热水器能效限定值及能效等级》（GB</w:t>
            </w:r>
            <w:r>
              <w:rPr>
                <w:rFonts w:hint="eastAsia" w:ascii="仿宋" w:hAnsi="仿宋" w:eastAsia="仿宋" w:cs="仿宋"/>
                <w:spacing w:val="0"/>
                <w:w w:val="100"/>
                <w:sz w:val="22"/>
                <w:szCs w:val="32"/>
              </w:rPr>
              <w:tab/>
            </w:r>
            <w:r>
              <w:rPr>
                <w:rFonts w:hint="eastAsia" w:ascii="仿宋" w:hAnsi="仿宋" w:eastAsia="仿宋" w:cs="仿宋"/>
                <w:spacing w:val="0"/>
                <w:w w:val="100"/>
                <w:sz w:val="22"/>
                <w:szCs w:val="32"/>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燃气热水器</w:t>
            </w:r>
          </w:p>
        </w:tc>
        <w:tc>
          <w:tcPr>
            <w:tcW w:w="2967" w:type="dxa"/>
            <w:vAlign w:val="center"/>
          </w:tcPr>
          <w:p>
            <w:pPr>
              <w:pStyle w:val="17"/>
              <w:spacing w:before="3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《家用燃气快速热水器和燃气采暖热水炉能效限定值及能效等级</w:t>
            </w:r>
          </w:p>
          <w:p>
            <w:pPr>
              <w:pStyle w:val="17"/>
              <w:spacing w:line="255" w:lineRule="exact"/>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热泵热水器</w:t>
            </w: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hint="eastAsia" w:ascii="仿宋" w:hAnsi="仿宋" w:eastAsia="仿宋" w:cs="仿宋"/>
                <w:spacing w:val="0"/>
                <w:w w:val="100"/>
                <w:sz w:val="6"/>
                <w:szCs w:val="6"/>
              </w:rPr>
            </w:pPr>
          </w:p>
        </w:tc>
        <w:tc>
          <w:tcPr>
            <w:tcW w:w="1167" w:type="dxa"/>
            <w:vMerge w:val="continue"/>
            <w:vAlign w:val="center"/>
          </w:tcPr>
          <w:p>
            <w:pPr>
              <w:jc w:val="center"/>
              <w:rPr>
                <w:rFonts w:hint="eastAsia" w:ascii="仿宋" w:hAnsi="仿宋" w:eastAsia="仿宋" w:cs="仿宋"/>
                <w:spacing w:val="0"/>
                <w:w w:val="100"/>
                <w:sz w:val="6"/>
                <w:szCs w:val="6"/>
              </w:rPr>
            </w:pPr>
          </w:p>
        </w:tc>
        <w:tc>
          <w:tcPr>
            <w:tcW w:w="1801" w:type="dxa"/>
            <w:vMerge w:val="continue"/>
            <w:tcBorders>
              <w:top w:val="nil"/>
            </w:tcBorders>
            <w:vAlign w:val="center"/>
          </w:tcPr>
          <w:p>
            <w:pPr>
              <w:jc w:val="center"/>
              <w:rPr>
                <w:rFonts w:hint="eastAsia" w:ascii="仿宋" w:hAnsi="仿宋" w:eastAsia="仿宋" w:cs="仿宋"/>
                <w:spacing w:val="0"/>
                <w:w w:val="100"/>
                <w:sz w:val="6"/>
                <w:szCs w:val="6"/>
              </w:rPr>
            </w:pPr>
          </w:p>
        </w:tc>
        <w:tc>
          <w:tcPr>
            <w:tcW w:w="1916" w:type="dxa"/>
            <w:vAlign w:val="center"/>
          </w:tcPr>
          <w:p>
            <w:pPr>
              <w:pStyle w:val="17"/>
              <w:spacing w:before="1"/>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太阳能热水系统</w:t>
            </w:r>
          </w:p>
        </w:tc>
        <w:tc>
          <w:tcPr>
            <w:tcW w:w="2967" w:type="dxa"/>
            <w:vAlign w:val="center"/>
          </w:tcPr>
          <w:p>
            <w:pPr>
              <w:pStyle w:val="17"/>
              <w:spacing w:before="8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17"/>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11</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A020619</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照明设备</w:t>
            </w:r>
          </w:p>
        </w:tc>
        <w:tc>
          <w:tcPr>
            <w:tcW w:w="1801" w:type="dxa"/>
            <w:vAlign w:val="center"/>
          </w:tcPr>
          <w:p>
            <w:pPr>
              <w:pStyle w:val="17"/>
              <w:spacing w:before="167"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6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LED道路/</w:t>
            </w:r>
          </w:p>
          <w:p>
            <w:pPr>
              <w:pStyle w:val="17"/>
              <w:spacing w:before="126" w:line="292" w:lineRule="auto"/>
              <w:ind w:left="10" w:right="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隧道照明产品</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2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LED筒灯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6"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line="292" w:lineRule="auto"/>
              <w:ind w:left="10" w:right="4"/>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普通照明用非定向自镇流LED灯</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line="292" w:lineRule="auto"/>
              <w:ind w:left="9" w:right="5"/>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12</w:t>
            </w:r>
          </w:p>
        </w:tc>
        <w:tc>
          <w:tcPr>
            <w:tcW w:w="1167" w:type="dxa"/>
            <w:vAlign w:val="center"/>
          </w:tcPr>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w:t>
            </w:r>
          </w:p>
          <w:p>
            <w:pPr>
              <w:pStyle w:val="17"/>
              <w:spacing w:before="11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电视设备</w:t>
            </w:r>
          </w:p>
        </w:tc>
        <w:tc>
          <w:tcPr>
            <w:tcW w:w="1801" w:type="dxa"/>
            <w:vAlign w:val="center"/>
          </w:tcPr>
          <w:p>
            <w:pPr>
              <w:pStyle w:val="17"/>
              <w:spacing w:before="114"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A02091001普通电视设备（电视机）</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1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13</w:t>
            </w:r>
          </w:p>
        </w:tc>
        <w:tc>
          <w:tcPr>
            <w:tcW w:w="1167" w:type="dxa"/>
            <w:vAlign w:val="center"/>
          </w:tcPr>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w:t>
            </w:r>
          </w:p>
          <w:p>
            <w:pPr>
              <w:pStyle w:val="17"/>
              <w:spacing w:before="173"/>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视频设备</w:t>
            </w:r>
          </w:p>
        </w:tc>
        <w:tc>
          <w:tcPr>
            <w:tcW w:w="1801" w:type="dxa"/>
            <w:vAlign w:val="center"/>
          </w:tcPr>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A02091107</w:t>
            </w:r>
          </w:p>
          <w:p>
            <w:pPr>
              <w:pStyle w:val="17"/>
              <w:spacing w:before="173" w:line="292" w:lineRule="auto"/>
              <w:ind w:left="10" w:right="2"/>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视频监控设备</w:t>
            </w:r>
          </w:p>
        </w:tc>
        <w:tc>
          <w:tcPr>
            <w:tcW w:w="1916" w:type="dxa"/>
            <w:vAlign w:val="center"/>
          </w:tcPr>
          <w:p>
            <w:pPr>
              <w:pStyle w:val="17"/>
              <w:ind w:left="9"/>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监视器</w:t>
            </w:r>
          </w:p>
        </w:tc>
        <w:tc>
          <w:tcPr>
            <w:tcW w:w="2967" w:type="dxa"/>
            <w:vAlign w:val="center"/>
          </w:tcPr>
          <w:p>
            <w:pPr>
              <w:pStyle w:val="17"/>
              <w:spacing w:before="6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14</w:t>
            </w:r>
          </w:p>
        </w:tc>
        <w:tc>
          <w:tcPr>
            <w:tcW w:w="1167" w:type="dxa"/>
            <w:vAlign w:val="center"/>
          </w:tcPr>
          <w:p>
            <w:pPr>
              <w:pStyle w:val="17"/>
              <w:spacing w:before="109"/>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A031210饮食炊事机械</w:t>
            </w:r>
          </w:p>
        </w:tc>
        <w:tc>
          <w:tcPr>
            <w:tcW w:w="1801" w:type="dxa"/>
            <w:vAlign w:val="center"/>
          </w:tcPr>
          <w:p>
            <w:pPr>
              <w:pStyle w:val="17"/>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09"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17"/>
              <w:spacing w:before="174"/>
              <w:ind w:left="18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15</w:t>
            </w:r>
          </w:p>
        </w:tc>
        <w:tc>
          <w:tcPr>
            <w:tcW w:w="1167" w:type="dxa"/>
            <w:vMerge w:val="restart"/>
            <w:vAlign w:val="center"/>
          </w:tcPr>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★A060805</w:t>
            </w:r>
          </w:p>
          <w:p>
            <w:pPr>
              <w:pStyle w:val="17"/>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w:t>
            </w: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《坐便器水效限定值及水效等级</w:t>
            </w:r>
          </w:p>
          <w:p>
            <w:pPr>
              <w:pStyle w:val="17"/>
              <w:spacing w:before="56"/>
              <w:ind w:left="9"/>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hint="eastAsia" w:ascii="仿宋" w:hAnsi="仿宋" w:eastAsia="仿宋" w:cs="仿宋"/>
                <w:spacing w:val="0"/>
                <w:w w:val="100"/>
                <w:sz w:val="6"/>
                <w:szCs w:val="6"/>
              </w:rPr>
            </w:pPr>
          </w:p>
        </w:tc>
        <w:tc>
          <w:tcPr>
            <w:tcW w:w="1167" w:type="dxa"/>
            <w:vMerge w:val="continue"/>
            <w:tcBorders>
              <w:top w:val="nil"/>
            </w:tcBorders>
            <w:vAlign w:val="center"/>
          </w:tcPr>
          <w:p>
            <w:pPr>
              <w:jc w:val="center"/>
              <w:rPr>
                <w:rFonts w:hint="eastAsia" w:ascii="仿宋" w:hAnsi="仿宋" w:eastAsia="仿宋" w:cs="仿宋"/>
                <w:spacing w:val="0"/>
                <w:w w:val="100"/>
                <w:sz w:val="6"/>
                <w:szCs w:val="6"/>
              </w:rPr>
            </w:pPr>
          </w:p>
        </w:tc>
        <w:tc>
          <w:tcPr>
            <w:tcW w:w="1801" w:type="dxa"/>
            <w:vAlign w:val="center"/>
          </w:tcPr>
          <w:p>
            <w:pPr>
              <w:pStyle w:val="17"/>
              <w:spacing w:before="1"/>
              <w:ind w:left="10"/>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w:t>
            </w:r>
          </w:p>
        </w:tc>
        <w:tc>
          <w:tcPr>
            <w:tcW w:w="1916" w:type="dxa"/>
            <w:vAlign w:val="center"/>
          </w:tcPr>
          <w:p>
            <w:pPr>
              <w:pStyle w:val="17"/>
              <w:jc w:val="center"/>
              <w:rPr>
                <w:rFonts w:hint="eastAsia" w:ascii="仿宋" w:hAnsi="仿宋" w:eastAsia="仿宋" w:cs="仿宋"/>
                <w:spacing w:val="0"/>
                <w:w w:val="100"/>
                <w:sz w:val="21"/>
                <w:szCs w:val="32"/>
              </w:rPr>
            </w:pPr>
          </w:p>
        </w:tc>
        <w:tc>
          <w:tcPr>
            <w:tcW w:w="2967" w:type="dxa"/>
            <w:vAlign w:val="center"/>
          </w:tcPr>
          <w:p>
            <w:pPr>
              <w:pStyle w:val="17"/>
              <w:spacing w:before="157"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16</w:t>
            </w:r>
          </w:p>
        </w:tc>
        <w:tc>
          <w:tcPr>
            <w:tcW w:w="1167" w:type="dxa"/>
            <w:vAlign w:val="center"/>
          </w:tcPr>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★A060806</w:t>
            </w:r>
          </w:p>
          <w:p>
            <w:pPr>
              <w:pStyle w:val="17"/>
              <w:spacing w:before="1"/>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17</w:t>
            </w:r>
          </w:p>
        </w:tc>
        <w:tc>
          <w:tcPr>
            <w:tcW w:w="1167" w:type="dxa"/>
            <w:vAlign w:val="center"/>
          </w:tcPr>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A060807</w:t>
            </w:r>
          </w:p>
          <w:p>
            <w:pPr>
              <w:pStyle w:val="17"/>
              <w:spacing w:before="145"/>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45"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17"/>
              <w:ind w:left="167" w:right="157"/>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18</w:t>
            </w:r>
          </w:p>
        </w:tc>
        <w:tc>
          <w:tcPr>
            <w:tcW w:w="1167" w:type="dxa"/>
            <w:vAlign w:val="center"/>
          </w:tcPr>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A060810</w:t>
            </w:r>
          </w:p>
          <w:p>
            <w:pPr>
              <w:pStyle w:val="17"/>
              <w:spacing w:before="164"/>
              <w:ind w:left="11"/>
              <w:jc w:val="center"/>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w:t>
            </w:r>
          </w:p>
        </w:tc>
        <w:tc>
          <w:tcPr>
            <w:tcW w:w="1801" w:type="dxa"/>
            <w:vAlign w:val="center"/>
          </w:tcPr>
          <w:p>
            <w:pPr>
              <w:pStyle w:val="17"/>
              <w:jc w:val="center"/>
              <w:rPr>
                <w:rFonts w:hint="eastAsia" w:ascii="仿宋" w:hAnsi="仿宋" w:eastAsia="仿宋" w:cs="仿宋"/>
                <w:spacing w:val="0"/>
                <w:w w:val="100"/>
                <w:sz w:val="22"/>
                <w:szCs w:val="32"/>
              </w:rPr>
            </w:pPr>
          </w:p>
        </w:tc>
        <w:tc>
          <w:tcPr>
            <w:tcW w:w="1916" w:type="dxa"/>
            <w:vAlign w:val="center"/>
          </w:tcPr>
          <w:p>
            <w:pPr>
              <w:pStyle w:val="17"/>
              <w:jc w:val="center"/>
              <w:rPr>
                <w:rFonts w:hint="eastAsia" w:ascii="仿宋" w:hAnsi="仿宋" w:eastAsia="仿宋" w:cs="仿宋"/>
                <w:spacing w:val="0"/>
                <w:w w:val="100"/>
                <w:sz w:val="22"/>
                <w:szCs w:val="32"/>
              </w:rPr>
            </w:pPr>
          </w:p>
        </w:tc>
        <w:tc>
          <w:tcPr>
            <w:tcW w:w="2967" w:type="dxa"/>
            <w:vAlign w:val="center"/>
          </w:tcPr>
          <w:p>
            <w:pPr>
              <w:pStyle w:val="17"/>
              <w:spacing w:before="164" w:line="292" w:lineRule="auto"/>
              <w:ind w:left="9" w:right="3"/>
              <w:jc w:val="both"/>
              <w:rPr>
                <w:rFonts w:hint="eastAsia" w:ascii="仿宋" w:hAnsi="仿宋" w:eastAsia="仿宋" w:cs="仿宋"/>
                <w:spacing w:val="0"/>
                <w:w w:val="100"/>
                <w:sz w:val="22"/>
                <w:szCs w:val="32"/>
              </w:rPr>
            </w:pPr>
            <w:r>
              <w:rPr>
                <w:rFonts w:hint="eastAsia" w:ascii="仿宋" w:hAnsi="仿宋" w:eastAsia="仿宋" w:cs="仿宋"/>
                <w:spacing w:val="0"/>
                <w:w w:val="100"/>
                <w:sz w:val="22"/>
                <w:szCs w:val="32"/>
              </w:rPr>
              <w:t>《淋浴器用水效率限定值及用水效率等级》（GB28378）</w:t>
            </w:r>
          </w:p>
        </w:tc>
      </w:tr>
    </w:tbl>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注：1.节能产品认证应依据相关国家标准的最新版本，依据国家标准中二级能效（水效）指标。</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2.上述产品中认证标准发生变更的，依据原认证标准获得的、仍在有效期内的认证证书可使用至2019年6月1日。</w:t>
      </w:r>
    </w:p>
    <w:p>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3.以“★”标注的为政府强制采购产品。</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参与实施政府采购节能产品认证机构名录</w:t>
      </w:r>
    </w:p>
    <w:tbl>
      <w:tblPr>
        <w:tblStyle w:val="1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347"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一级目录</w:t>
            </w:r>
          </w:p>
        </w:tc>
        <w:tc>
          <w:tcPr>
            <w:tcW w:w="2698" w:type="dxa"/>
            <w:gridSpan w:val="2"/>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二级目录</w:t>
            </w:r>
          </w:p>
        </w:tc>
        <w:tc>
          <w:tcPr>
            <w:tcW w:w="3261" w:type="dxa"/>
            <w:vMerge w:val="restart"/>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c>
          <w:tcPr>
            <w:tcW w:w="1151"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19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134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产品代码</w:t>
            </w:r>
          </w:p>
        </w:tc>
        <w:tc>
          <w:tcPr>
            <w:tcW w:w="1354"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产品名称</w:t>
            </w:r>
          </w:p>
        </w:tc>
        <w:tc>
          <w:tcPr>
            <w:tcW w:w="3261" w:type="dxa"/>
            <w:vMerge w:val="continue"/>
            <w:shd w:val="clear" w:color="auto" w:fill="FFFFFF"/>
            <w:tcMar>
              <w:left w:w="108" w:type="dxa"/>
              <w:right w:w="108" w:type="dxa"/>
            </w:tcMar>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计算机</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台式计算机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北京赛西认证有限责任公司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中国网络安全审查技术与认证中心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便携式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平板式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微型计算机</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输入输出设备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打印设备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A02010604</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显示设备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A02010609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图形图像</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输入设备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投影仪</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A020204</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多功能</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一体机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泵</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A02051901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离心泵</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制冷空调设备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制冷压缩机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A02052305</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空调机组</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A02052309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专用制冷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A02052399</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其他制冷</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电机</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A020602</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变压器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电能（北京）认证中心有限公司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A020609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镇流器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151" w:type="dxa"/>
            <w:vMerge w:val="restart"/>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w:t>
            </w:r>
          </w:p>
        </w:tc>
        <w:tc>
          <w:tcPr>
            <w:tcW w:w="1196" w:type="dxa"/>
            <w:vMerge w:val="restart"/>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A0206180101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电冰箱</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A0206180203</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空调机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A0206180301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洗衣机</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51"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196" w:type="dxa"/>
            <w:vMerge w:val="continue"/>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A02061808</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热水器</w:t>
            </w: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威凯认证检测有限公司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中家院（北京）检测认证有限公司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A020619</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照明设备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深圳市计量质量检测研究院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电视设备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A02091001</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普通电视设备（电视机）</w:t>
            </w: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北京泰瑞特认证有限责任公司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视频设备</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A02091107</w:t>
            </w: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视频监</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控设备</w:t>
            </w: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A031210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饮食炊</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事机械</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北京鉴衡认证中心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A060805</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便器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restart"/>
            <w:shd w:val="clear" w:color="auto" w:fill="FFFFFF"/>
            <w:tcMar>
              <w:left w:w="108" w:type="dxa"/>
              <w:right w:w="108" w:type="dxa"/>
            </w:tcMar>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中国质量认证中心</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北京新华节水产品认证有限公司</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A060806</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水嘴</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A060807</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便器</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冲洗阀</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1151"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A060810</w:t>
            </w:r>
          </w:p>
        </w:tc>
        <w:tc>
          <w:tcPr>
            <w:tcW w:w="119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淋浴器</w:t>
            </w:r>
          </w:p>
        </w:tc>
        <w:tc>
          <w:tcPr>
            <w:tcW w:w="134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1354" w:type="dxa"/>
            <w:shd w:val="clear" w:color="auto" w:fill="FFFFFF"/>
            <w:tcMar>
              <w:left w:w="108" w:type="dxa"/>
              <w:right w:w="108" w:type="dxa"/>
            </w:tcMar>
            <w:vAlign w:val="center"/>
          </w:tcPr>
          <w:p>
            <w:pPr>
              <w:jc w:val="center"/>
              <w:rPr>
                <w:rFonts w:hint="eastAsia" w:ascii="仿宋" w:hAnsi="仿宋" w:eastAsia="仿宋" w:cs="仿宋"/>
                <w:sz w:val="24"/>
                <w:szCs w:val="24"/>
              </w:rPr>
            </w:pPr>
          </w:p>
        </w:tc>
        <w:tc>
          <w:tcPr>
            <w:tcW w:w="3261" w:type="dxa"/>
            <w:vMerge w:val="continue"/>
            <w:shd w:val="clear" w:color="auto" w:fill="FFFFFF"/>
            <w:tcMar>
              <w:left w:w="108" w:type="dxa"/>
              <w:right w:w="108" w:type="dxa"/>
            </w:tcMar>
            <w:vAlign w:val="center"/>
          </w:tcPr>
          <w:p>
            <w:pPr>
              <w:jc w:val="both"/>
              <w:rPr>
                <w:rFonts w:hint="eastAsia" w:ascii="仿宋" w:hAnsi="仿宋" w:eastAsia="仿宋" w:cs="仿宋"/>
                <w:sz w:val="24"/>
                <w:szCs w:val="24"/>
              </w:rPr>
            </w:pP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参与实施政府采购环境标志产品认证机构名录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3326"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目录</w:t>
            </w:r>
          </w:p>
        </w:tc>
        <w:tc>
          <w:tcPr>
            <w:tcW w:w="9889" w:type="dxa"/>
            <w:shd w:val="clear" w:color="auto" w:fill="FFFFFF"/>
            <w:tcMar>
              <w:left w:w="108"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326"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环境标志产品</w:t>
            </w:r>
          </w:p>
        </w:tc>
        <w:tc>
          <w:tcPr>
            <w:tcW w:w="9889" w:type="dxa"/>
            <w:shd w:val="clear" w:color="auto"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中环联合（北京）认证中心有限公司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中标合信（北京）认证有限公司</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中环协（北京）认证中心</w:t>
            </w: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天津华诚认证有限公司</w:t>
            </w:r>
          </w:p>
        </w:tc>
      </w:tr>
    </w:tbl>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pStyle w:val="4"/>
        <w:bidi w:val="0"/>
        <w:rPr>
          <w:rFonts w:hint="eastAsia"/>
          <w:sz w:val="36"/>
          <w:szCs w:val="28"/>
          <w:lang w:val="en-US" w:eastAsia="zh-CN"/>
        </w:rPr>
      </w:pPr>
      <w:r>
        <w:rPr>
          <w:rFonts w:hint="eastAsia"/>
          <w:sz w:val="36"/>
          <w:szCs w:val="28"/>
          <w:lang w:val="en-US" w:eastAsia="zh-CN"/>
        </w:rPr>
        <w:t>附件十七：资格证明材料格式（参考）</w:t>
      </w:r>
      <w:bookmarkEnd w:id="64"/>
    </w:p>
    <w:p>
      <w:pPr>
        <w:pStyle w:val="5"/>
        <w:numPr>
          <w:ilvl w:val="0"/>
          <w:numId w:val="31"/>
        </w:numPr>
        <w:bidi w:val="0"/>
        <w:rPr>
          <w:rFonts w:hint="eastAsia"/>
          <w:sz w:val="32"/>
          <w:szCs w:val="28"/>
          <w:lang w:val="en-US" w:eastAsia="zh-CN"/>
        </w:rPr>
      </w:pPr>
      <w:bookmarkStart w:id="65" w:name="_Toc24753"/>
      <w:r>
        <w:rPr>
          <w:rFonts w:hint="eastAsia"/>
          <w:sz w:val="32"/>
          <w:szCs w:val="28"/>
          <w:lang w:val="en-US" w:eastAsia="zh-CN"/>
        </w:rPr>
        <w:t>参加政府采购活动前三年内在经营活动中没有重大违法记录的书面声明</w:t>
      </w:r>
      <w:bookmarkEnd w:id="65"/>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我单位郑重声明：自本项目开标之日起向前追溯三年，我单位没有以下重大违法记录：因违法经营受到刑事处罚或者责令停产停业、吊销许可证或者执照、较大数额罚款等行政处罚。</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注：1.如不提供本声明函，将作无效投标处理。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2.投标供应商对其所声明内容的真实性负责。如投标供应商所声明内容不真实，应承担相应的法律责任。</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eastAsia"/>
          <w:sz w:val="32"/>
          <w:szCs w:val="28"/>
          <w:lang w:val="en-US" w:eastAsia="zh-CN"/>
        </w:rPr>
      </w:pPr>
      <w:bookmarkStart w:id="66" w:name="_Toc23872"/>
      <w:r>
        <w:rPr>
          <w:rFonts w:hint="eastAsia"/>
          <w:sz w:val="32"/>
          <w:szCs w:val="28"/>
          <w:lang w:val="en-US" w:eastAsia="zh-CN"/>
        </w:rPr>
        <w:t>供应商不存在关联关系声明</w:t>
      </w:r>
      <w:bookmarkEnd w:id="6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供应商应当如实披露与本单位存在下列关联关系的单位名称，如无，请填写“无”：</w:t>
      </w: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与供应商单位负责人为同一人的其他单位；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32"/>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与供应商存在直接控股、管理关系的其他单位：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我单位郑重声明：我单位未与上述存在关联关系的单位同时参加本项目同一合同项下（同一包号）的政府采购活动。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sz w:val="22"/>
          <w:szCs w:val="28"/>
          <w:lang w:val="en-US" w:eastAsia="zh-CN"/>
        </w:rPr>
      </w:pPr>
      <w:r>
        <w:rPr>
          <w:rFonts w:hint="eastAsia"/>
          <w:sz w:val="22"/>
          <w:szCs w:val="28"/>
          <w:lang w:val="en-US" w:eastAsia="zh-CN"/>
        </w:rPr>
        <w:br w:type="page"/>
      </w:r>
    </w:p>
    <w:p>
      <w:pPr>
        <w:pStyle w:val="5"/>
        <w:numPr>
          <w:ilvl w:val="0"/>
          <w:numId w:val="31"/>
        </w:numPr>
        <w:bidi w:val="0"/>
        <w:rPr>
          <w:rFonts w:hint="default"/>
          <w:sz w:val="32"/>
          <w:szCs w:val="28"/>
          <w:lang w:val="en-US" w:eastAsia="zh-CN"/>
        </w:rPr>
      </w:pPr>
      <w:bookmarkStart w:id="67" w:name="_Toc11401"/>
      <w:r>
        <w:rPr>
          <w:rFonts w:hint="default"/>
          <w:sz w:val="32"/>
          <w:szCs w:val="28"/>
          <w:lang w:val="en-US" w:eastAsia="zh-CN"/>
        </w:rPr>
        <w:t>不存在禁止参加政府采购活动情形的书面声明</w:t>
      </w:r>
      <w:bookmarkEnd w:id="67"/>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我单位郑重声明：我单位不存在上述禁止参加政府采购活动的情形。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供应商名称（盖章）：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法定代表人或授权代理人签字或盖章：</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left="2100" w:leftChars="1000" w:firstLine="0" w:firstLineChars="0"/>
        <w:textAlignment w:val="auto"/>
        <w:rPr>
          <w:rFonts w:hint="eastAsia" w:ascii="仿宋" w:hAnsi="仿宋" w:eastAsia="仿宋" w:cs="仿宋"/>
          <w:sz w:val="28"/>
          <w:szCs w:val="28"/>
          <w:lang w:val="en-US" w:eastAsia="zh-CN"/>
        </w:rPr>
      </w:pPr>
    </w:p>
    <w:p>
      <w:pPr>
        <w:numPr>
          <w:ilvl w:val="0"/>
          <w:numId w:val="0"/>
        </w:num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 xml:space="preserve">注：1.如不提供本声明函，将作无效投标处理。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2.供应商应对其所声明内容的真实性负责。如供应商所声明内容不真实，则应承担相应的法律责任</w:t>
      </w:r>
      <w:r>
        <w:rPr>
          <w:rFonts w:hint="eastAsia" w:ascii="仿宋" w:hAnsi="仿宋" w:eastAsia="仿宋" w:cs="仿宋"/>
          <w:b w:val="0"/>
          <w:bCs w:val="0"/>
          <w:sz w:val="28"/>
          <w:szCs w:val="28"/>
          <w:lang w:val="en-US" w:eastAsia="zh-CN"/>
        </w:rPr>
        <w:t>。</w:t>
      </w:r>
    </w:p>
    <w:p>
      <w:pPr>
        <w:rPr>
          <w:rFonts w:hint="eastAsia"/>
          <w:lang w:val="en-US" w:eastAsia="zh-CN"/>
        </w:rPr>
      </w:pPr>
      <w:r>
        <w:rPr>
          <w:rFonts w:hint="eastAsia"/>
          <w:lang w:val="en-US" w:eastAsia="zh-CN"/>
        </w:rPr>
        <w:br w:type="page"/>
      </w:r>
    </w:p>
    <w:p>
      <w:pPr>
        <w:pStyle w:val="4"/>
        <w:bidi w:val="0"/>
        <w:rPr>
          <w:rFonts w:hint="eastAsia"/>
          <w:sz w:val="36"/>
          <w:szCs w:val="28"/>
          <w:lang w:val="en-US" w:eastAsia="zh-CN"/>
        </w:rPr>
      </w:pPr>
      <w:bookmarkStart w:id="68" w:name="_Toc19709"/>
      <w:r>
        <w:rPr>
          <w:rFonts w:hint="eastAsia"/>
          <w:sz w:val="36"/>
          <w:szCs w:val="28"/>
          <w:lang w:val="en-US" w:eastAsia="zh-CN"/>
        </w:rPr>
        <w:t>附件十八：投标文件密封封套标记格式</w:t>
      </w:r>
      <w:bookmarkEnd w:id="6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（正本）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（副本）</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（开标一览表）</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c>
          <w:tcPr>
            <w:tcW w:w="4258" w:type="dxa"/>
          </w:tcPr>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投标文件</w:t>
            </w:r>
          </w:p>
          <w:p>
            <w:pPr>
              <w:jc w:val="cente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（电子版）</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项目编号：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项目名称：</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包号：</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供应商名称（公章）：</w:t>
            </w:r>
          </w:p>
          <w:p>
            <w:pPr>
              <w:rPr>
                <w:rFonts w:hint="eastAsia" w:ascii="华文中宋" w:hAnsi="华文中宋" w:eastAsia="华文中宋" w:cs="华文中宋"/>
                <w:sz w:val="28"/>
                <w:szCs w:val="28"/>
                <w:vertAlign w:val="baseline"/>
                <w:lang w:val="en-US" w:eastAsia="zh-CN"/>
              </w:rPr>
            </w:pPr>
            <w:r>
              <w:rPr>
                <w:rFonts w:hint="eastAsia" w:ascii="华文中宋" w:hAnsi="华文中宋" w:eastAsia="华文中宋" w:cs="华文中宋"/>
                <w:sz w:val="28"/>
                <w:szCs w:val="28"/>
                <w:vertAlign w:val="baseline"/>
                <w:lang w:val="en-US" w:eastAsia="zh-CN"/>
              </w:rPr>
              <w:t>地址：</w:t>
            </w:r>
          </w:p>
          <w:p>
            <w:pPr>
              <w:rPr>
                <w:rFonts w:hint="default"/>
                <w:sz w:val="22"/>
                <w:szCs w:val="28"/>
                <w:vertAlign w:val="baseline"/>
                <w:lang w:val="en-US" w:eastAsia="zh-CN"/>
              </w:rPr>
            </w:pPr>
            <w:r>
              <w:rPr>
                <w:rFonts w:hint="eastAsia" w:ascii="华文中宋" w:hAnsi="华文中宋" w:eastAsia="华文中宋" w:cs="华文中宋"/>
                <w:sz w:val="28"/>
                <w:szCs w:val="28"/>
                <w:vertAlign w:val="baseline"/>
                <w:lang w:val="en-US" w:eastAsia="zh-CN"/>
              </w:rPr>
              <w:t>电话：</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封条格式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………于    年   月   日   时   分之前不准启封（公章）………</w:t>
            </w:r>
          </w:p>
        </w:tc>
      </w:tr>
    </w:tbl>
    <w:p>
      <w:pPr>
        <w:rPr>
          <w:rFonts w:hint="default"/>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F2C7C8A"/>
    <w:multiLevelType w:val="singleLevel"/>
    <w:tmpl w:val="8F2C7C8A"/>
    <w:lvl w:ilvl="0" w:tentative="0">
      <w:start w:val="1"/>
      <w:numFmt w:val="decimal"/>
      <w:suff w:val="nothing"/>
      <w:lvlText w:val="（%1）"/>
      <w:lvlJc w:val="left"/>
    </w:lvl>
  </w:abstractNum>
  <w:abstractNum w:abstractNumId="2">
    <w:nsid w:val="8F49B618"/>
    <w:multiLevelType w:val="singleLevel"/>
    <w:tmpl w:val="8F49B618"/>
    <w:lvl w:ilvl="0" w:tentative="0">
      <w:start w:val="1"/>
      <w:numFmt w:val="decimal"/>
      <w:suff w:val="nothing"/>
      <w:lvlText w:val="（%1）"/>
      <w:lvlJc w:val="left"/>
    </w:lvl>
  </w:abstractNum>
  <w:abstractNum w:abstractNumId="3">
    <w:nsid w:val="940DCD67"/>
    <w:multiLevelType w:val="singleLevel"/>
    <w:tmpl w:val="940DCD67"/>
    <w:lvl w:ilvl="0" w:tentative="0">
      <w:start w:val="1"/>
      <w:numFmt w:val="decimal"/>
      <w:suff w:val="nothing"/>
      <w:lvlText w:val="（%1）"/>
      <w:lvlJc w:val="left"/>
    </w:lvl>
  </w:abstractNum>
  <w:abstractNum w:abstractNumId="4">
    <w:nsid w:val="94FAF84E"/>
    <w:multiLevelType w:val="singleLevel"/>
    <w:tmpl w:val="94FAF84E"/>
    <w:lvl w:ilvl="0" w:tentative="0">
      <w:start w:val="1"/>
      <w:numFmt w:val="decimal"/>
      <w:suff w:val="nothing"/>
      <w:lvlText w:val="（%1）"/>
      <w:lvlJc w:val="left"/>
    </w:lvl>
  </w:abstractNum>
  <w:abstractNum w:abstractNumId="5">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6">
    <w:nsid w:val="BD435E44"/>
    <w:multiLevelType w:val="singleLevel"/>
    <w:tmpl w:val="BD435E44"/>
    <w:lvl w:ilvl="0" w:tentative="0">
      <w:start w:val="1"/>
      <w:numFmt w:val="decimal"/>
      <w:suff w:val="nothing"/>
      <w:lvlText w:val="（%1）"/>
      <w:lvlJc w:val="left"/>
    </w:lvl>
  </w:abstractNum>
  <w:abstractNum w:abstractNumId="7">
    <w:nsid w:val="BDA6F62C"/>
    <w:multiLevelType w:val="singleLevel"/>
    <w:tmpl w:val="BDA6F62C"/>
    <w:lvl w:ilvl="0" w:tentative="0">
      <w:start w:val="1"/>
      <w:numFmt w:val="decimal"/>
      <w:lvlText w:val="%1"/>
      <w:lvlJc w:val="left"/>
      <w:pPr>
        <w:tabs>
          <w:tab w:val="left" w:pos="420"/>
        </w:tabs>
        <w:ind w:left="425" w:leftChars="0" w:hanging="425" w:firstLineChars="0"/>
      </w:pPr>
      <w:rPr>
        <w:rFonts w:hint="default"/>
      </w:rPr>
    </w:lvl>
  </w:abstractNum>
  <w:abstractNum w:abstractNumId="8">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9">
    <w:nsid w:val="D27CA4CE"/>
    <w:multiLevelType w:val="singleLevel"/>
    <w:tmpl w:val="D27CA4CE"/>
    <w:lvl w:ilvl="0" w:tentative="0">
      <w:start w:val="1"/>
      <w:numFmt w:val="decimal"/>
      <w:suff w:val="nothing"/>
      <w:lvlText w:val="%1、"/>
      <w:lvlJc w:val="left"/>
    </w:lvl>
  </w:abstractNum>
  <w:abstractNum w:abstractNumId="10">
    <w:nsid w:val="D47A9E4F"/>
    <w:multiLevelType w:val="singleLevel"/>
    <w:tmpl w:val="D47A9E4F"/>
    <w:lvl w:ilvl="0" w:tentative="0">
      <w:start w:val="1"/>
      <w:numFmt w:val="decimal"/>
      <w:suff w:val="nothing"/>
      <w:lvlText w:val="（%1）"/>
      <w:lvlJc w:val="left"/>
    </w:lvl>
  </w:abstractNum>
  <w:abstractNum w:abstractNumId="11">
    <w:nsid w:val="D7A97348"/>
    <w:multiLevelType w:val="singleLevel"/>
    <w:tmpl w:val="D7A97348"/>
    <w:lvl w:ilvl="0" w:tentative="0">
      <w:start w:val="1"/>
      <w:numFmt w:val="decimal"/>
      <w:suff w:val="nothing"/>
      <w:lvlText w:val="（%1）"/>
      <w:lvlJc w:val="left"/>
    </w:lvl>
  </w:abstractNum>
  <w:abstractNum w:abstractNumId="12">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13">
    <w:nsid w:val="E99DE957"/>
    <w:multiLevelType w:val="singleLevel"/>
    <w:tmpl w:val="E99DE957"/>
    <w:lvl w:ilvl="0" w:tentative="0">
      <w:start w:val="1"/>
      <w:numFmt w:val="chineseCounting"/>
      <w:suff w:val="nothing"/>
      <w:lvlText w:val="%1、"/>
      <w:lvlJc w:val="left"/>
      <w:rPr>
        <w:rFonts w:hint="eastAsia"/>
      </w:rPr>
    </w:lvl>
  </w:abstractNum>
  <w:abstractNum w:abstractNumId="14">
    <w:nsid w:val="EAC5059A"/>
    <w:multiLevelType w:val="singleLevel"/>
    <w:tmpl w:val="EAC5059A"/>
    <w:lvl w:ilvl="0" w:tentative="0">
      <w:start w:val="1"/>
      <w:numFmt w:val="decimal"/>
      <w:suff w:val="nothing"/>
      <w:lvlText w:val="（%1）"/>
      <w:lvlJc w:val="left"/>
    </w:lvl>
  </w:abstractNum>
  <w:abstractNum w:abstractNumId="15">
    <w:nsid w:val="F06F0C77"/>
    <w:multiLevelType w:val="singleLevel"/>
    <w:tmpl w:val="F06F0C77"/>
    <w:lvl w:ilvl="0" w:tentative="0">
      <w:start w:val="1"/>
      <w:numFmt w:val="decimal"/>
      <w:suff w:val="nothing"/>
      <w:lvlText w:val="%1、"/>
      <w:lvlJc w:val="left"/>
    </w:lvl>
  </w:abstractNum>
  <w:abstractNum w:abstractNumId="16">
    <w:nsid w:val="FAED9D87"/>
    <w:multiLevelType w:val="singleLevel"/>
    <w:tmpl w:val="FAED9D87"/>
    <w:lvl w:ilvl="0" w:tentative="0">
      <w:start w:val="1"/>
      <w:numFmt w:val="decimal"/>
      <w:suff w:val="nothing"/>
      <w:lvlText w:val="%1、"/>
      <w:lvlJc w:val="left"/>
    </w:lvl>
  </w:abstractNum>
  <w:abstractNum w:abstractNumId="17">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8">
    <w:nsid w:val="092C0995"/>
    <w:multiLevelType w:val="singleLevel"/>
    <w:tmpl w:val="092C0995"/>
    <w:lvl w:ilvl="0" w:tentative="0">
      <w:start w:val="1"/>
      <w:numFmt w:val="decimal"/>
      <w:suff w:val="nothing"/>
      <w:lvlText w:val="（%1）"/>
      <w:lvlJc w:val="left"/>
    </w:lvl>
  </w:abstractNum>
  <w:abstractNum w:abstractNumId="19">
    <w:nsid w:val="09FD4165"/>
    <w:multiLevelType w:val="singleLevel"/>
    <w:tmpl w:val="09FD4165"/>
    <w:lvl w:ilvl="0" w:tentative="0">
      <w:start w:val="1"/>
      <w:numFmt w:val="decimal"/>
      <w:suff w:val="nothing"/>
      <w:lvlText w:val="（%1）"/>
      <w:lvlJc w:val="left"/>
    </w:lvl>
  </w:abstractNum>
  <w:abstractNum w:abstractNumId="2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21">
    <w:nsid w:val="2E6C82FE"/>
    <w:multiLevelType w:val="singleLevel"/>
    <w:tmpl w:val="2E6C82FE"/>
    <w:lvl w:ilvl="0" w:tentative="0">
      <w:start w:val="1"/>
      <w:numFmt w:val="chineseCounting"/>
      <w:suff w:val="nothing"/>
      <w:lvlText w:val="%1、"/>
      <w:lvlJc w:val="left"/>
      <w:rPr>
        <w:rFonts w:hint="eastAsia"/>
      </w:rPr>
    </w:lvl>
  </w:abstractNum>
  <w:abstractNum w:abstractNumId="22">
    <w:nsid w:val="3E2AC779"/>
    <w:multiLevelType w:val="singleLevel"/>
    <w:tmpl w:val="3E2AC779"/>
    <w:lvl w:ilvl="0" w:tentative="0">
      <w:start w:val="1"/>
      <w:numFmt w:val="decimal"/>
      <w:suff w:val="nothing"/>
      <w:lvlText w:val="（%1）"/>
      <w:lvlJc w:val="left"/>
    </w:lvl>
  </w:abstractNum>
  <w:abstractNum w:abstractNumId="23">
    <w:nsid w:val="3E3D6081"/>
    <w:multiLevelType w:val="singleLevel"/>
    <w:tmpl w:val="3E3D6081"/>
    <w:lvl w:ilvl="0" w:tentative="0">
      <w:start w:val="1"/>
      <w:numFmt w:val="decimal"/>
      <w:suff w:val="nothing"/>
      <w:lvlText w:val="（%1）"/>
      <w:lvlJc w:val="left"/>
    </w:lvl>
  </w:abstractNum>
  <w:abstractNum w:abstractNumId="24">
    <w:nsid w:val="42B27805"/>
    <w:multiLevelType w:val="singleLevel"/>
    <w:tmpl w:val="42B27805"/>
    <w:lvl w:ilvl="0" w:tentative="0">
      <w:start w:val="1"/>
      <w:numFmt w:val="decimal"/>
      <w:suff w:val="nothing"/>
      <w:lvlText w:val="%1、"/>
      <w:lvlJc w:val="left"/>
    </w:lvl>
  </w:abstractNum>
  <w:abstractNum w:abstractNumId="25">
    <w:nsid w:val="48117AEE"/>
    <w:multiLevelType w:val="singleLevel"/>
    <w:tmpl w:val="48117AEE"/>
    <w:lvl w:ilvl="0" w:tentative="0">
      <w:start w:val="1"/>
      <w:numFmt w:val="chineseCounting"/>
      <w:suff w:val="nothing"/>
      <w:lvlText w:val="（%1）"/>
      <w:lvlJc w:val="left"/>
      <w:rPr>
        <w:rFonts w:hint="eastAsia"/>
      </w:rPr>
    </w:lvl>
  </w:abstractNum>
  <w:abstractNum w:abstractNumId="26">
    <w:nsid w:val="498F7106"/>
    <w:multiLevelType w:val="singleLevel"/>
    <w:tmpl w:val="498F7106"/>
    <w:lvl w:ilvl="0" w:tentative="0">
      <w:start w:val="1"/>
      <w:numFmt w:val="decimal"/>
      <w:suff w:val="nothing"/>
      <w:lvlText w:val="（%1）"/>
      <w:lvlJc w:val="left"/>
    </w:lvl>
  </w:abstractNum>
  <w:abstractNum w:abstractNumId="27">
    <w:nsid w:val="535DF3F7"/>
    <w:multiLevelType w:val="singleLevel"/>
    <w:tmpl w:val="535DF3F7"/>
    <w:lvl w:ilvl="0" w:tentative="0">
      <w:start w:val="1"/>
      <w:numFmt w:val="chineseCounting"/>
      <w:suff w:val="nothing"/>
      <w:lvlText w:val="%1、"/>
      <w:lvlJc w:val="left"/>
      <w:rPr>
        <w:rFonts w:hint="eastAsia"/>
      </w:rPr>
    </w:lvl>
  </w:abstractNum>
  <w:abstractNum w:abstractNumId="28">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9">
    <w:nsid w:val="6BB823B2"/>
    <w:multiLevelType w:val="singleLevel"/>
    <w:tmpl w:val="6BB823B2"/>
    <w:lvl w:ilvl="0" w:tentative="0">
      <w:start w:val="2"/>
      <w:numFmt w:val="chineseCounting"/>
      <w:suff w:val="space"/>
      <w:lvlText w:val="第%1章"/>
      <w:lvlJc w:val="left"/>
      <w:rPr>
        <w:rFonts w:hint="eastAsia"/>
      </w:rPr>
    </w:lvl>
  </w:abstractNum>
  <w:abstractNum w:abstractNumId="30">
    <w:nsid w:val="6CF6F750"/>
    <w:multiLevelType w:val="singleLevel"/>
    <w:tmpl w:val="6CF6F750"/>
    <w:lvl w:ilvl="0" w:tentative="0">
      <w:start w:val="1"/>
      <w:numFmt w:val="decimal"/>
      <w:suff w:val="nothing"/>
      <w:lvlText w:val="（%1）"/>
      <w:lvlJc w:val="left"/>
    </w:lvl>
  </w:abstractNum>
  <w:abstractNum w:abstractNumId="31">
    <w:nsid w:val="74FB255C"/>
    <w:multiLevelType w:val="singleLevel"/>
    <w:tmpl w:val="74FB255C"/>
    <w:lvl w:ilvl="0" w:tentative="0">
      <w:start w:val="1"/>
      <w:numFmt w:val="chineseCounting"/>
      <w:suff w:val="space"/>
      <w:lvlText w:val="第%1部分"/>
      <w:lvlJc w:val="left"/>
      <w:rPr>
        <w:rFonts w:hint="eastAsia"/>
      </w:rPr>
    </w:lvl>
  </w:abstractNum>
  <w:num w:numId="1">
    <w:abstractNumId w:val="31"/>
  </w:num>
  <w:num w:numId="2">
    <w:abstractNumId w:val="13"/>
  </w:num>
  <w:num w:numId="3">
    <w:abstractNumId w:val="0"/>
  </w:num>
  <w:num w:numId="4">
    <w:abstractNumId w:val="20"/>
  </w:num>
  <w:num w:numId="5">
    <w:abstractNumId w:val="15"/>
  </w:num>
  <w:num w:numId="6">
    <w:abstractNumId w:val="16"/>
  </w:num>
  <w:num w:numId="7">
    <w:abstractNumId w:val="29"/>
  </w:num>
  <w:num w:numId="8">
    <w:abstractNumId w:val="28"/>
  </w:num>
  <w:num w:numId="9">
    <w:abstractNumId w:val="10"/>
  </w:num>
  <w:num w:numId="10">
    <w:abstractNumId w:val="1"/>
  </w:num>
  <w:num w:numId="11">
    <w:abstractNumId w:val="23"/>
  </w:num>
  <w:num w:numId="12">
    <w:abstractNumId w:val="4"/>
  </w:num>
  <w:num w:numId="13">
    <w:abstractNumId w:val="27"/>
  </w:num>
  <w:num w:numId="14">
    <w:abstractNumId w:val="9"/>
  </w:num>
  <w:num w:numId="15">
    <w:abstractNumId w:val="22"/>
  </w:num>
  <w:num w:numId="16">
    <w:abstractNumId w:val="18"/>
  </w:num>
  <w:num w:numId="17">
    <w:abstractNumId w:val="2"/>
  </w:num>
  <w:num w:numId="18">
    <w:abstractNumId w:val="21"/>
  </w:num>
  <w:num w:numId="19">
    <w:abstractNumId w:val="7"/>
  </w:num>
  <w:num w:numId="20">
    <w:abstractNumId w:val="11"/>
  </w:num>
  <w:num w:numId="21">
    <w:abstractNumId w:val="14"/>
  </w:num>
  <w:num w:numId="22">
    <w:abstractNumId w:val="6"/>
  </w:num>
  <w:num w:numId="23">
    <w:abstractNumId w:val="3"/>
  </w:num>
  <w:num w:numId="24">
    <w:abstractNumId w:val="30"/>
  </w:num>
  <w:num w:numId="25">
    <w:abstractNumId w:val="26"/>
  </w:num>
  <w:num w:numId="26">
    <w:abstractNumId w:val="25"/>
  </w:num>
  <w:num w:numId="27">
    <w:abstractNumId w:val="8"/>
  </w:num>
  <w:num w:numId="28">
    <w:abstractNumId w:val="5"/>
  </w:num>
  <w:num w:numId="29">
    <w:abstractNumId w:val="12"/>
  </w:num>
  <w:num w:numId="30">
    <w:abstractNumId w:val="17"/>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E6945"/>
    <w:rsid w:val="00584EFD"/>
    <w:rsid w:val="00BC2FD6"/>
    <w:rsid w:val="010B4C70"/>
    <w:rsid w:val="0166176F"/>
    <w:rsid w:val="017D3C54"/>
    <w:rsid w:val="01891A58"/>
    <w:rsid w:val="01914207"/>
    <w:rsid w:val="02677FB9"/>
    <w:rsid w:val="032354EC"/>
    <w:rsid w:val="0367585D"/>
    <w:rsid w:val="03FE05ED"/>
    <w:rsid w:val="049108AB"/>
    <w:rsid w:val="05760B31"/>
    <w:rsid w:val="05A57610"/>
    <w:rsid w:val="066607A8"/>
    <w:rsid w:val="06BC2EEB"/>
    <w:rsid w:val="08B649EF"/>
    <w:rsid w:val="08B77900"/>
    <w:rsid w:val="08BC6C07"/>
    <w:rsid w:val="096430D6"/>
    <w:rsid w:val="0AAE008A"/>
    <w:rsid w:val="0AC02960"/>
    <w:rsid w:val="0ADC1431"/>
    <w:rsid w:val="0B166E82"/>
    <w:rsid w:val="0B3A7AAB"/>
    <w:rsid w:val="0B3F244B"/>
    <w:rsid w:val="0B44031D"/>
    <w:rsid w:val="0B48587C"/>
    <w:rsid w:val="0BAF056F"/>
    <w:rsid w:val="0BDF168A"/>
    <w:rsid w:val="0C8676FF"/>
    <w:rsid w:val="0CB367E8"/>
    <w:rsid w:val="0D0F50F9"/>
    <w:rsid w:val="0D3222D3"/>
    <w:rsid w:val="0E244923"/>
    <w:rsid w:val="0E9252B5"/>
    <w:rsid w:val="0E947FED"/>
    <w:rsid w:val="0EA50A23"/>
    <w:rsid w:val="0EC0770C"/>
    <w:rsid w:val="0F9E6945"/>
    <w:rsid w:val="0FD40AB1"/>
    <w:rsid w:val="110B56B0"/>
    <w:rsid w:val="114C4C3C"/>
    <w:rsid w:val="11CF5A3A"/>
    <w:rsid w:val="12226661"/>
    <w:rsid w:val="125D0F08"/>
    <w:rsid w:val="136372D4"/>
    <w:rsid w:val="139B365F"/>
    <w:rsid w:val="139F0A7D"/>
    <w:rsid w:val="13C058EC"/>
    <w:rsid w:val="14100E11"/>
    <w:rsid w:val="141677D8"/>
    <w:rsid w:val="14C66AE3"/>
    <w:rsid w:val="14EB372B"/>
    <w:rsid w:val="151C05CE"/>
    <w:rsid w:val="157C0937"/>
    <w:rsid w:val="159A7B3B"/>
    <w:rsid w:val="1630011F"/>
    <w:rsid w:val="165805A1"/>
    <w:rsid w:val="16670C5B"/>
    <w:rsid w:val="169200D9"/>
    <w:rsid w:val="16B714BA"/>
    <w:rsid w:val="170065F8"/>
    <w:rsid w:val="179E0AB2"/>
    <w:rsid w:val="17B324F3"/>
    <w:rsid w:val="190C2310"/>
    <w:rsid w:val="194633D7"/>
    <w:rsid w:val="1991782E"/>
    <w:rsid w:val="19EE2763"/>
    <w:rsid w:val="1AE22C33"/>
    <w:rsid w:val="1B001D6F"/>
    <w:rsid w:val="1B1E34D8"/>
    <w:rsid w:val="1B542FBD"/>
    <w:rsid w:val="1B8B17E3"/>
    <w:rsid w:val="1C3C7D6D"/>
    <w:rsid w:val="1DC40DA8"/>
    <w:rsid w:val="1E0F2BF2"/>
    <w:rsid w:val="1E9F75C1"/>
    <w:rsid w:val="1F8E15B2"/>
    <w:rsid w:val="1FB3612C"/>
    <w:rsid w:val="1FCE7695"/>
    <w:rsid w:val="1FD82C93"/>
    <w:rsid w:val="20222154"/>
    <w:rsid w:val="20403221"/>
    <w:rsid w:val="218F6E59"/>
    <w:rsid w:val="21F17C02"/>
    <w:rsid w:val="22891C77"/>
    <w:rsid w:val="22920ECA"/>
    <w:rsid w:val="229932B8"/>
    <w:rsid w:val="229F1624"/>
    <w:rsid w:val="23274E63"/>
    <w:rsid w:val="23A42F15"/>
    <w:rsid w:val="2424538D"/>
    <w:rsid w:val="245A3471"/>
    <w:rsid w:val="24703714"/>
    <w:rsid w:val="24F43D8A"/>
    <w:rsid w:val="25C8703D"/>
    <w:rsid w:val="27631D57"/>
    <w:rsid w:val="280D095E"/>
    <w:rsid w:val="2893599D"/>
    <w:rsid w:val="29187CC6"/>
    <w:rsid w:val="29F560BE"/>
    <w:rsid w:val="2A0665E7"/>
    <w:rsid w:val="2A10391F"/>
    <w:rsid w:val="2B3B7F4D"/>
    <w:rsid w:val="2BC80B80"/>
    <w:rsid w:val="2BE52063"/>
    <w:rsid w:val="2BE65951"/>
    <w:rsid w:val="2C745F70"/>
    <w:rsid w:val="2C8C2213"/>
    <w:rsid w:val="2CA10829"/>
    <w:rsid w:val="2CF71E10"/>
    <w:rsid w:val="2DA91EFB"/>
    <w:rsid w:val="2DB23901"/>
    <w:rsid w:val="2DC62603"/>
    <w:rsid w:val="2DCC5B3D"/>
    <w:rsid w:val="2E2D4759"/>
    <w:rsid w:val="2E620A42"/>
    <w:rsid w:val="2EAC675F"/>
    <w:rsid w:val="2EBF6983"/>
    <w:rsid w:val="2EC1153B"/>
    <w:rsid w:val="2ECD1469"/>
    <w:rsid w:val="2F4754AB"/>
    <w:rsid w:val="30515F6A"/>
    <w:rsid w:val="309A7E37"/>
    <w:rsid w:val="310A3B1A"/>
    <w:rsid w:val="312D608B"/>
    <w:rsid w:val="319A3819"/>
    <w:rsid w:val="31A21C27"/>
    <w:rsid w:val="31FA4FCC"/>
    <w:rsid w:val="32164C99"/>
    <w:rsid w:val="322120F3"/>
    <w:rsid w:val="326C652B"/>
    <w:rsid w:val="32762D7D"/>
    <w:rsid w:val="32C65482"/>
    <w:rsid w:val="32DE79AE"/>
    <w:rsid w:val="338941E7"/>
    <w:rsid w:val="33F6127A"/>
    <w:rsid w:val="345B4324"/>
    <w:rsid w:val="349F333B"/>
    <w:rsid w:val="34DC2CBF"/>
    <w:rsid w:val="356F7983"/>
    <w:rsid w:val="35EC61BF"/>
    <w:rsid w:val="368603E6"/>
    <w:rsid w:val="37214A7E"/>
    <w:rsid w:val="37567086"/>
    <w:rsid w:val="37D14BC7"/>
    <w:rsid w:val="381E5902"/>
    <w:rsid w:val="38653669"/>
    <w:rsid w:val="389B54ED"/>
    <w:rsid w:val="38A50216"/>
    <w:rsid w:val="3A4C4FE3"/>
    <w:rsid w:val="3A7E4D98"/>
    <w:rsid w:val="3A8F4646"/>
    <w:rsid w:val="3A9D2A14"/>
    <w:rsid w:val="3BD83530"/>
    <w:rsid w:val="3C266127"/>
    <w:rsid w:val="3C6F4010"/>
    <w:rsid w:val="3CDA52E2"/>
    <w:rsid w:val="3CE078AF"/>
    <w:rsid w:val="3CE706BA"/>
    <w:rsid w:val="3D104B94"/>
    <w:rsid w:val="3D13433F"/>
    <w:rsid w:val="3DB34567"/>
    <w:rsid w:val="3E082A12"/>
    <w:rsid w:val="3E9F69EA"/>
    <w:rsid w:val="3F176BBD"/>
    <w:rsid w:val="40FC2472"/>
    <w:rsid w:val="4131700C"/>
    <w:rsid w:val="41803CF6"/>
    <w:rsid w:val="41C468CB"/>
    <w:rsid w:val="42183A57"/>
    <w:rsid w:val="42AB0289"/>
    <w:rsid w:val="42E0752E"/>
    <w:rsid w:val="430429A8"/>
    <w:rsid w:val="432112A3"/>
    <w:rsid w:val="437754F8"/>
    <w:rsid w:val="446B4A90"/>
    <w:rsid w:val="451B2912"/>
    <w:rsid w:val="455C526C"/>
    <w:rsid w:val="45F768ED"/>
    <w:rsid w:val="463F79C3"/>
    <w:rsid w:val="46930B04"/>
    <w:rsid w:val="46DC7B84"/>
    <w:rsid w:val="476B0845"/>
    <w:rsid w:val="479877E3"/>
    <w:rsid w:val="47FF1DC2"/>
    <w:rsid w:val="4800524E"/>
    <w:rsid w:val="48094F06"/>
    <w:rsid w:val="483A7FD2"/>
    <w:rsid w:val="48786A4E"/>
    <w:rsid w:val="4895451F"/>
    <w:rsid w:val="48A86365"/>
    <w:rsid w:val="4921695E"/>
    <w:rsid w:val="49745FB9"/>
    <w:rsid w:val="49CF085F"/>
    <w:rsid w:val="4A95657B"/>
    <w:rsid w:val="4AED6205"/>
    <w:rsid w:val="4B675C46"/>
    <w:rsid w:val="4C1D043D"/>
    <w:rsid w:val="4C3876FA"/>
    <w:rsid w:val="4C903356"/>
    <w:rsid w:val="4CF10C63"/>
    <w:rsid w:val="4CF55F89"/>
    <w:rsid w:val="4D271F40"/>
    <w:rsid w:val="4D56027C"/>
    <w:rsid w:val="4D5A78D7"/>
    <w:rsid w:val="4D94085C"/>
    <w:rsid w:val="4E8A0DDD"/>
    <w:rsid w:val="502A397A"/>
    <w:rsid w:val="50A60AB8"/>
    <w:rsid w:val="512E64E4"/>
    <w:rsid w:val="51401E9E"/>
    <w:rsid w:val="52E910BF"/>
    <w:rsid w:val="531677D2"/>
    <w:rsid w:val="53493E2F"/>
    <w:rsid w:val="5383163E"/>
    <w:rsid w:val="53B258CB"/>
    <w:rsid w:val="53CF4FE0"/>
    <w:rsid w:val="54077F0D"/>
    <w:rsid w:val="54D43F38"/>
    <w:rsid w:val="55981611"/>
    <w:rsid w:val="564D3B26"/>
    <w:rsid w:val="56623AB1"/>
    <w:rsid w:val="569033A9"/>
    <w:rsid w:val="56D94653"/>
    <w:rsid w:val="577A67C6"/>
    <w:rsid w:val="57D90FB8"/>
    <w:rsid w:val="584D6874"/>
    <w:rsid w:val="58785BA8"/>
    <w:rsid w:val="59D35625"/>
    <w:rsid w:val="59EF6884"/>
    <w:rsid w:val="59FC2134"/>
    <w:rsid w:val="5A0B3642"/>
    <w:rsid w:val="5A63523E"/>
    <w:rsid w:val="5A7A6C84"/>
    <w:rsid w:val="5A7C3C6C"/>
    <w:rsid w:val="5AE512C5"/>
    <w:rsid w:val="5AF917B7"/>
    <w:rsid w:val="5B337346"/>
    <w:rsid w:val="5BDF19ED"/>
    <w:rsid w:val="5C351111"/>
    <w:rsid w:val="5C642FCC"/>
    <w:rsid w:val="5C926652"/>
    <w:rsid w:val="5D170973"/>
    <w:rsid w:val="5D50599E"/>
    <w:rsid w:val="5DBA34C6"/>
    <w:rsid w:val="5DE62572"/>
    <w:rsid w:val="5E037B19"/>
    <w:rsid w:val="5E0B2794"/>
    <w:rsid w:val="5E19158D"/>
    <w:rsid w:val="5EF90010"/>
    <w:rsid w:val="5F3A449C"/>
    <w:rsid w:val="5F9759D4"/>
    <w:rsid w:val="60496BD8"/>
    <w:rsid w:val="606D3F8B"/>
    <w:rsid w:val="61525BD6"/>
    <w:rsid w:val="616866C1"/>
    <w:rsid w:val="61E513D9"/>
    <w:rsid w:val="61EE67F0"/>
    <w:rsid w:val="62385852"/>
    <w:rsid w:val="62B17A23"/>
    <w:rsid w:val="62D4154E"/>
    <w:rsid w:val="631733BB"/>
    <w:rsid w:val="6342396D"/>
    <w:rsid w:val="63934981"/>
    <w:rsid w:val="643928B2"/>
    <w:rsid w:val="65026E65"/>
    <w:rsid w:val="659149C3"/>
    <w:rsid w:val="65DB6668"/>
    <w:rsid w:val="65EC39CF"/>
    <w:rsid w:val="661C405F"/>
    <w:rsid w:val="66853842"/>
    <w:rsid w:val="67846636"/>
    <w:rsid w:val="67C676E7"/>
    <w:rsid w:val="685B5978"/>
    <w:rsid w:val="68625513"/>
    <w:rsid w:val="68D95A15"/>
    <w:rsid w:val="69000064"/>
    <w:rsid w:val="690B51CD"/>
    <w:rsid w:val="690E5E3F"/>
    <w:rsid w:val="69315102"/>
    <w:rsid w:val="693F44CD"/>
    <w:rsid w:val="69D05549"/>
    <w:rsid w:val="69D3452E"/>
    <w:rsid w:val="6A125874"/>
    <w:rsid w:val="6A5852BE"/>
    <w:rsid w:val="6A77530C"/>
    <w:rsid w:val="6A7B4D63"/>
    <w:rsid w:val="6B157906"/>
    <w:rsid w:val="6B962F48"/>
    <w:rsid w:val="6B9C28BF"/>
    <w:rsid w:val="6C6D7E8C"/>
    <w:rsid w:val="6D0E5548"/>
    <w:rsid w:val="6D132B21"/>
    <w:rsid w:val="6DA12E2A"/>
    <w:rsid w:val="6DC60B4F"/>
    <w:rsid w:val="6DDF162A"/>
    <w:rsid w:val="6E596BEF"/>
    <w:rsid w:val="6EA66DDF"/>
    <w:rsid w:val="6ECB5303"/>
    <w:rsid w:val="6F2C3047"/>
    <w:rsid w:val="6FB05E6A"/>
    <w:rsid w:val="6FC13F83"/>
    <w:rsid w:val="705D2F31"/>
    <w:rsid w:val="708B7121"/>
    <w:rsid w:val="71796F79"/>
    <w:rsid w:val="718113A7"/>
    <w:rsid w:val="71B104EF"/>
    <w:rsid w:val="72066B83"/>
    <w:rsid w:val="7254121B"/>
    <w:rsid w:val="727E42A8"/>
    <w:rsid w:val="72EC6403"/>
    <w:rsid w:val="734F1B35"/>
    <w:rsid w:val="73B00AEB"/>
    <w:rsid w:val="742944BB"/>
    <w:rsid w:val="742B1CBE"/>
    <w:rsid w:val="74C364B4"/>
    <w:rsid w:val="74F05765"/>
    <w:rsid w:val="755C4B8F"/>
    <w:rsid w:val="75E562F1"/>
    <w:rsid w:val="76C24D26"/>
    <w:rsid w:val="77420B60"/>
    <w:rsid w:val="77502DBD"/>
    <w:rsid w:val="787A6F36"/>
    <w:rsid w:val="798A420C"/>
    <w:rsid w:val="7A5E398F"/>
    <w:rsid w:val="7AC64A3E"/>
    <w:rsid w:val="7B766476"/>
    <w:rsid w:val="7BAD35AE"/>
    <w:rsid w:val="7BB42068"/>
    <w:rsid w:val="7BFF6FE3"/>
    <w:rsid w:val="7C135CA8"/>
    <w:rsid w:val="7C9912ED"/>
    <w:rsid w:val="7CC6291D"/>
    <w:rsid w:val="7D1F6763"/>
    <w:rsid w:val="7D6210D3"/>
    <w:rsid w:val="7E176D34"/>
    <w:rsid w:val="7E28486A"/>
    <w:rsid w:val="7E64708C"/>
    <w:rsid w:val="7E99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100" w:afterLines="100" w:afterAutospacing="0" w:line="240" w:lineRule="auto"/>
      <w:jc w:val="center"/>
      <w:outlineLvl w:val="0"/>
    </w:pPr>
    <w:rPr>
      <w:rFonts w:eastAsia="宋体" w:asciiTheme="minorAscii" w:hAnsiTheme="minorAscii"/>
      <w:b/>
      <w:kern w:val="44"/>
      <w:sz w:val="44"/>
    </w:rPr>
  </w:style>
  <w:style w:type="paragraph" w:styleId="4">
    <w:name w:val="heading 2"/>
    <w:basedOn w:val="1"/>
    <w:next w:val="1"/>
    <w:unhideWhenUsed/>
    <w:qFormat/>
    <w:uiPriority w:val="0"/>
    <w:pPr>
      <w:keepNext w:val="0"/>
      <w:keepLines w:val="0"/>
      <w:spacing w:before="50" w:beforeLines="50" w:beforeAutospacing="0" w:after="50" w:afterLines="50" w:afterAutospacing="0" w:line="240" w:lineRule="auto"/>
      <w:outlineLvl w:val="1"/>
    </w:pPr>
    <w:rPr>
      <w:rFonts w:ascii="Arial" w:hAnsi="Arial" w:eastAsia="黑体"/>
      <w:sz w:val="32"/>
    </w:rPr>
  </w:style>
  <w:style w:type="paragraph" w:styleId="5">
    <w:name w:val="heading 3"/>
    <w:basedOn w:val="1"/>
    <w:next w:val="1"/>
    <w:unhideWhenUsed/>
    <w:qFormat/>
    <w:uiPriority w:val="0"/>
    <w:pPr>
      <w:keepNext w:val="0"/>
      <w:keepLines w:val="0"/>
      <w:spacing w:beforeLines="0" w:beforeAutospacing="0" w:afterLines="0" w:afterAutospacing="0" w:line="240" w:lineRule="auto"/>
      <w:ind w:firstLine="420" w:firstLineChars="200"/>
      <w:outlineLvl w:val="2"/>
    </w:pPr>
    <w:rPr>
      <w:rFonts w:eastAsia="楷体" w:asciiTheme="minorAscii" w:hAnsiTheme="minorAscii"/>
      <w:b/>
      <w:sz w:val="28"/>
    </w:rPr>
  </w:style>
  <w:style w:type="paragraph" w:styleId="6">
    <w:name w:val="heading 4"/>
    <w:basedOn w:val="1"/>
    <w:next w:val="1"/>
    <w:semiHidden/>
    <w:unhideWhenUsed/>
    <w:qFormat/>
    <w:uiPriority w:val="0"/>
    <w:pPr>
      <w:keepNext w:val="0"/>
      <w:keepLines w:val="0"/>
      <w:spacing w:beforeLines="0" w:beforeAutospacing="0" w:afterLines="0" w:afterAutospacing="0" w:line="240" w:lineRule="auto"/>
      <w:ind w:firstLine="420" w:firstLineChars="200"/>
      <w:outlineLvl w:val="3"/>
    </w:pPr>
    <w:rPr>
      <w:rFonts w:ascii="Arial" w:hAnsi="Arial" w:eastAsia="仿宋"/>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hAnsi="宋体"/>
      <w:sz w:val="32"/>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Table Paragraph"/>
    <w:basedOn w:val="1"/>
    <w:qFormat/>
    <w:uiPriority w:val="1"/>
    <w:rPr>
      <w:rFonts w:ascii="宋体" w:hAnsi="宋体" w:eastAsia="宋体" w:cs="宋体"/>
    </w:rPr>
  </w:style>
  <w:style w:type="paragraph" w:customStyle="1" w:styleId="18">
    <w:name w:val="样式9 Char"/>
    <w:basedOn w:val="1"/>
    <w:qFormat/>
    <w:uiPriority w:val="99"/>
    <w:pPr>
      <w:widowControl/>
      <w:spacing w:line="440" w:lineRule="exact"/>
      <w:ind w:firstLine="200" w:firstLineChars="200"/>
      <w:jc w:val="left"/>
    </w:pPr>
    <w:rPr>
      <w:spacing w:val="6"/>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zhaobiao</cp:lastModifiedBy>
  <dcterms:modified xsi:type="dcterms:W3CDTF">2021-10-29T06:27:14Z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63FF7A37871445DA876895C34871DF8E</vt:lpwstr>
  </property>
</Properties>
</file>